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49" w:type="dxa"/>
        <w:tblInd w:w="-1168" w:type="dxa"/>
        <w:tblLook w:val="04A0" w:firstRow="1" w:lastRow="0" w:firstColumn="1" w:lastColumn="0" w:noHBand="0" w:noVBand="1"/>
      </w:tblPr>
      <w:tblGrid>
        <w:gridCol w:w="1183"/>
        <w:gridCol w:w="21"/>
        <w:gridCol w:w="6201"/>
        <w:gridCol w:w="1843"/>
        <w:gridCol w:w="1397"/>
        <w:gridCol w:w="304"/>
      </w:tblGrid>
      <w:tr w:rsidR="009068DA" w:rsidRPr="008154E3" w14:paraId="2AB6EEF9" w14:textId="77777777" w:rsidTr="00AE5D73">
        <w:trPr>
          <w:trHeight w:val="1340"/>
        </w:trPr>
        <w:tc>
          <w:tcPr>
            <w:tcW w:w="1204" w:type="dxa"/>
            <w:gridSpan w:val="2"/>
          </w:tcPr>
          <w:p w14:paraId="4D4E924B" w14:textId="4D23CC77" w:rsidR="006F2801" w:rsidRPr="008154E3" w:rsidRDefault="009068DA" w:rsidP="00AE5D73">
            <w:pPr>
              <w:pStyle w:val="CEALabel"/>
              <w:rPr>
                <w:b w:val="0"/>
                <w:color w:val="002957"/>
                <w:sz w:val="17"/>
                <w:szCs w:val="17"/>
              </w:rPr>
            </w:pPr>
            <w:r w:rsidRPr="008154E3">
              <w:rPr>
                <w:b w:val="0"/>
                <w:color w:val="002957"/>
                <w:sz w:val="17"/>
                <w:szCs w:val="17"/>
              </w:rPr>
              <w:t>Participants:</w:t>
            </w:r>
          </w:p>
        </w:tc>
        <w:tc>
          <w:tcPr>
            <w:tcW w:w="9745" w:type="dxa"/>
            <w:gridSpan w:val="4"/>
            <w:vAlign w:val="center"/>
          </w:tcPr>
          <w:p w14:paraId="2BCE76F9" w14:textId="24F890C5" w:rsidR="002B16EE" w:rsidRPr="002E43F7" w:rsidRDefault="00AE5D73" w:rsidP="00AE5D73">
            <w:pPr>
              <w:jc w:val="both"/>
              <w:rPr>
                <w:color w:val="002957"/>
                <w:sz w:val="17"/>
                <w:szCs w:val="17"/>
                <w:highlight w:val="yellow"/>
              </w:rPr>
            </w:pPr>
            <w:r>
              <w:rPr>
                <w:color w:val="002957"/>
                <w:sz w:val="17"/>
                <w:szCs w:val="17"/>
              </w:rPr>
              <w:t>Marietta Preiss</w:t>
            </w:r>
            <w:r w:rsidRPr="00AE5D73">
              <w:rPr>
                <w:color w:val="002957"/>
                <w:sz w:val="17"/>
                <w:szCs w:val="17"/>
              </w:rPr>
              <w:t xml:space="preserve"> (VVO)</w:t>
            </w:r>
            <w:r>
              <w:rPr>
                <w:color w:val="002957"/>
                <w:sz w:val="17"/>
                <w:szCs w:val="17"/>
              </w:rPr>
              <w:t xml:space="preserve">, </w:t>
            </w:r>
            <w:r w:rsidRPr="00AE5D73">
              <w:rPr>
                <w:color w:val="002957"/>
                <w:sz w:val="17"/>
                <w:szCs w:val="17"/>
              </w:rPr>
              <w:t>Dieter Pscheidl</w:t>
            </w:r>
            <w:r>
              <w:rPr>
                <w:color w:val="002957"/>
                <w:sz w:val="17"/>
                <w:szCs w:val="17"/>
              </w:rPr>
              <w:t xml:space="preserve"> (</w:t>
            </w:r>
            <w:r w:rsidRPr="00AE5D73">
              <w:rPr>
                <w:color w:val="002957"/>
                <w:sz w:val="17"/>
                <w:szCs w:val="17"/>
              </w:rPr>
              <w:t>Vienna Insurance Group</w:t>
            </w:r>
            <w:r>
              <w:rPr>
                <w:color w:val="002957"/>
                <w:sz w:val="17"/>
                <w:szCs w:val="17"/>
              </w:rPr>
              <w:t xml:space="preserve">), </w:t>
            </w:r>
            <w:r w:rsidRPr="00AE5D73">
              <w:rPr>
                <w:color w:val="002957"/>
                <w:sz w:val="17"/>
                <w:szCs w:val="17"/>
              </w:rPr>
              <w:t>Paul Windels</w:t>
            </w:r>
            <w:r>
              <w:rPr>
                <w:color w:val="002957"/>
                <w:sz w:val="17"/>
                <w:szCs w:val="17"/>
              </w:rPr>
              <w:t xml:space="preserve"> (</w:t>
            </w:r>
            <w:r w:rsidRPr="00AE5D73">
              <w:rPr>
                <w:color w:val="002957"/>
                <w:sz w:val="17"/>
                <w:szCs w:val="17"/>
              </w:rPr>
              <w:t>Assuralia</w:t>
            </w:r>
            <w:r>
              <w:rPr>
                <w:color w:val="002957"/>
                <w:sz w:val="17"/>
                <w:szCs w:val="17"/>
              </w:rPr>
              <w:t xml:space="preserve">), </w:t>
            </w:r>
            <w:r w:rsidRPr="00AE5D73">
              <w:rPr>
                <w:color w:val="002957"/>
                <w:sz w:val="17"/>
                <w:szCs w:val="17"/>
              </w:rPr>
              <w:t>Mathias Wambeke</w:t>
            </w:r>
            <w:r>
              <w:rPr>
                <w:color w:val="002957"/>
                <w:sz w:val="17"/>
                <w:szCs w:val="17"/>
              </w:rPr>
              <w:t xml:space="preserve"> (</w:t>
            </w:r>
            <w:r w:rsidRPr="00AE5D73">
              <w:rPr>
                <w:color w:val="002957"/>
                <w:sz w:val="17"/>
                <w:szCs w:val="17"/>
              </w:rPr>
              <w:t>Assuralia</w:t>
            </w:r>
            <w:r>
              <w:rPr>
                <w:color w:val="002957"/>
                <w:sz w:val="17"/>
                <w:szCs w:val="17"/>
              </w:rPr>
              <w:t xml:space="preserve">), </w:t>
            </w:r>
            <w:r w:rsidRPr="00AE5D73">
              <w:rPr>
                <w:color w:val="002957"/>
                <w:sz w:val="17"/>
                <w:szCs w:val="17"/>
              </w:rPr>
              <w:t>Jörg Beyer</w:t>
            </w:r>
            <w:r>
              <w:rPr>
                <w:color w:val="002957"/>
                <w:sz w:val="17"/>
                <w:szCs w:val="17"/>
              </w:rPr>
              <w:t xml:space="preserve"> (</w:t>
            </w:r>
            <w:r w:rsidRPr="00AE5D73">
              <w:rPr>
                <w:color w:val="002957"/>
                <w:sz w:val="17"/>
                <w:szCs w:val="17"/>
              </w:rPr>
              <w:t>GDV</w:t>
            </w:r>
            <w:r>
              <w:rPr>
                <w:color w:val="002957"/>
                <w:sz w:val="17"/>
                <w:szCs w:val="17"/>
              </w:rPr>
              <w:t xml:space="preserve">), </w:t>
            </w:r>
            <w:r w:rsidRPr="00AE5D73">
              <w:rPr>
                <w:color w:val="002957"/>
                <w:sz w:val="17"/>
                <w:szCs w:val="17"/>
              </w:rPr>
              <w:t>Thiemo Hustedt</w:t>
            </w:r>
            <w:r>
              <w:rPr>
                <w:color w:val="002957"/>
                <w:sz w:val="17"/>
                <w:szCs w:val="17"/>
              </w:rPr>
              <w:t xml:space="preserve"> (</w:t>
            </w:r>
            <w:r w:rsidRPr="00AE5D73">
              <w:rPr>
                <w:color w:val="002957"/>
                <w:sz w:val="17"/>
                <w:szCs w:val="17"/>
              </w:rPr>
              <w:t>GDV</w:t>
            </w:r>
            <w:r>
              <w:rPr>
                <w:color w:val="002957"/>
                <w:sz w:val="17"/>
                <w:szCs w:val="17"/>
              </w:rPr>
              <w:t xml:space="preserve">), </w:t>
            </w:r>
            <w:r w:rsidRPr="00AE5D73">
              <w:rPr>
                <w:color w:val="002957"/>
                <w:sz w:val="17"/>
                <w:szCs w:val="17"/>
              </w:rPr>
              <w:t>Tim Ockenga</w:t>
            </w:r>
            <w:r>
              <w:rPr>
                <w:color w:val="002957"/>
                <w:sz w:val="17"/>
                <w:szCs w:val="17"/>
              </w:rPr>
              <w:t xml:space="preserve"> (</w:t>
            </w:r>
            <w:r w:rsidRPr="00AE5D73">
              <w:rPr>
                <w:color w:val="002957"/>
                <w:sz w:val="17"/>
                <w:szCs w:val="17"/>
              </w:rPr>
              <w:t>GDV</w:t>
            </w:r>
            <w:r>
              <w:rPr>
                <w:color w:val="002957"/>
                <w:sz w:val="17"/>
                <w:szCs w:val="17"/>
              </w:rPr>
              <w:t xml:space="preserve">), </w:t>
            </w:r>
            <w:r w:rsidRPr="00AE5D73">
              <w:rPr>
                <w:color w:val="002957"/>
                <w:sz w:val="17"/>
                <w:szCs w:val="17"/>
              </w:rPr>
              <w:t>Jenny Thers Rée</w:t>
            </w:r>
            <w:r>
              <w:rPr>
                <w:color w:val="002957"/>
                <w:sz w:val="17"/>
                <w:szCs w:val="17"/>
              </w:rPr>
              <w:t xml:space="preserve"> (Danish Insurance Association), </w:t>
            </w:r>
            <w:r w:rsidRPr="00AE5D73">
              <w:rPr>
                <w:color w:val="002957"/>
                <w:sz w:val="17"/>
                <w:szCs w:val="17"/>
              </w:rPr>
              <w:t>Henrik Munck</w:t>
            </w:r>
            <w:r>
              <w:rPr>
                <w:color w:val="002957"/>
                <w:sz w:val="17"/>
                <w:szCs w:val="17"/>
              </w:rPr>
              <w:t xml:space="preserve"> (Danish Insurance Association</w:t>
            </w:r>
            <w:r w:rsidRPr="00AE5D73">
              <w:rPr>
                <w:color w:val="002957"/>
                <w:sz w:val="17"/>
                <w:szCs w:val="17"/>
              </w:rPr>
              <w:t>)</w:t>
            </w:r>
            <w:r>
              <w:rPr>
                <w:color w:val="002957"/>
                <w:sz w:val="17"/>
                <w:szCs w:val="17"/>
              </w:rPr>
              <w:t>, Inna Aaltonen (</w:t>
            </w:r>
            <w:r w:rsidR="00EF3F59">
              <w:rPr>
                <w:color w:val="002957"/>
                <w:sz w:val="17"/>
                <w:szCs w:val="17"/>
              </w:rPr>
              <w:t>FFI</w:t>
            </w:r>
            <w:r>
              <w:rPr>
                <w:color w:val="002957"/>
                <w:sz w:val="17"/>
                <w:szCs w:val="17"/>
              </w:rPr>
              <w:t xml:space="preserve">), Hicham Afrache </w:t>
            </w:r>
            <w:r w:rsidRPr="00AE5D73">
              <w:rPr>
                <w:color w:val="002957"/>
                <w:sz w:val="17"/>
                <w:szCs w:val="17"/>
              </w:rPr>
              <w:t>(FFA)</w:t>
            </w:r>
            <w:r>
              <w:rPr>
                <w:color w:val="002957"/>
                <w:sz w:val="17"/>
                <w:szCs w:val="17"/>
              </w:rPr>
              <w:t xml:space="preserve">, </w:t>
            </w:r>
            <w:r w:rsidR="00EF3F59" w:rsidRPr="00AE5D73">
              <w:rPr>
                <w:color w:val="002957"/>
                <w:sz w:val="17"/>
                <w:szCs w:val="17"/>
              </w:rPr>
              <w:t>B</w:t>
            </w:r>
            <w:r w:rsidR="00EF3F59">
              <w:rPr>
                <w:color w:val="002957"/>
                <w:sz w:val="17"/>
                <w:szCs w:val="17"/>
              </w:rPr>
              <w:t xml:space="preserve">oris Christophe </w:t>
            </w:r>
            <w:r w:rsidR="00EF3F59" w:rsidRPr="00AE5D73">
              <w:rPr>
                <w:color w:val="002957"/>
                <w:sz w:val="17"/>
                <w:szCs w:val="17"/>
              </w:rPr>
              <w:t xml:space="preserve">(FFA), </w:t>
            </w:r>
            <w:r>
              <w:rPr>
                <w:color w:val="002957"/>
                <w:sz w:val="17"/>
                <w:szCs w:val="17"/>
              </w:rPr>
              <w:t>Edoardo Marullo-Reedtz (</w:t>
            </w:r>
            <w:r w:rsidRPr="00AE5D73">
              <w:rPr>
                <w:color w:val="002957"/>
                <w:sz w:val="17"/>
                <w:szCs w:val="17"/>
              </w:rPr>
              <w:t>ANIA</w:t>
            </w:r>
            <w:r>
              <w:rPr>
                <w:color w:val="002957"/>
                <w:sz w:val="17"/>
                <w:szCs w:val="17"/>
              </w:rPr>
              <w:t>), Donatella Albano (</w:t>
            </w:r>
            <w:r w:rsidRPr="00AE5D73">
              <w:rPr>
                <w:color w:val="002957"/>
                <w:sz w:val="17"/>
                <w:szCs w:val="17"/>
              </w:rPr>
              <w:t>ANIA</w:t>
            </w:r>
            <w:r>
              <w:rPr>
                <w:color w:val="002957"/>
                <w:sz w:val="17"/>
                <w:szCs w:val="17"/>
              </w:rPr>
              <w:t xml:space="preserve">), Ron Hersmis </w:t>
            </w:r>
            <w:r w:rsidRPr="00AE5D73">
              <w:rPr>
                <w:color w:val="002957"/>
                <w:sz w:val="17"/>
                <w:szCs w:val="17"/>
              </w:rPr>
              <w:t>(VVN)</w:t>
            </w:r>
            <w:r>
              <w:rPr>
                <w:color w:val="002957"/>
                <w:sz w:val="17"/>
                <w:szCs w:val="17"/>
              </w:rPr>
              <w:t>, Mathieu Filippo (</w:t>
            </w:r>
            <w:r w:rsidR="00EF3F59">
              <w:rPr>
                <w:color w:val="002957"/>
                <w:sz w:val="17"/>
                <w:szCs w:val="17"/>
              </w:rPr>
              <w:t>VVN</w:t>
            </w:r>
            <w:r>
              <w:rPr>
                <w:color w:val="002957"/>
                <w:sz w:val="17"/>
                <w:szCs w:val="17"/>
              </w:rPr>
              <w:t xml:space="preserve">), </w:t>
            </w:r>
            <w:r w:rsidRPr="00AE5D73">
              <w:rPr>
                <w:color w:val="002957"/>
                <w:sz w:val="17"/>
                <w:szCs w:val="17"/>
              </w:rPr>
              <w:t>James Walmsley</w:t>
            </w:r>
            <w:r>
              <w:rPr>
                <w:color w:val="002957"/>
                <w:sz w:val="17"/>
                <w:szCs w:val="17"/>
              </w:rPr>
              <w:t xml:space="preserve"> (</w:t>
            </w:r>
            <w:r w:rsidRPr="00AE5D73">
              <w:rPr>
                <w:color w:val="002957"/>
                <w:sz w:val="17"/>
                <w:szCs w:val="17"/>
              </w:rPr>
              <w:t>Lloyd's of London</w:t>
            </w:r>
            <w:r>
              <w:rPr>
                <w:color w:val="002957"/>
                <w:sz w:val="17"/>
                <w:szCs w:val="17"/>
              </w:rPr>
              <w:t>), Robert Warren</w:t>
            </w:r>
            <w:r w:rsidRPr="00AE5D73">
              <w:rPr>
                <w:color w:val="002957"/>
                <w:sz w:val="17"/>
                <w:szCs w:val="17"/>
              </w:rPr>
              <w:t xml:space="preserve"> (ABI)</w:t>
            </w:r>
          </w:p>
        </w:tc>
      </w:tr>
      <w:tr w:rsidR="00AE6FDB" w:rsidRPr="00B73438" w14:paraId="5F26ABB9" w14:textId="77777777" w:rsidTr="00AE5D73">
        <w:trPr>
          <w:trHeight w:val="288"/>
        </w:trPr>
        <w:tc>
          <w:tcPr>
            <w:tcW w:w="1204" w:type="dxa"/>
            <w:gridSpan w:val="2"/>
          </w:tcPr>
          <w:p w14:paraId="78030925" w14:textId="725A082F" w:rsidR="00AE6FDB" w:rsidRPr="008154E3" w:rsidRDefault="00AE6FDB" w:rsidP="00213247">
            <w:pPr>
              <w:pStyle w:val="CEALabel"/>
              <w:rPr>
                <w:b w:val="0"/>
                <w:color w:val="002957"/>
                <w:sz w:val="17"/>
                <w:szCs w:val="17"/>
              </w:rPr>
            </w:pPr>
            <w:r>
              <w:rPr>
                <w:b w:val="0"/>
                <w:color w:val="002957"/>
                <w:sz w:val="17"/>
                <w:szCs w:val="17"/>
              </w:rPr>
              <w:t>By call:</w:t>
            </w:r>
          </w:p>
        </w:tc>
        <w:tc>
          <w:tcPr>
            <w:tcW w:w="9745" w:type="dxa"/>
            <w:gridSpan w:val="4"/>
            <w:vAlign w:val="center"/>
          </w:tcPr>
          <w:p w14:paraId="2782C75B" w14:textId="456A9BF1" w:rsidR="004B08CB" w:rsidRPr="00AE5D73" w:rsidRDefault="00AE5D73" w:rsidP="00AE5D73">
            <w:pPr>
              <w:jc w:val="both"/>
              <w:rPr>
                <w:color w:val="002957"/>
                <w:sz w:val="17"/>
                <w:szCs w:val="17"/>
                <w:highlight w:val="yellow"/>
              </w:rPr>
            </w:pPr>
            <w:r w:rsidRPr="00AE5D73">
              <w:rPr>
                <w:color w:val="002957"/>
                <w:sz w:val="17"/>
                <w:szCs w:val="17"/>
              </w:rPr>
              <w:t>Paolo Madrussa (Generali), Sarah Doring</w:t>
            </w:r>
            <w:r>
              <w:rPr>
                <w:color w:val="002957"/>
                <w:sz w:val="17"/>
                <w:szCs w:val="17"/>
              </w:rPr>
              <w:t xml:space="preserve"> (</w:t>
            </w:r>
            <w:r w:rsidRPr="00AE5D73">
              <w:rPr>
                <w:color w:val="002957"/>
                <w:sz w:val="17"/>
                <w:szCs w:val="17"/>
              </w:rPr>
              <w:t>Unipol</w:t>
            </w:r>
            <w:r>
              <w:rPr>
                <w:color w:val="002957"/>
                <w:sz w:val="17"/>
                <w:szCs w:val="17"/>
              </w:rPr>
              <w:t xml:space="preserve">), </w:t>
            </w:r>
            <w:r w:rsidRPr="00AE5D73">
              <w:rPr>
                <w:color w:val="002957"/>
                <w:sz w:val="17"/>
                <w:szCs w:val="17"/>
              </w:rPr>
              <w:t>Lena Friman Blomgren (Insurance Sweden)</w:t>
            </w:r>
          </w:p>
        </w:tc>
      </w:tr>
      <w:tr w:rsidR="009068DA" w:rsidRPr="00B73438" w14:paraId="361DE08D" w14:textId="77777777" w:rsidTr="00AE5D73">
        <w:trPr>
          <w:trHeight w:hRule="exact" w:val="75"/>
        </w:trPr>
        <w:tc>
          <w:tcPr>
            <w:tcW w:w="1204" w:type="dxa"/>
            <w:gridSpan w:val="2"/>
            <w:vAlign w:val="center"/>
          </w:tcPr>
          <w:p w14:paraId="46FA88FE" w14:textId="77777777" w:rsidR="009068DA" w:rsidRPr="00AE5D73" w:rsidRDefault="009068DA" w:rsidP="00213247">
            <w:pPr>
              <w:pStyle w:val="CEALabel"/>
              <w:rPr>
                <w:b w:val="0"/>
                <w:color w:val="002957"/>
                <w:sz w:val="17"/>
                <w:szCs w:val="17"/>
              </w:rPr>
            </w:pPr>
          </w:p>
        </w:tc>
        <w:tc>
          <w:tcPr>
            <w:tcW w:w="9745" w:type="dxa"/>
            <w:gridSpan w:val="4"/>
            <w:vAlign w:val="center"/>
          </w:tcPr>
          <w:p w14:paraId="14665D81" w14:textId="77777777" w:rsidR="009068DA" w:rsidRPr="00AE5D73" w:rsidRDefault="009068DA" w:rsidP="00213247">
            <w:pPr>
              <w:rPr>
                <w:b/>
                <w:color w:val="002957"/>
                <w:sz w:val="17"/>
                <w:szCs w:val="17"/>
              </w:rPr>
            </w:pPr>
          </w:p>
        </w:tc>
      </w:tr>
      <w:tr w:rsidR="009068DA" w:rsidRPr="008154E3" w14:paraId="0DD0FFA2" w14:textId="77777777" w:rsidTr="00AE5D73">
        <w:tblPrEx>
          <w:tblLook w:val="01E0" w:firstRow="1" w:lastRow="1" w:firstColumn="1" w:lastColumn="1" w:noHBand="0" w:noVBand="0"/>
        </w:tblPrEx>
        <w:trPr>
          <w:gridBefore w:val="1"/>
          <w:gridAfter w:val="1"/>
          <w:wBefore w:w="1183" w:type="dxa"/>
          <w:wAfter w:w="304" w:type="dxa"/>
        </w:trPr>
        <w:tc>
          <w:tcPr>
            <w:tcW w:w="6222" w:type="dxa"/>
            <w:gridSpan w:val="2"/>
            <w:tcBorders>
              <w:right w:val="single" w:sz="12" w:space="0" w:color="FFFFFF"/>
            </w:tcBorders>
            <w:shd w:val="clear" w:color="auto" w:fill="auto"/>
          </w:tcPr>
          <w:p w14:paraId="333C4E06" w14:textId="77777777" w:rsidR="009068DA" w:rsidRPr="008154E3" w:rsidRDefault="009068DA" w:rsidP="00213247">
            <w:pPr>
              <w:spacing w:line="240" w:lineRule="exact"/>
              <w:jc w:val="both"/>
              <w:rPr>
                <w:color w:val="FFFFFF"/>
                <w:sz w:val="17"/>
                <w:szCs w:val="17"/>
              </w:rPr>
            </w:pPr>
            <w:r w:rsidRPr="008154E3">
              <w:rPr>
                <w:noProof/>
                <w:color w:val="FFFFFF"/>
                <w:sz w:val="17"/>
                <w:szCs w:val="17"/>
                <w:lang w:val="sk-SK" w:eastAsia="sk-SK"/>
              </w:rPr>
              <mc:AlternateContent>
                <mc:Choice Requires="wps">
                  <w:drawing>
                    <wp:anchor distT="0" distB="0" distL="114300" distR="114300" simplePos="0" relativeHeight="251658240" behindDoc="1" locked="0" layoutInCell="1" allowOverlap="1" wp14:anchorId="71751E2B" wp14:editId="3513422C">
                      <wp:simplePos x="0" y="0"/>
                      <wp:positionH relativeFrom="column">
                        <wp:posOffset>-90170</wp:posOffset>
                      </wp:positionH>
                      <wp:positionV relativeFrom="paragraph">
                        <wp:posOffset>-32385</wp:posOffset>
                      </wp:positionV>
                      <wp:extent cx="6187440" cy="228600"/>
                      <wp:effectExtent l="5080" t="5715" r="8255" b="381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228600"/>
                              </a:xfrm>
                              <a:prstGeom prst="roundRect">
                                <a:avLst>
                                  <a:gd name="adj" fmla="val 16667"/>
                                </a:avLst>
                              </a:prstGeom>
                              <a:solidFill>
                                <a:srgbClr val="82C5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B7BA3C" id="AutoShape 16" o:spid="_x0000_s1026" style="position:absolute;margin-left:-7.1pt;margin-top:-2.55pt;width:487.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" fillcolor="#82c55b" stroked="f"/>
                  </w:pict>
                </mc:Fallback>
              </mc:AlternateContent>
            </w:r>
            <w:r w:rsidRPr="008154E3">
              <w:rPr>
                <w:color w:val="FFFFFF"/>
                <w:sz w:val="17"/>
                <w:szCs w:val="17"/>
              </w:rPr>
              <w:t>Agenda Item</w:t>
            </w:r>
          </w:p>
        </w:tc>
        <w:tc>
          <w:tcPr>
            <w:tcW w:w="1843" w:type="dxa"/>
            <w:tcBorders>
              <w:left w:val="single" w:sz="12" w:space="0" w:color="FFFFFF"/>
              <w:right w:val="single" w:sz="12" w:space="0" w:color="FFFFFF"/>
            </w:tcBorders>
            <w:shd w:val="clear" w:color="auto" w:fill="auto"/>
          </w:tcPr>
          <w:p w14:paraId="2B8A1CFD" w14:textId="77777777" w:rsidR="009068DA" w:rsidRPr="008154E3" w:rsidRDefault="009068DA" w:rsidP="00213247">
            <w:pPr>
              <w:spacing w:line="240" w:lineRule="exact"/>
              <w:jc w:val="center"/>
              <w:rPr>
                <w:color w:val="FFFFFF"/>
                <w:sz w:val="17"/>
                <w:szCs w:val="17"/>
              </w:rPr>
            </w:pPr>
            <w:r w:rsidRPr="008154E3">
              <w:rPr>
                <w:color w:val="FFFFFF"/>
                <w:sz w:val="17"/>
                <w:szCs w:val="17"/>
              </w:rPr>
              <w:t>Purpose</w:t>
            </w:r>
          </w:p>
        </w:tc>
        <w:tc>
          <w:tcPr>
            <w:tcW w:w="1397" w:type="dxa"/>
            <w:tcBorders>
              <w:left w:val="single" w:sz="12" w:space="0" w:color="FFFFFF"/>
            </w:tcBorders>
            <w:shd w:val="clear" w:color="auto" w:fill="auto"/>
          </w:tcPr>
          <w:p w14:paraId="6C86E375" w14:textId="77777777" w:rsidR="009068DA" w:rsidRPr="008154E3" w:rsidRDefault="009068DA" w:rsidP="00213247">
            <w:pPr>
              <w:spacing w:line="240" w:lineRule="exact"/>
              <w:jc w:val="center"/>
              <w:rPr>
                <w:color w:val="FFFFFF"/>
                <w:sz w:val="17"/>
                <w:szCs w:val="17"/>
              </w:rPr>
            </w:pPr>
            <w:r w:rsidRPr="008154E3">
              <w:rPr>
                <w:color w:val="FFFFFF"/>
                <w:sz w:val="17"/>
                <w:szCs w:val="17"/>
              </w:rPr>
              <w:t>Reference</w:t>
            </w:r>
          </w:p>
        </w:tc>
      </w:tr>
    </w:tbl>
    <w:p w14:paraId="25EBB4B5" w14:textId="77777777" w:rsidR="008154E3" w:rsidRPr="008771A8" w:rsidRDefault="008154E3" w:rsidP="00267C1E">
      <w:pPr>
        <w:ind w:left="900" w:hanging="360"/>
        <w:rPr>
          <w:sz w:val="17"/>
          <w:szCs w:val="17"/>
        </w:rPr>
      </w:pPr>
      <w:bookmarkStart w:id="0" w:name="Start"/>
      <w:bookmarkEnd w:id="0"/>
    </w:p>
    <w:tbl>
      <w:tblPr>
        <w:tblW w:w="9780" w:type="dxa"/>
        <w:tblInd w:w="18" w:type="dxa"/>
        <w:tblLayout w:type="fixed"/>
        <w:tblLook w:val="01E0" w:firstRow="1" w:lastRow="1" w:firstColumn="1" w:lastColumn="1" w:noHBand="0" w:noVBand="0"/>
      </w:tblPr>
      <w:tblGrid>
        <w:gridCol w:w="6186"/>
        <w:gridCol w:w="1876"/>
        <w:gridCol w:w="1718"/>
      </w:tblGrid>
      <w:tr w:rsidR="008154E3" w:rsidRPr="008771A8" w14:paraId="2A830767" w14:textId="77777777" w:rsidTr="002B16EE">
        <w:trPr>
          <w:trHeight w:val="421"/>
        </w:trPr>
        <w:tc>
          <w:tcPr>
            <w:tcW w:w="6186" w:type="dxa"/>
            <w:tcBorders>
              <w:right w:val="single" w:sz="12" w:space="0" w:color="82C55B"/>
            </w:tcBorders>
            <w:shd w:val="clear" w:color="auto" w:fill="auto"/>
          </w:tcPr>
          <w:p w14:paraId="5E8048D6" w14:textId="77777777" w:rsidR="008154E3" w:rsidRPr="008771A8" w:rsidRDefault="008154E3" w:rsidP="003B2A57">
            <w:pPr>
              <w:pStyle w:val="Nadpis1"/>
              <w:keepNext/>
              <w:numPr>
                <w:ilvl w:val="0"/>
                <w:numId w:val="4"/>
              </w:numPr>
              <w:spacing w:line="288" w:lineRule="auto"/>
              <w:ind w:left="408" w:hanging="408"/>
              <w:jc w:val="both"/>
              <w:rPr>
                <w:b/>
                <w:sz w:val="17"/>
                <w:szCs w:val="17"/>
                <w:lang w:eastAsia="nl-NL"/>
              </w:rPr>
            </w:pPr>
            <w:r w:rsidRPr="008771A8">
              <w:rPr>
                <w:b/>
                <w:sz w:val="17"/>
                <w:szCs w:val="17"/>
              </w:rPr>
              <w:t>Minutes and Follow-up of action points</w:t>
            </w:r>
          </w:p>
        </w:tc>
        <w:tc>
          <w:tcPr>
            <w:tcW w:w="1876" w:type="dxa"/>
            <w:tcBorders>
              <w:left w:val="single" w:sz="12" w:space="0" w:color="82C55B"/>
              <w:right w:val="single" w:sz="12" w:space="0" w:color="82C55B"/>
            </w:tcBorders>
            <w:shd w:val="clear" w:color="auto" w:fill="auto"/>
          </w:tcPr>
          <w:p w14:paraId="7A7725B6" w14:textId="77777777" w:rsidR="008154E3" w:rsidRPr="008771A8" w:rsidRDefault="008154E3" w:rsidP="00267C1E">
            <w:pPr>
              <w:pStyle w:val="CEAAgendaBlueText"/>
              <w:rPr>
                <w:color w:val="002957"/>
                <w:sz w:val="17"/>
                <w:szCs w:val="17"/>
              </w:rPr>
            </w:pPr>
            <w:r w:rsidRPr="008771A8">
              <w:rPr>
                <w:color w:val="002957"/>
                <w:sz w:val="17"/>
                <w:szCs w:val="17"/>
              </w:rPr>
              <w:t>For approval</w:t>
            </w:r>
          </w:p>
        </w:tc>
        <w:tc>
          <w:tcPr>
            <w:tcW w:w="1718" w:type="dxa"/>
            <w:tcBorders>
              <w:left w:val="single" w:sz="12" w:space="0" w:color="82C55B"/>
            </w:tcBorders>
            <w:shd w:val="clear" w:color="auto" w:fill="auto"/>
          </w:tcPr>
          <w:p w14:paraId="31C7328A" w14:textId="452DF44C" w:rsidR="00A16BB0" w:rsidRPr="008771A8" w:rsidRDefault="00740EFA" w:rsidP="00A16BB0">
            <w:pPr>
              <w:tabs>
                <w:tab w:val="left" w:pos="465"/>
              </w:tabs>
              <w:jc w:val="center"/>
              <w:rPr>
                <w:rStyle w:val="Hypertextovprepojenie"/>
                <w:sz w:val="17"/>
                <w:szCs w:val="17"/>
              </w:rPr>
            </w:pPr>
            <w:hyperlink r:id="rId11" w:history="1">
              <w:r w:rsidR="002E43F7">
                <w:rPr>
                  <w:rStyle w:val="Hypertextovprepojenie"/>
                  <w:sz w:val="17"/>
                  <w:szCs w:val="17"/>
                </w:rPr>
                <w:t>ECO-SLV-17-079</w:t>
              </w:r>
            </w:hyperlink>
          </w:p>
          <w:p w14:paraId="47EEAD81" w14:textId="207AC23A" w:rsidR="008154E3" w:rsidRPr="008771A8" w:rsidRDefault="00740EFA" w:rsidP="00A16BB0">
            <w:pPr>
              <w:pStyle w:val="CEAAgendaBlueText"/>
              <w:rPr>
                <w:color w:val="002957"/>
                <w:sz w:val="17"/>
                <w:szCs w:val="17"/>
                <w:highlight w:val="yellow"/>
              </w:rPr>
            </w:pPr>
            <w:hyperlink r:id="rId12" w:history="1">
              <w:r w:rsidR="002E43F7">
                <w:rPr>
                  <w:rStyle w:val="Hypertextovprepojenie"/>
                  <w:sz w:val="17"/>
                  <w:szCs w:val="17"/>
                </w:rPr>
                <w:t>ECO-SLV-17-099</w:t>
              </w:r>
            </w:hyperlink>
          </w:p>
        </w:tc>
      </w:tr>
      <w:tr w:rsidR="008154E3" w:rsidRPr="008771A8" w14:paraId="2F5A84C8"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7FBFD694" w14:textId="74316990" w:rsidR="002B16EE" w:rsidRPr="008771A8" w:rsidRDefault="002B16EE" w:rsidP="00267C1E">
            <w:pPr>
              <w:autoSpaceDE w:val="0"/>
              <w:autoSpaceDN w:val="0"/>
              <w:adjustRightInd w:val="0"/>
              <w:ind w:left="360"/>
              <w:jc w:val="both"/>
              <w:rPr>
                <w:sz w:val="17"/>
                <w:szCs w:val="17"/>
              </w:rPr>
            </w:pPr>
          </w:p>
          <w:p w14:paraId="2CB2416A" w14:textId="39134CA6" w:rsidR="004E540C" w:rsidRDefault="008154E3" w:rsidP="004E540C">
            <w:pPr>
              <w:numPr>
                <w:ilvl w:val="0"/>
                <w:numId w:val="1"/>
              </w:numPr>
              <w:autoSpaceDE w:val="0"/>
              <w:autoSpaceDN w:val="0"/>
              <w:adjustRightInd w:val="0"/>
              <w:jc w:val="both"/>
              <w:rPr>
                <w:sz w:val="17"/>
                <w:szCs w:val="17"/>
              </w:rPr>
            </w:pPr>
            <w:r w:rsidRPr="008771A8">
              <w:rPr>
                <w:sz w:val="17"/>
                <w:szCs w:val="17"/>
              </w:rPr>
              <w:t xml:space="preserve">The minutes of the </w:t>
            </w:r>
            <w:r w:rsidR="002E43F7">
              <w:rPr>
                <w:sz w:val="17"/>
                <w:szCs w:val="17"/>
              </w:rPr>
              <w:t>26 April</w:t>
            </w:r>
            <w:r w:rsidR="00240048" w:rsidRPr="008771A8">
              <w:rPr>
                <w:sz w:val="17"/>
                <w:szCs w:val="17"/>
              </w:rPr>
              <w:t xml:space="preserve"> </w:t>
            </w:r>
            <w:r w:rsidRPr="008771A8">
              <w:rPr>
                <w:sz w:val="17"/>
                <w:szCs w:val="17"/>
              </w:rPr>
              <w:t xml:space="preserve">Solvency II </w:t>
            </w:r>
            <w:r w:rsidR="0097285C" w:rsidRPr="008771A8">
              <w:rPr>
                <w:sz w:val="17"/>
                <w:szCs w:val="17"/>
              </w:rPr>
              <w:t xml:space="preserve">WG </w:t>
            </w:r>
            <w:r w:rsidR="007E2095" w:rsidRPr="008771A8">
              <w:rPr>
                <w:sz w:val="17"/>
                <w:szCs w:val="17"/>
              </w:rPr>
              <w:t>meeting</w:t>
            </w:r>
            <w:r w:rsidR="006F233B" w:rsidRPr="008771A8">
              <w:rPr>
                <w:sz w:val="17"/>
                <w:szCs w:val="17"/>
              </w:rPr>
              <w:t xml:space="preserve"> </w:t>
            </w:r>
            <w:r w:rsidR="000C08DC" w:rsidRPr="008771A8">
              <w:rPr>
                <w:sz w:val="17"/>
                <w:szCs w:val="17"/>
              </w:rPr>
              <w:t>were approved</w:t>
            </w:r>
            <w:r w:rsidR="002E43F7">
              <w:rPr>
                <w:sz w:val="17"/>
                <w:szCs w:val="17"/>
              </w:rPr>
              <w:t>.</w:t>
            </w:r>
          </w:p>
          <w:p w14:paraId="7F182AEE" w14:textId="43E85D07" w:rsidR="00A16BB0" w:rsidRPr="004431B4" w:rsidRDefault="001F4DE0" w:rsidP="00A16BB0">
            <w:pPr>
              <w:numPr>
                <w:ilvl w:val="0"/>
                <w:numId w:val="1"/>
              </w:numPr>
              <w:autoSpaceDE w:val="0"/>
              <w:autoSpaceDN w:val="0"/>
              <w:adjustRightInd w:val="0"/>
              <w:jc w:val="both"/>
              <w:rPr>
                <w:color w:val="002957"/>
                <w:sz w:val="17"/>
                <w:szCs w:val="17"/>
              </w:rPr>
            </w:pPr>
            <w:r w:rsidRPr="008771A8">
              <w:rPr>
                <w:sz w:val="17"/>
                <w:szCs w:val="17"/>
              </w:rPr>
              <w:t xml:space="preserve">The secretariat updated members on action points decided during the last SII WG and </w:t>
            </w:r>
            <w:r w:rsidR="007E2095" w:rsidRPr="008771A8">
              <w:rPr>
                <w:sz w:val="17"/>
                <w:szCs w:val="17"/>
              </w:rPr>
              <w:t xml:space="preserve">that had been </w:t>
            </w:r>
            <w:r w:rsidRPr="008771A8">
              <w:rPr>
                <w:sz w:val="17"/>
                <w:szCs w:val="17"/>
              </w:rPr>
              <w:t xml:space="preserve">closed </w:t>
            </w:r>
            <w:r w:rsidR="008C5F6D" w:rsidRPr="008771A8">
              <w:rPr>
                <w:sz w:val="17"/>
                <w:szCs w:val="17"/>
              </w:rPr>
              <w:t>(</w:t>
            </w:r>
            <w:r w:rsidR="004431B4">
              <w:rPr>
                <w:sz w:val="17"/>
                <w:szCs w:val="17"/>
              </w:rPr>
              <w:t>10</w:t>
            </w:r>
            <w:r w:rsidR="008C5F6D" w:rsidRPr="008771A8">
              <w:rPr>
                <w:sz w:val="17"/>
                <w:szCs w:val="17"/>
              </w:rPr>
              <w:t xml:space="preserve"> out of </w:t>
            </w:r>
            <w:r w:rsidR="004431B4">
              <w:rPr>
                <w:sz w:val="17"/>
                <w:szCs w:val="17"/>
              </w:rPr>
              <w:t>12</w:t>
            </w:r>
            <w:r w:rsidR="008C5F6D" w:rsidRPr="008771A8">
              <w:rPr>
                <w:sz w:val="17"/>
                <w:szCs w:val="17"/>
              </w:rPr>
              <w:t>)</w:t>
            </w:r>
            <w:r w:rsidRPr="008771A8">
              <w:rPr>
                <w:sz w:val="17"/>
                <w:szCs w:val="17"/>
              </w:rPr>
              <w:t>.</w:t>
            </w:r>
            <w:r w:rsidR="00733610" w:rsidRPr="008771A8">
              <w:rPr>
                <w:sz w:val="17"/>
                <w:szCs w:val="17"/>
              </w:rPr>
              <w:t xml:space="preserve"> </w:t>
            </w:r>
          </w:p>
          <w:p w14:paraId="44459F1F" w14:textId="068AC3F0" w:rsidR="00CA4623" w:rsidRPr="00EF254E" w:rsidRDefault="004D1B03" w:rsidP="004D1B03">
            <w:pPr>
              <w:numPr>
                <w:ilvl w:val="0"/>
                <w:numId w:val="1"/>
              </w:numPr>
              <w:autoSpaceDE w:val="0"/>
              <w:autoSpaceDN w:val="0"/>
              <w:adjustRightInd w:val="0"/>
              <w:jc w:val="both"/>
              <w:rPr>
                <w:sz w:val="17"/>
                <w:szCs w:val="17"/>
              </w:rPr>
            </w:pPr>
            <w:r w:rsidRPr="004D1B03">
              <w:rPr>
                <w:sz w:val="17"/>
                <w:szCs w:val="17"/>
              </w:rPr>
              <w:t>The secretariat noted that the concern about IFRS 16 remains pending as input from Unespa is expected</w:t>
            </w:r>
            <w:r w:rsidR="00CA4623" w:rsidRPr="00EF254E">
              <w:rPr>
                <w:sz w:val="17"/>
                <w:szCs w:val="17"/>
              </w:rPr>
              <w:t>:</w:t>
            </w:r>
          </w:p>
          <w:p w14:paraId="6FBBF52A" w14:textId="35C428EB" w:rsidR="00CA4623" w:rsidRDefault="004431B4" w:rsidP="00C14A2F">
            <w:pPr>
              <w:pStyle w:val="CEABullet-Level2"/>
            </w:pPr>
            <w:r w:rsidRPr="004431B4">
              <w:t>The secretariat understands that the CRO/CFO forum is preparing a paper</w:t>
            </w:r>
            <w:r w:rsidR="00CA4623">
              <w:t xml:space="preserve"> on this topic, </w:t>
            </w:r>
            <w:r w:rsidR="00067338">
              <w:t>on</w:t>
            </w:r>
            <w:r w:rsidR="00CA4623">
              <w:t xml:space="preserve"> which Insurance Europe had no opportunity to comment yet</w:t>
            </w:r>
            <w:r w:rsidRPr="004431B4">
              <w:t>. Once the secretariat receives this paper it will be shared with members. The</w:t>
            </w:r>
            <w:r w:rsidR="00702C2C">
              <w:t xml:space="preserve"> issue was raised last year</w:t>
            </w:r>
            <w:r w:rsidRPr="004431B4">
              <w:t xml:space="preserve"> in the context of the Financial Working Group, however not much interest was shown. </w:t>
            </w:r>
          </w:p>
          <w:p w14:paraId="47C21238" w14:textId="7DB0DFE5" w:rsidR="00067338" w:rsidRDefault="008A7EAB" w:rsidP="00B41F9A">
            <w:pPr>
              <w:pStyle w:val="CEABullet-Level2"/>
            </w:pPr>
            <w:r>
              <w:t>The secretariat</w:t>
            </w:r>
            <w:r w:rsidR="004431B4" w:rsidRPr="004431B4">
              <w:t xml:space="preserve"> </w:t>
            </w:r>
            <w:r w:rsidR="00DC7E7A">
              <w:t>highlighted</w:t>
            </w:r>
            <w:r w:rsidR="004431B4" w:rsidRPr="004431B4">
              <w:t xml:space="preserve"> that IFRS 16 was adopted by the I</w:t>
            </w:r>
            <w:r w:rsidR="00B41F9A">
              <w:t>A</w:t>
            </w:r>
            <w:r w:rsidR="004431B4" w:rsidRPr="004431B4">
              <w:t xml:space="preserve">SB, and it is </w:t>
            </w:r>
            <w:r w:rsidR="00702C2C">
              <w:t xml:space="preserve">now with the </w:t>
            </w:r>
            <w:r w:rsidR="004F3947">
              <w:t>A</w:t>
            </w:r>
            <w:r w:rsidR="00702C2C">
              <w:t xml:space="preserve">RC - an expert group with the </w:t>
            </w:r>
            <w:r w:rsidR="005443AF">
              <w:t>C</w:t>
            </w:r>
            <w:r w:rsidR="00702C2C">
              <w:t xml:space="preserve">ommission and the </w:t>
            </w:r>
            <w:r w:rsidR="005443AF">
              <w:t>C</w:t>
            </w:r>
            <w:r w:rsidR="00702C2C">
              <w:t xml:space="preserve">ouncil - and it is </w:t>
            </w:r>
            <w:r w:rsidR="004431B4" w:rsidRPr="004431B4">
              <w:t>close to endorsement</w:t>
            </w:r>
            <w:r>
              <w:t xml:space="preserve"> by the European Commission</w:t>
            </w:r>
            <w:r w:rsidR="004431B4" w:rsidRPr="004431B4">
              <w:t xml:space="preserve">. </w:t>
            </w:r>
          </w:p>
          <w:p w14:paraId="6EB85015" w14:textId="45891FBB" w:rsidR="00702C2C" w:rsidRDefault="008A7EAB" w:rsidP="00B41F9A">
            <w:pPr>
              <w:pStyle w:val="CEABullet-Level2"/>
            </w:pPr>
            <w:r>
              <w:t>VVN noted that</w:t>
            </w:r>
            <w:r w:rsidR="00067338">
              <w:t>, even if IFRS 16 is finalised,</w:t>
            </w:r>
            <w:r>
              <w:t xml:space="preserve"> </w:t>
            </w:r>
            <w:r w:rsidR="00702C2C">
              <w:t xml:space="preserve">Unespa’s concern is </w:t>
            </w:r>
            <w:r w:rsidR="00067338">
              <w:t xml:space="preserve">more related to the interpretation and application of IFRS 16 by EIOPA and to </w:t>
            </w:r>
            <w:r w:rsidR="00702C2C">
              <w:t>the recognition of i</w:t>
            </w:r>
            <w:r w:rsidR="00B41F9A">
              <w:t>ntangible assets</w:t>
            </w:r>
            <w:r w:rsidR="00067338">
              <w:t>, so the issue remains pending</w:t>
            </w:r>
            <w:r w:rsidR="00702C2C">
              <w:t xml:space="preserve">. </w:t>
            </w:r>
          </w:p>
          <w:p w14:paraId="2506B28E" w14:textId="03F06A84" w:rsidR="00B41F9A" w:rsidRDefault="004431B4" w:rsidP="00B41F9A">
            <w:pPr>
              <w:pStyle w:val="CEABullet-Level2"/>
            </w:pPr>
            <w:r>
              <w:t xml:space="preserve">The secretariat </w:t>
            </w:r>
            <w:r w:rsidRPr="004431B4">
              <w:t>remarked there still seems to be an issue on the level of the SCR</w:t>
            </w:r>
            <w:r>
              <w:t xml:space="preserve">, </w:t>
            </w:r>
            <w:r w:rsidR="00EF254E">
              <w:t xml:space="preserve">as the SCR on the </w:t>
            </w:r>
            <w:r w:rsidR="00702C2C">
              <w:t>liability</w:t>
            </w:r>
            <w:r w:rsidR="00EF254E">
              <w:t xml:space="preserve"> side </w:t>
            </w:r>
            <w:r w:rsidR="00702C2C">
              <w:t>might</w:t>
            </w:r>
            <w:r w:rsidR="00EF254E">
              <w:t xml:space="preserve"> be of a different proportion than the one on </w:t>
            </w:r>
            <w:r w:rsidR="00702C2C">
              <w:t xml:space="preserve">the asset side. </w:t>
            </w:r>
            <w:r w:rsidRPr="004431B4">
              <w:t>VVN responded that</w:t>
            </w:r>
            <w:r>
              <w:t xml:space="preserve"> </w:t>
            </w:r>
            <w:r w:rsidR="00702C2C">
              <w:t xml:space="preserve">EIOPA should be asked how future IFRS will be assessed, and </w:t>
            </w:r>
            <w:r w:rsidR="00EF254E">
              <w:t>it could be suggested to net</w:t>
            </w:r>
            <w:r>
              <w:t xml:space="preserve"> assets and liabilities </w:t>
            </w:r>
            <w:r w:rsidRPr="004431B4">
              <w:t xml:space="preserve">on an economic basis, so offsetting should be allowed. </w:t>
            </w:r>
          </w:p>
          <w:p w14:paraId="4A4ADE36" w14:textId="38932E8A" w:rsidR="004431B4" w:rsidRPr="00BB35EA" w:rsidRDefault="004431B4" w:rsidP="008B14D3">
            <w:pPr>
              <w:pStyle w:val="CEABullet-Level2"/>
              <w:rPr>
                <w:color w:val="auto"/>
                <w:szCs w:val="17"/>
              </w:rPr>
            </w:pPr>
            <w:r w:rsidRPr="004431B4">
              <w:t xml:space="preserve">The secretariat concluded that </w:t>
            </w:r>
            <w:r w:rsidR="004F3947">
              <w:t>it will wait for the</w:t>
            </w:r>
            <w:r w:rsidRPr="004431B4">
              <w:t xml:space="preserve"> input </w:t>
            </w:r>
            <w:r w:rsidR="004F3947">
              <w:t xml:space="preserve">from </w:t>
            </w:r>
            <w:r w:rsidRPr="004431B4">
              <w:t xml:space="preserve">Unespa, and </w:t>
            </w:r>
            <w:r w:rsidR="00B41F9A">
              <w:t xml:space="preserve">based </w:t>
            </w:r>
            <w:r w:rsidR="004F3947">
              <w:t xml:space="preserve">on </w:t>
            </w:r>
            <w:r w:rsidR="004E7ED6">
              <w:t>these further</w:t>
            </w:r>
            <w:r>
              <w:t xml:space="preserve"> actions</w:t>
            </w:r>
            <w:r w:rsidRPr="00BB35EA">
              <w:rPr>
                <w:color w:val="auto"/>
                <w:szCs w:val="17"/>
              </w:rPr>
              <w:t xml:space="preserve"> w</w:t>
            </w:r>
            <w:r w:rsidR="00067338">
              <w:rPr>
                <w:color w:val="auto"/>
                <w:szCs w:val="17"/>
              </w:rPr>
              <w:t>ould</w:t>
            </w:r>
            <w:r w:rsidRPr="00BB35EA">
              <w:rPr>
                <w:color w:val="auto"/>
                <w:szCs w:val="17"/>
              </w:rPr>
              <w:t xml:space="preserve"> be assessed.</w:t>
            </w:r>
          </w:p>
          <w:p w14:paraId="09DE8563" w14:textId="1C1F62D6" w:rsidR="004431B4" w:rsidRPr="00EF254E" w:rsidRDefault="00067338" w:rsidP="004431B4">
            <w:pPr>
              <w:numPr>
                <w:ilvl w:val="0"/>
                <w:numId w:val="1"/>
              </w:numPr>
              <w:autoSpaceDE w:val="0"/>
              <w:autoSpaceDN w:val="0"/>
              <w:adjustRightInd w:val="0"/>
              <w:jc w:val="both"/>
              <w:rPr>
                <w:sz w:val="17"/>
                <w:szCs w:val="17"/>
              </w:rPr>
            </w:pPr>
            <w:r w:rsidRPr="00BB35EA">
              <w:rPr>
                <w:sz w:val="17"/>
                <w:szCs w:val="17"/>
              </w:rPr>
              <w:t xml:space="preserve">The action point on </w:t>
            </w:r>
            <w:r w:rsidRPr="008B14D3">
              <w:rPr>
                <w:sz w:val="17"/>
                <w:szCs w:val="17"/>
              </w:rPr>
              <w:t>p</w:t>
            </w:r>
            <w:r w:rsidR="004431B4" w:rsidRPr="00EF254E">
              <w:rPr>
                <w:sz w:val="17"/>
                <w:szCs w:val="17"/>
              </w:rPr>
              <w:t>roportionality is still pending, as not a lot of examples were received. This will</w:t>
            </w:r>
            <w:r w:rsidR="004431B4">
              <w:rPr>
                <w:sz w:val="17"/>
                <w:szCs w:val="17"/>
              </w:rPr>
              <w:t xml:space="preserve"> be further discussed in item 7</w:t>
            </w:r>
            <w:r w:rsidR="00EF254E">
              <w:rPr>
                <w:sz w:val="17"/>
                <w:szCs w:val="17"/>
              </w:rPr>
              <w:t>.</w:t>
            </w:r>
          </w:p>
          <w:p w14:paraId="13631C9B" w14:textId="77777777" w:rsidR="00742944" w:rsidRDefault="00742944" w:rsidP="00742944">
            <w:pPr>
              <w:autoSpaceDE w:val="0"/>
              <w:autoSpaceDN w:val="0"/>
              <w:adjustRightInd w:val="0"/>
              <w:jc w:val="both"/>
              <w:rPr>
                <w:sz w:val="17"/>
                <w:szCs w:val="17"/>
              </w:rPr>
            </w:pPr>
          </w:p>
          <w:p w14:paraId="2366871F" w14:textId="32B2E0B4" w:rsidR="00742944" w:rsidRPr="008771A8" w:rsidRDefault="00742944" w:rsidP="00742944">
            <w:pPr>
              <w:autoSpaceDE w:val="0"/>
              <w:autoSpaceDN w:val="0"/>
              <w:adjustRightInd w:val="0"/>
              <w:jc w:val="both"/>
              <w:rPr>
                <w:color w:val="002957"/>
                <w:sz w:val="17"/>
                <w:szCs w:val="17"/>
              </w:rPr>
            </w:pPr>
          </w:p>
        </w:tc>
      </w:tr>
      <w:tr w:rsidR="001B2627" w:rsidRPr="008771A8" w14:paraId="2073C8BA" w14:textId="77777777" w:rsidTr="00213247">
        <w:tc>
          <w:tcPr>
            <w:tcW w:w="6186" w:type="dxa"/>
            <w:tcBorders>
              <w:right w:val="single" w:sz="12" w:space="0" w:color="82C55B"/>
            </w:tcBorders>
            <w:shd w:val="clear" w:color="auto" w:fill="auto"/>
          </w:tcPr>
          <w:p w14:paraId="3EA4C24D" w14:textId="77777777" w:rsidR="001B2627" w:rsidRPr="008771A8" w:rsidRDefault="001B2627" w:rsidP="003B2A57">
            <w:pPr>
              <w:pStyle w:val="Nadpis1"/>
              <w:keepNext/>
              <w:numPr>
                <w:ilvl w:val="0"/>
                <w:numId w:val="4"/>
              </w:numPr>
              <w:spacing w:line="288" w:lineRule="auto"/>
              <w:ind w:left="408" w:hanging="408"/>
              <w:jc w:val="both"/>
              <w:rPr>
                <w:b/>
                <w:sz w:val="17"/>
                <w:szCs w:val="17"/>
                <w:lang w:eastAsia="nl-NL"/>
              </w:rPr>
            </w:pPr>
            <w:r w:rsidRPr="008771A8">
              <w:rPr>
                <w:b/>
                <w:sz w:val="17"/>
                <w:szCs w:val="17"/>
              </w:rPr>
              <w:t>General update</w:t>
            </w:r>
          </w:p>
        </w:tc>
        <w:tc>
          <w:tcPr>
            <w:tcW w:w="1876" w:type="dxa"/>
            <w:tcBorders>
              <w:left w:val="single" w:sz="12" w:space="0" w:color="82C55B"/>
              <w:right w:val="single" w:sz="12" w:space="0" w:color="82C55B"/>
            </w:tcBorders>
            <w:shd w:val="clear" w:color="auto" w:fill="auto"/>
          </w:tcPr>
          <w:p w14:paraId="51BECF0D" w14:textId="77777777" w:rsidR="001B2627" w:rsidRPr="008771A8" w:rsidRDefault="001B2627" w:rsidP="001B2627">
            <w:pPr>
              <w:pStyle w:val="CEAAgendaBlueText"/>
              <w:rPr>
                <w:color w:val="002957"/>
                <w:sz w:val="17"/>
                <w:szCs w:val="17"/>
              </w:rPr>
            </w:pPr>
            <w:r w:rsidRPr="008771A8">
              <w:rPr>
                <w:color w:val="002957"/>
                <w:sz w:val="17"/>
                <w:szCs w:val="17"/>
              </w:rPr>
              <w:t xml:space="preserve">For information </w:t>
            </w:r>
          </w:p>
        </w:tc>
        <w:tc>
          <w:tcPr>
            <w:tcW w:w="1718" w:type="dxa"/>
            <w:tcBorders>
              <w:left w:val="single" w:sz="12" w:space="0" w:color="82C55B"/>
            </w:tcBorders>
            <w:shd w:val="clear" w:color="auto" w:fill="auto"/>
          </w:tcPr>
          <w:p w14:paraId="2019FFB7" w14:textId="058BE5A4" w:rsidR="001B2627" w:rsidRPr="002E43F7" w:rsidRDefault="00740EFA" w:rsidP="00A16BB0">
            <w:pPr>
              <w:jc w:val="center"/>
              <w:rPr>
                <w:color w:val="002957"/>
                <w:sz w:val="17"/>
                <w:szCs w:val="17"/>
              </w:rPr>
            </w:pPr>
            <w:hyperlink r:id="rId13" w:history="1">
              <w:r w:rsidR="002E43F7" w:rsidRPr="002E43F7">
                <w:rPr>
                  <w:rStyle w:val="Hypertextovprepojenie"/>
                  <w:sz w:val="17"/>
                  <w:szCs w:val="17"/>
                </w:rPr>
                <w:t>ECO-SLV-17-105</w:t>
              </w:r>
            </w:hyperlink>
          </w:p>
        </w:tc>
      </w:tr>
      <w:tr w:rsidR="001B2627" w:rsidRPr="008771A8" w14:paraId="228FC158"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14E858B8" w14:textId="1B5F05FD" w:rsidR="001B2627" w:rsidRPr="008771A8" w:rsidRDefault="001B2627" w:rsidP="001B2627">
            <w:pPr>
              <w:jc w:val="both"/>
              <w:rPr>
                <w:sz w:val="17"/>
                <w:szCs w:val="17"/>
              </w:rPr>
            </w:pPr>
          </w:p>
          <w:p w14:paraId="673BAAD6" w14:textId="77311B33" w:rsidR="002E43F7" w:rsidRDefault="002E43F7" w:rsidP="001B2627">
            <w:pPr>
              <w:jc w:val="both"/>
              <w:rPr>
                <w:sz w:val="17"/>
                <w:szCs w:val="17"/>
              </w:rPr>
            </w:pPr>
            <w:r w:rsidRPr="002E43F7">
              <w:rPr>
                <w:sz w:val="17"/>
                <w:szCs w:val="17"/>
              </w:rPr>
              <w:t>The secretariat g</w:t>
            </w:r>
            <w:r>
              <w:rPr>
                <w:sz w:val="17"/>
                <w:szCs w:val="17"/>
              </w:rPr>
              <w:t>a</w:t>
            </w:r>
            <w:r w:rsidRPr="002E43F7">
              <w:rPr>
                <w:sz w:val="17"/>
                <w:szCs w:val="17"/>
              </w:rPr>
              <w:t>ve members a general update on relevant recent developments, including work on other Insurance Europe workstreams (eg Ecofin update, ICPs, ICS, Tripartite template).</w:t>
            </w:r>
          </w:p>
          <w:p w14:paraId="0F0EF870" w14:textId="77777777" w:rsidR="002E43F7" w:rsidRPr="008771A8" w:rsidRDefault="002E43F7" w:rsidP="001B2627">
            <w:pPr>
              <w:jc w:val="both"/>
              <w:rPr>
                <w:sz w:val="17"/>
                <w:szCs w:val="17"/>
              </w:rPr>
            </w:pPr>
          </w:p>
          <w:p w14:paraId="01C7D322" w14:textId="77777777" w:rsidR="001B2627" w:rsidRPr="008771A8" w:rsidRDefault="001B2627" w:rsidP="001B2627">
            <w:pPr>
              <w:autoSpaceDE w:val="0"/>
              <w:autoSpaceDN w:val="0"/>
              <w:adjustRightInd w:val="0"/>
              <w:jc w:val="both"/>
              <w:rPr>
                <w:i/>
                <w:sz w:val="17"/>
                <w:szCs w:val="17"/>
                <w:u w:val="single"/>
              </w:rPr>
            </w:pPr>
            <w:r w:rsidRPr="008771A8">
              <w:rPr>
                <w:i/>
                <w:sz w:val="17"/>
                <w:szCs w:val="17"/>
                <w:u w:val="single"/>
              </w:rPr>
              <w:lastRenderedPageBreak/>
              <w:t>Summary of discussions:</w:t>
            </w:r>
          </w:p>
          <w:p w14:paraId="700EEE10" w14:textId="5836523C" w:rsidR="001B2627" w:rsidRPr="008771A8" w:rsidRDefault="00EF254E" w:rsidP="001B2627">
            <w:pPr>
              <w:numPr>
                <w:ilvl w:val="0"/>
                <w:numId w:val="1"/>
              </w:numPr>
              <w:autoSpaceDE w:val="0"/>
              <w:autoSpaceDN w:val="0"/>
              <w:adjustRightInd w:val="0"/>
              <w:jc w:val="both"/>
              <w:rPr>
                <w:sz w:val="17"/>
                <w:szCs w:val="17"/>
              </w:rPr>
            </w:pPr>
            <w:r>
              <w:rPr>
                <w:sz w:val="17"/>
                <w:szCs w:val="17"/>
              </w:rPr>
              <w:t xml:space="preserve">Meeting on </w:t>
            </w:r>
            <w:r w:rsidR="004431B4">
              <w:rPr>
                <w:sz w:val="17"/>
                <w:szCs w:val="17"/>
              </w:rPr>
              <w:t>Tripartite template</w:t>
            </w:r>
          </w:p>
          <w:p w14:paraId="641FBEC1" w14:textId="77777777" w:rsidR="00C27E49" w:rsidRDefault="004431B4" w:rsidP="00C27E49">
            <w:pPr>
              <w:pStyle w:val="Default"/>
              <w:numPr>
                <w:ilvl w:val="0"/>
                <w:numId w:val="5"/>
              </w:numPr>
              <w:spacing w:line="276" w:lineRule="auto"/>
              <w:jc w:val="both"/>
              <w:rPr>
                <w:color w:val="auto"/>
                <w:sz w:val="17"/>
                <w:szCs w:val="17"/>
              </w:rPr>
            </w:pPr>
            <w:r w:rsidRPr="004431B4">
              <w:rPr>
                <w:color w:val="auto"/>
                <w:sz w:val="17"/>
                <w:szCs w:val="17"/>
              </w:rPr>
              <w:t xml:space="preserve">The secretariat attended an event on </w:t>
            </w:r>
            <w:r w:rsidR="00972BB5">
              <w:rPr>
                <w:color w:val="auto"/>
                <w:sz w:val="17"/>
                <w:szCs w:val="17"/>
              </w:rPr>
              <w:t>12</w:t>
            </w:r>
            <w:r w:rsidRPr="004431B4">
              <w:rPr>
                <w:color w:val="auto"/>
                <w:sz w:val="17"/>
                <w:szCs w:val="17"/>
              </w:rPr>
              <w:t xml:space="preserve"> June on the </w:t>
            </w:r>
            <w:r>
              <w:rPr>
                <w:color w:val="auto"/>
                <w:sz w:val="17"/>
                <w:szCs w:val="17"/>
              </w:rPr>
              <w:t xml:space="preserve">update of the </w:t>
            </w:r>
            <w:r w:rsidRPr="004431B4">
              <w:rPr>
                <w:color w:val="auto"/>
                <w:sz w:val="17"/>
                <w:szCs w:val="17"/>
              </w:rPr>
              <w:t>Tripartite template</w:t>
            </w:r>
            <w:r>
              <w:rPr>
                <w:color w:val="auto"/>
                <w:sz w:val="17"/>
                <w:szCs w:val="17"/>
              </w:rPr>
              <w:t>.</w:t>
            </w:r>
            <w:r w:rsidRPr="004431B4">
              <w:rPr>
                <w:color w:val="auto"/>
                <w:sz w:val="17"/>
                <w:szCs w:val="17"/>
              </w:rPr>
              <w:t xml:space="preserve"> </w:t>
            </w:r>
          </w:p>
          <w:p w14:paraId="71C9B1F4" w14:textId="3CF2AE4F" w:rsidR="00C27E49" w:rsidRPr="004431B4" w:rsidRDefault="00C27E49" w:rsidP="00C27E49">
            <w:pPr>
              <w:pStyle w:val="Default"/>
              <w:numPr>
                <w:ilvl w:val="0"/>
                <w:numId w:val="5"/>
              </w:numPr>
              <w:spacing w:line="276" w:lineRule="auto"/>
              <w:jc w:val="both"/>
              <w:rPr>
                <w:color w:val="auto"/>
                <w:sz w:val="17"/>
                <w:szCs w:val="17"/>
              </w:rPr>
            </w:pPr>
            <w:r w:rsidRPr="004431B4">
              <w:rPr>
                <w:color w:val="auto"/>
                <w:sz w:val="17"/>
                <w:szCs w:val="17"/>
              </w:rPr>
              <w:t xml:space="preserve">The Tripartite template is a reporting template, </w:t>
            </w:r>
            <w:r>
              <w:rPr>
                <w:color w:val="auto"/>
                <w:sz w:val="17"/>
                <w:szCs w:val="17"/>
              </w:rPr>
              <w:t xml:space="preserve">developed by asset managers for the purpose of SII reporting, </w:t>
            </w:r>
            <w:r w:rsidRPr="004431B4">
              <w:rPr>
                <w:color w:val="auto"/>
                <w:sz w:val="17"/>
                <w:szCs w:val="17"/>
              </w:rPr>
              <w:t xml:space="preserve">the current template was endorsed </w:t>
            </w:r>
            <w:r w:rsidR="00E25C21">
              <w:rPr>
                <w:color w:val="auto"/>
                <w:sz w:val="17"/>
                <w:szCs w:val="17"/>
              </w:rPr>
              <w:t>two</w:t>
            </w:r>
            <w:r w:rsidRPr="004431B4">
              <w:rPr>
                <w:color w:val="auto"/>
                <w:sz w:val="17"/>
                <w:szCs w:val="17"/>
              </w:rPr>
              <w:t xml:space="preserve"> years ago</w:t>
            </w:r>
            <w:r>
              <w:rPr>
                <w:color w:val="auto"/>
                <w:sz w:val="17"/>
                <w:szCs w:val="17"/>
              </w:rPr>
              <w:t xml:space="preserve"> (September 2015)</w:t>
            </w:r>
            <w:r w:rsidRPr="004431B4">
              <w:rPr>
                <w:color w:val="auto"/>
                <w:sz w:val="17"/>
                <w:szCs w:val="17"/>
              </w:rPr>
              <w:t>. At that time,</w:t>
            </w:r>
            <w:r>
              <w:rPr>
                <w:color w:val="auto"/>
                <w:sz w:val="17"/>
                <w:szCs w:val="17"/>
              </w:rPr>
              <w:t xml:space="preserve"> Insurance Europe was </w:t>
            </w:r>
            <w:r w:rsidR="00386447">
              <w:rPr>
                <w:color w:val="auto"/>
                <w:sz w:val="17"/>
                <w:szCs w:val="17"/>
              </w:rPr>
              <w:t>invited by asset managers</w:t>
            </w:r>
            <w:r>
              <w:rPr>
                <w:color w:val="auto"/>
                <w:sz w:val="17"/>
                <w:szCs w:val="17"/>
              </w:rPr>
              <w:t xml:space="preserve"> to endorse the template, however </w:t>
            </w:r>
            <w:r w:rsidRPr="004431B4">
              <w:rPr>
                <w:color w:val="auto"/>
                <w:sz w:val="17"/>
                <w:szCs w:val="17"/>
              </w:rPr>
              <w:t xml:space="preserve">the secretariat </w:t>
            </w:r>
            <w:r>
              <w:rPr>
                <w:color w:val="auto"/>
                <w:sz w:val="17"/>
                <w:szCs w:val="17"/>
              </w:rPr>
              <w:t>did not receive a</w:t>
            </w:r>
            <w:r w:rsidRPr="004431B4">
              <w:rPr>
                <w:color w:val="auto"/>
                <w:sz w:val="17"/>
                <w:szCs w:val="17"/>
              </w:rPr>
              <w:t xml:space="preserve"> mandate</w:t>
            </w:r>
            <w:r>
              <w:rPr>
                <w:color w:val="auto"/>
                <w:sz w:val="17"/>
                <w:szCs w:val="17"/>
              </w:rPr>
              <w:t xml:space="preserve"> from members as</w:t>
            </w:r>
            <w:r w:rsidRPr="004431B4">
              <w:rPr>
                <w:color w:val="auto"/>
                <w:sz w:val="17"/>
                <w:szCs w:val="17"/>
              </w:rPr>
              <w:t xml:space="preserve"> there were mixed views on this topic.</w:t>
            </w:r>
            <w:r>
              <w:rPr>
                <w:color w:val="auto"/>
                <w:sz w:val="17"/>
                <w:szCs w:val="17"/>
              </w:rPr>
              <w:t xml:space="preserve"> It was agreed the secretariat would monitor the developments and inform members whenever issues would emerge. </w:t>
            </w:r>
          </w:p>
          <w:p w14:paraId="547AD7CE" w14:textId="4515F466" w:rsidR="00C27E49" w:rsidRDefault="004431B4" w:rsidP="00C27E49">
            <w:pPr>
              <w:pStyle w:val="Default"/>
              <w:numPr>
                <w:ilvl w:val="0"/>
                <w:numId w:val="5"/>
              </w:numPr>
              <w:spacing w:line="276" w:lineRule="auto"/>
              <w:jc w:val="both"/>
              <w:rPr>
                <w:color w:val="auto"/>
                <w:sz w:val="17"/>
                <w:szCs w:val="17"/>
              </w:rPr>
            </w:pPr>
            <w:r w:rsidRPr="004431B4">
              <w:rPr>
                <w:color w:val="auto"/>
                <w:sz w:val="17"/>
                <w:szCs w:val="17"/>
              </w:rPr>
              <w:t xml:space="preserve">The </w:t>
            </w:r>
            <w:r w:rsidR="00386447">
              <w:rPr>
                <w:color w:val="auto"/>
                <w:sz w:val="17"/>
                <w:szCs w:val="17"/>
              </w:rPr>
              <w:t xml:space="preserve">recent </w:t>
            </w:r>
            <w:r w:rsidRPr="004431B4">
              <w:rPr>
                <w:color w:val="auto"/>
                <w:sz w:val="17"/>
                <w:szCs w:val="17"/>
              </w:rPr>
              <w:t xml:space="preserve">event was intended to discuss a </w:t>
            </w:r>
            <w:r w:rsidR="00D7442E">
              <w:rPr>
                <w:color w:val="auto"/>
                <w:sz w:val="17"/>
                <w:szCs w:val="17"/>
              </w:rPr>
              <w:t xml:space="preserve">potential </w:t>
            </w:r>
            <w:r w:rsidRPr="004431B4">
              <w:rPr>
                <w:color w:val="auto"/>
                <w:sz w:val="17"/>
                <w:szCs w:val="17"/>
              </w:rPr>
              <w:t>new version of the template based on feedback from users</w:t>
            </w:r>
            <w:r w:rsidR="00D7442E">
              <w:rPr>
                <w:color w:val="auto"/>
                <w:sz w:val="17"/>
                <w:szCs w:val="17"/>
              </w:rPr>
              <w:t>,</w:t>
            </w:r>
            <w:r w:rsidR="00C27E49" w:rsidRPr="00C27E49">
              <w:rPr>
                <w:color w:val="auto"/>
                <w:sz w:val="17"/>
                <w:szCs w:val="17"/>
              </w:rPr>
              <w:t xml:space="preserve"> </w:t>
            </w:r>
            <w:r w:rsidR="00D7442E" w:rsidRPr="00C27E49">
              <w:rPr>
                <w:color w:val="auto"/>
                <w:sz w:val="17"/>
                <w:szCs w:val="17"/>
              </w:rPr>
              <w:t xml:space="preserve">in view of the recent </w:t>
            </w:r>
            <w:r w:rsidR="00386447">
              <w:rPr>
                <w:color w:val="auto"/>
                <w:sz w:val="17"/>
                <w:szCs w:val="17"/>
              </w:rPr>
              <w:t xml:space="preserve">Solvency II </w:t>
            </w:r>
            <w:r w:rsidR="00D7442E" w:rsidRPr="00C27E49">
              <w:rPr>
                <w:color w:val="auto"/>
                <w:sz w:val="17"/>
                <w:szCs w:val="17"/>
              </w:rPr>
              <w:t xml:space="preserve">changes </w:t>
            </w:r>
            <w:r w:rsidR="00386447">
              <w:rPr>
                <w:color w:val="auto"/>
                <w:sz w:val="17"/>
                <w:szCs w:val="17"/>
              </w:rPr>
              <w:t xml:space="preserve">in the area of </w:t>
            </w:r>
            <w:r w:rsidR="00386447" w:rsidRPr="00C27E49">
              <w:rPr>
                <w:color w:val="auto"/>
                <w:sz w:val="17"/>
                <w:szCs w:val="17"/>
              </w:rPr>
              <w:t xml:space="preserve">infrastructure </w:t>
            </w:r>
            <w:r w:rsidR="00D7442E" w:rsidRPr="00C27E49">
              <w:rPr>
                <w:color w:val="auto"/>
                <w:sz w:val="17"/>
                <w:szCs w:val="17"/>
              </w:rPr>
              <w:t>and other feedback received from users of the template</w:t>
            </w:r>
            <w:r w:rsidR="004D1B03">
              <w:rPr>
                <w:color w:val="auto"/>
                <w:sz w:val="17"/>
                <w:szCs w:val="17"/>
              </w:rPr>
              <w:t>.</w:t>
            </w:r>
            <w:r w:rsidR="00D7442E" w:rsidRPr="00C27E49">
              <w:rPr>
                <w:color w:val="auto"/>
                <w:sz w:val="17"/>
                <w:szCs w:val="17"/>
              </w:rPr>
              <w:t xml:space="preserve"> </w:t>
            </w:r>
          </w:p>
          <w:p w14:paraId="47ED7C68" w14:textId="2312F700" w:rsidR="004431B4" w:rsidRDefault="00C27E49" w:rsidP="004431B4">
            <w:pPr>
              <w:pStyle w:val="Default"/>
              <w:numPr>
                <w:ilvl w:val="0"/>
                <w:numId w:val="5"/>
              </w:numPr>
              <w:spacing w:line="276" w:lineRule="auto"/>
              <w:jc w:val="both"/>
              <w:rPr>
                <w:color w:val="auto"/>
                <w:sz w:val="17"/>
                <w:szCs w:val="17"/>
              </w:rPr>
            </w:pPr>
            <w:r w:rsidRPr="00D7442E">
              <w:rPr>
                <w:color w:val="auto"/>
                <w:sz w:val="17"/>
                <w:szCs w:val="17"/>
              </w:rPr>
              <w:t>The secretariat attended</w:t>
            </w:r>
            <w:r w:rsidR="00885463">
              <w:rPr>
                <w:color w:val="auto"/>
                <w:sz w:val="17"/>
                <w:szCs w:val="17"/>
              </w:rPr>
              <w:t xml:space="preserve"> the event</w:t>
            </w:r>
            <w:r w:rsidRPr="00D7442E">
              <w:rPr>
                <w:color w:val="auto"/>
                <w:sz w:val="17"/>
                <w:szCs w:val="17"/>
              </w:rPr>
              <w:t xml:space="preserve"> in order to get an idea of the discussions and possible next steps. </w:t>
            </w:r>
            <w:r w:rsidR="00D7442E" w:rsidRPr="00D7442E">
              <w:rPr>
                <w:color w:val="auto"/>
                <w:sz w:val="17"/>
                <w:szCs w:val="17"/>
              </w:rPr>
              <w:t>The meeting was technical and focused on the template itself.</w:t>
            </w:r>
            <w:r w:rsidR="004431B4">
              <w:rPr>
                <w:color w:val="auto"/>
                <w:sz w:val="17"/>
                <w:szCs w:val="17"/>
              </w:rPr>
              <w:t xml:space="preserve"> Insurance Europe’s contribution to the meeting was limited. </w:t>
            </w:r>
          </w:p>
          <w:p w14:paraId="76BD8025" w14:textId="43B74CAE" w:rsidR="00BA2498" w:rsidRDefault="00124C81" w:rsidP="003B2A57">
            <w:pPr>
              <w:pStyle w:val="Default"/>
              <w:numPr>
                <w:ilvl w:val="0"/>
                <w:numId w:val="5"/>
              </w:numPr>
              <w:spacing w:line="276" w:lineRule="auto"/>
              <w:jc w:val="both"/>
              <w:rPr>
                <w:color w:val="auto"/>
                <w:sz w:val="17"/>
                <w:szCs w:val="17"/>
              </w:rPr>
            </w:pPr>
            <w:r>
              <w:rPr>
                <w:color w:val="auto"/>
                <w:sz w:val="17"/>
                <w:szCs w:val="17"/>
              </w:rPr>
              <w:t>In terms of next steps</w:t>
            </w:r>
            <w:r w:rsidR="004D1B03">
              <w:rPr>
                <w:color w:val="auto"/>
                <w:sz w:val="17"/>
                <w:szCs w:val="17"/>
              </w:rPr>
              <w:t>,</w:t>
            </w:r>
            <w:r>
              <w:rPr>
                <w:color w:val="auto"/>
                <w:sz w:val="17"/>
                <w:szCs w:val="17"/>
              </w:rPr>
              <w:t xml:space="preserve"> an update</w:t>
            </w:r>
            <w:r w:rsidR="00BA2498">
              <w:rPr>
                <w:color w:val="auto"/>
                <w:sz w:val="17"/>
                <w:szCs w:val="17"/>
              </w:rPr>
              <w:t xml:space="preserve">d version of </w:t>
            </w:r>
            <w:r>
              <w:rPr>
                <w:color w:val="auto"/>
                <w:sz w:val="17"/>
                <w:szCs w:val="17"/>
              </w:rPr>
              <w:t>the template</w:t>
            </w:r>
            <w:r w:rsidR="00BA2498">
              <w:rPr>
                <w:color w:val="auto"/>
                <w:sz w:val="17"/>
                <w:szCs w:val="17"/>
              </w:rPr>
              <w:t xml:space="preserve"> w</w:t>
            </w:r>
            <w:r w:rsidR="00885463">
              <w:rPr>
                <w:color w:val="auto"/>
                <w:sz w:val="17"/>
                <w:szCs w:val="17"/>
              </w:rPr>
              <w:t>ould</w:t>
            </w:r>
            <w:r w:rsidR="00BA2498">
              <w:rPr>
                <w:color w:val="auto"/>
                <w:sz w:val="17"/>
                <w:szCs w:val="17"/>
              </w:rPr>
              <w:t xml:space="preserve"> be shared </w:t>
            </w:r>
            <w:r w:rsidR="00885463">
              <w:rPr>
                <w:color w:val="auto"/>
                <w:sz w:val="17"/>
                <w:szCs w:val="17"/>
              </w:rPr>
              <w:t xml:space="preserve">by the asset managers with all interested parties for </w:t>
            </w:r>
            <w:r w:rsidR="00BA2498">
              <w:rPr>
                <w:color w:val="auto"/>
                <w:sz w:val="17"/>
                <w:szCs w:val="17"/>
              </w:rPr>
              <w:t xml:space="preserve">feedback. The secretariat </w:t>
            </w:r>
            <w:r w:rsidR="00BA2498" w:rsidRPr="00D7442E">
              <w:rPr>
                <w:color w:val="auto"/>
                <w:sz w:val="17"/>
                <w:szCs w:val="17"/>
              </w:rPr>
              <w:t>suggest</w:t>
            </w:r>
            <w:r w:rsidR="00D7442E">
              <w:rPr>
                <w:color w:val="auto"/>
                <w:sz w:val="17"/>
                <w:szCs w:val="17"/>
              </w:rPr>
              <w:t>ed</w:t>
            </w:r>
            <w:r w:rsidR="00BA2498">
              <w:rPr>
                <w:color w:val="auto"/>
                <w:sz w:val="17"/>
                <w:szCs w:val="17"/>
              </w:rPr>
              <w:t xml:space="preserve"> </w:t>
            </w:r>
            <w:r w:rsidR="00885463">
              <w:rPr>
                <w:color w:val="auto"/>
                <w:sz w:val="17"/>
                <w:szCs w:val="17"/>
              </w:rPr>
              <w:t xml:space="preserve">that once the template is shared, it would distribute it to members and ask </w:t>
            </w:r>
            <w:r w:rsidR="00BA2498">
              <w:rPr>
                <w:color w:val="auto"/>
                <w:sz w:val="17"/>
                <w:szCs w:val="17"/>
              </w:rPr>
              <w:t>interest</w:t>
            </w:r>
            <w:r w:rsidR="00885463">
              <w:rPr>
                <w:color w:val="auto"/>
                <w:sz w:val="17"/>
                <w:szCs w:val="17"/>
              </w:rPr>
              <w:t>ed members to liaise directly with the developers</w:t>
            </w:r>
            <w:r w:rsidR="00BA2498">
              <w:rPr>
                <w:color w:val="auto"/>
                <w:sz w:val="17"/>
                <w:szCs w:val="17"/>
              </w:rPr>
              <w:t xml:space="preserve">. </w:t>
            </w:r>
          </w:p>
          <w:p w14:paraId="12E3FDDC" w14:textId="01857B40" w:rsidR="00BA2498" w:rsidRPr="00BB35EA" w:rsidRDefault="00D7442E" w:rsidP="00BB35EA">
            <w:pPr>
              <w:pStyle w:val="CEABullet-Level2"/>
              <w:rPr>
                <w:rFonts w:eastAsiaTheme="minorHAnsi" w:cs="Verdana"/>
                <w:color w:val="auto"/>
                <w:sz w:val="24"/>
                <w:lang w:val="en-US"/>
              </w:rPr>
            </w:pPr>
            <w:r w:rsidRPr="008B14D3">
              <w:rPr>
                <w:color w:val="auto"/>
              </w:rPr>
              <w:t xml:space="preserve">The secretariat enquired whether </w:t>
            </w:r>
            <w:r w:rsidR="002F1D44" w:rsidRPr="008B14D3">
              <w:rPr>
                <w:color w:val="auto"/>
                <w:szCs w:val="17"/>
              </w:rPr>
              <w:t xml:space="preserve">members are aware of </w:t>
            </w:r>
            <w:r w:rsidRPr="008B14D3">
              <w:rPr>
                <w:color w:val="auto"/>
                <w:szCs w:val="17"/>
              </w:rPr>
              <w:t xml:space="preserve">other </w:t>
            </w:r>
            <w:r w:rsidR="00BA2498" w:rsidRPr="008B14D3">
              <w:rPr>
                <w:color w:val="auto"/>
                <w:szCs w:val="17"/>
              </w:rPr>
              <w:t>template</w:t>
            </w:r>
            <w:r w:rsidRPr="008B14D3">
              <w:rPr>
                <w:color w:val="auto"/>
                <w:szCs w:val="17"/>
              </w:rPr>
              <w:t>s</w:t>
            </w:r>
            <w:r w:rsidR="00BA2498" w:rsidRPr="00885463">
              <w:rPr>
                <w:szCs w:val="17"/>
              </w:rPr>
              <w:t xml:space="preserve"> </w:t>
            </w:r>
            <w:r w:rsidR="002F1D44" w:rsidRPr="00885463">
              <w:rPr>
                <w:szCs w:val="17"/>
              </w:rPr>
              <w:t xml:space="preserve">that are being used, as during the event is was stated that the TPT template is the only template being used, and the secretariat was not aware of this. The secretariat believed there was no engagement from Insurance Europe in this topic because various templates </w:t>
            </w:r>
            <w:r w:rsidR="00885463">
              <w:rPr>
                <w:color w:val="auto"/>
                <w:szCs w:val="17"/>
              </w:rPr>
              <w:t>were</w:t>
            </w:r>
            <w:r w:rsidR="002F1D44" w:rsidRPr="008B14D3">
              <w:rPr>
                <w:color w:val="auto"/>
                <w:szCs w:val="17"/>
              </w:rPr>
              <w:t xml:space="preserve"> being used. </w:t>
            </w:r>
            <w:r w:rsidR="00BA2498" w:rsidRPr="00BB35EA">
              <w:rPr>
                <w:rFonts w:eastAsiaTheme="minorHAnsi"/>
                <w:color w:val="auto"/>
                <w:szCs w:val="17"/>
              </w:rPr>
              <w:t xml:space="preserve"> </w:t>
            </w:r>
          </w:p>
          <w:p w14:paraId="101ECEB0" w14:textId="1FE5FFDD" w:rsidR="00BA2498" w:rsidRDefault="009155F1" w:rsidP="00BA2498">
            <w:pPr>
              <w:pStyle w:val="Default"/>
              <w:numPr>
                <w:ilvl w:val="0"/>
                <w:numId w:val="5"/>
              </w:numPr>
              <w:spacing w:line="276" w:lineRule="auto"/>
              <w:jc w:val="both"/>
              <w:rPr>
                <w:sz w:val="17"/>
                <w:szCs w:val="17"/>
              </w:rPr>
            </w:pPr>
            <w:r>
              <w:rPr>
                <w:sz w:val="17"/>
                <w:szCs w:val="17"/>
              </w:rPr>
              <w:t xml:space="preserve">The </w:t>
            </w:r>
            <w:r w:rsidR="00A91CE6">
              <w:rPr>
                <w:sz w:val="17"/>
                <w:szCs w:val="17"/>
              </w:rPr>
              <w:t>ABI</w:t>
            </w:r>
            <w:r w:rsidR="00BA2498" w:rsidRPr="00BA2498">
              <w:rPr>
                <w:sz w:val="17"/>
                <w:szCs w:val="17"/>
              </w:rPr>
              <w:t xml:space="preserve"> </w:t>
            </w:r>
            <w:r w:rsidR="00BA2498">
              <w:rPr>
                <w:sz w:val="17"/>
                <w:szCs w:val="17"/>
              </w:rPr>
              <w:t>not</w:t>
            </w:r>
            <w:r w:rsidR="00BA2498" w:rsidRPr="00BA2498">
              <w:rPr>
                <w:sz w:val="17"/>
                <w:szCs w:val="17"/>
              </w:rPr>
              <w:t>ed that</w:t>
            </w:r>
            <w:r w:rsidR="00885463">
              <w:rPr>
                <w:sz w:val="17"/>
                <w:szCs w:val="17"/>
              </w:rPr>
              <w:t xml:space="preserve"> past feedback from its members had indicated that</w:t>
            </w:r>
            <w:r w:rsidR="00BA2498" w:rsidRPr="00BA2498">
              <w:rPr>
                <w:sz w:val="17"/>
                <w:szCs w:val="17"/>
              </w:rPr>
              <w:t xml:space="preserve"> </w:t>
            </w:r>
            <w:r w:rsidR="00A91CE6">
              <w:rPr>
                <w:sz w:val="17"/>
                <w:szCs w:val="17"/>
              </w:rPr>
              <w:t xml:space="preserve">the TPT template </w:t>
            </w:r>
            <w:r w:rsidR="00885463">
              <w:rPr>
                <w:sz w:val="17"/>
                <w:szCs w:val="17"/>
              </w:rPr>
              <w:t xml:space="preserve">was </w:t>
            </w:r>
            <w:r w:rsidR="00A91CE6">
              <w:rPr>
                <w:sz w:val="17"/>
                <w:szCs w:val="17"/>
              </w:rPr>
              <w:t>not sufficiently sophisticated</w:t>
            </w:r>
            <w:r w:rsidR="009F3915">
              <w:rPr>
                <w:sz w:val="17"/>
                <w:szCs w:val="17"/>
              </w:rPr>
              <w:t>, in particular</w:t>
            </w:r>
            <w:r w:rsidR="00A91CE6">
              <w:rPr>
                <w:sz w:val="17"/>
                <w:szCs w:val="17"/>
              </w:rPr>
              <w:t xml:space="preserve"> for MA</w:t>
            </w:r>
            <w:r w:rsidR="009F3915">
              <w:rPr>
                <w:sz w:val="17"/>
                <w:szCs w:val="17"/>
              </w:rPr>
              <w:t xml:space="preserve"> portfolios</w:t>
            </w:r>
            <w:r w:rsidR="00885463">
              <w:rPr>
                <w:sz w:val="17"/>
                <w:szCs w:val="17"/>
              </w:rPr>
              <w:t>.</w:t>
            </w:r>
            <w:r w:rsidR="00A91CE6">
              <w:rPr>
                <w:sz w:val="17"/>
                <w:szCs w:val="17"/>
              </w:rPr>
              <w:t xml:space="preserve"> </w:t>
            </w:r>
            <w:r w:rsidR="000E5086">
              <w:rPr>
                <w:sz w:val="17"/>
                <w:szCs w:val="17"/>
              </w:rPr>
              <w:t xml:space="preserve">The </w:t>
            </w:r>
            <w:r w:rsidR="00A91CE6">
              <w:rPr>
                <w:sz w:val="17"/>
                <w:szCs w:val="17"/>
              </w:rPr>
              <w:t xml:space="preserve">ABI </w:t>
            </w:r>
            <w:r w:rsidR="009F3915">
              <w:rPr>
                <w:sz w:val="17"/>
                <w:szCs w:val="17"/>
              </w:rPr>
              <w:t>enquired</w:t>
            </w:r>
            <w:r w:rsidR="00A91CE6">
              <w:rPr>
                <w:sz w:val="17"/>
                <w:szCs w:val="17"/>
              </w:rPr>
              <w:t xml:space="preserve"> whether this has </w:t>
            </w:r>
            <w:r w:rsidR="00885463">
              <w:rPr>
                <w:sz w:val="17"/>
                <w:szCs w:val="17"/>
              </w:rPr>
              <w:t>changed</w:t>
            </w:r>
            <w:r w:rsidR="00A91CE6">
              <w:rPr>
                <w:sz w:val="17"/>
                <w:szCs w:val="17"/>
              </w:rPr>
              <w:t xml:space="preserve">. The secretariat </w:t>
            </w:r>
            <w:r w:rsidR="00885463">
              <w:rPr>
                <w:sz w:val="17"/>
                <w:szCs w:val="17"/>
              </w:rPr>
              <w:t xml:space="preserve">could not provide a clear assessment of this issue, however it </w:t>
            </w:r>
            <w:r w:rsidR="008B14D3">
              <w:rPr>
                <w:sz w:val="17"/>
                <w:szCs w:val="17"/>
              </w:rPr>
              <w:t>noted that the developers of the template appear to be open to take feedback on board</w:t>
            </w:r>
            <w:r w:rsidR="00A91CE6">
              <w:rPr>
                <w:sz w:val="17"/>
                <w:szCs w:val="17"/>
              </w:rPr>
              <w:t xml:space="preserve">. </w:t>
            </w:r>
          </w:p>
          <w:p w14:paraId="104519F7" w14:textId="0E9E0B28" w:rsidR="00A91CE6" w:rsidRDefault="009155F1" w:rsidP="00BA2498">
            <w:pPr>
              <w:pStyle w:val="Default"/>
              <w:numPr>
                <w:ilvl w:val="0"/>
                <w:numId w:val="5"/>
              </w:numPr>
              <w:spacing w:line="276" w:lineRule="auto"/>
              <w:jc w:val="both"/>
              <w:rPr>
                <w:sz w:val="17"/>
                <w:szCs w:val="17"/>
              </w:rPr>
            </w:pPr>
            <w:r>
              <w:rPr>
                <w:sz w:val="17"/>
                <w:szCs w:val="17"/>
              </w:rPr>
              <w:t xml:space="preserve">The </w:t>
            </w:r>
            <w:r w:rsidR="00A91CE6">
              <w:rPr>
                <w:sz w:val="17"/>
                <w:szCs w:val="17"/>
              </w:rPr>
              <w:t xml:space="preserve">GDV highlighted that in the German market the template is widely accepted and used. </w:t>
            </w:r>
            <w:r w:rsidR="008B14D3">
              <w:rPr>
                <w:sz w:val="17"/>
                <w:szCs w:val="17"/>
              </w:rPr>
              <w:t>GDV supported that Insurance Europe monitors developments, without actively engaging</w:t>
            </w:r>
            <w:r w:rsidR="004D1B03">
              <w:rPr>
                <w:sz w:val="17"/>
                <w:szCs w:val="17"/>
              </w:rPr>
              <w:t>.</w:t>
            </w:r>
            <w:r w:rsidR="0048740A">
              <w:rPr>
                <w:sz w:val="17"/>
                <w:szCs w:val="17"/>
              </w:rPr>
              <w:t xml:space="preserve"> </w:t>
            </w:r>
          </w:p>
          <w:p w14:paraId="494DF02F" w14:textId="1B08FF11" w:rsidR="0048740A" w:rsidRDefault="000E5086" w:rsidP="00BA2498">
            <w:pPr>
              <w:pStyle w:val="Default"/>
              <w:numPr>
                <w:ilvl w:val="0"/>
                <w:numId w:val="5"/>
              </w:numPr>
              <w:spacing w:line="276" w:lineRule="auto"/>
              <w:jc w:val="both"/>
              <w:rPr>
                <w:sz w:val="17"/>
                <w:szCs w:val="17"/>
              </w:rPr>
            </w:pPr>
            <w:r>
              <w:rPr>
                <w:sz w:val="17"/>
                <w:szCs w:val="17"/>
              </w:rPr>
              <w:t xml:space="preserve">The </w:t>
            </w:r>
            <w:r w:rsidR="00645B81">
              <w:rPr>
                <w:sz w:val="17"/>
                <w:szCs w:val="17"/>
              </w:rPr>
              <w:t xml:space="preserve">VVO </w:t>
            </w:r>
            <w:r w:rsidR="0009069C">
              <w:rPr>
                <w:sz w:val="17"/>
                <w:szCs w:val="17"/>
              </w:rPr>
              <w:t xml:space="preserve">understands that the template is an initiative from asset managers to help insurance companies with their risk evaluation or </w:t>
            </w:r>
            <w:r w:rsidR="00E975F1">
              <w:rPr>
                <w:sz w:val="17"/>
                <w:szCs w:val="17"/>
              </w:rPr>
              <w:t xml:space="preserve">for </w:t>
            </w:r>
            <w:r w:rsidR="0009069C">
              <w:rPr>
                <w:sz w:val="17"/>
                <w:szCs w:val="17"/>
              </w:rPr>
              <w:t xml:space="preserve">data </w:t>
            </w:r>
            <w:r w:rsidR="00E975F1">
              <w:rPr>
                <w:sz w:val="17"/>
                <w:szCs w:val="17"/>
              </w:rPr>
              <w:t xml:space="preserve">needed </w:t>
            </w:r>
            <w:r w:rsidR="0009069C">
              <w:rPr>
                <w:sz w:val="17"/>
                <w:szCs w:val="17"/>
              </w:rPr>
              <w:t xml:space="preserve">for SII </w:t>
            </w:r>
            <w:r w:rsidR="004D1B03">
              <w:rPr>
                <w:sz w:val="17"/>
                <w:szCs w:val="17"/>
              </w:rPr>
              <w:t>r</w:t>
            </w:r>
            <w:r w:rsidR="0009069C">
              <w:rPr>
                <w:sz w:val="17"/>
                <w:szCs w:val="17"/>
              </w:rPr>
              <w:t xml:space="preserve">equirements, but </w:t>
            </w:r>
            <w:r>
              <w:rPr>
                <w:sz w:val="17"/>
                <w:szCs w:val="17"/>
              </w:rPr>
              <w:t xml:space="preserve">the VVO </w:t>
            </w:r>
            <w:r w:rsidR="00645B81">
              <w:rPr>
                <w:sz w:val="17"/>
                <w:szCs w:val="17"/>
              </w:rPr>
              <w:t>believes the insurance compan</w:t>
            </w:r>
            <w:r w:rsidR="008B14D3">
              <w:rPr>
                <w:sz w:val="17"/>
                <w:szCs w:val="17"/>
              </w:rPr>
              <w:t>ies</w:t>
            </w:r>
            <w:r w:rsidR="00645B81">
              <w:rPr>
                <w:sz w:val="17"/>
                <w:szCs w:val="17"/>
              </w:rPr>
              <w:t xml:space="preserve"> </w:t>
            </w:r>
            <w:r w:rsidR="008B14D3">
              <w:rPr>
                <w:sz w:val="17"/>
                <w:szCs w:val="17"/>
              </w:rPr>
              <w:t xml:space="preserve">are </w:t>
            </w:r>
            <w:r w:rsidR="0009069C">
              <w:rPr>
                <w:sz w:val="17"/>
                <w:szCs w:val="17"/>
              </w:rPr>
              <w:t xml:space="preserve">ultimately </w:t>
            </w:r>
            <w:r w:rsidR="00E975F1">
              <w:rPr>
                <w:sz w:val="17"/>
                <w:szCs w:val="17"/>
              </w:rPr>
              <w:t xml:space="preserve">responsible </w:t>
            </w:r>
            <w:r w:rsidR="0009069C">
              <w:rPr>
                <w:sz w:val="17"/>
                <w:szCs w:val="17"/>
              </w:rPr>
              <w:t xml:space="preserve">for the </w:t>
            </w:r>
            <w:r w:rsidR="008B14D3">
              <w:rPr>
                <w:sz w:val="17"/>
                <w:szCs w:val="17"/>
              </w:rPr>
              <w:t xml:space="preserve">accuracy of the </w:t>
            </w:r>
            <w:r w:rsidR="0009069C">
              <w:rPr>
                <w:sz w:val="17"/>
                <w:szCs w:val="17"/>
              </w:rPr>
              <w:t xml:space="preserve">data. </w:t>
            </w:r>
          </w:p>
          <w:p w14:paraId="3B68C585" w14:textId="2DF9D353" w:rsidR="00645B81" w:rsidRPr="00BA2498" w:rsidRDefault="00645B81" w:rsidP="00BA2498">
            <w:pPr>
              <w:pStyle w:val="Default"/>
              <w:numPr>
                <w:ilvl w:val="0"/>
                <w:numId w:val="5"/>
              </w:numPr>
              <w:spacing w:line="276" w:lineRule="auto"/>
              <w:jc w:val="both"/>
              <w:rPr>
                <w:sz w:val="17"/>
                <w:szCs w:val="17"/>
              </w:rPr>
            </w:pPr>
            <w:r w:rsidRPr="00E975F1">
              <w:rPr>
                <w:sz w:val="17"/>
                <w:szCs w:val="17"/>
              </w:rPr>
              <w:t xml:space="preserve">Assuralia </w:t>
            </w:r>
            <w:r w:rsidR="00E975F1" w:rsidRPr="00E975F1">
              <w:rPr>
                <w:sz w:val="17"/>
                <w:szCs w:val="17"/>
              </w:rPr>
              <w:t>asked whether</w:t>
            </w:r>
            <w:r w:rsidRPr="00E975F1">
              <w:rPr>
                <w:sz w:val="17"/>
                <w:szCs w:val="17"/>
              </w:rPr>
              <w:t xml:space="preserve"> it is used for investment funds</w:t>
            </w:r>
            <w:r w:rsidR="00E975F1">
              <w:rPr>
                <w:sz w:val="17"/>
                <w:szCs w:val="17"/>
              </w:rPr>
              <w:t>, the C</w:t>
            </w:r>
            <w:r w:rsidRPr="00E975F1">
              <w:rPr>
                <w:sz w:val="17"/>
                <w:szCs w:val="17"/>
              </w:rPr>
              <w:t>hair</w:t>
            </w:r>
            <w:r w:rsidR="00E975F1">
              <w:rPr>
                <w:sz w:val="17"/>
                <w:szCs w:val="17"/>
              </w:rPr>
              <w:t xml:space="preserve"> confirmed</w:t>
            </w:r>
            <w:r w:rsidR="00257B44">
              <w:rPr>
                <w:sz w:val="17"/>
                <w:szCs w:val="17"/>
              </w:rPr>
              <w:t xml:space="preserve"> it is used for look-</w:t>
            </w:r>
            <w:r w:rsidRPr="00E975F1">
              <w:rPr>
                <w:sz w:val="17"/>
                <w:szCs w:val="17"/>
              </w:rPr>
              <w:t>through purposes, which is why this template is of interest to everyone</w:t>
            </w:r>
            <w:r w:rsidR="004D1B03">
              <w:rPr>
                <w:sz w:val="17"/>
                <w:szCs w:val="17"/>
              </w:rPr>
              <w:t xml:space="preserve"> even if </w:t>
            </w:r>
            <w:r w:rsidR="00257B44">
              <w:rPr>
                <w:sz w:val="17"/>
                <w:szCs w:val="17"/>
              </w:rPr>
              <w:t xml:space="preserve">the asset management is </w:t>
            </w:r>
            <w:r w:rsidR="004D1B03">
              <w:rPr>
                <w:sz w:val="17"/>
                <w:szCs w:val="17"/>
              </w:rPr>
              <w:t xml:space="preserve">(partially) </w:t>
            </w:r>
            <w:r w:rsidR="00257B44">
              <w:rPr>
                <w:sz w:val="17"/>
                <w:szCs w:val="17"/>
              </w:rPr>
              <w:t>outsourced</w:t>
            </w:r>
            <w:r w:rsidR="004D1B03">
              <w:rPr>
                <w:sz w:val="17"/>
                <w:szCs w:val="17"/>
              </w:rPr>
              <w:t>.</w:t>
            </w:r>
          </w:p>
          <w:p w14:paraId="4620CA74" w14:textId="6A33DD07" w:rsidR="00A16BB0" w:rsidRDefault="00A16BB0" w:rsidP="00F55F0F">
            <w:pPr>
              <w:pStyle w:val="CEABullet-Level3"/>
              <w:rPr>
                <w:szCs w:val="17"/>
              </w:rPr>
            </w:pPr>
          </w:p>
          <w:p w14:paraId="60391263" w14:textId="01AA7B38" w:rsidR="00645B81" w:rsidRDefault="00645B81" w:rsidP="00645B81">
            <w:pPr>
              <w:numPr>
                <w:ilvl w:val="0"/>
                <w:numId w:val="1"/>
              </w:numPr>
              <w:autoSpaceDE w:val="0"/>
              <w:autoSpaceDN w:val="0"/>
              <w:adjustRightInd w:val="0"/>
              <w:jc w:val="both"/>
              <w:rPr>
                <w:sz w:val="17"/>
                <w:szCs w:val="17"/>
              </w:rPr>
            </w:pPr>
            <w:r>
              <w:rPr>
                <w:sz w:val="17"/>
                <w:szCs w:val="17"/>
              </w:rPr>
              <w:t>ICS</w:t>
            </w:r>
          </w:p>
          <w:p w14:paraId="0445C45A" w14:textId="26599F57" w:rsidR="00D219EC" w:rsidRDefault="00D219EC" w:rsidP="005B7594">
            <w:pPr>
              <w:pStyle w:val="Default"/>
              <w:numPr>
                <w:ilvl w:val="0"/>
                <w:numId w:val="5"/>
              </w:numPr>
              <w:spacing w:line="276" w:lineRule="auto"/>
              <w:jc w:val="both"/>
              <w:rPr>
                <w:sz w:val="17"/>
                <w:szCs w:val="17"/>
              </w:rPr>
            </w:pPr>
            <w:r w:rsidRPr="005B7594">
              <w:rPr>
                <w:sz w:val="17"/>
                <w:szCs w:val="17"/>
              </w:rPr>
              <w:t xml:space="preserve">The secretariat reported that ICS 1.0 is expected to be approved </w:t>
            </w:r>
            <w:r w:rsidR="008B14D3">
              <w:rPr>
                <w:sz w:val="17"/>
                <w:szCs w:val="17"/>
              </w:rPr>
              <w:t xml:space="preserve">in the coming days. It looks </w:t>
            </w:r>
            <w:r w:rsidR="005B7594" w:rsidRPr="005B7594">
              <w:rPr>
                <w:sz w:val="17"/>
                <w:szCs w:val="17"/>
              </w:rPr>
              <w:t>less ambitious than initially intended</w:t>
            </w:r>
            <w:r w:rsidR="00132905">
              <w:rPr>
                <w:sz w:val="17"/>
                <w:szCs w:val="17"/>
              </w:rPr>
              <w:t>, m</w:t>
            </w:r>
            <w:r w:rsidR="00257B44">
              <w:rPr>
                <w:sz w:val="17"/>
                <w:szCs w:val="17"/>
              </w:rPr>
              <w:t xml:space="preserve">eaning </w:t>
            </w:r>
            <w:r w:rsidR="00132905">
              <w:rPr>
                <w:sz w:val="17"/>
                <w:szCs w:val="17"/>
              </w:rPr>
              <w:t>i</w:t>
            </w:r>
            <w:r w:rsidR="005B7594" w:rsidRPr="005B7594">
              <w:rPr>
                <w:sz w:val="17"/>
                <w:szCs w:val="17"/>
              </w:rPr>
              <w:t xml:space="preserve">t contains several options on valuation, calibration and various </w:t>
            </w:r>
            <w:r w:rsidR="00132905">
              <w:rPr>
                <w:sz w:val="17"/>
                <w:szCs w:val="17"/>
              </w:rPr>
              <w:t>calculation methods</w:t>
            </w:r>
            <w:r w:rsidR="005B7594" w:rsidRPr="005B7594">
              <w:rPr>
                <w:sz w:val="17"/>
                <w:szCs w:val="17"/>
              </w:rPr>
              <w:t xml:space="preserve"> for risk margin. </w:t>
            </w:r>
          </w:p>
          <w:p w14:paraId="6C2E6C0E" w14:textId="5742882C" w:rsidR="005B7594" w:rsidRDefault="005B7594" w:rsidP="005B7594">
            <w:pPr>
              <w:pStyle w:val="Default"/>
              <w:numPr>
                <w:ilvl w:val="0"/>
                <w:numId w:val="5"/>
              </w:numPr>
              <w:spacing w:line="276" w:lineRule="auto"/>
              <w:jc w:val="both"/>
              <w:rPr>
                <w:sz w:val="17"/>
                <w:szCs w:val="17"/>
              </w:rPr>
            </w:pPr>
            <w:r>
              <w:rPr>
                <w:sz w:val="17"/>
                <w:szCs w:val="17"/>
              </w:rPr>
              <w:t xml:space="preserve">The secretariat is planning an ICS/SII comparison exercise over the summer, similar to the exercise ran two years ago. The secretariat will share the draft comparison with members along with the key overlap/diverging areas that were identified. The secretariat will also highlight where ICS is better/worse/no view. </w:t>
            </w:r>
            <w:r w:rsidR="00376B8C">
              <w:rPr>
                <w:sz w:val="17"/>
                <w:szCs w:val="17"/>
              </w:rPr>
              <w:t xml:space="preserve">Input from members </w:t>
            </w:r>
            <w:r w:rsidR="00F16901">
              <w:rPr>
                <w:sz w:val="17"/>
                <w:szCs w:val="17"/>
              </w:rPr>
              <w:t>will be asked</w:t>
            </w:r>
            <w:r w:rsidR="00376B8C">
              <w:rPr>
                <w:sz w:val="17"/>
                <w:szCs w:val="17"/>
              </w:rPr>
              <w:t xml:space="preserve">. </w:t>
            </w:r>
          </w:p>
          <w:p w14:paraId="6E606BBB" w14:textId="49779119" w:rsidR="005B7594" w:rsidRPr="005B7594" w:rsidRDefault="005B7594" w:rsidP="005B7594">
            <w:pPr>
              <w:pStyle w:val="Default"/>
              <w:numPr>
                <w:ilvl w:val="0"/>
                <w:numId w:val="5"/>
              </w:numPr>
              <w:spacing w:line="276" w:lineRule="auto"/>
              <w:jc w:val="both"/>
              <w:rPr>
                <w:sz w:val="17"/>
                <w:szCs w:val="17"/>
              </w:rPr>
            </w:pPr>
            <w:r>
              <w:rPr>
                <w:sz w:val="17"/>
                <w:szCs w:val="17"/>
              </w:rPr>
              <w:t>Th</w:t>
            </w:r>
            <w:r w:rsidR="00376B8C">
              <w:rPr>
                <w:sz w:val="17"/>
                <w:szCs w:val="17"/>
              </w:rPr>
              <w:t>e comparison</w:t>
            </w:r>
            <w:r>
              <w:rPr>
                <w:sz w:val="17"/>
                <w:szCs w:val="17"/>
              </w:rPr>
              <w:t xml:space="preserve"> will be the starting point to </w:t>
            </w:r>
            <w:r w:rsidR="000B1C76">
              <w:rPr>
                <w:sz w:val="17"/>
                <w:szCs w:val="17"/>
              </w:rPr>
              <w:t xml:space="preserve">engage in further </w:t>
            </w:r>
            <w:r w:rsidR="00376B8C">
              <w:rPr>
                <w:sz w:val="17"/>
                <w:szCs w:val="17"/>
              </w:rPr>
              <w:t>development of the ICS</w:t>
            </w:r>
            <w:r w:rsidR="000B1C76">
              <w:rPr>
                <w:sz w:val="17"/>
                <w:szCs w:val="17"/>
              </w:rPr>
              <w:t xml:space="preserve">. </w:t>
            </w:r>
          </w:p>
          <w:p w14:paraId="62B354C5" w14:textId="77777777" w:rsidR="00645B81" w:rsidRDefault="00645B81" w:rsidP="00F55F0F">
            <w:pPr>
              <w:pStyle w:val="CEABullet-Level3"/>
              <w:rPr>
                <w:szCs w:val="17"/>
              </w:rPr>
            </w:pPr>
          </w:p>
          <w:p w14:paraId="3211F99E" w14:textId="77777777" w:rsidR="002E43F7" w:rsidRPr="008771A8" w:rsidRDefault="002E43F7" w:rsidP="002E43F7">
            <w:pPr>
              <w:autoSpaceDE w:val="0"/>
              <w:autoSpaceDN w:val="0"/>
              <w:adjustRightInd w:val="0"/>
              <w:jc w:val="both"/>
              <w:rPr>
                <w:i/>
                <w:sz w:val="17"/>
                <w:szCs w:val="17"/>
                <w:u w:val="single"/>
              </w:rPr>
            </w:pPr>
            <w:r w:rsidRPr="008771A8">
              <w:rPr>
                <w:i/>
                <w:sz w:val="17"/>
                <w:szCs w:val="17"/>
                <w:u w:val="single"/>
              </w:rPr>
              <w:t>Action points:</w:t>
            </w:r>
          </w:p>
          <w:p w14:paraId="76A1FA49" w14:textId="70222EB1" w:rsidR="002E43F7" w:rsidRDefault="00F16901" w:rsidP="002E43F7">
            <w:pPr>
              <w:numPr>
                <w:ilvl w:val="0"/>
                <w:numId w:val="1"/>
              </w:numPr>
              <w:autoSpaceDE w:val="0"/>
              <w:autoSpaceDN w:val="0"/>
              <w:adjustRightInd w:val="0"/>
              <w:jc w:val="both"/>
              <w:rPr>
                <w:sz w:val="17"/>
                <w:szCs w:val="17"/>
              </w:rPr>
            </w:pPr>
            <w:r>
              <w:rPr>
                <w:sz w:val="17"/>
                <w:szCs w:val="17"/>
              </w:rPr>
              <w:t>The secretariat will s</w:t>
            </w:r>
            <w:r w:rsidR="000B1C76">
              <w:rPr>
                <w:sz w:val="17"/>
                <w:szCs w:val="17"/>
              </w:rPr>
              <w:t xml:space="preserve">hare </w:t>
            </w:r>
            <w:r>
              <w:rPr>
                <w:sz w:val="17"/>
                <w:szCs w:val="17"/>
              </w:rPr>
              <w:t xml:space="preserve">with members its preliminary analysis of the </w:t>
            </w:r>
            <w:r w:rsidR="000B1C76">
              <w:rPr>
                <w:sz w:val="17"/>
                <w:szCs w:val="17"/>
              </w:rPr>
              <w:t xml:space="preserve">comparison </w:t>
            </w:r>
            <w:r>
              <w:rPr>
                <w:sz w:val="17"/>
                <w:szCs w:val="17"/>
              </w:rPr>
              <w:t xml:space="preserve">between </w:t>
            </w:r>
            <w:r w:rsidR="000B1C76">
              <w:rPr>
                <w:sz w:val="17"/>
                <w:szCs w:val="17"/>
              </w:rPr>
              <w:t>ICS</w:t>
            </w:r>
            <w:r>
              <w:rPr>
                <w:sz w:val="17"/>
                <w:szCs w:val="17"/>
              </w:rPr>
              <w:t xml:space="preserve"> and </w:t>
            </w:r>
            <w:r w:rsidR="000B1C76">
              <w:rPr>
                <w:sz w:val="17"/>
                <w:szCs w:val="17"/>
              </w:rPr>
              <w:t xml:space="preserve">SII </w:t>
            </w:r>
            <w:r>
              <w:rPr>
                <w:sz w:val="17"/>
                <w:szCs w:val="17"/>
              </w:rPr>
              <w:t>and will invite members to provide feedback</w:t>
            </w:r>
            <w:r w:rsidR="000B1C76">
              <w:rPr>
                <w:sz w:val="17"/>
                <w:szCs w:val="17"/>
              </w:rPr>
              <w:t xml:space="preserve">. </w:t>
            </w:r>
          </w:p>
          <w:p w14:paraId="31E3CA9D" w14:textId="77777777" w:rsidR="00570735" w:rsidRPr="00BB13BE" w:rsidRDefault="00570735" w:rsidP="00D8260B">
            <w:pPr>
              <w:pStyle w:val="Default"/>
              <w:spacing w:line="276" w:lineRule="auto"/>
              <w:ind w:left="720"/>
              <w:jc w:val="both"/>
              <w:rPr>
                <w:color w:val="auto"/>
                <w:sz w:val="17"/>
                <w:szCs w:val="17"/>
                <w:lang w:val="en-GB"/>
              </w:rPr>
            </w:pPr>
          </w:p>
          <w:p w14:paraId="46D2DDB2" w14:textId="77777777" w:rsidR="001B2627" w:rsidRPr="00EF78E1" w:rsidRDefault="001B2627" w:rsidP="001B2627">
            <w:pPr>
              <w:jc w:val="both"/>
              <w:rPr>
                <w:color w:val="002957"/>
                <w:sz w:val="17"/>
                <w:szCs w:val="17"/>
                <w:lang w:val="en-US"/>
              </w:rPr>
            </w:pPr>
          </w:p>
        </w:tc>
      </w:tr>
      <w:tr w:rsidR="001B2627" w:rsidRPr="008771A8" w14:paraId="181A9D47" w14:textId="77777777" w:rsidTr="00213247">
        <w:tc>
          <w:tcPr>
            <w:tcW w:w="6186" w:type="dxa"/>
            <w:tcBorders>
              <w:right w:val="single" w:sz="12" w:space="0" w:color="82C55B"/>
            </w:tcBorders>
            <w:shd w:val="clear" w:color="auto" w:fill="auto"/>
          </w:tcPr>
          <w:p w14:paraId="7FF911F9" w14:textId="494D5B07" w:rsidR="001B2627" w:rsidRPr="008771A8" w:rsidRDefault="002E43F7" w:rsidP="003B2A57">
            <w:pPr>
              <w:pStyle w:val="Nadpis1"/>
              <w:keepNext/>
              <w:numPr>
                <w:ilvl w:val="0"/>
                <w:numId w:val="4"/>
              </w:numPr>
              <w:spacing w:line="288" w:lineRule="auto"/>
              <w:jc w:val="both"/>
              <w:rPr>
                <w:b/>
                <w:sz w:val="17"/>
                <w:szCs w:val="17"/>
              </w:rPr>
            </w:pPr>
            <w:r>
              <w:rPr>
                <w:b/>
                <w:sz w:val="17"/>
                <w:szCs w:val="17"/>
              </w:rPr>
              <w:lastRenderedPageBreak/>
              <w:t>Recent letters to the EC on Solvency II</w:t>
            </w:r>
          </w:p>
        </w:tc>
        <w:tc>
          <w:tcPr>
            <w:tcW w:w="1876" w:type="dxa"/>
            <w:tcBorders>
              <w:left w:val="single" w:sz="12" w:space="0" w:color="82C55B"/>
              <w:right w:val="single" w:sz="12" w:space="0" w:color="82C55B"/>
            </w:tcBorders>
            <w:shd w:val="clear" w:color="auto" w:fill="auto"/>
          </w:tcPr>
          <w:p w14:paraId="113388D4" w14:textId="102F6130" w:rsidR="001B2627" w:rsidRPr="008771A8" w:rsidRDefault="001B2627" w:rsidP="001B2627">
            <w:pPr>
              <w:pStyle w:val="CEAAgendaBlueText"/>
              <w:rPr>
                <w:color w:val="002957"/>
                <w:sz w:val="17"/>
                <w:szCs w:val="17"/>
              </w:rPr>
            </w:pPr>
            <w:r w:rsidRPr="008771A8">
              <w:rPr>
                <w:color w:val="002957"/>
                <w:sz w:val="17"/>
                <w:szCs w:val="17"/>
              </w:rPr>
              <w:t xml:space="preserve">For </w:t>
            </w:r>
            <w:r w:rsidR="00F6331D" w:rsidRPr="008771A8">
              <w:rPr>
                <w:color w:val="002957"/>
                <w:sz w:val="17"/>
                <w:szCs w:val="17"/>
              </w:rPr>
              <w:t>discussion</w:t>
            </w:r>
          </w:p>
        </w:tc>
        <w:tc>
          <w:tcPr>
            <w:tcW w:w="1718" w:type="dxa"/>
            <w:tcBorders>
              <w:left w:val="single" w:sz="12" w:space="0" w:color="82C55B"/>
            </w:tcBorders>
            <w:shd w:val="clear" w:color="auto" w:fill="auto"/>
          </w:tcPr>
          <w:p w14:paraId="0114DACD" w14:textId="41D7F3A6" w:rsidR="001B2627" w:rsidRPr="008771A8" w:rsidRDefault="002E43F7" w:rsidP="001B2627">
            <w:pPr>
              <w:pStyle w:val="CEAAgendaBlueText"/>
              <w:rPr>
                <w:color w:val="002957"/>
                <w:sz w:val="17"/>
                <w:szCs w:val="17"/>
              </w:rPr>
            </w:pPr>
            <w:r w:rsidRPr="002E43F7">
              <w:rPr>
                <w:color w:val="002957"/>
                <w:sz w:val="17"/>
                <w:szCs w:val="17"/>
              </w:rPr>
              <w:t>Verbal</w:t>
            </w:r>
            <w:hyperlink r:id="rId14" w:history="1"/>
          </w:p>
        </w:tc>
      </w:tr>
      <w:tr w:rsidR="001B2627" w:rsidRPr="008771A8" w14:paraId="2A7028A1"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5010661D" w14:textId="2D9E3847" w:rsidR="001B2627" w:rsidRDefault="001B2627" w:rsidP="001B2627">
            <w:pPr>
              <w:rPr>
                <w:color w:val="002957"/>
                <w:sz w:val="17"/>
                <w:szCs w:val="17"/>
              </w:rPr>
            </w:pPr>
          </w:p>
          <w:p w14:paraId="4028ACF2" w14:textId="48C6BECB" w:rsidR="002E43F7" w:rsidRPr="002E43F7" w:rsidRDefault="002E43F7" w:rsidP="002E43F7">
            <w:pPr>
              <w:jc w:val="both"/>
              <w:rPr>
                <w:sz w:val="17"/>
                <w:szCs w:val="17"/>
              </w:rPr>
            </w:pPr>
            <w:r w:rsidRPr="002E43F7">
              <w:rPr>
                <w:sz w:val="17"/>
                <w:szCs w:val="17"/>
              </w:rPr>
              <w:t>The secretariat update</w:t>
            </w:r>
            <w:r>
              <w:rPr>
                <w:sz w:val="17"/>
                <w:szCs w:val="17"/>
              </w:rPr>
              <w:t>d</w:t>
            </w:r>
            <w:r w:rsidRPr="002E43F7">
              <w:rPr>
                <w:sz w:val="17"/>
                <w:szCs w:val="17"/>
              </w:rPr>
              <w:t xml:space="preserve"> members on recent developments regarding the two letters which have recently been sent to the Commission:</w:t>
            </w:r>
          </w:p>
          <w:p w14:paraId="737F8598" w14:textId="773CDE73" w:rsidR="002E43F7" w:rsidRPr="002E43F7" w:rsidRDefault="002E43F7" w:rsidP="002E43F7">
            <w:pPr>
              <w:pStyle w:val="Odsekzoznamu"/>
              <w:numPr>
                <w:ilvl w:val="0"/>
                <w:numId w:val="13"/>
              </w:numPr>
              <w:rPr>
                <w:szCs w:val="17"/>
              </w:rPr>
            </w:pPr>
            <w:r w:rsidRPr="002E43F7">
              <w:rPr>
                <w:szCs w:val="17"/>
              </w:rPr>
              <w:lastRenderedPageBreak/>
              <w:t xml:space="preserve">Insurance industry concerns over EIOPA’s UFR changes and proposal to set up Solvency II Expert Group (see </w:t>
            </w:r>
            <w:hyperlink r:id="rId15" w:history="1">
              <w:r w:rsidRPr="002E43F7">
                <w:rPr>
                  <w:rStyle w:val="Hypertextovprepojenie"/>
                  <w:color w:val="auto"/>
                  <w:szCs w:val="17"/>
                </w:rPr>
                <w:t>EXCO-17-056</w:t>
              </w:r>
            </w:hyperlink>
            <w:r w:rsidRPr="002E43F7">
              <w:rPr>
                <w:szCs w:val="17"/>
              </w:rPr>
              <w:t xml:space="preserve"> and </w:t>
            </w:r>
            <w:hyperlink r:id="rId16" w:history="1">
              <w:r w:rsidRPr="002E43F7">
                <w:rPr>
                  <w:rStyle w:val="Hypertextovprepojenie"/>
                  <w:color w:val="auto"/>
                  <w:szCs w:val="17"/>
                </w:rPr>
                <w:t>EXCO-17-063</w:t>
              </w:r>
            </w:hyperlink>
            <w:r w:rsidRPr="002E43F7">
              <w:rPr>
                <w:szCs w:val="17"/>
              </w:rPr>
              <w:t>)</w:t>
            </w:r>
          </w:p>
          <w:p w14:paraId="6BE72A18" w14:textId="68341453" w:rsidR="002E43F7" w:rsidRPr="002E43F7" w:rsidRDefault="002E43F7" w:rsidP="002E43F7">
            <w:pPr>
              <w:pStyle w:val="Odsekzoznamu"/>
              <w:numPr>
                <w:ilvl w:val="0"/>
                <w:numId w:val="13"/>
              </w:numPr>
              <w:rPr>
                <w:szCs w:val="17"/>
              </w:rPr>
            </w:pPr>
            <w:r w:rsidRPr="002E43F7">
              <w:rPr>
                <w:szCs w:val="17"/>
              </w:rPr>
              <w:t xml:space="preserve">Insurance industry concerns over Solvency II and proposed actions for the Commission (see </w:t>
            </w:r>
            <w:hyperlink r:id="rId17" w:history="1">
              <w:r w:rsidRPr="002E43F7">
                <w:rPr>
                  <w:rStyle w:val="Hypertextovprepojenie"/>
                  <w:color w:val="auto"/>
                  <w:szCs w:val="17"/>
                </w:rPr>
                <w:t>EXCO-17-065</w:t>
              </w:r>
            </w:hyperlink>
            <w:r w:rsidRPr="002E43F7">
              <w:rPr>
                <w:szCs w:val="17"/>
              </w:rPr>
              <w:t>)</w:t>
            </w:r>
          </w:p>
          <w:p w14:paraId="750CB1EE" w14:textId="77777777" w:rsidR="002E43F7" w:rsidRPr="008771A8" w:rsidRDefault="002E43F7" w:rsidP="002E43F7">
            <w:pPr>
              <w:rPr>
                <w:color w:val="002957"/>
                <w:sz w:val="17"/>
                <w:szCs w:val="17"/>
              </w:rPr>
            </w:pPr>
          </w:p>
          <w:p w14:paraId="2EBB24E3" w14:textId="77777777" w:rsidR="002E43F7" w:rsidRPr="008771A8" w:rsidRDefault="002E43F7" w:rsidP="002E43F7">
            <w:pPr>
              <w:autoSpaceDE w:val="0"/>
              <w:autoSpaceDN w:val="0"/>
              <w:adjustRightInd w:val="0"/>
              <w:jc w:val="both"/>
              <w:rPr>
                <w:i/>
                <w:sz w:val="17"/>
                <w:szCs w:val="17"/>
                <w:u w:val="single"/>
              </w:rPr>
            </w:pPr>
            <w:r w:rsidRPr="008771A8">
              <w:rPr>
                <w:i/>
                <w:sz w:val="17"/>
                <w:szCs w:val="17"/>
                <w:u w:val="single"/>
              </w:rPr>
              <w:t>Summary of discussions:</w:t>
            </w:r>
          </w:p>
          <w:p w14:paraId="237D0FB4" w14:textId="29088544" w:rsidR="002E43F7" w:rsidRPr="008771A8" w:rsidRDefault="005B25E4" w:rsidP="002E43F7">
            <w:pPr>
              <w:numPr>
                <w:ilvl w:val="0"/>
                <w:numId w:val="1"/>
              </w:numPr>
              <w:autoSpaceDE w:val="0"/>
              <w:autoSpaceDN w:val="0"/>
              <w:adjustRightInd w:val="0"/>
              <w:jc w:val="both"/>
              <w:rPr>
                <w:sz w:val="17"/>
                <w:szCs w:val="17"/>
              </w:rPr>
            </w:pPr>
            <w:r>
              <w:rPr>
                <w:sz w:val="17"/>
                <w:szCs w:val="17"/>
              </w:rPr>
              <w:t>Meeting with European Commission</w:t>
            </w:r>
          </w:p>
          <w:p w14:paraId="02525451" w14:textId="3AE01A4C" w:rsidR="005B25E4" w:rsidRDefault="00770A98" w:rsidP="005B25E4">
            <w:pPr>
              <w:pStyle w:val="Default"/>
              <w:numPr>
                <w:ilvl w:val="0"/>
                <w:numId w:val="5"/>
              </w:numPr>
              <w:spacing w:line="276" w:lineRule="auto"/>
              <w:jc w:val="both"/>
              <w:rPr>
                <w:color w:val="auto"/>
                <w:sz w:val="17"/>
                <w:szCs w:val="17"/>
              </w:rPr>
            </w:pPr>
            <w:r>
              <w:rPr>
                <w:color w:val="auto"/>
                <w:sz w:val="17"/>
                <w:szCs w:val="17"/>
              </w:rPr>
              <w:t xml:space="preserve">The secretariat </w:t>
            </w:r>
            <w:r w:rsidR="00C80E46">
              <w:rPr>
                <w:color w:val="auto"/>
                <w:sz w:val="17"/>
                <w:szCs w:val="17"/>
              </w:rPr>
              <w:t xml:space="preserve">updated members </w:t>
            </w:r>
            <w:r>
              <w:rPr>
                <w:color w:val="auto"/>
                <w:sz w:val="17"/>
                <w:szCs w:val="17"/>
              </w:rPr>
              <w:t xml:space="preserve">on the </w:t>
            </w:r>
            <w:r w:rsidR="00E94BC0">
              <w:rPr>
                <w:color w:val="auto"/>
                <w:sz w:val="17"/>
                <w:szCs w:val="17"/>
              </w:rPr>
              <w:t xml:space="preserve">recent </w:t>
            </w:r>
            <w:r>
              <w:rPr>
                <w:color w:val="auto"/>
                <w:sz w:val="17"/>
                <w:szCs w:val="17"/>
              </w:rPr>
              <w:t xml:space="preserve">meeting it had with </w:t>
            </w:r>
            <w:r w:rsidR="00B14632">
              <w:rPr>
                <w:color w:val="auto"/>
                <w:sz w:val="17"/>
                <w:szCs w:val="17"/>
              </w:rPr>
              <w:t>Olivier Guersent</w:t>
            </w:r>
            <w:r w:rsidR="00E94BC0">
              <w:rPr>
                <w:color w:val="auto"/>
                <w:sz w:val="17"/>
                <w:szCs w:val="17"/>
              </w:rPr>
              <w:t xml:space="preserve"> (EC)</w:t>
            </w:r>
            <w:r w:rsidR="000020CD">
              <w:rPr>
                <w:color w:val="auto"/>
                <w:sz w:val="17"/>
                <w:szCs w:val="17"/>
              </w:rPr>
              <w:t>.</w:t>
            </w:r>
          </w:p>
          <w:p w14:paraId="172625D3" w14:textId="6164D6F1" w:rsidR="005B25E4" w:rsidRPr="005B25E4" w:rsidRDefault="005B25E4" w:rsidP="005B25E4">
            <w:pPr>
              <w:pStyle w:val="Default"/>
              <w:numPr>
                <w:ilvl w:val="0"/>
                <w:numId w:val="5"/>
              </w:numPr>
              <w:spacing w:line="276" w:lineRule="auto"/>
              <w:jc w:val="both"/>
              <w:rPr>
                <w:color w:val="auto"/>
                <w:sz w:val="17"/>
                <w:szCs w:val="17"/>
              </w:rPr>
            </w:pPr>
            <w:r>
              <w:rPr>
                <w:color w:val="auto"/>
                <w:sz w:val="17"/>
                <w:szCs w:val="17"/>
              </w:rPr>
              <w:t xml:space="preserve">As indicated in the Commission’s response to the UFR letter, the Commission is not foreseeing to go against EIOPA’s arguments. These arguments are the consensus of EIOPA’s BoS in approving the decision for the change in the UFR methodology and the limited impact shown in the impact assessment. </w:t>
            </w:r>
          </w:p>
          <w:p w14:paraId="66B2AB2E" w14:textId="154BE110" w:rsidR="009A62FC" w:rsidRDefault="00367E9F" w:rsidP="009A62FC">
            <w:pPr>
              <w:pStyle w:val="Default"/>
              <w:numPr>
                <w:ilvl w:val="0"/>
                <w:numId w:val="5"/>
              </w:numPr>
              <w:spacing w:line="276" w:lineRule="auto"/>
              <w:jc w:val="both"/>
              <w:rPr>
                <w:color w:val="auto"/>
                <w:sz w:val="17"/>
                <w:szCs w:val="17"/>
              </w:rPr>
            </w:pPr>
            <w:r>
              <w:rPr>
                <w:color w:val="auto"/>
                <w:sz w:val="17"/>
                <w:szCs w:val="17"/>
              </w:rPr>
              <w:t xml:space="preserve">In the </w:t>
            </w:r>
            <w:r w:rsidR="00972B4E">
              <w:rPr>
                <w:color w:val="auto"/>
                <w:sz w:val="17"/>
                <w:szCs w:val="17"/>
              </w:rPr>
              <w:t>meeting,</w:t>
            </w:r>
            <w:r>
              <w:rPr>
                <w:color w:val="auto"/>
                <w:sz w:val="17"/>
                <w:szCs w:val="17"/>
              </w:rPr>
              <w:t xml:space="preserve"> the </w:t>
            </w:r>
            <w:r w:rsidRPr="009A62FC">
              <w:rPr>
                <w:color w:val="auto"/>
                <w:sz w:val="17"/>
                <w:szCs w:val="17"/>
                <w:lang w:val="en-GB"/>
              </w:rPr>
              <w:t xml:space="preserve">key concerns </w:t>
            </w:r>
            <w:r>
              <w:rPr>
                <w:color w:val="auto"/>
                <w:sz w:val="17"/>
                <w:szCs w:val="17"/>
              </w:rPr>
              <w:t xml:space="preserve">regarding </w:t>
            </w:r>
            <w:r w:rsidR="00633338">
              <w:rPr>
                <w:color w:val="auto"/>
                <w:sz w:val="17"/>
                <w:szCs w:val="17"/>
              </w:rPr>
              <w:t>Solvency II</w:t>
            </w:r>
            <w:r>
              <w:rPr>
                <w:color w:val="auto"/>
                <w:sz w:val="17"/>
                <w:szCs w:val="17"/>
                <w:lang w:val="en-GB"/>
              </w:rPr>
              <w:t xml:space="preserve"> addressed in the </w:t>
            </w:r>
            <w:r w:rsidR="00633338">
              <w:rPr>
                <w:color w:val="auto"/>
                <w:sz w:val="17"/>
                <w:szCs w:val="17"/>
                <w:lang w:val="en-GB"/>
              </w:rPr>
              <w:t>Solvency II</w:t>
            </w:r>
            <w:r>
              <w:rPr>
                <w:color w:val="auto"/>
                <w:sz w:val="17"/>
                <w:szCs w:val="17"/>
                <w:lang w:val="en-GB"/>
              </w:rPr>
              <w:t xml:space="preserve"> issues letter </w:t>
            </w:r>
            <w:r w:rsidR="00633338">
              <w:rPr>
                <w:color w:val="auto"/>
                <w:sz w:val="17"/>
                <w:szCs w:val="17"/>
                <w:lang w:val="en-GB"/>
              </w:rPr>
              <w:t xml:space="preserve">were </w:t>
            </w:r>
            <w:r>
              <w:rPr>
                <w:color w:val="auto"/>
                <w:sz w:val="17"/>
                <w:szCs w:val="17"/>
              </w:rPr>
              <w:t xml:space="preserve">brought to </w:t>
            </w:r>
            <w:r w:rsidR="00E94BC0">
              <w:rPr>
                <w:color w:val="auto"/>
                <w:sz w:val="17"/>
                <w:szCs w:val="17"/>
              </w:rPr>
              <w:t xml:space="preserve">the </w:t>
            </w:r>
            <w:r>
              <w:rPr>
                <w:color w:val="auto"/>
                <w:sz w:val="17"/>
                <w:szCs w:val="17"/>
              </w:rPr>
              <w:t>attention</w:t>
            </w:r>
            <w:r w:rsidR="00633338">
              <w:rPr>
                <w:color w:val="auto"/>
                <w:sz w:val="17"/>
                <w:szCs w:val="17"/>
              </w:rPr>
              <w:t xml:space="preserve"> of</w:t>
            </w:r>
            <w:r>
              <w:rPr>
                <w:color w:val="auto"/>
                <w:sz w:val="17"/>
                <w:szCs w:val="17"/>
              </w:rPr>
              <w:t xml:space="preserve"> the </w:t>
            </w:r>
            <w:r w:rsidR="00633338">
              <w:rPr>
                <w:color w:val="auto"/>
                <w:sz w:val="17"/>
                <w:szCs w:val="17"/>
              </w:rPr>
              <w:t>Commission</w:t>
            </w:r>
            <w:r>
              <w:rPr>
                <w:color w:val="auto"/>
                <w:sz w:val="17"/>
                <w:szCs w:val="17"/>
                <w:lang w:val="en-GB"/>
              </w:rPr>
              <w:t xml:space="preserve">. </w:t>
            </w:r>
            <w:r>
              <w:rPr>
                <w:color w:val="auto"/>
                <w:sz w:val="17"/>
                <w:szCs w:val="17"/>
              </w:rPr>
              <w:t xml:space="preserve">These concerns </w:t>
            </w:r>
            <w:r w:rsidR="00E61A85">
              <w:rPr>
                <w:color w:val="auto"/>
                <w:sz w:val="17"/>
                <w:szCs w:val="17"/>
              </w:rPr>
              <w:t>included</w:t>
            </w:r>
            <w:r>
              <w:rPr>
                <w:color w:val="auto"/>
                <w:sz w:val="17"/>
                <w:szCs w:val="17"/>
              </w:rPr>
              <w:t xml:space="preserve"> valuation, risk margin, proportionality. Unfortunately, t</w:t>
            </w:r>
            <w:r w:rsidR="009A62FC">
              <w:rPr>
                <w:color w:val="auto"/>
                <w:sz w:val="17"/>
                <w:szCs w:val="17"/>
              </w:rPr>
              <w:t xml:space="preserve">he </w:t>
            </w:r>
            <w:r w:rsidR="005B25E4">
              <w:rPr>
                <w:color w:val="auto"/>
                <w:sz w:val="17"/>
                <w:szCs w:val="17"/>
              </w:rPr>
              <w:t>C</w:t>
            </w:r>
            <w:r w:rsidR="009A62FC">
              <w:rPr>
                <w:color w:val="auto"/>
                <w:sz w:val="17"/>
                <w:szCs w:val="17"/>
              </w:rPr>
              <w:t xml:space="preserve">ommission </w:t>
            </w:r>
            <w:r w:rsidR="005B25E4">
              <w:rPr>
                <w:color w:val="auto"/>
                <w:sz w:val="17"/>
                <w:szCs w:val="17"/>
              </w:rPr>
              <w:t xml:space="preserve">was </w:t>
            </w:r>
            <w:r w:rsidR="00EE783C">
              <w:rPr>
                <w:color w:val="auto"/>
                <w:sz w:val="17"/>
                <w:szCs w:val="17"/>
              </w:rPr>
              <w:t>resistant</w:t>
            </w:r>
            <w:r w:rsidR="005B25E4">
              <w:rPr>
                <w:color w:val="auto"/>
                <w:sz w:val="17"/>
                <w:szCs w:val="17"/>
              </w:rPr>
              <w:t xml:space="preserve"> to </w:t>
            </w:r>
            <w:r w:rsidR="009A62FC">
              <w:rPr>
                <w:color w:val="auto"/>
                <w:sz w:val="17"/>
                <w:szCs w:val="17"/>
              </w:rPr>
              <w:t>most issues the secretariat brought up</w:t>
            </w:r>
            <w:r w:rsidR="005B25E4">
              <w:rPr>
                <w:color w:val="auto"/>
                <w:sz w:val="17"/>
                <w:szCs w:val="17"/>
              </w:rPr>
              <w:t xml:space="preserve">, </w:t>
            </w:r>
            <w:r w:rsidR="00E61A85">
              <w:rPr>
                <w:color w:val="auto"/>
                <w:sz w:val="17"/>
                <w:szCs w:val="17"/>
              </w:rPr>
              <w:t>noting that</w:t>
            </w:r>
            <w:r w:rsidR="005B25E4">
              <w:rPr>
                <w:color w:val="auto"/>
                <w:sz w:val="17"/>
                <w:szCs w:val="17"/>
              </w:rPr>
              <w:t xml:space="preserve"> </w:t>
            </w:r>
            <w:r w:rsidR="00E25C21">
              <w:rPr>
                <w:color w:val="auto"/>
                <w:sz w:val="17"/>
                <w:szCs w:val="17"/>
              </w:rPr>
              <w:t>in</w:t>
            </w:r>
            <w:r w:rsidR="009A62FC">
              <w:rPr>
                <w:color w:val="auto"/>
                <w:sz w:val="17"/>
                <w:szCs w:val="17"/>
              </w:rPr>
              <w:t>sufficient proof was provided</w:t>
            </w:r>
            <w:r w:rsidR="00E61A85">
              <w:rPr>
                <w:color w:val="auto"/>
                <w:sz w:val="17"/>
                <w:szCs w:val="17"/>
              </w:rPr>
              <w:t xml:space="preserve"> and</w:t>
            </w:r>
            <w:r w:rsidR="009A62FC">
              <w:rPr>
                <w:color w:val="auto"/>
                <w:sz w:val="17"/>
                <w:szCs w:val="17"/>
              </w:rPr>
              <w:t xml:space="preserve"> the issues raised belong to the 2020 review. </w:t>
            </w:r>
            <w:r w:rsidR="00E61A85">
              <w:rPr>
                <w:color w:val="auto"/>
                <w:sz w:val="17"/>
                <w:szCs w:val="17"/>
              </w:rPr>
              <w:t>On</w:t>
            </w:r>
            <w:r w:rsidR="00972B4E">
              <w:rPr>
                <w:color w:val="auto"/>
                <w:sz w:val="17"/>
                <w:szCs w:val="17"/>
              </w:rPr>
              <w:t xml:space="preserve"> the risk margin</w:t>
            </w:r>
            <w:r w:rsidR="00E61A85">
              <w:rPr>
                <w:color w:val="auto"/>
                <w:sz w:val="17"/>
                <w:szCs w:val="17"/>
              </w:rPr>
              <w:t>, Olivier Guersent appeared to be surprised when confronted with data showing that the RM is an issue of relevance for more than the UK</w:t>
            </w:r>
            <w:r w:rsidR="00972B4E">
              <w:rPr>
                <w:color w:val="auto"/>
                <w:sz w:val="17"/>
                <w:szCs w:val="17"/>
              </w:rPr>
              <w:t xml:space="preserve">. </w:t>
            </w:r>
          </w:p>
          <w:p w14:paraId="04E1D54E" w14:textId="564A11F3" w:rsidR="00247F4B" w:rsidRPr="0056529E" w:rsidRDefault="000E5086" w:rsidP="0056529E">
            <w:pPr>
              <w:pStyle w:val="Default"/>
              <w:numPr>
                <w:ilvl w:val="0"/>
                <w:numId w:val="5"/>
              </w:numPr>
              <w:spacing w:line="276" w:lineRule="auto"/>
              <w:jc w:val="both"/>
              <w:rPr>
                <w:color w:val="auto"/>
                <w:sz w:val="17"/>
                <w:szCs w:val="17"/>
              </w:rPr>
            </w:pPr>
            <w:r>
              <w:rPr>
                <w:color w:val="auto"/>
                <w:sz w:val="17"/>
                <w:szCs w:val="17"/>
              </w:rPr>
              <w:t xml:space="preserve">The </w:t>
            </w:r>
            <w:r w:rsidR="00247F4B">
              <w:rPr>
                <w:color w:val="auto"/>
                <w:sz w:val="17"/>
                <w:szCs w:val="17"/>
              </w:rPr>
              <w:t>VVO remarked that in the last Ecofin of 31 May two different readings of the response of Commissioner Dombrovskis to the UFR letter were mentioned. The secretariat commented that so far it has only received indication that the UFR will be changed as proposed by EIOPA</w:t>
            </w:r>
            <w:r w:rsidR="00247F4B" w:rsidRPr="005C5E67">
              <w:rPr>
                <w:color w:val="auto"/>
                <w:sz w:val="17"/>
                <w:szCs w:val="17"/>
              </w:rPr>
              <w:t xml:space="preserve">. </w:t>
            </w:r>
          </w:p>
          <w:p w14:paraId="2FD58ECA" w14:textId="491790C5" w:rsidR="009A62FC" w:rsidRDefault="00633338" w:rsidP="009A62FC">
            <w:pPr>
              <w:pStyle w:val="Default"/>
              <w:numPr>
                <w:ilvl w:val="0"/>
                <w:numId w:val="5"/>
              </w:numPr>
              <w:spacing w:line="276" w:lineRule="auto"/>
              <w:jc w:val="both"/>
              <w:rPr>
                <w:color w:val="auto"/>
                <w:sz w:val="17"/>
                <w:szCs w:val="17"/>
              </w:rPr>
            </w:pPr>
            <w:r>
              <w:rPr>
                <w:color w:val="auto"/>
                <w:sz w:val="17"/>
                <w:szCs w:val="17"/>
              </w:rPr>
              <w:t>On</w:t>
            </w:r>
            <w:r w:rsidR="00972B4E">
              <w:rPr>
                <w:color w:val="auto"/>
                <w:sz w:val="17"/>
                <w:szCs w:val="17"/>
              </w:rPr>
              <w:t xml:space="preserve"> the equity proposal</w:t>
            </w:r>
            <w:r w:rsidR="00EE783C">
              <w:rPr>
                <w:color w:val="auto"/>
                <w:sz w:val="17"/>
                <w:szCs w:val="17"/>
              </w:rPr>
              <w:t>,</w:t>
            </w:r>
            <w:r w:rsidR="00972B4E">
              <w:rPr>
                <w:color w:val="auto"/>
                <w:sz w:val="17"/>
                <w:szCs w:val="17"/>
              </w:rPr>
              <w:t xml:space="preserve"> </w:t>
            </w:r>
            <w:r>
              <w:rPr>
                <w:color w:val="auto"/>
                <w:sz w:val="17"/>
                <w:szCs w:val="17"/>
              </w:rPr>
              <w:t>t</w:t>
            </w:r>
            <w:r w:rsidR="00972B4E">
              <w:rPr>
                <w:color w:val="auto"/>
                <w:sz w:val="17"/>
                <w:szCs w:val="17"/>
              </w:rPr>
              <w:t xml:space="preserve">he Commission </w:t>
            </w:r>
            <w:r w:rsidR="00E61A85">
              <w:rPr>
                <w:color w:val="auto"/>
                <w:sz w:val="17"/>
                <w:szCs w:val="17"/>
              </w:rPr>
              <w:t>referred to the CMU action plan</w:t>
            </w:r>
            <w:r w:rsidR="00972B4E">
              <w:rPr>
                <w:color w:val="auto"/>
                <w:sz w:val="17"/>
                <w:szCs w:val="17"/>
              </w:rPr>
              <w:t xml:space="preserve"> </w:t>
            </w:r>
            <w:r w:rsidR="00247F4B">
              <w:rPr>
                <w:color w:val="auto"/>
                <w:sz w:val="17"/>
                <w:szCs w:val="17"/>
              </w:rPr>
              <w:t>and referred to the study that would b</w:t>
            </w:r>
            <w:r w:rsidR="00E25C21">
              <w:rPr>
                <w:color w:val="auto"/>
                <w:sz w:val="17"/>
                <w:szCs w:val="17"/>
              </w:rPr>
              <w:t>e launched this year and finalis</w:t>
            </w:r>
            <w:r w:rsidR="00247F4B">
              <w:rPr>
                <w:color w:val="auto"/>
                <w:sz w:val="17"/>
                <w:szCs w:val="17"/>
              </w:rPr>
              <w:t>ed by end-2018</w:t>
            </w:r>
            <w:r w:rsidR="00972B4E">
              <w:rPr>
                <w:color w:val="auto"/>
                <w:sz w:val="17"/>
                <w:szCs w:val="17"/>
              </w:rPr>
              <w:t xml:space="preserve">. Based on the outcomes of this study action will be taken, </w:t>
            </w:r>
            <w:r>
              <w:rPr>
                <w:color w:val="auto"/>
                <w:sz w:val="17"/>
                <w:szCs w:val="17"/>
              </w:rPr>
              <w:t>implying</w:t>
            </w:r>
            <w:r w:rsidR="00972B4E">
              <w:rPr>
                <w:color w:val="auto"/>
                <w:sz w:val="17"/>
                <w:szCs w:val="17"/>
              </w:rPr>
              <w:t xml:space="preserve"> that the equity proposal will be considered for the 2020 review. </w:t>
            </w:r>
          </w:p>
          <w:p w14:paraId="420C6F29" w14:textId="5BED90F6" w:rsidR="002E43F7" w:rsidRPr="0006102F" w:rsidRDefault="00972B4E" w:rsidP="002E43F7">
            <w:pPr>
              <w:pStyle w:val="Default"/>
              <w:numPr>
                <w:ilvl w:val="0"/>
                <w:numId w:val="5"/>
              </w:numPr>
              <w:spacing w:line="276" w:lineRule="auto"/>
              <w:jc w:val="both"/>
              <w:rPr>
                <w:color w:val="auto"/>
                <w:sz w:val="17"/>
                <w:szCs w:val="17"/>
              </w:rPr>
            </w:pPr>
            <w:r>
              <w:rPr>
                <w:color w:val="auto"/>
                <w:sz w:val="17"/>
                <w:szCs w:val="17"/>
              </w:rPr>
              <w:t xml:space="preserve">On the expert group, the </w:t>
            </w:r>
            <w:r w:rsidR="00C0554F">
              <w:rPr>
                <w:color w:val="auto"/>
                <w:sz w:val="17"/>
                <w:szCs w:val="17"/>
              </w:rPr>
              <w:t>C</w:t>
            </w:r>
            <w:r>
              <w:rPr>
                <w:color w:val="auto"/>
                <w:sz w:val="17"/>
                <w:szCs w:val="17"/>
              </w:rPr>
              <w:t xml:space="preserve">ommission noted that an expert group is intended to assess ideas as opposed to developing ideas. </w:t>
            </w:r>
            <w:r w:rsidR="00633338">
              <w:rPr>
                <w:color w:val="auto"/>
                <w:sz w:val="17"/>
                <w:szCs w:val="17"/>
              </w:rPr>
              <w:t>The secretariat noted that i</w:t>
            </w:r>
            <w:r>
              <w:rPr>
                <w:color w:val="auto"/>
                <w:sz w:val="17"/>
                <w:szCs w:val="17"/>
              </w:rPr>
              <w:t xml:space="preserve">n a call last week EIOPA highlighted that in preparation </w:t>
            </w:r>
            <w:r w:rsidR="00247F4B">
              <w:rPr>
                <w:color w:val="auto"/>
                <w:sz w:val="17"/>
                <w:szCs w:val="17"/>
              </w:rPr>
              <w:t>for</w:t>
            </w:r>
            <w:r>
              <w:rPr>
                <w:color w:val="auto"/>
                <w:sz w:val="17"/>
                <w:szCs w:val="17"/>
              </w:rPr>
              <w:t xml:space="preserve"> the 2020 review EIOPA has a mandate to run in total </w:t>
            </w:r>
            <w:r w:rsidR="00633338">
              <w:rPr>
                <w:color w:val="auto"/>
                <w:sz w:val="17"/>
                <w:szCs w:val="17"/>
              </w:rPr>
              <w:t>five</w:t>
            </w:r>
            <w:r>
              <w:rPr>
                <w:color w:val="auto"/>
                <w:sz w:val="17"/>
                <w:szCs w:val="17"/>
              </w:rPr>
              <w:t xml:space="preserve"> LTG reports. From these five reports, </w:t>
            </w:r>
            <w:r w:rsidR="00633338">
              <w:rPr>
                <w:color w:val="auto"/>
                <w:sz w:val="17"/>
                <w:szCs w:val="17"/>
              </w:rPr>
              <w:t>three reports</w:t>
            </w:r>
            <w:r>
              <w:rPr>
                <w:color w:val="auto"/>
                <w:sz w:val="17"/>
                <w:szCs w:val="17"/>
              </w:rPr>
              <w:t xml:space="preserve"> will be used for </w:t>
            </w:r>
            <w:r w:rsidR="00057FD2">
              <w:rPr>
                <w:color w:val="auto"/>
                <w:sz w:val="17"/>
                <w:szCs w:val="17"/>
              </w:rPr>
              <w:t>testing and in the last two iterations EIOPA will come forward with proposals for the 2020 review. This implies that if the Insurance Europe wants to be ahead of EIOPA</w:t>
            </w:r>
            <w:r w:rsidR="00633338">
              <w:rPr>
                <w:color w:val="auto"/>
                <w:sz w:val="17"/>
                <w:szCs w:val="17"/>
              </w:rPr>
              <w:t>,</w:t>
            </w:r>
            <w:r w:rsidR="00057FD2">
              <w:rPr>
                <w:color w:val="auto"/>
                <w:sz w:val="17"/>
                <w:szCs w:val="17"/>
              </w:rPr>
              <w:t xml:space="preserve"> proposals </w:t>
            </w:r>
            <w:r w:rsidR="00633338">
              <w:rPr>
                <w:color w:val="auto"/>
                <w:sz w:val="17"/>
                <w:szCs w:val="17"/>
              </w:rPr>
              <w:t xml:space="preserve">will </w:t>
            </w:r>
            <w:r w:rsidR="00057FD2">
              <w:rPr>
                <w:color w:val="auto"/>
                <w:sz w:val="17"/>
                <w:szCs w:val="17"/>
              </w:rPr>
              <w:t xml:space="preserve">have to be </w:t>
            </w:r>
            <w:r w:rsidR="00247F4B">
              <w:rPr>
                <w:color w:val="auto"/>
                <w:sz w:val="17"/>
                <w:szCs w:val="17"/>
              </w:rPr>
              <w:t xml:space="preserve">developed </w:t>
            </w:r>
            <w:r w:rsidR="00057FD2">
              <w:rPr>
                <w:color w:val="auto"/>
                <w:sz w:val="17"/>
                <w:szCs w:val="17"/>
              </w:rPr>
              <w:t xml:space="preserve">in </w:t>
            </w:r>
            <w:r w:rsidR="00247F4B">
              <w:rPr>
                <w:color w:val="auto"/>
                <w:sz w:val="17"/>
                <w:szCs w:val="17"/>
              </w:rPr>
              <w:t xml:space="preserve">2017 and </w:t>
            </w:r>
            <w:r w:rsidR="00057FD2">
              <w:rPr>
                <w:color w:val="auto"/>
                <w:sz w:val="17"/>
                <w:szCs w:val="17"/>
              </w:rPr>
              <w:t xml:space="preserve">2018. </w:t>
            </w:r>
          </w:p>
          <w:p w14:paraId="58B253E7" w14:textId="43DF09E7" w:rsidR="00633338" w:rsidRDefault="00633338" w:rsidP="00633338">
            <w:pPr>
              <w:pStyle w:val="Default"/>
              <w:numPr>
                <w:ilvl w:val="0"/>
                <w:numId w:val="5"/>
              </w:numPr>
              <w:spacing w:line="276" w:lineRule="auto"/>
              <w:jc w:val="both"/>
              <w:rPr>
                <w:color w:val="auto"/>
                <w:sz w:val="17"/>
                <w:szCs w:val="17"/>
              </w:rPr>
            </w:pPr>
            <w:r>
              <w:rPr>
                <w:color w:val="auto"/>
                <w:sz w:val="17"/>
                <w:szCs w:val="17"/>
              </w:rPr>
              <w:t xml:space="preserve">The </w:t>
            </w:r>
            <w:r w:rsidR="00EE783C">
              <w:rPr>
                <w:color w:val="auto"/>
                <w:sz w:val="17"/>
                <w:szCs w:val="17"/>
              </w:rPr>
              <w:t>C</w:t>
            </w:r>
            <w:r>
              <w:rPr>
                <w:color w:val="auto"/>
                <w:sz w:val="17"/>
                <w:szCs w:val="17"/>
              </w:rPr>
              <w:t>ommission seems to consider proportionality more as a</w:t>
            </w:r>
            <w:r w:rsidR="00823E92">
              <w:rPr>
                <w:color w:val="auto"/>
                <w:sz w:val="17"/>
                <w:szCs w:val="17"/>
              </w:rPr>
              <w:t>n individual</w:t>
            </w:r>
            <w:r>
              <w:rPr>
                <w:color w:val="auto"/>
                <w:sz w:val="17"/>
                <w:szCs w:val="17"/>
              </w:rPr>
              <w:t xml:space="preserve"> member state issue. However</w:t>
            </w:r>
            <w:r w:rsidR="00823E92">
              <w:rPr>
                <w:color w:val="auto"/>
                <w:sz w:val="17"/>
                <w:szCs w:val="17"/>
              </w:rPr>
              <w:t>,</w:t>
            </w:r>
            <w:r w:rsidR="000243A6">
              <w:rPr>
                <w:color w:val="auto"/>
                <w:sz w:val="17"/>
                <w:szCs w:val="17"/>
              </w:rPr>
              <w:t xml:space="preserve"> country specific</w:t>
            </w:r>
            <w:r>
              <w:rPr>
                <w:color w:val="auto"/>
                <w:sz w:val="17"/>
                <w:szCs w:val="17"/>
              </w:rPr>
              <w:t xml:space="preserve"> examples can be discussed with member states. The Commission specifically </w:t>
            </w:r>
            <w:r w:rsidR="000243A6">
              <w:rPr>
                <w:color w:val="auto"/>
                <w:sz w:val="17"/>
                <w:szCs w:val="17"/>
              </w:rPr>
              <w:t>requested</w:t>
            </w:r>
            <w:r>
              <w:rPr>
                <w:color w:val="auto"/>
                <w:sz w:val="17"/>
                <w:szCs w:val="17"/>
              </w:rPr>
              <w:t xml:space="preserve"> proposals </w:t>
            </w:r>
            <w:r w:rsidR="000243A6">
              <w:rPr>
                <w:color w:val="auto"/>
                <w:sz w:val="17"/>
                <w:szCs w:val="17"/>
              </w:rPr>
              <w:t xml:space="preserve">on </w:t>
            </w:r>
            <w:r>
              <w:rPr>
                <w:color w:val="auto"/>
                <w:sz w:val="17"/>
                <w:szCs w:val="17"/>
              </w:rPr>
              <w:t xml:space="preserve">how the Delegated </w:t>
            </w:r>
            <w:r w:rsidR="00247F4B">
              <w:rPr>
                <w:color w:val="auto"/>
                <w:sz w:val="17"/>
                <w:szCs w:val="17"/>
              </w:rPr>
              <w:t xml:space="preserve">Regulation </w:t>
            </w:r>
            <w:r>
              <w:rPr>
                <w:color w:val="auto"/>
                <w:sz w:val="17"/>
                <w:szCs w:val="17"/>
              </w:rPr>
              <w:t>could be changed in order to address proportionality</w:t>
            </w:r>
            <w:r w:rsidR="00F71EE8">
              <w:rPr>
                <w:color w:val="auto"/>
                <w:sz w:val="17"/>
                <w:szCs w:val="17"/>
              </w:rPr>
              <w:t>.</w:t>
            </w:r>
            <w:r>
              <w:rPr>
                <w:color w:val="auto"/>
                <w:sz w:val="17"/>
                <w:szCs w:val="17"/>
              </w:rPr>
              <w:t xml:space="preserve"> </w:t>
            </w:r>
            <w:r w:rsidR="000243A6">
              <w:rPr>
                <w:color w:val="auto"/>
                <w:sz w:val="17"/>
                <w:szCs w:val="17"/>
              </w:rPr>
              <w:t xml:space="preserve">They </w:t>
            </w:r>
            <w:r>
              <w:rPr>
                <w:color w:val="auto"/>
                <w:sz w:val="17"/>
                <w:szCs w:val="17"/>
              </w:rPr>
              <w:t xml:space="preserve">seem to be open to address proportionality, but do not have the right tools at </w:t>
            </w:r>
            <w:r w:rsidR="000243A6">
              <w:rPr>
                <w:color w:val="auto"/>
                <w:sz w:val="17"/>
                <w:szCs w:val="17"/>
              </w:rPr>
              <w:t>their</w:t>
            </w:r>
            <w:r>
              <w:rPr>
                <w:color w:val="auto"/>
                <w:sz w:val="17"/>
                <w:szCs w:val="17"/>
              </w:rPr>
              <w:t xml:space="preserve"> disposal. </w:t>
            </w:r>
          </w:p>
          <w:p w14:paraId="1B3D4D32" w14:textId="68C696D6" w:rsidR="000B1C76" w:rsidRDefault="00057FD2" w:rsidP="000B1C76">
            <w:pPr>
              <w:pStyle w:val="Default"/>
              <w:numPr>
                <w:ilvl w:val="0"/>
                <w:numId w:val="5"/>
              </w:numPr>
              <w:spacing w:line="276" w:lineRule="auto"/>
              <w:jc w:val="both"/>
              <w:rPr>
                <w:color w:val="auto"/>
                <w:sz w:val="17"/>
                <w:szCs w:val="17"/>
              </w:rPr>
            </w:pPr>
            <w:r>
              <w:rPr>
                <w:color w:val="auto"/>
                <w:sz w:val="17"/>
                <w:szCs w:val="17"/>
              </w:rPr>
              <w:t xml:space="preserve">Assuralia mentioned that their members were surprised that UFR will be only reported based on the new methodology as from Q1 2018, and not earlier. </w:t>
            </w:r>
          </w:p>
          <w:p w14:paraId="1EC89DA9" w14:textId="642970FC" w:rsidR="00057FD2" w:rsidRDefault="000E5086" w:rsidP="000B1C76">
            <w:pPr>
              <w:pStyle w:val="Default"/>
              <w:numPr>
                <w:ilvl w:val="0"/>
                <w:numId w:val="5"/>
              </w:numPr>
              <w:spacing w:line="276" w:lineRule="auto"/>
              <w:jc w:val="both"/>
              <w:rPr>
                <w:color w:val="auto"/>
                <w:sz w:val="17"/>
                <w:szCs w:val="17"/>
              </w:rPr>
            </w:pPr>
            <w:r>
              <w:rPr>
                <w:color w:val="auto"/>
                <w:sz w:val="17"/>
                <w:szCs w:val="17"/>
              </w:rPr>
              <w:t xml:space="preserve">The </w:t>
            </w:r>
            <w:r w:rsidR="00057FD2">
              <w:rPr>
                <w:color w:val="auto"/>
                <w:sz w:val="17"/>
                <w:szCs w:val="17"/>
              </w:rPr>
              <w:t xml:space="preserve">ABI thanked the secretariat for </w:t>
            </w:r>
            <w:r w:rsidR="00247F4B">
              <w:rPr>
                <w:color w:val="auto"/>
                <w:sz w:val="17"/>
                <w:szCs w:val="17"/>
              </w:rPr>
              <w:t>its recent engagement efforts</w:t>
            </w:r>
            <w:r w:rsidR="00057FD2">
              <w:rPr>
                <w:color w:val="auto"/>
                <w:sz w:val="17"/>
                <w:szCs w:val="17"/>
              </w:rPr>
              <w:t xml:space="preserve">. </w:t>
            </w:r>
          </w:p>
          <w:p w14:paraId="60F87F1E" w14:textId="1BCEEC6F" w:rsidR="00417947" w:rsidRDefault="00CF527A" w:rsidP="000B1C76">
            <w:pPr>
              <w:pStyle w:val="Default"/>
              <w:numPr>
                <w:ilvl w:val="0"/>
                <w:numId w:val="5"/>
              </w:numPr>
              <w:spacing w:line="276" w:lineRule="auto"/>
              <w:jc w:val="both"/>
              <w:rPr>
                <w:color w:val="auto"/>
                <w:sz w:val="17"/>
                <w:szCs w:val="17"/>
              </w:rPr>
            </w:pPr>
            <w:r>
              <w:rPr>
                <w:color w:val="auto"/>
                <w:sz w:val="17"/>
                <w:szCs w:val="17"/>
              </w:rPr>
              <w:t xml:space="preserve">ANIA </w:t>
            </w:r>
            <w:r w:rsidR="00247F4B">
              <w:rPr>
                <w:color w:val="auto"/>
                <w:sz w:val="17"/>
                <w:szCs w:val="17"/>
              </w:rPr>
              <w:t xml:space="preserve">noted that it </w:t>
            </w:r>
            <w:r>
              <w:rPr>
                <w:color w:val="auto"/>
                <w:sz w:val="17"/>
                <w:szCs w:val="17"/>
              </w:rPr>
              <w:t xml:space="preserve">is working on a </w:t>
            </w:r>
            <w:r w:rsidR="00247F4B">
              <w:rPr>
                <w:color w:val="auto"/>
                <w:sz w:val="17"/>
                <w:szCs w:val="17"/>
              </w:rPr>
              <w:t xml:space="preserve">study </w:t>
            </w:r>
            <w:r>
              <w:rPr>
                <w:color w:val="auto"/>
                <w:sz w:val="17"/>
                <w:szCs w:val="17"/>
              </w:rPr>
              <w:t>on proportionality</w:t>
            </w:r>
            <w:r w:rsidR="00247F4B">
              <w:rPr>
                <w:color w:val="auto"/>
                <w:sz w:val="17"/>
                <w:szCs w:val="17"/>
              </w:rPr>
              <w:t xml:space="preserve">, one of the key messages being that </w:t>
            </w:r>
            <w:r>
              <w:rPr>
                <w:color w:val="auto"/>
                <w:sz w:val="17"/>
                <w:szCs w:val="17"/>
              </w:rPr>
              <w:t xml:space="preserve">the burden of proof </w:t>
            </w:r>
            <w:r w:rsidR="00247F4B">
              <w:rPr>
                <w:color w:val="auto"/>
                <w:sz w:val="17"/>
                <w:szCs w:val="17"/>
              </w:rPr>
              <w:t>is</w:t>
            </w:r>
            <w:r>
              <w:rPr>
                <w:color w:val="auto"/>
                <w:sz w:val="17"/>
                <w:szCs w:val="17"/>
              </w:rPr>
              <w:t xml:space="preserve"> </w:t>
            </w:r>
            <w:r w:rsidR="005C5E67">
              <w:rPr>
                <w:color w:val="auto"/>
                <w:sz w:val="17"/>
                <w:szCs w:val="17"/>
              </w:rPr>
              <w:t>shift</w:t>
            </w:r>
            <w:r>
              <w:rPr>
                <w:color w:val="auto"/>
                <w:sz w:val="17"/>
                <w:szCs w:val="17"/>
              </w:rPr>
              <w:t xml:space="preserve">ed from the company to the supervisor. </w:t>
            </w:r>
            <w:r w:rsidR="005C5E67">
              <w:rPr>
                <w:color w:val="auto"/>
                <w:sz w:val="17"/>
                <w:szCs w:val="17"/>
              </w:rPr>
              <w:t xml:space="preserve">The proposal will be shared with the secretariat. Additionally, ANIA noted that before the end of the summer a first draft of Italian national regulation on proportionality is expected. </w:t>
            </w:r>
          </w:p>
          <w:p w14:paraId="2E229158" w14:textId="2955D2DD" w:rsidR="005C5E67" w:rsidRPr="005C5E67" w:rsidRDefault="005C5E67" w:rsidP="005C5E67">
            <w:pPr>
              <w:pStyle w:val="Default"/>
              <w:numPr>
                <w:ilvl w:val="0"/>
                <w:numId w:val="5"/>
              </w:numPr>
              <w:spacing w:line="276" w:lineRule="auto"/>
              <w:jc w:val="both"/>
              <w:rPr>
                <w:color w:val="auto"/>
                <w:sz w:val="17"/>
                <w:szCs w:val="17"/>
              </w:rPr>
            </w:pPr>
            <w:r>
              <w:rPr>
                <w:color w:val="auto"/>
                <w:sz w:val="17"/>
                <w:szCs w:val="17"/>
              </w:rPr>
              <w:t xml:space="preserve">The chair expressed his appreciation for the equity proposal, but added that there was also a heavy change in asset allocation of different asset classes at insurers. The chair believes it is </w:t>
            </w:r>
            <w:r w:rsidR="000243A6">
              <w:rPr>
                <w:color w:val="auto"/>
                <w:sz w:val="17"/>
                <w:szCs w:val="17"/>
              </w:rPr>
              <w:t>equally</w:t>
            </w:r>
            <w:r>
              <w:rPr>
                <w:color w:val="auto"/>
                <w:sz w:val="17"/>
                <w:szCs w:val="17"/>
              </w:rPr>
              <w:t xml:space="preserve"> crucial to look at other asset classes as insurance companies are important long-term investors. In the past</w:t>
            </w:r>
            <w:r w:rsidR="009155F1">
              <w:rPr>
                <w:color w:val="auto"/>
                <w:sz w:val="17"/>
                <w:szCs w:val="17"/>
              </w:rPr>
              <w:t>,</w:t>
            </w:r>
            <w:r>
              <w:rPr>
                <w:color w:val="auto"/>
                <w:sz w:val="17"/>
                <w:szCs w:val="17"/>
              </w:rPr>
              <w:t xml:space="preserve"> volatility </w:t>
            </w:r>
            <w:r w:rsidR="00684E22">
              <w:rPr>
                <w:color w:val="auto"/>
                <w:sz w:val="17"/>
                <w:szCs w:val="17"/>
              </w:rPr>
              <w:t>increased in the market, even without the S</w:t>
            </w:r>
            <w:r w:rsidR="000243A6">
              <w:rPr>
                <w:color w:val="auto"/>
                <w:sz w:val="17"/>
                <w:szCs w:val="17"/>
              </w:rPr>
              <w:t xml:space="preserve">olvency </w:t>
            </w:r>
            <w:r w:rsidR="00684E22">
              <w:rPr>
                <w:color w:val="auto"/>
                <w:sz w:val="17"/>
                <w:szCs w:val="17"/>
              </w:rPr>
              <w:t>II implementation</w:t>
            </w:r>
            <w:r w:rsidR="00F9629B">
              <w:rPr>
                <w:color w:val="auto"/>
                <w:sz w:val="17"/>
                <w:szCs w:val="17"/>
              </w:rPr>
              <w:t>, and this discouraged insurers from increasing allocations to volatile assets</w:t>
            </w:r>
            <w:r w:rsidR="00684E22">
              <w:rPr>
                <w:color w:val="auto"/>
                <w:sz w:val="17"/>
                <w:szCs w:val="17"/>
              </w:rPr>
              <w:t xml:space="preserve">. The analysis should focus on </w:t>
            </w:r>
            <w:r w:rsidR="000243A6">
              <w:rPr>
                <w:color w:val="auto"/>
                <w:sz w:val="17"/>
                <w:szCs w:val="17"/>
              </w:rPr>
              <w:t>identifying both</w:t>
            </w:r>
            <w:r w:rsidR="00684E22">
              <w:rPr>
                <w:color w:val="auto"/>
                <w:sz w:val="17"/>
                <w:szCs w:val="17"/>
              </w:rPr>
              <w:t xml:space="preserve"> the effect of S</w:t>
            </w:r>
            <w:r w:rsidR="000243A6">
              <w:rPr>
                <w:color w:val="auto"/>
                <w:sz w:val="17"/>
                <w:szCs w:val="17"/>
              </w:rPr>
              <w:t xml:space="preserve">olvency </w:t>
            </w:r>
            <w:r w:rsidR="00684E22">
              <w:rPr>
                <w:color w:val="auto"/>
                <w:sz w:val="17"/>
                <w:szCs w:val="17"/>
              </w:rPr>
              <w:t xml:space="preserve">II and market volatility. </w:t>
            </w:r>
          </w:p>
          <w:p w14:paraId="570DC04A" w14:textId="12A8A178" w:rsidR="000B1C76" w:rsidRDefault="000B1C76" w:rsidP="002E43F7">
            <w:pPr>
              <w:pStyle w:val="CEABullet-Level3"/>
              <w:rPr>
                <w:szCs w:val="17"/>
              </w:rPr>
            </w:pPr>
          </w:p>
          <w:p w14:paraId="6A473090" w14:textId="77777777" w:rsidR="00057FD2" w:rsidRDefault="00057FD2" w:rsidP="002E43F7">
            <w:pPr>
              <w:pStyle w:val="CEABullet-Level3"/>
              <w:rPr>
                <w:szCs w:val="17"/>
              </w:rPr>
            </w:pPr>
          </w:p>
          <w:p w14:paraId="1D4B6D0A" w14:textId="77777777" w:rsidR="002E43F7" w:rsidRPr="008771A8" w:rsidRDefault="002E43F7" w:rsidP="002E43F7">
            <w:pPr>
              <w:autoSpaceDE w:val="0"/>
              <w:autoSpaceDN w:val="0"/>
              <w:adjustRightInd w:val="0"/>
              <w:jc w:val="both"/>
              <w:rPr>
                <w:i/>
                <w:sz w:val="17"/>
                <w:szCs w:val="17"/>
                <w:u w:val="single"/>
              </w:rPr>
            </w:pPr>
            <w:r w:rsidRPr="008771A8">
              <w:rPr>
                <w:i/>
                <w:sz w:val="17"/>
                <w:szCs w:val="17"/>
                <w:u w:val="single"/>
              </w:rPr>
              <w:t>Action points:</w:t>
            </w:r>
          </w:p>
          <w:p w14:paraId="119370C6" w14:textId="2C19820B" w:rsidR="002E43F7" w:rsidRPr="008771A8" w:rsidRDefault="007D3055" w:rsidP="002E43F7">
            <w:pPr>
              <w:numPr>
                <w:ilvl w:val="0"/>
                <w:numId w:val="1"/>
              </w:numPr>
              <w:autoSpaceDE w:val="0"/>
              <w:autoSpaceDN w:val="0"/>
              <w:adjustRightInd w:val="0"/>
              <w:jc w:val="both"/>
              <w:rPr>
                <w:sz w:val="17"/>
                <w:szCs w:val="17"/>
              </w:rPr>
            </w:pPr>
            <w:r>
              <w:rPr>
                <w:sz w:val="17"/>
                <w:szCs w:val="17"/>
              </w:rPr>
              <w:t>The secretariat expect</w:t>
            </w:r>
            <w:r w:rsidR="009155F1">
              <w:rPr>
                <w:sz w:val="17"/>
                <w:szCs w:val="17"/>
              </w:rPr>
              <w:t>s</w:t>
            </w:r>
            <w:r>
              <w:rPr>
                <w:sz w:val="17"/>
                <w:szCs w:val="17"/>
              </w:rPr>
              <w:t xml:space="preserve"> a response to its second letter and will share it with members as soon as it is available.</w:t>
            </w:r>
          </w:p>
          <w:p w14:paraId="75F653E5" w14:textId="710FDAC6" w:rsidR="00A16BB0" w:rsidRPr="004B3C71" w:rsidRDefault="00A16BB0" w:rsidP="002E43F7">
            <w:pPr>
              <w:pStyle w:val="Default"/>
              <w:spacing w:line="276" w:lineRule="auto"/>
              <w:ind w:left="720"/>
              <w:jc w:val="both"/>
              <w:rPr>
                <w:sz w:val="17"/>
                <w:szCs w:val="17"/>
              </w:rPr>
            </w:pPr>
          </w:p>
          <w:p w14:paraId="0D5B8F16" w14:textId="54A0CFDA" w:rsidR="00A16BB0" w:rsidRPr="006E739B" w:rsidRDefault="00A16BB0" w:rsidP="006E739B">
            <w:pPr>
              <w:autoSpaceDE w:val="0"/>
              <w:autoSpaceDN w:val="0"/>
              <w:adjustRightInd w:val="0"/>
              <w:ind w:left="360"/>
              <w:jc w:val="both"/>
              <w:rPr>
                <w:sz w:val="17"/>
                <w:szCs w:val="17"/>
              </w:rPr>
            </w:pPr>
          </w:p>
          <w:p w14:paraId="2BD1CB47" w14:textId="77777777" w:rsidR="001B2627" w:rsidRPr="008771A8" w:rsidRDefault="001B2627" w:rsidP="001B2627">
            <w:pPr>
              <w:jc w:val="center"/>
              <w:rPr>
                <w:color w:val="002957"/>
                <w:sz w:val="17"/>
                <w:szCs w:val="17"/>
              </w:rPr>
            </w:pPr>
          </w:p>
        </w:tc>
      </w:tr>
      <w:tr w:rsidR="001B2627" w:rsidRPr="008771A8" w14:paraId="3B922AD4"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6" w:type="dxa"/>
            <w:tcBorders>
              <w:top w:val="nil"/>
              <w:left w:val="nil"/>
              <w:bottom w:val="nil"/>
              <w:right w:val="single" w:sz="12" w:space="0" w:color="87CB3D"/>
            </w:tcBorders>
            <w:shd w:val="clear" w:color="auto" w:fill="auto"/>
          </w:tcPr>
          <w:p w14:paraId="2BD3670E" w14:textId="78F469CC" w:rsidR="001B2627" w:rsidRPr="008771A8" w:rsidRDefault="001B2627" w:rsidP="003B2A57">
            <w:pPr>
              <w:pStyle w:val="Nadpis1"/>
              <w:keepNext/>
              <w:numPr>
                <w:ilvl w:val="0"/>
                <w:numId w:val="4"/>
              </w:numPr>
              <w:spacing w:line="288" w:lineRule="auto"/>
              <w:ind w:left="408" w:hanging="408"/>
              <w:jc w:val="both"/>
              <w:rPr>
                <w:b/>
                <w:sz w:val="17"/>
                <w:szCs w:val="17"/>
              </w:rPr>
            </w:pPr>
            <w:r w:rsidRPr="008771A8">
              <w:rPr>
                <w:b/>
                <w:sz w:val="17"/>
                <w:szCs w:val="17"/>
              </w:rPr>
              <w:lastRenderedPageBreak/>
              <w:t>S</w:t>
            </w:r>
            <w:r w:rsidR="00F6331D" w:rsidRPr="008771A8">
              <w:rPr>
                <w:b/>
                <w:sz w:val="17"/>
                <w:szCs w:val="17"/>
              </w:rPr>
              <w:t xml:space="preserve">olvency </w:t>
            </w:r>
            <w:r w:rsidRPr="008771A8">
              <w:rPr>
                <w:b/>
                <w:sz w:val="17"/>
                <w:szCs w:val="17"/>
              </w:rPr>
              <w:t xml:space="preserve">II Review </w:t>
            </w:r>
            <w:r w:rsidR="00F6331D" w:rsidRPr="008771A8">
              <w:rPr>
                <w:b/>
                <w:sz w:val="17"/>
                <w:szCs w:val="17"/>
              </w:rPr>
              <w:t xml:space="preserve">– </w:t>
            </w:r>
            <w:r w:rsidR="00A16BB0" w:rsidRPr="008771A8">
              <w:rPr>
                <w:b/>
                <w:sz w:val="17"/>
                <w:szCs w:val="17"/>
              </w:rPr>
              <w:t>ongoing and upcoming developments</w:t>
            </w:r>
          </w:p>
        </w:tc>
        <w:tc>
          <w:tcPr>
            <w:tcW w:w="1876" w:type="dxa"/>
            <w:tcBorders>
              <w:top w:val="nil"/>
              <w:left w:val="single" w:sz="12" w:space="0" w:color="87CB3D"/>
              <w:bottom w:val="nil"/>
              <w:right w:val="single" w:sz="12" w:space="0" w:color="87CB3D"/>
            </w:tcBorders>
            <w:shd w:val="clear" w:color="auto" w:fill="auto"/>
          </w:tcPr>
          <w:p w14:paraId="68255143" w14:textId="5BDFAC6C" w:rsidR="001B2627" w:rsidRPr="008771A8" w:rsidRDefault="001B2627" w:rsidP="001B2627">
            <w:pPr>
              <w:jc w:val="center"/>
              <w:rPr>
                <w:color w:val="002957"/>
                <w:sz w:val="17"/>
                <w:szCs w:val="17"/>
              </w:rPr>
            </w:pPr>
            <w:r w:rsidRPr="008771A8">
              <w:rPr>
                <w:color w:val="002957"/>
                <w:sz w:val="17"/>
                <w:szCs w:val="17"/>
              </w:rPr>
              <w:t>For discussion</w:t>
            </w:r>
          </w:p>
        </w:tc>
        <w:tc>
          <w:tcPr>
            <w:tcW w:w="1718" w:type="dxa"/>
            <w:tcBorders>
              <w:top w:val="nil"/>
              <w:left w:val="single" w:sz="12" w:space="0" w:color="87CB3D"/>
              <w:bottom w:val="nil"/>
              <w:right w:val="nil"/>
            </w:tcBorders>
            <w:shd w:val="clear" w:color="auto" w:fill="auto"/>
          </w:tcPr>
          <w:p w14:paraId="693F46F6" w14:textId="3C7013F4" w:rsidR="001B2627" w:rsidRPr="002E43F7" w:rsidRDefault="00740EFA" w:rsidP="00DC4EBF">
            <w:pPr>
              <w:jc w:val="center"/>
              <w:rPr>
                <w:color w:val="002957"/>
                <w:sz w:val="17"/>
                <w:szCs w:val="17"/>
              </w:rPr>
            </w:pPr>
            <w:hyperlink r:id="rId18" w:history="1">
              <w:r w:rsidR="002E43F7" w:rsidRPr="002E43F7">
                <w:rPr>
                  <w:rStyle w:val="Hypertextovprepojenie"/>
                  <w:sz w:val="17"/>
                  <w:szCs w:val="17"/>
                </w:rPr>
                <w:t>ECO-SLV-17-100</w:t>
              </w:r>
            </w:hyperlink>
          </w:p>
        </w:tc>
      </w:tr>
      <w:tr w:rsidR="001B2627" w:rsidRPr="008771A8" w14:paraId="2418ECE5"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7181CA39" w14:textId="5FDD024C" w:rsidR="001B2627" w:rsidRDefault="001B2627" w:rsidP="001B2627">
            <w:pPr>
              <w:rPr>
                <w:sz w:val="17"/>
                <w:szCs w:val="17"/>
                <w:highlight w:val="yellow"/>
              </w:rPr>
            </w:pPr>
          </w:p>
          <w:p w14:paraId="3CADF7C0" w14:textId="647EB7B8" w:rsidR="002E43F7" w:rsidRPr="002E43F7" w:rsidRDefault="002E43F7" w:rsidP="002E43F7">
            <w:pPr>
              <w:jc w:val="both"/>
              <w:rPr>
                <w:sz w:val="17"/>
                <w:szCs w:val="17"/>
              </w:rPr>
            </w:pPr>
            <w:r w:rsidRPr="002E43F7">
              <w:rPr>
                <w:sz w:val="17"/>
                <w:szCs w:val="17"/>
              </w:rPr>
              <w:t>The secretariat updated members on recent developments regarding the review of Solvency II. Members were invited to exchange views on emerging proposals from EIOPA and to provide feedback from discussions with national supervisors.</w:t>
            </w:r>
          </w:p>
          <w:p w14:paraId="2CFD047F" w14:textId="77777777" w:rsidR="002E43F7" w:rsidRPr="008771A8" w:rsidRDefault="002E43F7" w:rsidP="002E43F7">
            <w:pPr>
              <w:rPr>
                <w:color w:val="002957"/>
                <w:sz w:val="17"/>
                <w:szCs w:val="17"/>
              </w:rPr>
            </w:pPr>
          </w:p>
          <w:p w14:paraId="01A2433F" w14:textId="77777777" w:rsidR="002E43F7" w:rsidRPr="008771A8" w:rsidRDefault="002E43F7" w:rsidP="002E43F7">
            <w:pPr>
              <w:autoSpaceDE w:val="0"/>
              <w:autoSpaceDN w:val="0"/>
              <w:adjustRightInd w:val="0"/>
              <w:jc w:val="both"/>
              <w:rPr>
                <w:i/>
                <w:sz w:val="17"/>
                <w:szCs w:val="17"/>
                <w:u w:val="single"/>
              </w:rPr>
            </w:pPr>
            <w:r w:rsidRPr="008771A8">
              <w:rPr>
                <w:i/>
                <w:sz w:val="17"/>
                <w:szCs w:val="17"/>
                <w:u w:val="single"/>
              </w:rPr>
              <w:t>Summary of discussions:</w:t>
            </w:r>
          </w:p>
          <w:p w14:paraId="48FA89D3" w14:textId="0E21E830" w:rsidR="002E43F7" w:rsidRDefault="00327472" w:rsidP="002E43F7">
            <w:pPr>
              <w:numPr>
                <w:ilvl w:val="0"/>
                <w:numId w:val="1"/>
              </w:numPr>
              <w:autoSpaceDE w:val="0"/>
              <w:autoSpaceDN w:val="0"/>
              <w:adjustRightInd w:val="0"/>
              <w:jc w:val="both"/>
              <w:rPr>
                <w:sz w:val="17"/>
                <w:szCs w:val="17"/>
              </w:rPr>
            </w:pPr>
            <w:r>
              <w:rPr>
                <w:sz w:val="17"/>
                <w:szCs w:val="17"/>
              </w:rPr>
              <w:t>The secretariat referred members to the background note for the details of the recent developments regarding the review of Solvency II. The secretariat invite</w:t>
            </w:r>
            <w:r w:rsidR="00F04887">
              <w:rPr>
                <w:sz w:val="17"/>
                <w:szCs w:val="17"/>
              </w:rPr>
              <w:t>d</w:t>
            </w:r>
            <w:r>
              <w:rPr>
                <w:sz w:val="17"/>
                <w:szCs w:val="17"/>
              </w:rPr>
              <w:t xml:space="preserve"> members</w:t>
            </w:r>
            <w:r w:rsidR="00F04887">
              <w:rPr>
                <w:sz w:val="17"/>
                <w:szCs w:val="17"/>
              </w:rPr>
              <w:t>’</w:t>
            </w:r>
            <w:r>
              <w:rPr>
                <w:sz w:val="17"/>
                <w:szCs w:val="17"/>
              </w:rPr>
              <w:t xml:space="preserve"> feedback regarding the accuracy and the completeness of the background note, including noteworthy elements arising from members’ interactions with their </w:t>
            </w:r>
            <w:r w:rsidR="00B15DC5">
              <w:rPr>
                <w:sz w:val="17"/>
                <w:szCs w:val="17"/>
              </w:rPr>
              <w:t>NCAs</w:t>
            </w:r>
            <w:r>
              <w:rPr>
                <w:sz w:val="17"/>
                <w:szCs w:val="17"/>
              </w:rPr>
              <w:t xml:space="preserve">. </w:t>
            </w:r>
          </w:p>
          <w:p w14:paraId="3299161B" w14:textId="45D528B8" w:rsidR="00995F81" w:rsidRPr="008771A8" w:rsidRDefault="00CB4485" w:rsidP="002E43F7">
            <w:pPr>
              <w:numPr>
                <w:ilvl w:val="0"/>
                <w:numId w:val="1"/>
              </w:numPr>
              <w:autoSpaceDE w:val="0"/>
              <w:autoSpaceDN w:val="0"/>
              <w:adjustRightInd w:val="0"/>
              <w:jc w:val="both"/>
              <w:rPr>
                <w:sz w:val="17"/>
                <w:szCs w:val="17"/>
              </w:rPr>
            </w:pPr>
            <w:r w:rsidRPr="00CB4485">
              <w:rPr>
                <w:b/>
                <w:sz w:val="17"/>
                <w:szCs w:val="17"/>
              </w:rPr>
              <w:t>LAC DT:</w:t>
            </w:r>
            <w:r>
              <w:rPr>
                <w:sz w:val="17"/>
                <w:szCs w:val="17"/>
              </w:rPr>
              <w:t xml:space="preserve"> </w:t>
            </w:r>
            <w:r w:rsidR="00995F81">
              <w:rPr>
                <w:sz w:val="17"/>
                <w:szCs w:val="17"/>
              </w:rPr>
              <w:t xml:space="preserve">The secretariat reminded members that there will be an EIOPA BoS meeting on </w:t>
            </w:r>
            <w:r w:rsidR="00823E92">
              <w:rPr>
                <w:sz w:val="17"/>
                <w:szCs w:val="17"/>
              </w:rPr>
              <w:t>29/</w:t>
            </w:r>
            <w:r w:rsidR="00995F81">
              <w:rPr>
                <w:sz w:val="17"/>
                <w:szCs w:val="17"/>
              </w:rPr>
              <w:t xml:space="preserve">30 June which will discuss among other topics the LAC DT. For this topic, the secretariat informed members that it was made aware that a few </w:t>
            </w:r>
            <w:r w:rsidR="00B15DC5">
              <w:rPr>
                <w:sz w:val="17"/>
                <w:szCs w:val="17"/>
              </w:rPr>
              <w:t>NCAs</w:t>
            </w:r>
            <w:r w:rsidR="00995F81">
              <w:rPr>
                <w:sz w:val="17"/>
                <w:szCs w:val="17"/>
              </w:rPr>
              <w:t xml:space="preserve"> will make a presentation at the BoS, </w:t>
            </w:r>
            <w:r w:rsidR="00000B05">
              <w:rPr>
                <w:sz w:val="17"/>
                <w:szCs w:val="17"/>
              </w:rPr>
              <w:t>and</w:t>
            </w:r>
            <w:r w:rsidR="00995F81">
              <w:rPr>
                <w:sz w:val="17"/>
                <w:szCs w:val="17"/>
              </w:rPr>
              <w:t xml:space="preserve"> that the workstream on LAC</w:t>
            </w:r>
            <w:r w:rsidR="00823E92">
              <w:rPr>
                <w:sz w:val="17"/>
                <w:szCs w:val="17"/>
              </w:rPr>
              <w:t xml:space="preserve"> </w:t>
            </w:r>
            <w:r w:rsidR="00995F81">
              <w:rPr>
                <w:sz w:val="17"/>
                <w:szCs w:val="17"/>
              </w:rPr>
              <w:t>DT will be de</w:t>
            </w:r>
            <w:r w:rsidR="00000B05">
              <w:rPr>
                <w:sz w:val="17"/>
                <w:szCs w:val="17"/>
              </w:rPr>
              <w:t xml:space="preserve">alt with in </w:t>
            </w:r>
            <w:r w:rsidR="00823E92">
              <w:rPr>
                <w:sz w:val="17"/>
                <w:szCs w:val="17"/>
              </w:rPr>
              <w:t>two</w:t>
            </w:r>
            <w:r w:rsidR="00000B05">
              <w:rPr>
                <w:sz w:val="17"/>
                <w:szCs w:val="17"/>
              </w:rPr>
              <w:t xml:space="preserve"> steps: A first stage in the summer</w:t>
            </w:r>
            <w:r w:rsidR="00995F81">
              <w:rPr>
                <w:sz w:val="17"/>
                <w:szCs w:val="17"/>
              </w:rPr>
              <w:t xml:space="preserve"> taking stock of the various situations across member</w:t>
            </w:r>
            <w:r w:rsidR="00000B05">
              <w:rPr>
                <w:sz w:val="17"/>
                <w:szCs w:val="17"/>
              </w:rPr>
              <w:t xml:space="preserve"> states, and a second stage</w:t>
            </w:r>
            <w:r w:rsidR="00995F81">
              <w:rPr>
                <w:sz w:val="17"/>
                <w:szCs w:val="17"/>
              </w:rPr>
              <w:t xml:space="preserve"> in autumn making a proposal.</w:t>
            </w:r>
          </w:p>
          <w:p w14:paraId="4E86377F" w14:textId="1D87E5ED" w:rsidR="002E43F7" w:rsidRDefault="00476E40" w:rsidP="002E43F7">
            <w:pPr>
              <w:pStyle w:val="Default"/>
              <w:numPr>
                <w:ilvl w:val="0"/>
                <w:numId w:val="5"/>
              </w:numPr>
              <w:spacing w:line="276" w:lineRule="auto"/>
              <w:jc w:val="both"/>
              <w:rPr>
                <w:color w:val="auto"/>
                <w:sz w:val="17"/>
                <w:szCs w:val="17"/>
              </w:rPr>
            </w:pPr>
            <w:r>
              <w:rPr>
                <w:color w:val="auto"/>
                <w:sz w:val="17"/>
                <w:szCs w:val="17"/>
              </w:rPr>
              <w:t xml:space="preserve">Assuralia reported that their NSA was </w:t>
            </w:r>
            <w:r w:rsidR="00000B05">
              <w:rPr>
                <w:color w:val="auto"/>
                <w:sz w:val="17"/>
                <w:szCs w:val="17"/>
              </w:rPr>
              <w:t>investigating what is being done across Europe</w:t>
            </w:r>
            <w:r w:rsidR="00EE61F7">
              <w:rPr>
                <w:color w:val="auto"/>
                <w:sz w:val="17"/>
                <w:szCs w:val="17"/>
              </w:rPr>
              <w:t xml:space="preserve"> and is</w:t>
            </w:r>
            <w:r w:rsidR="00E76EFF">
              <w:rPr>
                <w:color w:val="auto"/>
                <w:sz w:val="17"/>
                <w:szCs w:val="17"/>
              </w:rPr>
              <w:t xml:space="preserve"> </w:t>
            </w:r>
            <w:r>
              <w:rPr>
                <w:color w:val="auto"/>
                <w:sz w:val="17"/>
                <w:szCs w:val="17"/>
              </w:rPr>
              <w:t xml:space="preserve">now applying a series of </w:t>
            </w:r>
            <w:r w:rsidR="004F675D">
              <w:rPr>
                <w:color w:val="auto"/>
                <w:sz w:val="17"/>
                <w:szCs w:val="17"/>
              </w:rPr>
              <w:t>measures</w:t>
            </w:r>
            <w:r>
              <w:rPr>
                <w:color w:val="auto"/>
                <w:sz w:val="17"/>
                <w:szCs w:val="17"/>
              </w:rPr>
              <w:t xml:space="preserve"> to the LAC DT</w:t>
            </w:r>
            <w:r w:rsidR="004F675D">
              <w:rPr>
                <w:color w:val="auto"/>
                <w:sz w:val="17"/>
                <w:szCs w:val="17"/>
              </w:rPr>
              <w:t xml:space="preserve">, of which the most </w:t>
            </w:r>
            <w:r w:rsidR="00000B05">
              <w:rPr>
                <w:color w:val="auto"/>
                <w:sz w:val="17"/>
                <w:szCs w:val="17"/>
              </w:rPr>
              <w:t xml:space="preserve">noteworthy </w:t>
            </w:r>
            <w:r w:rsidR="004F675D">
              <w:rPr>
                <w:color w:val="auto"/>
                <w:sz w:val="17"/>
                <w:szCs w:val="17"/>
              </w:rPr>
              <w:t>are:</w:t>
            </w:r>
            <w:r>
              <w:rPr>
                <w:color w:val="auto"/>
                <w:sz w:val="17"/>
                <w:szCs w:val="17"/>
              </w:rPr>
              <w:t xml:space="preserve"> </w:t>
            </w:r>
            <w:r w:rsidR="007D2B42">
              <w:rPr>
                <w:color w:val="auto"/>
                <w:sz w:val="17"/>
                <w:szCs w:val="17"/>
              </w:rPr>
              <w:t xml:space="preserve">(1) </w:t>
            </w:r>
            <w:r>
              <w:rPr>
                <w:color w:val="auto"/>
                <w:sz w:val="17"/>
                <w:szCs w:val="17"/>
              </w:rPr>
              <w:t xml:space="preserve">The projection horizon for the future profits in the recoverability assessment </w:t>
            </w:r>
            <w:r w:rsidR="007D2B42">
              <w:rPr>
                <w:color w:val="auto"/>
                <w:sz w:val="17"/>
                <w:szCs w:val="17"/>
              </w:rPr>
              <w:t>is</w:t>
            </w:r>
            <w:r>
              <w:rPr>
                <w:color w:val="auto"/>
                <w:sz w:val="17"/>
                <w:szCs w:val="17"/>
              </w:rPr>
              <w:t xml:space="preserve"> set to </w:t>
            </w:r>
            <w:r w:rsidR="009155F1">
              <w:rPr>
                <w:color w:val="auto"/>
                <w:sz w:val="17"/>
                <w:szCs w:val="17"/>
              </w:rPr>
              <w:t>five</w:t>
            </w:r>
            <w:r>
              <w:rPr>
                <w:color w:val="auto"/>
                <w:sz w:val="17"/>
                <w:szCs w:val="17"/>
              </w:rPr>
              <w:t xml:space="preserve"> years</w:t>
            </w:r>
            <w:r w:rsidR="007D2B42">
              <w:rPr>
                <w:color w:val="auto"/>
                <w:sz w:val="17"/>
                <w:szCs w:val="17"/>
              </w:rPr>
              <w:t xml:space="preserve">; (2) </w:t>
            </w:r>
            <w:r>
              <w:rPr>
                <w:color w:val="auto"/>
                <w:sz w:val="17"/>
                <w:szCs w:val="17"/>
              </w:rPr>
              <w:t>no future profits are allowed for any one company with a solvency ratio less or equal to 100%</w:t>
            </w:r>
            <w:r w:rsidR="007D2B42">
              <w:rPr>
                <w:color w:val="auto"/>
                <w:sz w:val="17"/>
                <w:szCs w:val="17"/>
              </w:rPr>
              <w:t xml:space="preserve">; </w:t>
            </w:r>
            <w:r w:rsidR="00FE5E30">
              <w:rPr>
                <w:color w:val="auto"/>
                <w:sz w:val="17"/>
                <w:szCs w:val="17"/>
              </w:rPr>
              <w:t>above a solvency ratio of 200%, no caps are applied</w:t>
            </w:r>
            <w:r w:rsidR="007D2B42">
              <w:rPr>
                <w:color w:val="auto"/>
                <w:sz w:val="17"/>
                <w:szCs w:val="17"/>
              </w:rPr>
              <w:t xml:space="preserve"> (3) </w:t>
            </w:r>
            <w:r w:rsidR="00000B05">
              <w:rPr>
                <w:color w:val="auto"/>
                <w:sz w:val="17"/>
                <w:szCs w:val="17"/>
              </w:rPr>
              <w:t xml:space="preserve">The introduction of a </w:t>
            </w:r>
            <w:r w:rsidR="007D2B42">
              <w:rPr>
                <w:color w:val="auto"/>
                <w:sz w:val="17"/>
                <w:szCs w:val="17"/>
              </w:rPr>
              <w:t>me</w:t>
            </w:r>
            <w:r w:rsidR="004F675D">
              <w:rPr>
                <w:color w:val="auto"/>
                <w:sz w:val="17"/>
                <w:szCs w:val="17"/>
              </w:rPr>
              <w:t>a</w:t>
            </w:r>
            <w:r w:rsidR="007D2B42">
              <w:rPr>
                <w:color w:val="auto"/>
                <w:sz w:val="17"/>
                <w:szCs w:val="17"/>
              </w:rPr>
              <w:t>sure</w:t>
            </w:r>
            <w:r w:rsidR="004F675D">
              <w:rPr>
                <w:color w:val="auto"/>
                <w:sz w:val="17"/>
                <w:szCs w:val="17"/>
              </w:rPr>
              <w:t xml:space="preserve"> that prevents circularity/recursion between the LAC DT and the SCR</w:t>
            </w:r>
            <w:r w:rsidR="00000B05">
              <w:rPr>
                <w:color w:val="auto"/>
                <w:sz w:val="17"/>
                <w:szCs w:val="17"/>
              </w:rPr>
              <w:t>.</w:t>
            </w:r>
          </w:p>
          <w:p w14:paraId="0E0BF242" w14:textId="7CA594A1" w:rsidR="002E43F7" w:rsidRDefault="00E76EFF" w:rsidP="002E43F7">
            <w:pPr>
              <w:pStyle w:val="Default"/>
              <w:numPr>
                <w:ilvl w:val="0"/>
                <w:numId w:val="5"/>
              </w:numPr>
              <w:spacing w:line="276" w:lineRule="auto"/>
              <w:jc w:val="both"/>
              <w:rPr>
                <w:color w:val="auto"/>
                <w:sz w:val="17"/>
                <w:szCs w:val="17"/>
              </w:rPr>
            </w:pPr>
            <w:r>
              <w:rPr>
                <w:color w:val="auto"/>
                <w:sz w:val="17"/>
                <w:szCs w:val="17"/>
              </w:rPr>
              <w:t>The VVN reported that their NSA had the lead on the topic in the EIOPA working group. VVN went on to add that their NSA is of the view that national fiscal legislation should not be arbitrarily limited (eg cap on time horizon) and had said it will not request for more guidelines.</w:t>
            </w:r>
            <w:r w:rsidR="00F71CF0">
              <w:rPr>
                <w:color w:val="auto"/>
                <w:sz w:val="17"/>
                <w:szCs w:val="17"/>
              </w:rPr>
              <w:t xml:space="preserve"> There are still discussions with their NSA about the reference date of the carry-back, but i</w:t>
            </w:r>
            <w:r>
              <w:rPr>
                <w:color w:val="auto"/>
                <w:sz w:val="17"/>
                <w:szCs w:val="17"/>
              </w:rPr>
              <w:t xml:space="preserve">t can be expected that they will recommend that EIOPA only presents an overview of the picture of LAC DT to the EC and leaves it at that. </w:t>
            </w:r>
            <w:r w:rsidR="00F71CF0">
              <w:rPr>
                <w:color w:val="auto"/>
                <w:sz w:val="17"/>
                <w:szCs w:val="17"/>
              </w:rPr>
              <w:t xml:space="preserve">The VVN concluded that </w:t>
            </w:r>
            <w:r w:rsidR="00B15DC5">
              <w:rPr>
                <w:color w:val="auto"/>
                <w:sz w:val="17"/>
                <w:szCs w:val="17"/>
              </w:rPr>
              <w:t>NCAs</w:t>
            </w:r>
            <w:r w:rsidR="00BE73F1">
              <w:rPr>
                <w:color w:val="auto"/>
                <w:sz w:val="17"/>
                <w:szCs w:val="17"/>
              </w:rPr>
              <w:t>’</w:t>
            </w:r>
            <w:r w:rsidR="00F71CF0">
              <w:rPr>
                <w:color w:val="auto"/>
                <w:sz w:val="17"/>
                <w:szCs w:val="17"/>
              </w:rPr>
              <w:t xml:space="preserve"> lack of expertise with regards to fiscal legislation and practice is </w:t>
            </w:r>
            <w:r w:rsidR="00BE73F1">
              <w:rPr>
                <w:color w:val="auto"/>
                <w:sz w:val="17"/>
                <w:szCs w:val="17"/>
              </w:rPr>
              <w:t>a</w:t>
            </w:r>
            <w:r w:rsidR="00F71CF0">
              <w:rPr>
                <w:color w:val="auto"/>
                <w:sz w:val="17"/>
                <w:szCs w:val="17"/>
              </w:rPr>
              <w:t xml:space="preserve"> risk.</w:t>
            </w:r>
          </w:p>
          <w:p w14:paraId="54A6E946" w14:textId="716E9B3B" w:rsidR="00CB4485" w:rsidRPr="00CB4485" w:rsidRDefault="00F71CF0" w:rsidP="00CB4485">
            <w:pPr>
              <w:pStyle w:val="Default"/>
              <w:numPr>
                <w:ilvl w:val="0"/>
                <w:numId w:val="5"/>
              </w:numPr>
              <w:spacing w:line="276" w:lineRule="auto"/>
              <w:jc w:val="both"/>
              <w:rPr>
                <w:color w:val="auto"/>
                <w:sz w:val="17"/>
                <w:szCs w:val="17"/>
              </w:rPr>
            </w:pPr>
            <w:r>
              <w:rPr>
                <w:color w:val="auto"/>
                <w:sz w:val="17"/>
                <w:szCs w:val="17"/>
              </w:rPr>
              <w:t xml:space="preserve">The GDV </w:t>
            </w:r>
            <w:r w:rsidR="00D47CBD">
              <w:rPr>
                <w:color w:val="auto"/>
                <w:sz w:val="17"/>
                <w:szCs w:val="17"/>
              </w:rPr>
              <w:t xml:space="preserve">indicated </w:t>
            </w:r>
            <w:r w:rsidR="00AB70DA">
              <w:rPr>
                <w:color w:val="auto"/>
                <w:sz w:val="17"/>
                <w:szCs w:val="17"/>
              </w:rPr>
              <w:t xml:space="preserve">that the current discussion in the EIOPA </w:t>
            </w:r>
            <w:r w:rsidR="00D47CBD">
              <w:rPr>
                <w:color w:val="auto"/>
                <w:sz w:val="17"/>
                <w:szCs w:val="17"/>
              </w:rPr>
              <w:t>WG</w:t>
            </w:r>
            <w:r w:rsidR="00AB70DA">
              <w:rPr>
                <w:color w:val="auto"/>
                <w:sz w:val="17"/>
                <w:szCs w:val="17"/>
              </w:rPr>
              <w:t xml:space="preserve"> was revolving more around providing more guidelines </w:t>
            </w:r>
            <w:r w:rsidR="00545F56">
              <w:rPr>
                <w:color w:val="auto"/>
                <w:sz w:val="17"/>
                <w:szCs w:val="17"/>
              </w:rPr>
              <w:t>or</w:t>
            </w:r>
            <w:r w:rsidR="00AB70DA">
              <w:rPr>
                <w:color w:val="auto"/>
                <w:sz w:val="17"/>
                <w:szCs w:val="17"/>
              </w:rPr>
              <w:t xml:space="preserve"> limitations. For the </w:t>
            </w:r>
            <w:r w:rsidR="00CB4485">
              <w:rPr>
                <w:color w:val="auto"/>
                <w:sz w:val="17"/>
                <w:szCs w:val="17"/>
              </w:rPr>
              <w:t>latter,</w:t>
            </w:r>
            <w:r w:rsidR="00545F56">
              <w:rPr>
                <w:color w:val="auto"/>
                <w:sz w:val="17"/>
                <w:szCs w:val="17"/>
              </w:rPr>
              <w:t xml:space="preserve"> </w:t>
            </w:r>
            <w:r w:rsidR="00AB70DA">
              <w:rPr>
                <w:color w:val="auto"/>
                <w:sz w:val="17"/>
                <w:szCs w:val="17"/>
              </w:rPr>
              <w:t xml:space="preserve">there seem to be </w:t>
            </w:r>
            <w:r w:rsidR="004D1B03">
              <w:rPr>
                <w:color w:val="auto"/>
                <w:sz w:val="17"/>
                <w:szCs w:val="17"/>
              </w:rPr>
              <w:t>three</w:t>
            </w:r>
            <w:r w:rsidR="00AB70DA">
              <w:rPr>
                <w:color w:val="auto"/>
                <w:sz w:val="17"/>
                <w:szCs w:val="17"/>
              </w:rPr>
              <w:t xml:space="preserve"> limit</w:t>
            </w:r>
            <w:r w:rsidR="00EE61F7">
              <w:rPr>
                <w:color w:val="auto"/>
                <w:sz w:val="17"/>
                <w:szCs w:val="17"/>
              </w:rPr>
              <w:t>ing</w:t>
            </w:r>
            <w:r w:rsidR="00AB70DA">
              <w:rPr>
                <w:color w:val="auto"/>
                <w:sz w:val="17"/>
                <w:szCs w:val="17"/>
              </w:rPr>
              <w:t xml:space="preserve"> formulas on the table</w:t>
            </w:r>
            <w:r w:rsidR="004D1B03">
              <w:rPr>
                <w:color w:val="auto"/>
                <w:sz w:val="17"/>
                <w:szCs w:val="17"/>
              </w:rPr>
              <w:t>;</w:t>
            </w:r>
            <w:r w:rsidR="00AB70DA">
              <w:rPr>
                <w:color w:val="auto"/>
                <w:sz w:val="17"/>
                <w:szCs w:val="17"/>
              </w:rPr>
              <w:t xml:space="preserve"> one linked to net DTL, another one linked to net DTL + SCR and the last one being proportional to the solvency ratio.</w:t>
            </w:r>
            <w:r w:rsidR="00545F56">
              <w:rPr>
                <w:color w:val="auto"/>
                <w:sz w:val="17"/>
                <w:szCs w:val="17"/>
              </w:rPr>
              <w:t xml:space="preserve"> These are being considered either as the default approach, as a minimum, or a maximum.</w:t>
            </w:r>
          </w:p>
          <w:p w14:paraId="7C7E0578" w14:textId="1B79AC32" w:rsidR="00545F56" w:rsidRPr="0006102F" w:rsidRDefault="00545F56" w:rsidP="002E43F7">
            <w:pPr>
              <w:pStyle w:val="Default"/>
              <w:numPr>
                <w:ilvl w:val="0"/>
                <w:numId w:val="5"/>
              </w:numPr>
              <w:spacing w:line="276" w:lineRule="auto"/>
              <w:jc w:val="both"/>
              <w:rPr>
                <w:color w:val="auto"/>
                <w:sz w:val="17"/>
                <w:szCs w:val="17"/>
              </w:rPr>
            </w:pPr>
            <w:r>
              <w:rPr>
                <w:color w:val="auto"/>
                <w:sz w:val="17"/>
                <w:szCs w:val="17"/>
              </w:rPr>
              <w:t>The FFA reported that from the discussion with its NSA, a Q&amp;A process might be put in place to provide responses to all the questions arising from companies.</w:t>
            </w:r>
          </w:p>
          <w:p w14:paraId="45D971E0" w14:textId="77777777" w:rsidR="00CB4485" w:rsidRDefault="00CB4485" w:rsidP="002E43F7">
            <w:pPr>
              <w:pStyle w:val="CEABullet-Level3"/>
              <w:rPr>
                <w:b/>
                <w:szCs w:val="17"/>
              </w:rPr>
            </w:pPr>
          </w:p>
          <w:p w14:paraId="3FB66F43" w14:textId="77777777" w:rsidR="00CB4485" w:rsidRPr="00CB4485" w:rsidRDefault="00CB4485" w:rsidP="00CB4485">
            <w:pPr>
              <w:numPr>
                <w:ilvl w:val="0"/>
                <w:numId w:val="1"/>
              </w:numPr>
              <w:autoSpaceDE w:val="0"/>
              <w:autoSpaceDN w:val="0"/>
              <w:adjustRightInd w:val="0"/>
              <w:jc w:val="both"/>
              <w:rPr>
                <w:szCs w:val="17"/>
              </w:rPr>
            </w:pPr>
            <w:r>
              <w:rPr>
                <w:b/>
                <w:sz w:val="17"/>
                <w:szCs w:val="17"/>
              </w:rPr>
              <w:t>Interest rate risk</w:t>
            </w:r>
            <w:r w:rsidRPr="00CB4485">
              <w:rPr>
                <w:b/>
                <w:sz w:val="17"/>
                <w:szCs w:val="17"/>
              </w:rPr>
              <w:t>:</w:t>
            </w:r>
            <w:r>
              <w:rPr>
                <w:sz w:val="17"/>
                <w:szCs w:val="17"/>
              </w:rPr>
              <w:t xml:space="preserve"> </w:t>
            </w:r>
          </w:p>
          <w:p w14:paraId="082AFAE9" w14:textId="01229BC9" w:rsidR="008B1960" w:rsidRDefault="00CB4485" w:rsidP="008B1960">
            <w:pPr>
              <w:pStyle w:val="Default"/>
              <w:numPr>
                <w:ilvl w:val="0"/>
                <w:numId w:val="5"/>
              </w:numPr>
              <w:spacing w:line="276" w:lineRule="auto"/>
              <w:jc w:val="both"/>
              <w:rPr>
                <w:color w:val="auto"/>
                <w:sz w:val="17"/>
                <w:szCs w:val="17"/>
              </w:rPr>
            </w:pPr>
            <w:r w:rsidRPr="008B1960">
              <w:rPr>
                <w:color w:val="auto"/>
                <w:sz w:val="17"/>
                <w:szCs w:val="17"/>
              </w:rPr>
              <w:t xml:space="preserve">The GDV confirmed they had also </w:t>
            </w:r>
            <w:r w:rsidR="00EE61F7">
              <w:rPr>
                <w:color w:val="auto"/>
                <w:sz w:val="17"/>
                <w:szCs w:val="17"/>
              </w:rPr>
              <w:t>heard</w:t>
            </w:r>
            <w:r w:rsidRPr="008B1960">
              <w:rPr>
                <w:color w:val="auto"/>
                <w:sz w:val="17"/>
                <w:szCs w:val="17"/>
              </w:rPr>
              <w:t xml:space="preserve"> that there might be another impact assessment</w:t>
            </w:r>
            <w:r w:rsidR="00765FE0">
              <w:rPr>
                <w:color w:val="auto"/>
                <w:sz w:val="17"/>
                <w:szCs w:val="17"/>
              </w:rPr>
              <w:t xml:space="preserve"> on this issue</w:t>
            </w:r>
            <w:r w:rsidRPr="008B1960">
              <w:rPr>
                <w:color w:val="auto"/>
                <w:sz w:val="17"/>
                <w:szCs w:val="17"/>
              </w:rPr>
              <w:t xml:space="preserve">. EIOPA </w:t>
            </w:r>
            <w:r w:rsidR="00765FE0">
              <w:rPr>
                <w:color w:val="auto"/>
                <w:sz w:val="17"/>
                <w:szCs w:val="17"/>
              </w:rPr>
              <w:t>appears to be</w:t>
            </w:r>
            <w:r w:rsidRPr="008B1960">
              <w:rPr>
                <w:color w:val="auto"/>
                <w:sz w:val="17"/>
                <w:szCs w:val="17"/>
              </w:rPr>
              <w:t xml:space="preserve"> </w:t>
            </w:r>
            <w:r w:rsidR="008B1960" w:rsidRPr="008B1960">
              <w:rPr>
                <w:color w:val="auto"/>
                <w:sz w:val="17"/>
                <w:szCs w:val="17"/>
              </w:rPr>
              <w:t>considering</w:t>
            </w:r>
            <w:r w:rsidRPr="008B1960">
              <w:rPr>
                <w:color w:val="auto"/>
                <w:sz w:val="17"/>
                <w:szCs w:val="17"/>
              </w:rPr>
              <w:t xml:space="preserve"> </w:t>
            </w:r>
            <w:r w:rsidR="004D1B03">
              <w:rPr>
                <w:color w:val="auto"/>
                <w:sz w:val="17"/>
                <w:szCs w:val="17"/>
              </w:rPr>
              <w:t>two</w:t>
            </w:r>
            <w:r w:rsidRPr="008B1960">
              <w:rPr>
                <w:color w:val="auto"/>
                <w:sz w:val="17"/>
                <w:szCs w:val="17"/>
              </w:rPr>
              <w:t xml:space="preserve"> proposals</w:t>
            </w:r>
            <w:r w:rsidR="004D1B03">
              <w:rPr>
                <w:color w:val="auto"/>
                <w:sz w:val="17"/>
                <w:szCs w:val="17"/>
              </w:rPr>
              <w:t>;</w:t>
            </w:r>
            <w:r w:rsidRPr="008B1960">
              <w:rPr>
                <w:color w:val="auto"/>
                <w:sz w:val="17"/>
                <w:szCs w:val="17"/>
              </w:rPr>
              <w:t xml:space="preserve"> </w:t>
            </w:r>
            <w:r w:rsidR="008B1960" w:rsidRPr="008B1960">
              <w:rPr>
                <w:color w:val="auto"/>
                <w:sz w:val="17"/>
                <w:szCs w:val="17"/>
              </w:rPr>
              <w:t xml:space="preserve">(1) the shifted curve proposal from the actuarial association of Europe (AAE), and (2) the minimum shock up and down of 150bps. </w:t>
            </w:r>
            <w:r w:rsidR="008B1960">
              <w:rPr>
                <w:color w:val="auto"/>
                <w:sz w:val="17"/>
                <w:szCs w:val="17"/>
              </w:rPr>
              <w:t xml:space="preserve">The good news is that the majority in the EIOPA working group wants to go for the proposal whereby the liquid part of the curve is shocked and then extrapolated. </w:t>
            </w:r>
          </w:p>
          <w:p w14:paraId="485D9698" w14:textId="050814F4" w:rsidR="00CB4485" w:rsidRDefault="00CB4485" w:rsidP="002E43F7">
            <w:pPr>
              <w:autoSpaceDE w:val="0"/>
              <w:autoSpaceDN w:val="0"/>
              <w:adjustRightInd w:val="0"/>
              <w:jc w:val="both"/>
              <w:rPr>
                <w:i/>
                <w:sz w:val="17"/>
                <w:szCs w:val="17"/>
                <w:u w:val="single"/>
              </w:rPr>
            </w:pPr>
          </w:p>
          <w:p w14:paraId="7B220D9A" w14:textId="43E1DAF8" w:rsidR="000320CE" w:rsidRPr="000320CE" w:rsidRDefault="000320CE" w:rsidP="000320CE">
            <w:pPr>
              <w:numPr>
                <w:ilvl w:val="0"/>
                <w:numId w:val="1"/>
              </w:numPr>
              <w:autoSpaceDE w:val="0"/>
              <w:autoSpaceDN w:val="0"/>
              <w:adjustRightInd w:val="0"/>
              <w:jc w:val="both"/>
              <w:rPr>
                <w:b/>
                <w:sz w:val="17"/>
                <w:szCs w:val="17"/>
              </w:rPr>
            </w:pPr>
            <w:r>
              <w:rPr>
                <w:b/>
                <w:sz w:val="17"/>
                <w:szCs w:val="17"/>
              </w:rPr>
              <w:t>RGLA</w:t>
            </w:r>
            <w:r w:rsidR="00523386">
              <w:rPr>
                <w:b/>
                <w:sz w:val="17"/>
                <w:szCs w:val="17"/>
              </w:rPr>
              <w:t xml:space="preserve"> and partial guarantees:</w:t>
            </w:r>
            <w:r w:rsidR="00523386" w:rsidRPr="000320CE">
              <w:rPr>
                <w:sz w:val="17"/>
                <w:szCs w:val="17"/>
              </w:rPr>
              <w:t xml:space="preserve"> The secretariat </w:t>
            </w:r>
            <w:r w:rsidR="00523386">
              <w:rPr>
                <w:sz w:val="17"/>
                <w:szCs w:val="17"/>
              </w:rPr>
              <w:t>remark</w:t>
            </w:r>
            <w:r w:rsidR="00523386" w:rsidRPr="000320CE">
              <w:rPr>
                <w:sz w:val="17"/>
                <w:szCs w:val="17"/>
              </w:rPr>
              <w:t>ed that EIOPA had introduced a threshold of 75% which was not originally present</w:t>
            </w:r>
            <w:r w:rsidR="00523386">
              <w:rPr>
                <w:sz w:val="17"/>
                <w:szCs w:val="17"/>
              </w:rPr>
              <w:t xml:space="preserve"> (ie during the 23 May EIOPA roundtable)</w:t>
            </w:r>
            <w:r w:rsidR="00523386" w:rsidRPr="000320CE">
              <w:rPr>
                <w:sz w:val="17"/>
                <w:szCs w:val="17"/>
              </w:rPr>
              <w:t>.</w:t>
            </w:r>
          </w:p>
          <w:p w14:paraId="221876BC" w14:textId="111105AF" w:rsidR="000320CE" w:rsidRDefault="000320CE" w:rsidP="000320CE">
            <w:pPr>
              <w:pStyle w:val="Default"/>
              <w:numPr>
                <w:ilvl w:val="0"/>
                <w:numId w:val="5"/>
              </w:numPr>
              <w:spacing w:line="276" w:lineRule="auto"/>
              <w:jc w:val="both"/>
              <w:rPr>
                <w:color w:val="auto"/>
                <w:sz w:val="17"/>
                <w:szCs w:val="17"/>
              </w:rPr>
            </w:pPr>
            <w:r>
              <w:rPr>
                <w:color w:val="auto"/>
                <w:sz w:val="17"/>
                <w:szCs w:val="17"/>
              </w:rPr>
              <w:t>T</w:t>
            </w:r>
            <w:r w:rsidR="00523386">
              <w:rPr>
                <w:color w:val="auto"/>
                <w:sz w:val="17"/>
                <w:szCs w:val="17"/>
              </w:rPr>
              <w:t>he GDV mentioned that in their view the proposal was overall satisfactory. However, the risk mitigation effect from partial guarantees should be recognised without a minimum guarantee level (not the 75%).</w:t>
            </w:r>
          </w:p>
          <w:p w14:paraId="4CC9F2A9" w14:textId="6CCFDE5A" w:rsidR="00765FE0" w:rsidRPr="000320CE" w:rsidRDefault="005D6881" w:rsidP="00765FE0">
            <w:pPr>
              <w:pStyle w:val="Default"/>
              <w:numPr>
                <w:ilvl w:val="0"/>
                <w:numId w:val="5"/>
              </w:numPr>
              <w:spacing w:line="276" w:lineRule="auto"/>
              <w:jc w:val="both"/>
              <w:rPr>
                <w:color w:val="auto"/>
                <w:sz w:val="17"/>
                <w:szCs w:val="17"/>
              </w:rPr>
            </w:pPr>
            <w:r>
              <w:rPr>
                <w:color w:val="auto"/>
                <w:sz w:val="17"/>
                <w:szCs w:val="17"/>
              </w:rPr>
              <w:t xml:space="preserve">Assuralia stressed that their main interest was more in the RGLA than in the partial guarantees and expressed their overall satisfaction for both topics. Assuralia noted that from their read of the EIOPA’s document, the 75% threshold was in fact related to fact that 75% of partial guarantees are issued by </w:t>
            </w:r>
            <w:r w:rsidR="00E159F3">
              <w:rPr>
                <w:color w:val="auto"/>
                <w:sz w:val="17"/>
                <w:szCs w:val="17"/>
              </w:rPr>
              <w:t xml:space="preserve">central </w:t>
            </w:r>
            <w:r>
              <w:rPr>
                <w:color w:val="auto"/>
                <w:sz w:val="17"/>
                <w:szCs w:val="17"/>
              </w:rPr>
              <w:t>government</w:t>
            </w:r>
            <w:r w:rsidR="00E159F3">
              <w:rPr>
                <w:color w:val="auto"/>
                <w:sz w:val="17"/>
                <w:szCs w:val="17"/>
              </w:rPr>
              <w:t>s and RGLA.</w:t>
            </w:r>
            <w:r w:rsidR="00765FE0">
              <w:rPr>
                <w:color w:val="auto"/>
                <w:sz w:val="17"/>
                <w:szCs w:val="17"/>
              </w:rPr>
              <w:t xml:space="preserve"> (</w:t>
            </w:r>
            <w:r w:rsidR="00765FE0" w:rsidRPr="00BB35EA">
              <w:rPr>
                <w:i/>
                <w:color w:val="auto"/>
                <w:sz w:val="17"/>
                <w:szCs w:val="17"/>
              </w:rPr>
              <w:t>Note: The secretariat has since confirmed that Assuralia’s reading is correct</w:t>
            </w:r>
            <w:r w:rsidR="00765FE0">
              <w:rPr>
                <w:color w:val="auto"/>
                <w:sz w:val="17"/>
                <w:szCs w:val="17"/>
              </w:rPr>
              <w:t>.)</w:t>
            </w:r>
          </w:p>
          <w:p w14:paraId="4872ECEE" w14:textId="77777777" w:rsidR="000320CE" w:rsidRDefault="000320CE" w:rsidP="002E43F7">
            <w:pPr>
              <w:autoSpaceDE w:val="0"/>
              <w:autoSpaceDN w:val="0"/>
              <w:adjustRightInd w:val="0"/>
              <w:jc w:val="both"/>
              <w:rPr>
                <w:i/>
                <w:sz w:val="17"/>
                <w:szCs w:val="17"/>
                <w:u w:val="single"/>
              </w:rPr>
            </w:pPr>
          </w:p>
          <w:p w14:paraId="35ED181D" w14:textId="77777777" w:rsidR="002E43F7" w:rsidRPr="008771A8" w:rsidRDefault="002E43F7" w:rsidP="002E43F7">
            <w:pPr>
              <w:autoSpaceDE w:val="0"/>
              <w:autoSpaceDN w:val="0"/>
              <w:adjustRightInd w:val="0"/>
              <w:jc w:val="both"/>
              <w:rPr>
                <w:i/>
                <w:sz w:val="17"/>
                <w:szCs w:val="17"/>
                <w:u w:val="single"/>
              </w:rPr>
            </w:pPr>
            <w:r w:rsidRPr="008771A8">
              <w:rPr>
                <w:i/>
                <w:sz w:val="17"/>
                <w:szCs w:val="17"/>
                <w:u w:val="single"/>
              </w:rPr>
              <w:t>Action points:</w:t>
            </w:r>
          </w:p>
          <w:p w14:paraId="63C2D624" w14:textId="0F354BF3" w:rsidR="002E43F7" w:rsidRDefault="00EE61F7" w:rsidP="002E43F7">
            <w:pPr>
              <w:numPr>
                <w:ilvl w:val="0"/>
                <w:numId w:val="1"/>
              </w:numPr>
              <w:autoSpaceDE w:val="0"/>
              <w:autoSpaceDN w:val="0"/>
              <w:adjustRightInd w:val="0"/>
              <w:jc w:val="both"/>
              <w:rPr>
                <w:sz w:val="17"/>
                <w:szCs w:val="17"/>
              </w:rPr>
            </w:pPr>
            <w:r>
              <w:rPr>
                <w:sz w:val="17"/>
                <w:szCs w:val="17"/>
              </w:rPr>
              <w:t>M</w:t>
            </w:r>
            <w:r w:rsidR="00545F56">
              <w:rPr>
                <w:sz w:val="17"/>
                <w:szCs w:val="17"/>
              </w:rPr>
              <w:t xml:space="preserve">embers agreed that each association should discuss directly with their NSA to influence their stance in the EIOPA BoS because </w:t>
            </w:r>
            <w:r w:rsidR="00CB4485">
              <w:rPr>
                <w:sz w:val="17"/>
                <w:szCs w:val="17"/>
              </w:rPr>
              <w:t xml:space="preserve">the secretariat had no direct leverage </w:t>
            </w:r>
            <w:r w:rsidR="00FE5E30">
              <w:rPr>
                <w:sz w:val="17"/>
                <w:szCs w:val="17"/>
              </w:rPr>
              <w:t xml:space="preserve">on </w:t>
            </w:r>
            <w:r w:rsidR="00B15DC5">
              <w:rPr>
                <w:sz w:val="17"/>
                <w:szCs w:val="17"/>
              </w:rPr>
              <w:t>NCAs</w:t>
            </w:r>
            <w:r w:rsidR="00FE5E30">
              <w:rPr>
                <w:sz w:val="17"/>
                <w:szCs w:val="17"/>
              </w:rPr>
              <w:t xml:space="preserve"> </w:t>
            </w:r>
            <w:r w:rsidR="00CB4485">
              <w:rPr>
                <w:sz w:val="17"/>
                <w:szCs w:val="17"/>
              </w:rPr>
              <w:t xml:space="preserve">(the example of the UFR for which there was a unanimous decision in the BoS was reminded as a case in which </w:t>
            </w:r>
            <w:r w:rsidR="00CB4485" w:rsidRPr="00CB4485">
              <w:rPr>
                <w:sz w:val="17"/>
                <w:szCs w:val="17"/>
              </w:rPr>
              <w:t>Insurance Europe</w:t>
            </w:r>
            <w:r w:rsidR="00CB4485">
              <w:rPr>
                <w:sz w:val="17"/>
                <w:szCs w:val="17"/>
              </w:rPr>
              <w:t xml:space="preserve">’s </w:t>
            </w:r>
            <w:r w:rsidR="00D6496E">
              <w:rPr>
                <w:sz w:val="17"/>
                <w:szCs w:val="17"/>
              </w:rPr>
              <w:t xml:space="preserve">chances </w:t>
            </w:r>
            <w:r w:rsidR="00CB4485">
              <w:rPr>
                <w:sz w:val="17"/>
                <w:szCs w:val="17"/>
              </w:rPr>
              <w:t>of success are low unless members reach out individually to their NSA).</w:t>
            </w:r>
          </w:p>
          <w:p w14:paraId="449E1977" w14:textId="631784F8" w:rsidR="002E43F7" w:rsidRPr="008771A8" w:rsidRDefault="00E159F3" w:rsidP="002E43F7">
            <w:pPr>
              <w:numPr>
                <w:ilvl w:val="0"/>
                <w:numId w:val="1"/>
              </w:numPr>
              <w:autoSpaceDE w:val="0"/>
              <w:autoSpaceDN w:val="0"/>
              <w:adjustRightInd w:val="0"/>
              <w:jc w:val="both"/>
              <w:rPr>
                <w:sz w:val="17"/>
                <w:szCs w:val="17"/>
              </w:rPr>
            </w:pPr>
            <w:r>
              <w:rPr>
                <w:sz w:val="17"/>
                <w:szCs w:val="17"/>
              </w:rPr>
              <w:t xml:space="preserve">Members agreed to a </w:t>
            </w:r>
            <w:r w:rsidR="009155F1">
              <w:rPr>
                <w:sz w:val="17"/>
                <w:szCs w:val="17"/>
              </w:rPr>
              <w:t>three</w:t>
            </w:r>
            <w:r>
              <w:rPr>
                <w:sz w:val="17"/>
                <w:szCs w:val="17"/>
              </w:rPr>
              <w:t>-week time allocation for the first consultation in July to make as much progress</w:t>
            </w:r>
            <w:r w:rsidR="00765FE0">
              <w:rPr>
                <w:sz w:val="17"/>
                <w:szCs w:val="17"/>
              </w:rPr>
              <w:t xml:space="preserve"> as possible</w:t>
            </w:r>
            <w:r>
              <w:rPr>
                <w:sz w:val="17"/>
                <w:szCs w:val="17"/>
              </w:rPr>
              <w:t>.</w:t>
            </w:r>
          </w:p>
          <w:p w14:paraId="0043C3C6" w14:textId="630AB50E" w:rsidR="002E43F7" w:rsidRDefault="002E43F7" w:rsidP="002E43F7">
            <w:pPr>
              <w:pStyle w:val="Default"/>
              <w:spacing w:line="276" w:lineRule="auto"/>
              <w:ind w:left="720"/>
              <w:jc w:val="both"/>
              <w:rPr>
                <w:sz w:val="17"/>
                <w:szCs w:val="17"/>
              </w:rPr>
            </w:pPr>
          </w:p>
          <w:p w14:paraId="2CD0C2EA" w14:textId="77777777" w:rsidR="002E43F7" w:rsidRPr="004B3C71" w:rsidRDefault="002E43F7" w:rsidP="002E43F7">
            <w:pPr>
              <w:pStyle w:val="Default"/>
              <w:spacing w:line="276" w:lineRule="auto"/>
              <w:ind w:left="720"/>
              <w:jc w:val="both"/>
              <w:rPr>
                <w:sz w:val="17"/>
                <w:szCs w:val="17"/>
              </w:rPr>
            </w:pPr>
          </w:p>
          <w:p w14:paraId="663C464E" w14:textId="15A625C5" w:rsidR="00005945" w:rsidRPr="002E43F7" w:rsidRDefault="002E43F7" w:rsidP="002E43F7">
            <w:pPr>
              <w:pStyle w:val="Nadpis1"/>
              <w:keepNext/>
              <w:numPr>
                <w:ilvl w:val="0"/>
                <w:numId w:val="4"/>
              </w:numPr>
              <w:spacing w:line="288" w:lineRule="auto"/>
              <w:ind w:left="408" w:hanging="408"/>
              <w:jc w:val="both"/>
              <w:rPr>
                <w:b/>
                <w:sz w:val="17"/>
                <w:szCs w:val="17"/>
              </w:rPr>
            </w:pPr>
            <w:r w:rsidRPr="002E43F7">
              <w:rPr>
                <w:b/>
                <w:sz w:val="17"/>
                <w:szCs w:val="17"/>
              </w:rPr>
              <w:t>Solvency II reporting</w:t>
            </w:r>
          </w:p>
          <w:p w14:paraId="1DAD801F" w14:textId="7D2E32B8" w:rsidR="001B2627" w:rsidRPr="008771A8" w:rsidRDefault="001B2627" w:rsidP="00A16BB0">
            <w:pPr>
              <w:pStyle w:val="Default"/>
              <w:spacing w:line="276" w:lineRule="auto"/>
              <w:ind w:left="720"/>
              <w:jc w:val="both"/>
              <w:rPr>
                <w:color w:val="002957"/>
                <w:sz w:val="17"/>
                <w:szCs w:val="17"/>
                <w:highlight w:val="yellow"/>
              </w:rPr>
            </w:pPr>
          </w:p>
        </w:tc>
      </w:tr>
      <w:tr w:rsidR="001B2627" w:rsidRPr="008771A8" w14:paraId="3CF95A00"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6" w:type="dxa"/>
            <w:tcBorders>
              <w:top w:val="nil"/>
              <w:left w:val="nil"/>
              <w:bottom w:val="nil"/>
              <w:right w:val="single" w:sz="12" w:space="0" w:color="87CB3D"/>
            </w:tcBorders>
            <w:shd w:val="clear" w:color="auto" w:fill="auto"/>
          </w:tcPr>
          <w:p w14:paraId="6B44D98B" w14:textId="0D51BBF1" w:rsidR="001B2627" w:rsidRPr="008771A8" w:rsidRDefault="002E43F7" w:rsidP="002E43F7">
            <w:pPr>
              <w:pStyle w:val="Nadpis1"/>
              <w:keepNext/>
              <w:numPr>
                <w:ilvl w:val="1"/>
                <w:numId w:val="14"/>
              </w:numPr>
              <w:spacing w:line="288" w:lineRule="auto"/>
              <w:jc w:val="both"/>
              <w:rPr>
                <w:b/>
                <w:sz w:val="17"/>
                <w:szCs w:val="17"/>
              </w:rPr>
            </w:pPr>
            <w:r>
              <w:rPr>
                <w:b/>
                <w:sz w:val="17"/>
                <w:szCs w:val="17"/>
              </w:rPr>
              <w:t>EIOPA XBRL Taxonomy consultation</w:t>
            </w:r>
          </w:p>
        </w:tc>
        <w:tc>
          <w:tcPr>
            <w:tcW w:w="1876" w:type="dxa"/>
            <w:tcBorders>
              <w:top w:val="nil"/>
              <w:left w:val="single" w:sz="12" w:space="0" w:color="87CB3D"/>
              <w:bottom w:val="nil"/>
              <w:right w:val="single" w:sz="12" w:space="0" w:color="87CB3D"/>
            </w:tcBorders>
            <w:shd w:val="clear" w:color="auto" w:fill="auto"/>
          </w:tcPr>
          <w:p w14:paraId="4B5A86DB" w14:textId="35048BD3" w:rsidR="001B2627" w:rsidRPr="008771A8" w:rsidRDefault="001B2627" w:rsidP="001B2627">
            <w:pPr>
              <w:jc w:val="center"/>
              <w:rPr>
                <w:color w:val="002957"/>
                <w:sz w:val="17"/>
                <w:szCs w:val="17"/>
              </w:rPr>
            </w:pPr>
            <w:r w:rsidRPr="008771A8">
              <w:rPr>
                <w:color w:val="002957"/>
                <w:sz w:val="17"/>
                <w:szCs w:val="17"/>
              </w:rPr>
              <w:t xml:space="preserve">For </w:t>
            </w:r>
            <w:r w:rsidR="00A16BB0" w:rsidRPr="008771A8">
              <w:rPr>
                <w:color w:val="002957"/>
                <w:sz w:val="17"/>
                <w:szCs w:val="17"/>
              </w:rPr>
              <w:t>approval</w:t>
            </w:r>
            <w:r w:rsidRPr="008771A8">
              <w:rPr>
                <w:color w:val="002957"/>
                <w:sz w:val="17"/>
                <w:szCs w:val="17"/>
              </w:rPr>
              <w:t xml:space="preserve"> </w:t>
            </w:r>
          </w:p>
        </w:tc>
        <w:tc>
          <w:tcPr>
            <w:tcW w:w="1718" w:type="dxa"/>
            <w:tcBorders>
              <w:top w:val="nil"/>
              <w:left w:val="single" w:sz="12" w:space="0" w:color="87CB3D"/>
              <w:bottom w:val="nil"/>
              <w:right w:val="nil"/>
            </w:tcBorders>
            <w:shd w:val="clear" w:color="auto" w:fill="auto"/>
          </w:tcPr>
          <w:p w14:paraId="530C8728" w14:textId="77777777" w:rsidR="002E43F7" w:rsidRPr="002E43F7" w:rsidRDefault="00740EFA" w:rsidP="002E43F7">
            <w:pPr>
              <w:tabs>
                <w:tab w:val="left" w:pos="222"/>
              </w:tabs>
              <w:jc w:val="center"/>
              <w:rPr>
                <w:color w:val="244061" w:themeColor="accent1" w:themeShade="80"/>
                <w:sz w:val="17"/>
                <w:szCs w:val="17"/>
              </w:rPr>
            </w:pPr>
            <w:hyperlink r:id="rId19" w:history="1">
              <w:r w:rsidR="002E43F7" w:rsidRPr="002E43F7">
                <w:rPr>
                  <w:rStyle w:val="Hypertextovprepojenie"/>
                  <w:sz w:val="17"/>
                  <w:szCs w:val="17"/>
                </w:rPr>
                <w:t>ECO-SLV-17-113</w:t>
              </w:r>
            </w:hyperlink>
          </w:p>
          <w:p w14:paraId="6AF465FC" w14:textId="039BD34C" w:rsidR="001B2627" w:rsidRPr="008771A8" w:rsidRDefault="001B2627" w:rsidP="001B2627">
            <w:pPr>
              <w:jc w:val="center"/>
              <w:rPr>
                <w:color w:val="002957"/>
                <w:sz w:val="17"/>
                <w:szCs w:val="17"/>
              </w:rPr>
            </w:pPr>
          </w:p>
        </w:tc>
      </w:tr>
      <w:tr w:rsidR="001B2627" w:rsidRPr="008771A8" w14:paraId="01E1ABC6"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4F298197" w14:textId="388F367D" w:rsidR="002E43F7" w:rsidRDefault="002E43F7" w:rsidP="002E43F7">
            <w:pPr>
              <w:jc w:val="both"/>
              <w:rPr>
                <w:sz w:val="17"/>
                <w:szCs w:val="17"/>
              </w:rPr>
            </w:pPr>
          </w:p>
          <w:p w14:paraId="612EA008" w14:textId="330F3219" w:rsidR="002E43F7" w:rsidRPr="002E43F7" w:rsidRDefault="002E43F7" w:rsidP="002E43F7">
            <w:pPr>
              <w:jc w:val="both"/>
              <w:rPr>
                <w:sz w:val="17"/>
                <w:szCs w:val="17"/>
              </w:rPr>
            </w:pPr>
            <w:r w:rsidRPr="002E43F7">
              <w:rPr>
                <w:sz w:val="17"/>
                <w:szCs w:val="17"/>
              </w:rPr>
              <w:t xml:space="preserve">Members were invited to review/approve the key messages of the draft Insurance Europe response (see request for info in </w:t>
            </w:r>
            <w:hyperlink r:id="rId20" w:history="1">
              <w:r w:rsidRPr="002E43F7">
                <w:rPr>
                  <w:sz w:val="17"/>
                  <w:szCs w:val="17"/>
                </w:rPr>
                <w:t>ECO-SLV-17-096</w:t>
              </w:r>
            </w:hyperlink>
            <w:r w:rsidRPr="002E43F7">
              <w:rPr>
                <w:sz w:val="17"/>
                <w:szCs w:val="17"/>
              </w:rPr>
              <w:t xml:space="preserve">). </w:t>
            </w:r>
          </w:p>
          <w:p w14:paraId="1C76C080" w14:textId="675158B9" w:rsidR="002E43F7" w:rsidRDefault="002E43F7" w:rsidP="002E43F7">
            <w:pPr>
              <w:jc w:val="both"/>
              <w:rPr>
                <w:sz w:val="17"/>
                <w:szCs w:val="17"/>
              </w:rPr>
            </w:pPr>
          </w:p>
          <w:p w14:paraId="4FDC961C" w14:textId="77777777" w:rsidR="002E43F7" w:rsidRPr="008771A8" w:rsidRDefault="002E43F7" w:rsidP="002E43F7">
            <w:pPr>
              <w:autoSpaceDE w:val="0"/>
              <w:autoSpaceDN w:val="0"/>
              <w:adjustRightInd w:val="0"/>
              <w:jc w:val="both"/>
              <w:rPr>
                <w:i/>
                <w:sz w:val="17"/>
                <w:szCs w:val="17"/>
                <w:u w:val="single"/>
              </w:rPr>
            </w:pPr>
            <w:r w:rsidRPr="008771A8">
              <w:rPr>
                <w:i/>
                <w:sz w:val="17"/>
                <w:szCs w:val="17"/>
                <w:u w:val="single"/>
              </w:rPr>
              <w:t>Summary of discussions:</w:t>
            </w:r>
          </w:p>
          <w:p w14:paraId="2DB80B4D" w14:textId="1AE7E7B7" w:rsidR="00E159F3" w:rsidRDefault="00E159F3" w:rsidP="002E43F7">
            <w:pPr>
              <w:numPr>
                <w:ilvl w:val="0"/>
                <w:numId w:val="1"/>
              </w:numPr>
              <w:autoSpaceDE w:val="0"/>
              <w:autoSpaceDN w:val="0"/>
              <w:adjustRightInd w:val="0"/>
              <w:jc w:val="both"/>
              <w:rPr>
                <w:sz w:val="17"/>
                <w:szCs w:val="17"/>
              </w:rPr>
            </w:pPr>
            <w:r>
              <w:rPr>
                <w:sz w:val="17"/>
                <w:szCs w:val="17"/>
              </w:rPr>
              <w:t xml:space="preserve">The secretariat reminded members </w:t>
            </w:r>
            <w:r w:rsidR="00917E8D">
              <w:rPr>
                <w:sz w:val="17"/>
                <w:szCs w:val="17"/>
              </w:rPr>
              <w:t>that final</w:t>
            </w:r>
            <w:r>
              <w:rPr>
                <w:sz w:val="17"/>
                <w:szCs w:val="17"/>
              </w:rPr>
              <w:t xml:space="preserve"> comment</w:t>
            </w:r>
            <w:r w:rsidR="00917E8D">
              <w:rPr>
                <w:sz w:val="17"/>
                <w:szCs w:val="17"/>
              </w:rPr>
              <w:t>s</w:t>
            </w:r>
            <w:r>
              <w:rPr>
                <w:sz w:val="17"/>
                <w:szCs w:val="17"/>
              </w:rPr>
              <w:t xml:space="preserve"> </w:t>
            </w:r>
            <w:r w:rsidR="00917E8D">
              <w:rPr>
                <w:sz w:val="17"/>
                <w:szCs w:val="17"/>
              </w:rPr>
              <w:t>on the draft response should</w:t>
            </w:r>
            <w:r>
              <w:rPr>
                <w:sz w:val="17"/>
                <w:szCs w:val="17"/>
              </w:rPr>
              <w:t xml:space="preserve"> be provided by 28 June CoB and a blocking concern process </w:t>
            </w:r>
            <w:r w:rsidR="00917E8D">
              <w:rPr>
                <w:sz w:val="17"/>
                <w:szCs w:val="17"/>
              </w:rPr>
              <w:t>would be</w:t>
            </w:r>
            <w:r>
              <w:rPr>
                <w:sz w:val="17"/>
                <w:szCs w:val="17"/>
              </w:rPr>
              <w:t xml:space="preserve"> launched on 29 June.</w:t>
            </w:r>
          </w:p>
          <w:p w14:paraId="5A1733BB" w14:textId="4DB10BEE" w:rsidR="0037126D" w:rsidRDefault="00E159F3" w:rsidP="002E43F7">
            <w:pPr>
              <w:numPr>
                <w:ilvl w:val="0"/>
                <w:numId w:val="1"/>
              </w:numPr>
              <w:autoSpaceDE w:val="0"/>
              <w:autoSpaceDN w:val="0"/>
              <w:adjustRightInd w:val="0"/>
              <w:jc w:val="both"/>
              <w:rPr>
                <w:sz w:val="17"/>
                <w:szCs w:val="17"/>
              </w:rPr>
            </w:pPr>
            <w:r>
              <w:rPr>
                <w:sz w:val="17"/>
                <w:szCs w:val="17"/>
              </w:rPr>
              <w:t>The secretariat report</w:t>
            </w:r>
            <w:r w:rsidR="00A1084A">
              <w:rPr>
                <w:sz w:val="17"/>
                <w:szCs w:val="17"/>
              </w:rPr>
              <w:t>ed</w:t>
            </w:r>
            <w:r>
              <w:rPr>
                <w:sz w:val="17"/>
                <w:szCs w:val="17"/>
              </w:rPr>
              <w:t xml:space="preserve"> on the discussion it had with EIOPA regarding the look-through reporting (S.06.03)</w:t>
            </w:r>
            <w:r w:rsidR="0037126D">
              <w:rPr>
                <w:sz w:val="17"/>
                <w:szCs w:val="17"/>
              </w:rPr>
              <w:t xml:space="preserve"> and asked members to consider this in the redrafting suggestions proposed as part of their final feedback. </w:t>
            </w:r>
          </w:p>
          <w:p w14:paraId="5C778836" w14:textId="1C2388FF" w:rsidR="002E43F7" w:rsidRPr="008771A8" w:rsidRDefault="00A1084A" w:rsidP="002E43F7">
            <w:pPr>
              <w:numPr>
                <w:ilvl w:val="0"/>
                <w:numId w:val="1"/>
              </w:numPr>
              <w:autoSpaceDE w:val="0"/>
              <w:autoSpaceDN w:val="0"/>
              <w:adjustRightInd w:val="0"/>
              <w:jc w:val="both"/>
              <w:rPr>
                <w:sz w:val="17"/>
                <w:szCs w:val="17"/>
              </w:rPr>
            </w:pPr>
            <w:r>
              <w:rPr>
                <w:sz w:val="17"/>
                <w:szCs w:val="17"/>
              </w:rPr>
              <w:t>The secretariat further referred to</w:t>
            </w:r>
            <w:r w:rsidR="0037126D">
              <w:rPr>
                <w:sz w:val="17"/>
                <w:szCs w:val="17"/>
              </w:rPr>
              <w:t xml:space="preserve"> </w:t>
            </w:r>
            <w:r w:rsidR="00E159F3">
              <w:rPr>
                <w:sz w:val="17"/>
                <w:szCs w:val="17"/>
              </w:rPr>
              <w:t>concerns raised by some members about</w:t>
            </w:r>
            <w:r w:rsidR="0037126D">
              <w:rPr>
                <w:sz w:val="17"/>
                <w:szCs w:val="17"/>
              </w:rPr>
              <w:t xml:space="preserve"> </w:t>
            </w:r>
            <w:r w:rsidR="0037126D" w:rsidRPr="0037126D">
              <w:rPr>
                <w:sz w:val="17"/>
                <w:szCs w:val="17"/>
              </w:rPr>
              <w:t xml:space="preserve">remaining ambiguities </w:t>
            </w:r>
            <w:r w:rsidR="0037126D">
              <w:rPr>
                <w:sz w:val="17"/>
                <w:szCs w:val="17"/>
              </w:rPr>
              <w:t>in the log description</w:t>
            </w:r>
            <w:r w:rsidR="0037126D" w:rsidRPr="0037126D">
              <w:rPr>
                <w:sz w:val="17"/>
                <w:szCs w:val="17"/>
              </w:rPr>
              <w:t xml:space="preserve"> which, if left unaddressed, could result in the proposed text being interpreted in a way that does not reflect EIOPA’s aim of alleviating the look-through burden</w:t>
            </w:r>
            <w:r w:rsidR="0037126D">
              <w:rPr>
                <w:sz w:val="17"/>
                <w:szCs w:val="17"/>
              </w:rPr>
              <w:t xml:space="preserve">. </w:t>
            </w:r>
          </w:p>
          <w:p w14:paraId="70B169DD" w14:textId="7091C383" w:rsidR="002E43F7" w:rsidRDefault="0037126D" w:rsidP="002E43F7">
            <w:pPr>
              <w:pStyle w:val="Default"/>
              <w:numPr>
                <w:ilvl w:val="0"/>
                <w:numId w:val="5"/>
              </w:numPr>
              <w:spacing w:line="276" w:lineRule="auto"/>
              <w:jc w:val="both"/>
              <w:rPr>
                <w:color w:val="auto"/>
                <w:sz w:val="17"/>
                <w:szCs w:val="17"/>
              </w:rPr>
            </w:pPr>
            <w:r>
              <w:rPr>
                <w:sz w:val="17"/>
                <w:szCs w:val="17"/>
              </w:rPr>
              <w:t xml:space="preserve">EIOPA had discussed the issue with the other </w:t>
            </w:r>
            <w:r w:rsidR="00B15DC5">
              <w:rPr>
                <w:sz w:val="17"/>
                <w:szCs w:val="17"/>
              </w:rPr>
              <w:t>NCAs</w:t>
            </w:r>
            <w:r>
              <w:rPr>
                <w:sz w:val="17"/>
                <w:szCs w:val="17"/>
              </w:rPr>
              <w:t xml:space="preserve"> and the language</w:t>
            </w:r>
            <w:r w:rsidR="005301B5">
              <w:rPr>
                <w:sz w:val="17"/>
                <w:szCs w:val="17"/>
              </w:rPr>
              <w:t>,</w:t>
            </w:r>
            <w:r>
              <w:rPr>
                <w:sz w:val="17"/>
                <w:szCs w:val="17"/>
              </w:rPr>
              <w:t xml:space="preserve"> which was a result of a consensus, was supposed to allay all the concerns of the industry, reflecting the proposal that had been made in a previous interaction. EIOPA was worried that a new change of language could precisely lead to interpretation.</w:t>
            </w:r>
          </w:p>
          <w:p w14:paraId="613732DA" w14:textId="40A57C06" w:rsidR="002E43F7" w:rsidRDefault="00DC41A2" w:rsidP="002E43F7">
            <w:pPr>
              <w:pStyle w:val="Default"/>
              <w:numPr>
                <w:ilvl w:val="0"/>
                <w:numId w:val="5"/>
              </w:numPr>
              <w:spacing w:line="276" w:lineRule="auto"/>
              <w:jc w:val="both"/>
              <w:rPr>
                <w:color w:val="auto"/>
                <w:sz w:val="17"/>
                <w:szCs w:val="17"/>
              </w:rPr>
            </w:pPr>
            <w:r>
              <w:rPr>
                <w:color w:val="auto"/>
                <w:sz w:val="17"/>
                <w:szCs w:val="17"/>
              </w:rPr>
              <w:t>The GDV mentioned that they will provide some comments</w:t>
            </w:r>
            <w:r w:rsidR="00D6496E">
              <w:rPr>
                <w:color w:val="auto"/>
                <w:sz w:val="17"/>
                <w:szCs w:val="17"/>
              </w:rPr>
              <w:t>.</w:t>
            </w:r>
          </w:p>
          <w:p w14:paraId="17325028" w14:textId="23066B9B" w:rsidR="00DC41A2" w:rsidRDefault="00DC41A2" w:rsidP="002E43F7">
            <w:pPr>
              <w:pStyle w:val="Default"/>
              <w:numPr>
                <w:ilvl w:val="0"/>
                <w:numId w:val="5"/>
              </w:numPr>
              <w:spacing w:line="276" w:lineRule="auto"/>
              <w:jc w:val="both"/>
              <w:rPr>
                <w:color w:val="auto"/>
                <w:sz w:val="17"/>
                <w:szCs w:val="17"/>
              </w:rPr>
            </w:pPr>
            <w:r>
              <w:rPr>
                <w:color w:val="auto"/>
                <w:sz w:val="17"/>
                <w:szCs w:val="17"/>
              </w:rPr>
              <w:t>Assuralia asked to check again the point made on SE.06.02 which they believed was not valid.</w:t>
            </w:r>
          </w:p>
          <w:p w14:paraId="27736F7A" w14:textId="485AEC41" w:rsidR="00DC41A2" w:rsidRPr="0006102F" w:rsidRDefault="00DC41A2" w:rsidP="002E43F7">
            <w:pPr>
              <w:pStyle w:val="Default"/>
              <w:numPr>
                <w:ilvl w:val="0"/>
                <w:numId w:val="5"/>
              </w:numPr>
              <w:spacing w:line="276" w:lineRule="auto"/>
              <w:jc w:val="both"/>
              <w:rPr>
                <w:color w:val="auto"/>
                <w:sz w:val="17"/>
                <w:szCs w:val="17"/>
              </w:rPr>
            </w:pPr>
            <w:r>
              <w:rPr>
                <w:color w:val="auto"/>
                <w:sz w:val="17"/>
                <w:szCs w:val="17"/>
              </w:rPr>
              <w:t xml:space="preserve">The </w:t>
            </w:r>
            <w:r w:rsidR="000E5086">
              <w:rPr>
                <w:color w:val="auto"/>
                <w:sz w:val="17"/>
                <w:szCs w:val="17"/>
              </w:rPr>
              <w:t>ABI</w:t>
            </w:r>
            <w:r>
              <w:rPr>
                <w:color w:val="auto"/>
                <w:sz w:val="17"/>
                <w:szCs w:val="17"/>
              </w:rPr>
              <w:t xml:space="preserve"> welcomed the addition made in the general comments.</w:t>
            </w:r>
          </w:p>
          <w:p w14:paraId="1DA6C0DF" w14:textId="77777777" w:rsidR="002E43F7" w:rsidRDefault="002E43F7" w:rsidP="002E43F7">
            <w:pPr>
              <w:pStyle w:val="CEABullet-Level3"/>
              <w:rPr>
                <w:szCs w:val="17"/>
              </w:rPr>
            </w:pPr>
          </w:p>
          <w:p w14:paraId="2141DF2A" w14:textId="77777777" w:rsidR="002E43F7" w:rsidRPr="008771A8" w:rsidRDefault="002E43F7" w:rsidP="002E43F7">
            <w:pPr>
              <w:autoSpaceDE w:val="0"/>
              <w:autoSpaceDN w:val="0"/>
              <w:adjustRightInd w:val="0"/>
              <w:jc w:val="both"/>
              <w:rPr>
                <w:i/>
                <w:sz w:val="17"/>
                <w:szCs w:val="17"/>
                <w:u w:val="single"/>
              </w:rPr>
            </w:pPr>
            <w:r w:rsidRPr="008771A8">
              <w:rPr>
                <w:i/>
                <w:sz w:val="17"/>
                <w:szCs w:val="17"/>
                <w:u w:val="single"/>
              </w:rPr>
              <w:t>Action points:</w:t>
            </w:r>
          </w:p>
          <w:p w14:paraId="771B11EA" w14:textId="50CC75C5" w:rsidR="002E43F7" w:rsidRDefault="00DC41A2" w:rsidP="002E43F7">
            <w:pPr>
              <w:numPr>
                <w:ilvl w:val="0"/>
                <w:numId w:val="1"/>
              </w:numPr>
              <w:autoSpaceDE w:val="0"/>
              <w:autoSpaceDN w:val="0"/>
              <w:adjustRightInd w:val="0"/>
              <w:jc w:val="both"/>
              <w:rPr>
                <w:sz w:val="17"/>
                <w:szCs w:val="17"/>
              </w:rPr>
            </w:pPr>
            <w:r>
              <w:rPr>
                <w:sz w:val="17"/>
                <w:szCs w:val="17"/>
              </w:rPr>
              <w:t xml:space="preserve">Members </w:t>
            </w:r>
            <w:r w:rsidR="005301B5">
              <w:rPr>
                <w:sz w:val="17"/>
                <w:szCs w:val="17"/>
              </w:rPr>
              <w:t>will submit by</w:t>
            </w:r>
            <w:r>
              <w:rPr>
                <w:sz w:val="17"/>
                <w:szCs w:val="17"/>
              </w:rPr>
              <w:t xml:space="preserve"> 28 June CoB their final comments</w:t>
            </w:r>
            <w:r w:rsidR="005301B5">
              <w:rPr>
                <w:sz w:val="17"/>
                <w:szCs w:val="17"/>
              </w:rPr>
              <w:t>, on the basis of which the secretariat will finalise and submit the response to EIOPA</w:t>
            </w:r>
            <w:r w:rsidR="004D1B03">
              <w:rPr>
                <w:sz w:val="17"/>
                <w:szCs w:val="17"/>
              </w:rPr>
              <w:t>.</w:t>
            </w:r>
          </w:p>
          <w:p w14:paraId="648B3F08" w14:textId="77777777" w:rsidR="002E43F7" w:rsidRPr="008771A8" w:rsidRDefault="002E43F7" w:rsidP="00DC41A2">
            <w:pPr>
              <w:autoSpaceDE w:val="0"/>
              <w:autoSpaceDN w:val="0"/>
              <w:adjustRightInd w:val="0"/>
              <w:ind w:left="360"/>
              <w:jc w:val="both"/>
              <w:rPr>
                <w:sz w:val="17"/>
                <w:szCs w:val="17"/>
              </w:rPr>
            </w:pPr>
          </w:p>
          <w:p w14:paraId="52F7A780" w14:textId="74090284" w:rsidR="001B2627" w:rsidRPr="008771A8" w:rsidRDefault="001B2627" w:rsidP="009F64D4">
            <w:pPr>
              <w:pStyle w:val="Odsekzoznamu"/>
              <w:rPr>
                <w:color w:val="002957"/>
                <w:szCs w:val="17"/>
              </w:rPr>
            </w:pPr>
          </w:p>
        </w:tc>
      </w:tr>
      <w:tr w:rsidR="001B2627" w:rsidRPr="008771A8" w14:paraId="1D1D39E8"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6" w:type="dxa"/>
            <w:tcBorders>
              <w:top w:val="nil"/>
              <w:left w:val="nil"/>
              <w:bottom w:val="nil"/>
              <w:right w:val="single" w:sz="12" w:space="0" w:color="87CB3D"/>
            </w:tcBorders>
            <w:shd w:val="clear" w:color="auto" w:fill="auto"/>
          </w:tcPr>
          <w:p w14:paraId="49878F57" w14:textId="53A1F5E5" w:rsidR="001B2627" w:rsidRPr="008771A8" w:rsidRDefault="009F64D4" w:rsidP="009F64D4">
            <w:pPr>
              <w:pStyle w:val="Nadpis1"/>
              <w:keepNext/>
              <w:numPr>
                <w:ilvl w:val="1"/>
                <w:numId w:val="14"/>
              </w:numPr>
              <w:spacing w:line="288" w:lineRule="auto"/>
              <w:jc w:val="both"/>
              <w:rPr>
                <w:b/>
                <w:sz w:val="17"/>
                <w:szCs w:val="17"/>
              </w:rPr>
            </w:pPr>
            <w:r>
              <w:rPr>
                <w:b/>
                <w:sz w:val="17"/>
                <w:szCs w:val="17"/>
              </w:rPr>
              <w:t>SFCR</w:t>
            </w:r>
          </w:p>
        </w:tc>
        <w:tc>
          <w:tcPr>
            <w:tcW w:w="1876" w:type="dxa"/>
            <w:tcBorders>
              <w:top w:val="nil"/>
              <w:left w:val="single" w:sz="12" w:space="0" w:color="87CB3D"/>
              <w:bottom w:val="nil"/>
              <w:right w:val="single" w:sz="12" w:space="0" w:color="87CB3D"/>
            </w:tcBorders>
            <w:shd w:val="clear" w:color="auto" w:fill="auto"/>
          </w:tcPr>
          <w:p w14:paraId="7092D03A" w14:textId="552ED6D9" w:rsidR="001B2627" w:rsidRPr="008771A8" w:rsidRDefault="001B2627" w:rsidP="001B2627">
            <w:pPr>
              <w:jc w:val="center"/>
              <w:rPr>
                <w:color w:val="002957"/>
                <w:sz w:val="17"/>
                <w:szCs w:val="17"/>
              </w:rPr>
            </w:pPr>
            <w:r w:rsidRPr="008771A8">
              <w:rPr>
                <w:color w:val="002957"/>
                <w:sz w:val="17"/>
                <w:szCs w:val="17"/>
              </w:rPr>
              <w:t xml:space="preserve">For </w:t>
            </w:r>
            <w:r w:rsidR="00F6331D" w:rsidRPr="008771A8">
              <w:rPr>
                <w:color w:val="002957"/>
                <w:sz w:val="17"/>
                <w:szCs w:val="17"/>
              </w:rPr>
              <w:t>discussion</w:t>
            </w:r>
            <w:r w:rsidRPr="008771A8">
              <w:rPr>
                <w:color w:val="002957"/>
                <w:sz w:val="17"/>
                <w:szCs w:val="17"/>
              </w:rPr>
              <w:t xml:space="preserve"> </w:t>
            </w:r>
          </w:p>
        </w:tc>
        <w:tc>
          <w:tcPr>
            <w:tcW w:w="1718" w:type="dxa"/>
            <w:tcBorders>
              <w:top w:val="nil"/>
              <w:left w:val="single" w:sz="12" w:space="0" w:color="87CB3D"/>
              <w:bottom w:val="nil"/>
              <w:right w:val="nil"/>
            </w:tcBorders>
            <w:shd w:val="clear" w:color="auto" w:fill="auto"/>
          </w:tcPr>
          <w:p w14:paraId="4B4B26D3" w14:textId="2B7A1530" w:rsidR="001B2627" w:rsidRPr="008771A8" w:rsidRDefault="009F64D4" w:rsidP="009F64D4">
            <w:pPr>
              <w:tabs>
                <w:tab w:val="left" w:pos="222"/>
              </w:tabs>
              <w:jc w:val="center"/>
              <w:rPr>
                <w:color w:val="0000FF"/>
                <w:sz w:val="17"/>
                <w:szCs w:val="17"/>
                <w:u w:val="single"/>
              </w:rPr>
            </w:pPr>
            <w:r w:rsidRPr="009F64D4">
              <w:rPr>
                <w:color w:val="002957"/>
                <w:sz w:val="17"/>
                <w:szCs w:val="17"/>
              </w:rPr>
              <w:t>ECO-SLV-17-101</w:t>
            </w:r>
          </w:p>
        </w:tc>
      </w:tr>
      <w:tr w:rsidR="001B2627" w:rsidRPr="008771A8" w14:paraId="120415EE"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7EE1C713" w14:textId="05A3768A" w:rsidR="00F6331D" w:rsidRDefault="00F6331D" w:rsidP="00F6331D">
            <w:pPr>
              <w:jc w:val="both"/>
              <w:rPr>
                <w:sz w:val="17"/>
                <w:szCs w:val="17"/>
              </w:rPr>
            </w:pPr>
          </w:p>
          <w:p w14:paraId="4039FCB3" w14:textId="09D27458" w:rsidR="009F64D4" w:rsidRPr="009F64D4" w:rsidRDefault="009F64D4" w:rsidP="009F64D4">
            <w:pPr>
              <w:jc w:val="both"/>
              <w:rPr>
                <w:sz w:val="17"/>
                <w:szCs w:val="17"/>
              </w:rPr>
            </w:pPr>
            <w:r w:rsidRPr="009F64D4">
              <w:rPr>
                <w:sz w:val="17"/>
                <w:szCs w:val="17"/>
              </w:rPr>
              <w:t>Following the first annual solo reporting deadline under Solvency II on 20 May, there is now a great deal of information available to the public through companies’ SFCRs. Members w</w:t>
            </w:r>
            <w:r>
              <w:rPr>
                <w:sz w:val="17"/>
                <w:szCs w:val="17"/>
              </w:rPr>
              <w:t>ere</w:t>
            </w:r>
            <w:r w:rsidRPr="009F64D4">
              <w:rPr>
                <w:sz w:val="17"/>
                <w:szCs w:val="17"/>
              </w:rPr>
              <w:t xml:space="preserve"> asked to share emerging trends in their market, including on information regarding SFCR statistics (see </w:t>
            </w:r>
            <w:hyperlink r:id="rId21" w:history="1">
              <w:r w:rsidRPr="009F64D4">
                <w:rPr>
                  <w:rStyle w:val="Hypertextovprepojenie"/>
                  <w:color w:val="auto"/>
                  <w:sz w:val="17"/>
                  <w:szCs w:val="17"/>
                </w:rPr>
                <w:t>ECO-SLV-17-089</w:t>
              </w:r>
            </w:hyperlink>
            <w:r w:rsidRPr="009F64D4">
              <w:rPr>
                <w:rStyle w:val="Hypertextovprepojenie"/>
                <w:color w:val="auto"/>
                <w:sz w:val="17"/>
                <w:szCs w:val="17"/>
              </w:rPr>
              <w:t>),</w:t>
            </w:r>
            <w:r w:rsidRPr="009F64D4">
              <w:rPr>
                <w:sz w:val="17"/>
                <w:szCs w:val="17"/>
              </w:rPr>
              <w:t xml:space="preserve"> and advise on potential next steps.</w:t>
            </w:r>
          </w:p>
          <w:p w14:paraId="13A329BE" w14:textId="77777777" w:rsidR="009F64D4" w:rsidRPr="008771A8" w:rsidRDefault="009F64D4" w:rsidP="009F64D4">
            <w:pPr>
              <w:rPr>
                <w:color w:val="002957"/>
                <w:sz w:val="17"/>
                <w:szCs w:val="17"/>
              </w:rPr>
            </w:pPr>
          </w:p>
          <w:p w14:paraId="75852294"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Summary of discussions:</w:t>
            </w:r>
          </w:p>
          <w:p w14:paraId="0F8C8FB0" w14:textId="090E6688" w:rsidR="009F64D4" w:rsidRPr="00655AD9" w:rsidRDefault="00A76741" w:rsidP="00655AD9">
            <w:pPr>
              <w:numPr>
                <w:ilvl w:val="0"/>
                <w:numId w:val="1"/>
              </w:numPr>
              <w:autoSpaceDE w:val="0"/>
              <w:autoSpaceDN w:val="0"/>
              <w:adjustRightInd w:val="0"/>
              <w:jc w:val="both"/>
              <w:rPr>
                <w:sz w:val="17"/>
                <w:szCs w:val="17"/>
              </w:rPr>
            </w:pPr>
            <w:r>
              <w:rPr>
                <w:sz w:val="17"/>
                <w:szCs w:val="17"/>
              </w:rPr>
              <w:t xml:space="preserve">The secretariat updated members on its discussion with EIOPA on the SFCR which unveils that EIOPA will scrutinise whether the objectives of the SFCR (transparency, market discipline, and market comparability) are being met. The secretariat </w:t>
            </w:r>
            <w:r w:rsidR="00016BD2">
              <w:rPr>
                <w:sz w:val="17"/>
                <w:szCs w:val="17"/>
              </w:rPr>
              <w:t>noted that the recent</w:t>
            </w:r>
            <w:r>
              <w:rPr>
                <w:sz w:val="17"/>
                <w:szCs w:val="17"/>
              </w:rPr>
              <w:t xml:space="preserve"> survey </w:t>
            </w:r>
            <w:r w:rsidR="00016BD2">
              <w:rPr>
                <w:sz w:val="17"/>
                <w:szCs w:val="17"/>
              </w:rPr>
              <w:t xml:space="preserve">on downloads of SFCR reports </w:t>
            </w:r>
            <w:r>
              <w:rPr>
                <w:sz w:val="17"/>
                <w:szCs w:val="17"/>
              </w:rPr>
              <w:t>can</w:t>
            </w:r>
            <w:r w:rsidR="00016BD2">
              <w:rPr>
                <w:sz w:val="17"/>
                <w:szCs w:val="17"/>
              </w:rPr>
              <w:t xml:space="preserve">not yet lead to material conclusions, also </w:t>
            </w:r>
            <w:r>
              <w:rPr>
                <w:sz w:val="17"/>
                <w:szCs w:val="17"/>
              </w:rPr>
              <w:t>because of the lack of data</w:t>
            </w:r>
            <w:r w:rsidR="00513892">
              <w:rPr>
                <w:sz w:val="17"/>
                <w:szCs w:val="17"/>
              </w:rPr>
              <w:t xml:space="preserve"> received</w:t>
            </w:r>
            <w:r>
              <w:rPr>
                <w:sz w:val="17"/>
                <w:szCs w:val="17"/>
              </w:rPr>
              <w:t xml:space="preserve">. </w:t>
            </w:r>
          </w:p>
          <w:p w14:paraId="1E711999" w14:textId="0880212A" w:rsidR="009F64D4" w:rsidRDefault="00A76741" w:rsidP="009F64D4">
            <w:pPr>
              <w:pStyle w:val="Default"/>
              <w:numPr>
                <w:ilvl w:val="0"/>
                <w:numId w:val="5"/>
              </w:numPr>
              <w:spacing w:line="276" w:lineRule="auto"/>
              <w:jc w:val="both"/>
              <w:rPr>
                <w:color w:val="auto"/>
                <w:sz w:val="17"/>
                <w:szCs w:val="17"/>
              </w:rPr>
            </w:pPr>
            <w:r>
              <w:rPr>
                <w:color w:val="auto"/>
                <w:sz w:val="17"/>
                <w:szCs w:val="17"/>
              </w:rPr>
              <w:t>DIA mentioned that companies</w:t>
            </w:r>
            <w:r w:rsidR="00BC6D99">
              <w:rPr>
                <w:color w:val="auto"/>
                <w:sz w:val="17"/>
                <w:szCs w:val="17"/>
              </w:rPr>
              <w:t xml:space="preserve"> in Denmark</w:t>
            </w:r>
            <w:r>
              <w:rPr>
                <w:color w:val="auto"/>
                <w:sz w:val="17"/>
                <w:szCs w:val="17"/>
              </w:rPr>
              <w:t xml:space="preserve"> have reported very little interest in the SFCR</w:t>
            </w:r>
            <w:r w:rsidR="00BC6D99">
              <w:rPr>
                <w:color w:val="auto"/>
                <w:sz w:val="17"/>
                <w:szCs w:val="17"/>
              </w:rPr>
              <w:t xml:space="preserve"> by the policyholders, and they believed that most of the downloads are done by their competitors</w:t>
            </w:r>
            <w:r w:rsidR="00016BD2">
              <w:rPr>
                <w:color w:val="auto"/>
                <w:sz w:val="17"/>
                <w:szCs w:val="17"/>
              </w:rPr>
              <w:t>.</w:t>
            </w:r>
          </w:p>
          <w:p w14:paraId="73EFC112" w14:textId="3684ECC0" w:rsidR="009F64D4" w:rsidRDefault="00BC6D99" w:rsidP="009F64D4">
            <w:pPr>
              <w:pStyle w:val="Default"/>
              <w:numPr>
                <w:ilvl w:val="0"/>
                <w:numId w:val="5"/>
              </w:numPr>
              <w:spacing w:line="276" w:lineRule="auto"/>
              <w:jc w:val="both"/>
              <w:rPr>
                <w:color w:val="auto"/>
                <w:sz w:val="17"/>
                <w:szCs w:val="17"/>
              </w:rPr>
            </w:pPr>
            <w:r>
              <w:rPr>
                <w:color w:val="auto"/>
                <w:sz w:val="17"/>
                <w:szCs w:val="17"/>
              </w:rPr>
              <w:t>Assuralia seconded the sentiment expressed by DIA in the Belgian market and mentioned that it could be more useful to take stock in December to be able to draw more accurate conclusions regarding the interest around the SFCR.</w:t>
            </w:r>
          </w:p>
          <w:p w14:paraId="14F17A43" w14:textId="0B144CDD" w:rsidR="00BC6D99" w:rsidRDefault="00BC6D99" w:rsidP="009F64D4">
            <w:pPr>
              <w:pStyle w:val="Default"/>
              <w:numPr>
                <w:ilvl w:val="0"/>
                <w:numId w:val="5"/>
              </w:numPr>
              <w:spacing w:line="276" w:lineRule="auto"/>
              <w:jc w:val="both"/>
              <w:rPr>
                <w:color w:val="auto"/>
                <w:sz w:val="17"/>
                <w:szCs w:val="17"/>
              </w:rPr>
            </w:pPr>
            <w:r>
              <w:rPr>
                <w:color w:val="auto"/>
                <w:sz w:val="17"/>
                <w:szCs w:val="17"/>
              </w:rPr>
              <w:t>The VVO mentioned that in Austria, the financial statements were still largely</w:t>
            </w:r>
            <w:r w:rsidR="005D67F6">
              <w:rPr>
                <w:color w:val="auto"/>
                <w:sz w:val="17"/>
                <w:szCs w:val="17"/>
              </w:rPr>
              <w:t xml:space="preserve"> more of interest than the SFCR.</w:t>
            </w:r>
          </w:p>
          <w:p w14:paraId="24D57D33" w14:textId="247B46D6" w:rsidR="005D67F6" w:rsidRDefault="005D67F6" w:rsidP="009F64D4">
            <w:pPr>
              <w:pStyle w:val="Default"/>
              <w:numPr>
                <w:ilvl w:val="0"/>
                <w:numId w:val="5"/>
              </w:numPr>
              <w:spacing w:line="276" w:lineRule="auto"/>
              <w:jc w:val="both"/>
              <w:rPr>
                <w:color w:val="auto"/>
                <w:sz w:val="17"/>
                <w:szCs w:val="17"/>
              </w:rPr>
            </w:pPr>
            <w:r>
              <w:rPr>
                <w:color w:val="auto"/>
                <w:sz w:val="17"/>
                <w:szCs w:val="17"/>
              </w:rPr>
              <w:t xml:space="preserve">The FFA expressed the view that a question about what sections of the SFCR (eg Own funds, solvency ratio, etc.) are </w:t>
            </w:r>
            <w:r w:rsidR="00655AD9">
              <w:rPr>
                <w:color w:val="auto"/>
                <w:sz w:val="17"/>
                <w:szCs w:val="17"/>
              </w:rPr>
              <w:t>of</w:t>
            </w:r>
            <w:r>
              <w:rPr>
                <w:color w:val="auto"/>
                <w:sz w:val="17"/>
                <w:szCs w:val="17"/>
              </w:rPr>
              <w:t xml:space="preserve"> interest for the market is more useful than trying to keep the tally of the number of downloads.</w:t>
            </w:r>
          </w:p>
          <w:p w14:paraId="449C2F54" w14:textId="453ACCC3" w:rsidR="006F5764" w:rsidRDefault="006F5764" w:rsidP="009F64D4">
            <w:pPr>
              <w:pStyle w:val="Default"/>
              <w:numPr>
                <w:ilvl w:val="0"/>
                <w:numId w:val="5"/>
              </w:numPr>
              <w:spacing w:line="276" w:lineRule="auto"/>
              <w:jc w:val="both"/>
              <w:rPr>
                <w:color w:val="auto"/>
                <w:sz w:val="17"/>
                <w:szCs w:val="17"/>
              </w:rPr>
            </w:pPr>
            <w:r>
              <w:rPr>
                <w:color w:val="auto"/>
                <w:sz w:val="17"/>
                <w:szCs w:val="17"/>
              </w:rPr>
              <w:t xml:space="preserve">The GDV pointed out that there will be some service providers who would summarise the information and make it available </w:t>
            </w:r>
            <w:r w:rsidR="00442277">
              <w:rPr>
                <w:color w:val="auto"/>
                <w:sz w:val="17"/>
                <w:szCs w:val="17"/>
              </w:rPr>
              <w:t>to</w:t>
            </w:r>
            <w:r>
              <w:rPr>
                <w:color w:val="auto"/>
                <w:sz w:val="17"/>
                <w:szCs w:val="17"/>
              </w:rPr>
              <w:t xml:space="preserve"> the market, </w:t>
            </w:r>
            <w:r w:rsidR="00442277">
              <w:rPr>
                <w:color w:val="auto"/>
                <w:sz w:val="17"/>
                <w:szCs w:val="17"/>
              </w:rPr>
              <w:t xml:space="preserve">while </w:t>
            </w:r>
            <w:r>
              <w:rPr>
                <w:color w:val="auto"/>
                <w:sz w:val="17"/>
                <w:szCs w:val="17"/>
              </w:rPr>
              <w:t>the number of download</w:t>
            </w:r>
            <w:r w:rsidR="00442277">
              <w:rPr>
                <w:color w:val="auto"/>
                <w:sz w:val="17"/>
                <w:szCs w:val="17"/>
              </w:rPr>
              <w:t>s</w:t>
            </w:r>
            <w:r>
              <w:rPr>
                <w:color w:val="auto"/>
                <w:sz w:val="17"/>
                <w:szCs w:val="17"/>
              </w:rPr>
              <w:t xml:space="preserve"> would not necessarily give an accurate indication of the public interest. DIA did not agree and </w:t>
            </w:r>
            <w:r w:rsidR="00F730A5">
              <w:rPr>
                <w:color w:val="auto"/>
                <w:sz w:val="17"/>
                <w:szCs w:val="17"/>
              </w:rPr>
              <w:t>stressed that the number of downloads could provide an indication of the interest of the public which also should inform the next steps.</w:t>
            </w:r>
          </w:p>
          <w:p w14:paraId="4148869C" w14:textId="7BCE3EDC" w:rsidR="006F5764" w:rsidRDefault="006F5764" w:rsidP="00655AD9">
            <w:pPr>
              <w:pStyle w:val="Default"/>
              <w:numPr>
                <w:ilvl w:val="0"/>
                <w:numId w:val="5"/>
              </w:numPr>
              <w:spacing w:line="276" w:lineRule="auto"/>
              <w:jc w:val="both"/>
              <w:rPr>
                <w:color w:val="auto"/>
                <w:sz w:val="17"/>
                <w:szCs w:val="17"/>
              </w:rPr>
            </w:pPr>
            <w:r>
              <w:rPr>
                <w:color w:val="auto"/>
                <w:sz w:val="17"/>
                <w:szCs w:val="17"/>
              </w:rPr>
              <w:t>The VVN stressed that as EIOPA will probably issue a biased statement on the SFCR, it was necessary and urgent to wonder about the next steps. It would be necessary to understand what kind o</w:t>
            </w:r>
            <w:r w:rsidR="00655AD9">
              <w:rPr>
                <w:color w:val="auto"/>
                <w:sz w:val="17"/>
                <w:szCs w:val="17"/>
              </w:rPr>
              <w:t xml:space="preserve">f information is crucial or </w:t>
            </w:r>
            <w:r w:rsidRPr="00655AD9">
              <w:rPr>
                <w:color w:val="auto"/>
                <w:sz w:val="17"/>
                <w:szCs w:val="17"/>
              </w:rPr>
              <w:t>of interest to the policyholder</w:t>
            </w:r>
            <w:r w:rsidR="00655AD9" w:rsidRPr="00655AD9">
              <w:rPr>
                <w:color w:val="auto"/>
                <w:sz w:val="17"/>
                <w:szCs w:val="17"/>
              </w:rPr>
              <w:t xml:space="preserve"> and try</w:t>
            </w:r>
            <w:r w:rsidR="00655AD9">
              <w:rPr>
                <w:color w:val="auto"/>
                <w:sz w:val="17"/>
                <w:szCs w:val="17"/>
              </w:rPr>
              <w:t xml:space="preserve"> to drum up support from the lawmakers.</w:t>
            </w:r>
          </w:p>
          <w:p w14:paraId="01F1E541" w14:textId="77027A62" w:rsidR="00655AD9" w:rsidRPr="00655AD9" w:rsidRDefault="00655AD9" w:rsidP="00655AD9">
            <w:pPr>
              <w:pStyle w:val="Default"/>
              <w:numPr>
                <w:ilvl w:val="0"/>
                <w:numId w:val="5"/>
              </w:numPr>
              <w:spacing w:line="276" w:lineRule="auto"/>
              <w:jc w:val="both"/>
              <w:rPr>
                <w:color w:val="auto"/>
                <w:sz w:val="17"/>
                <w:szCs w:val="17"/>
              </w:rPr>
            </w:pPr>
            <w:r>
              <w:rPr>
                <w:color w:val="auto"/>
                <w:sz w:val="17"/>
                <w:szCs w:val="17"/>
              </w:rPr>
              <w:t>ANIA mentioned that comparability could be an issue</w:t>
            </w:r>
            <w:r w:rsidR="00442277">
              <w:rPr>
                <w:color w:val="auto"/>
                <w:sz w:val="17"/>
                <w:szCs w:val="17"/>
              </w:rPr>
              <w:t>.</w:t>
            </w:r>
          </w:p>
          <w:p w14:paraId="6FE250A4" w14:textId="324E7EF3" w:rsidR="00655AD9" w:rsidRDefault="00655AD9" w:rsidP="009F64D4">
            <w:pPr>
              <w:pStyle w:val="Default"/>
              <w:numPr>
                <w:ilvl w:val="0"/>
                <w:numId w:val="5"/>
              </w:numPr>
              <w:spacing w:line="276" w:lineRule="auto"/>
              <w:jc w:val="both"/>
              <w:rPr>
                <w:color w:val="auto"/>
                <w:sz w:val="17"/>
                <w:szCs w:val="17"/>
              </w:rPr>
            </w:pPr>
            <w:r>
              <w:rPr>
                <w:color w:val="auto"/>
                <w:sz w:val="17"/>
                <w:szCs w:val="17"/>
              </w:rPr>
              <w:t>Members were not worried that some groups had already published their SFCR well ahead of their deadline of 1 July</w:t>
            </w:r>
            <w:r w:rsidR="00442277">
              <w:rPr>
                <w:color w:val="auto"/>
                <w:sz w:val="17"/>
                <w:szCs w:val="17"/>
              </w:rPr>
              <w:t>, but rather said they would be worried if groups did</w:t>
            </w:r>
            <w:r w:rsidR="000101BB">
              <w:rPr>
                <w:color w:val="auto"/>
                <w:sz w:val="17"/>
                <w:szCs w:val="17"/>
              </w:rPr>
              <w:t xml:space="preserve"> </w:t>
            </w:r>
            <w:r w:rsidR="00442277">
              <w:rPr>
                <w:color w:val="auto"/>
                <w:sz w:val="17"/>
                <w:szCs w:val="17"/>
              </w:rPr>
              <w:t>n</w:t>
            </w:r>
            <w:r w:rsidR="000101BB">
              <w:rPr>
                <w:color w:val="auto"/>
                <w:sz w:val="17"/>
                <w:szCs w:val="17"/>
              </w:rPr>
              <w:t>o</w:t>
            </w:r>
            <w:r w:rsidR="00442277">
              <w:rPr>
                <w:color w:val="auto"/>
                <w:sz w:val="17"/>
                <w:szCs w:val="17"/>
              </w:rPr>
              <w:t xml:space="preserve">t manage to meet this </w:t>
            </w:r>
            <w:r w:rsidR="001B3851">
              <w:rPr>
                <w:color w:val="auto"/>
                <w:sz w:val="17"/>
                <w:szCs w:val="17"/>
              </w:rPr>
              <w:t>requirement</w:t>
            </w:r>
            <w:r>
              <w:rPr>
                <w:color w:val="auto"/>
                <w:sz w:val="17"/>
                <w:szCs w:val="17"/>
              </w:rPr>
              <w:t>.</w:t>
            </w:r>
          </w:p>
          <w:p w14:paraId="5E3ADCFA" w14:textId="155FCC86" w:rsidR="00655AD9" w:rsidRDefault="00655AD9" w:rsidP="009F64D4">
            <w:pPr>
              <w:pStyle w:val="Default"/>
              <w:numPr>
                <w:ilvl w:val="0"/>
                <w:numId w:val="5"/>
              </w:numPr>
              <w:spacing w:line="276" w:lineRule="auto"/>
              <w:jc w:val="both"/>
              <w:rPr>
                <w:color w:val="auto"/>
                <w:sz w:val="17"/>
                <w:szCs w:val="17"/>
              </w:rPr>
            </w:pPr>
            <w:r>
              <w:rPr>
                <w:color w:val="auto"/>
                <w:sz w:val="17"/>
                <w:szCs w:val="17"/>
              </w:rPr>
              <w:t>The chair shared his views that the use of the SFCR could be different d</w:t>
            </w:r>
            <w:r w:rsidR="00A7552B">
              <w:rPr>
                <w:color w:val="auto"/>
                <w:sz w:val="17"/>
                <w:szCs w:val="17"/>
              </w:rPr>
              <w:t xml:space="preserve">epending on the market and </w:t>
            </w:r>
            <w:r>
              <w:rPr>
                <w:color w:val="auto"/>
                <w:sz w:val="17"/>
                <w:szCs w:val="17"/>
              </w:rPr>
              <w:t>this aspect should be borne in mind when collecting evidence.</w:t>
            </w:r>
          </w:p>
          <w:p w14:paraId="4FCEBC1C" w14:textId="77777777" w:rsidR="009F64D4" w:rsidRDefault="009F64D4" w:rsidP="009F64D4">
            <w:pPr>
              <w:pStyle w:val="CEABullet-Level3"/>
              <w:rPr>
                <w:szCs w:val="17"/>
              </w:rPr>
            </w:pPr>
          </w:p>
          <w:p w14:paraId="49135FA7"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Action points:</w:t>
            </w:r>
          </w:p>
          <w:p w14:paraId="07496F93" w14:textId="159F8F49" w:rsidR="009F64D4" w:rsidRDefault="00655AD9" w:rsidP="009F64D4">
            <w:pPr>
              <w:numPr>
                <w:ilvl w:val="0"/>
                <w:numId w:val="1"/>
              </w:numPr>
              <w:autoSpaceDE w:val="0"/>
              <w:autoSpaceDN w:val="0"/>
              <w:adjustRightInd w:val="0"/>
              <w:jc w:val="both"/>
              <w:rPr>
                <w:sz w:val="17"/>
                <w:szCs w:val="17"/>
              </w:rPr>
            </w:pPr>
            <w:r>
              <w:rPr>
                <w:sz w:val="17"/>
                <w:szCs w:val="17"/>
              </w:rPr>
              <w:t xml:space="preserve">It was agreed that at the next meeting in August, members will provide insight into what is done in their market </w:t>
            </w:r>
            <w:r w:rsidR="00A7552B">
              <w:rPr>
                <w:sz w:val="17"/>
                <w:szCs w:val="17"/>
              </w:rPr>
              <w:t>which could provide a basis for the next steps.</w:t>
            </w:r>
          </w:p>
          <w:p w14:paraId="274A0F14" w14:textId="77777777" w:rsidR="009F64D4" w:rsidRPr="008771A8" w:rsidRDefault="009F64D4" w:rsidP="00A7552B">
            <w:pPr>
              <w:autoSpaceDE w:val="0"/>
              <w:autoSpaceDN w:val="0"/>
              <w:adjustRightInd w:val="0"/>
              <w:ind w:left="360"/>
              <w:jc w:val="both"/>
              <w:rPr>
                <w:sz w:val="17"/>
                <w:szCs w:val="17"/>
              </w:rPr>
            </w:pPr>
          </w:p>
          <w:p w14:paraId="6634C8B1" w14:textId="403D82F1" w:rsidR="00DC4EBF" w:rsidRPr="0053346B" w:rsidRDefault="00DC4EBF" w:rsidP="00A0752A">
            <w:pPr>
              <w:autoSpaceDE w:val="0"/>
              <w:autoSpaceDN w:val="0"/>
              <w:adjustRightInd w:val="0"/>
              <w:rPr>
                <w:szCs w:val="17"/>
              </w:rPr>
            </w:pPr>
          </w:p>
        </w:tc>
      </w:tr>
      <w:tr w:rsidR="001B2627" w:rsidRPr="008771A8" w14:paraId="2F003BFC" w14:textId="77777777" w:rsidTr="00213247">
        <w:tc>
          <w:tcPr>
            <w:tcW w:w="6186" w:type="dxa"/>
            <w:tcBorders>
              <w:right w:val="single" w:sz="12" w:space="0" w:color="82C55B"/>
            </w:tcBorders>
            <w:shd w:val="clear" w:color="auto" w:fill="auto"/>
          </w:tcPr>
          <w:p w14:paraId="41CA06F4" w14:textId="18D87B8F" w:rsidR="001B2627" w:rsidRPr="00C61E61" w:rsidRDefault="009F64D4" w:rsidP="009F64D4">
            <w:pPr>
              <w:pStyle w:val="Nadpis1"/>
              <w:keepNext/>
              <w:numPr>
                <w:ilvl w:val="0"/>
                <w:numId w:val="14"/>
              </w:numPr>
              <w:spacing w:line="288" w:lineRule="auto"/>
              <w:ind w:left="408" w:hanging="408"/>
              <w:jc w:val="both"/>
              <w:rPr>
                <w:b/>
                <w:sz w:val="17"/>
                <w:szCs w:val="17"/>
                <w:lang w:eastAsia="nl-NL"/>
              </w:rPr>
            </w:pPr>
            <w:r>
              <w:rPr>
                <w:b/>
                <w:sz w:val="17"/>
                <w:szCs w:val="17"/>
              </w:rPr>
              <w:t>EIOPA stress test – feedback and future lobbying position</w:t>
            </w:r>
          </w:p>
        </w:tc>
        <w:tc>
          <w:tcPr>
            <w:tcW w:w="1876" w:type="dxa"/>
            <w:tcBorders>
              <w:left w:val="single" w:sz="12" w:space="0" w:color="82C55B"/>
              <w:right w:val="single" w:sz="12" w:space="0" w:color="82C55B"/>
            </w:tcBorders>
            <w:shd w:val="clear" w:color="auto" w:fill="auto"/>
          </w:tcPr>
          <w:p w14:paraId="7E79A105" w14:textId="7D55D3AC" w:rsidR="001B2627" w:rsidRPr="008771A8" w:rsidRDefault="001B2627" w:rsidP="001B2627">
            <w:pPr>
              <w:pStyle w:val="CEAAgendaBlueText"/>
              <w:rPr>
                <w:color w:val="002957"/>
                <w:sz w:val="17"/>
                <w:szCs w:val="17"/>
              </w:rPr>
            </w:pPr>
            <w:r w:rsidRPr="008771A8">
              <w:rPr>
                <w:color w:val="002957"/>
                <w:sz w:val="17"/>
                <w:szCs w:val="17"/>
              </w:rPr>
              <w:t xml:space="preserve">For </w:t>
            </w:r>
            <w:r w:rsidR="00A16BB0" w:rsidRPr="008771A8">
              <w:rPr>
                <w:color w:val="002957"/>
                <w:sz w:val="17"/>
                <w:szCs w:val="17"/>
              </w:rPr>
              <w:t>discussion</w:t>
            </w:r>
            <w:r w:rsidR="009F64D4">
              <w:rPr>
                <w:color w:val="002957"/>
                <w:sz w:val="17"/>
                <w:szCs w:val="17"/>
              </w:rPr>
              <w:t xml:space="preserve"> and approval</w:t>
            </w:r>
          </w:p>
        </w:tc>
        <w:tc>
          <w:tcPr>
            <w:tcW w:w="1718" w:type="dxa"/>
            <w:tcBorders>
              <w:left w:val="single" w:sz="12" w:space="0" w:color="82C55B"/>
            </w:tcBorders>
            <w:shd w:val="clear" w:color="auto" w:fill="auto"/>
          </w:tcPr>
          <w:p w14:paraId="1B23299D" w14:textId="694DE2AB" w:rsidR="001B2627" w:rsidRPr="008771A8" w:rsidRDefault="00740EFA" w:rsidP="009F64D4">
            <w:pPr>
              <w:tabs>
                <w:tab w:val="left" w:pos="222"/>
              </w:tabs>
              <w:jc w:val="center"/>
              <w:rPr>
                <w:color w:val="002957"/>
                <w:sz w:val="17"/>
                <w:szCs w:val="17"/>
              </w:rPr>
            </w:pPr>
            <w:hyperlink r:id="rId22" w:history="1">
              <w:r w:rsidR="009F64D4" w:rsidRPr="009F64D4">
                <w:rPr>
                  <w:rStyle w:val="Hypertextovprepojenie"/>
                  <w:sz w:val="17"/>
                  <w:szCs w:val="17"/>
                </w:rPr>
                <w:t>ECO-SLV-17-102</w:t>
              </w:r>
            </w:hyperlink>
          </w:p>
        </w:tc>
      </w:tr>
      <w:tr w:rsidR="001B2627" w:rsidRPr="008771A8" w14:paraId="57908D64" w14:textId="77777777" w:rsidTr="0021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0471B6EB" w14:textId="7D0A025E" w:rsidR="00A16BB0" w:rsidRDefault="00A16BB0" w:rsidP="00CA3CE0">
            <w:pPr>
              <w:autoSpaceDE w:val="0"/>
              <w:autoSpaceDN w:val="0"/>
              <w:adjustRightInd w:val="0"/>
              <w:jc w:val="both"/>
              <w:rPr>
                <w:sz w:val="17"/>
                <w:szCs w:val="17"/>
              </w:rPr>
            </w:pPr>
          </w:p>
          <w:p w14:paraId="37402973" w14:textId="1B54B9B1" w:rsidR="009F64D4" w:rsidRDefault="009F64D4" w:rsidP="00A76741">
            <w:pPr>
              <w:numPr>
                <w:ilvl w:val="0"/>
                <w:numId w:val="1"/>
              </w:numPr>
              <w:autoSpaceDE w:val="0"/>
              <w:autoSpaceDN w:val="0"/>
              <w:adjustRightInd w:val="0"/>
              <w:jc w:val="both"/>
              <w:rPr>
                <w:sz w:val="17"/>
                <w:szCs w:val="17"/>
              </w:rPr>
            </w:pPr>
            <w:r w:rsidRPr="009F64D4">
              <w:rPr>
                <w:sz w:val="17"/>
                <w:szCs w:val="17"/>
              </w:rPr>
              <w:t>The secretariat provide</w:t>
            </w:r>
            <w:r>
              <w:rPr>
                <w:sz w:val="17"/>
                <w:szCs w:val="17"/>
              </w:rPr>
              <w:t>d</w:t>
            </w:r>
            <w:r w:rsidRPr="009F64D4">
              <w:rPr>
                <w:sz w:val="17"/>
                <w:szCs w:val="17"/>
              </w:rPr>
              <w:t xml:space="preserve"> an overview of the feedback received from members regarding the 2016 stress test. Members </w:t>
            </w:r>
            <w:r>
              <w:rPr>
                <w:sz w:val="17"/>
                <w:szCs w:val="17"/>
              </w:rPr>
              <w:t>were</w:t>
            </w:r>
            <w:r w:rsidRPr="009F64D4">
              <w:rPr>
                <w:sz w:val="17"/>
                <w:szCs w:val="17"/>
              </w:rPr>
              <w:t xml:space="preserve"> invited to discuss the key emerging messages and exchange views on potential arguments used to substantiate these messages.</w:t>
            </w:r>
          </w:p>
          <w:p w14:paraId="1C64699C" w14:textId="77777777" w:rsidR="009F64D4" w:rsidRPr="00C61E61" w:rsidRDefault="009F64D4" w:rsidP="009F64D4">
            <w:pPr>
              <w:autoSpaceDE w:val="0"/>
              <w:autoSpaceDN w:val="0"/>
              <w:adjustRightInd w:val="0"/>
              <w:jc w:val="both"/>
              <w:rPr>
                <w:sz w:val="17"/>
                <w:szCs w:val="17"/>
              </w:rPr>
            </w:pPr>
          </w:p>
          <w:p w14:paraId="28D7A613"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Summary of discussions:</w:t>
            </w:r>
          </w:p>
          <w:p w14:paraId="63EEF8CA" w14:textId="37E07F20" w:rsidR="009F64D4" w:rsidRDefault="00492CF7" w:rsidP="00492CF7">
            <w:pPr>
              <w:numPr>
                <w:ilvl w:val="0"/>
                <w:numId w:val="1"/>
              </w:numPr>
              <w:autoSpaceDE w:val="0"/>
              <w:autoSpaceDN w:val="0"/>
              <w:adjustRightInd w:val="0"/>
              <w:jc w:val="both"/>
              <w:rPr>
                <w:sz w:val="17"/>
                <w:szCs w:val="17"/>
              </w:rPr>
            </w:pPr>
            <w:r>
              <w:rPr>
                <w:sz w:val="17"/>
                <w:szCs w:val="17"/>
              </w:rPr>
              <w:t xml:space="preserve">The secretariat reminded members about the purpose of this item. Members were asked whether they agree with </w:t>
            </w:r>
            <w:r w:rsidRPr="00492CF7">
              <w:rPr>
                <w:sz w:val="17"/>
                <w:szCs w:val="17"/>
              </w:rPr>
              <w:t>Insurance Europe</w:t>
            </w:r>
            <w:r>
              <w:rPr>
                <w:sz w:val="17"/>
                <w:szCs w:val="17"/>
              </w:rPr>
              <w:t xml:space="preserve">’s </w:t>
            </w:r>
            <w:r w:rsidR="0053346B">
              <w:rPr>
                <w:sz w:val="17"/>
                <w:szCs w:val="17"/>
              </w:rPr>
              <w:t xml:space="preserve">current draft </w:t>
            </w:r>
            <w:r>
              <w:rPr>
                <w:sz w:val="17"/>
                <w:szCs w:val="17"/>
              </w:rPr>
              <w:t>positions on the stress testing exercise following a mandate given by Ecofin and EIOPA’s keenness to receive industry feedback</w:t>
            </w:r>
            <w:r w:rsidR="009F64D4">
              <w:rPr>
                <w:sz w:val="17"/>
                <w:szCs w:val="17"/>
              </w:rPr>
              <w:t>.</w:t>
            </w:r>
          </w:p>
          <w:p w14:paraId="61CB520B" w14:textId="45C8A7A2" w:rsidR="009F64D4" w:rsidRDefault="00492CF7" w:rsidP="00492CF7">
            <w:pPr>
              <w:numPr>
                <w:ilvl w:val="0"/>
                <w:numId w:val="1"/>
              </w:numPr>
              <w:autoSpaceDE w:val="0"/>
              <w:autoSpaceDN w:val="0"/>
              <w:adjustRightInd w:val="0"/>
              <w:jc w:val="both"/>
              <w:rPr>
                <w:sz w:val="17"/>
                <w:szCs w:val="17"/>
              </w:rPr>
            </w:pPr>
            <w:r>
              <w:rPr>
                <w:sz w:val="17"/>
                <w:szCs w:val="17"/>
              </w:rPr>
              <w:t>The secretariat went through each area</w:t>
            </w:r>
            <w:r w:rsidR="00D61108">
              <w:rPr>
                <w:sz w:val="17"/>
                <w:szCs w:val="17"/>
              </w:rPr>
              <w:t xml:space="preserve"> pointed to EIOPA as of concern in</w:t>
            </w:r>
            <w:r>
              <w:rPr>
                <w:sz w:val="17"/>
                <w:szCs w:val="17"/>
              </w:rPr>
              <w:t xml:space="preserve"> the draft and members were asked to provide comments if any</w:t>
            </w:r>
            <w:r w:rsidR="00D61108">
              <w:rPr>
                <w:sz w:val="17"/>
                <w:szCs w:val="17"/>
              </w:rPr>
              <w:t>.</w:t>
            </w:r>
          </w:p>
          <w:p w14:paraId="3DD3DA3A" w14:textId="77777777" w:rsidR="009C13E6" w:rsidRDefault="009C13E6" w:rsidP="00BB35EA">
            <w:pPr>
              <w:autoSpaceDE w:val="0"/>
              <w:autoSpaceDN w:val="0"/>
              <w:adjustRightInd w:val="0"/>
              <w:ind w:left="360"/>
              <w:jc w:val="both"/>
              <w:rPr>
                <w:sz w:val="17"/>
                <w:szCs w:val="17"/>
              </w:rPr>
            </w:pPr>
          </w:p>
          <w:p w14:paraId="2D2AA2BF" w14:textId="061E0879" w:rsidR="00492CF7" w:rsidRPr="004218B7" w:rsidRDefault="00492CF7" w:rsidP="004218B7">
            <w:pPr>
              <w:pStyle w:val="Default"/>
              <w:spacing w:line="276" w:lineRule="auto"/>
              <w:jc w:val="both"/>
              <w:rPr>
                <w:b/>
                <w:color w:val="auto"/>
                <w:sz w:val="17"/>
                <w:szCs w:val="17"/>
              </w:rPr>
            </w:pPr>
            <w:r w:rsidRPr="004218B7">
              <w:rPr>
                <w:b/>
                <w:color w:val="auto"/>
                <w:sz w:val="17"/>
                <w:szCs w:val="17"/>
              </w:rPr>
              <w:t>Timing</w:t>
            </w:r>
          </w:p>
          <w:p w14:paraId="4937BCFC" w14:textId="3A79D1FB" w:rsidR="00D61108" w:rsidRDefault="00D61108" w:rsidP="00D61108">
            <w:pPr>
              <w:pStyle w:val="Default"/>
              <w:numPr>
                <w:ilvl w:val="0"/>
                <w:numId w:val="5"/>
              </w:numPr>
              <w:spacing w:line="276" w:lineRule="auto"/>
              <w:jc w:val="both"/>
              <w:rPr>
                <w:color w:val="auto"/>
                <w:sz w:val="17"/>
                <w:szCs w:val="17"/>
              </w:rPr>
            </w:pPr>
            <w:r>
              <w:rPr>
                <w:color w:val="auto"/>
                <w:sz w:val="17"/>
                <w:szCs w:val="17"/>
              </w:rPr>
              <w:t xml:space="preserve">DIA </w:t>
            </w:r>
            <w:r w:rsidR="009C13E6">
              <w:rPr>
                <w:color w:val="auto"/>
                <w:sz w:val="17"/>
                <w:szCs w:val="17"/>
              </w:rPr>
              <w:t xml:space="preserve">proposed the following schedule: </w:t>
            </w:r>
            <w:r>
              <w:rPr>
                <w:color w:val="auto"/>
                <w:sz w:val="17"/>
                <w:szCs w:val="17"/>
              </w:rPr>
              <w:t>launch workshop in end May, launch stress test end August, launch Q&amp;A beginning of September, companies’ submission of result</w:t>
            </w:r>
            <w:r w:rsidR="009C13E6">
              <w:rPr>
                <w:color w:val="auto"/>
                <w:sz w:val="17"/>
                <w:szCs w:val="17"/>
              </w:rPr>
              <w:t>s</w:t>
            </w:r>
            <w:r>
              <w:rPr>
                <w:color w:val="auto"/>
                <w:sz w:val="17"/>
                <w:szCs w:val="17"/>
              </w:rPr>
              <w:t xml:space="preserve"> end September. This would make it possible for the stress test to be run on mid-year data</w:t>
            </w:r>
            <w:r w:rsidR="004218B7">
              <w:rPr>
                <w:color w:val="auto"/>
                <w:sz w:val="17"/>
                <w:szCs w:val="17"/>
              </w:rPr>
              <w:t xml:space="preserve"> which are more up to date given the timing, allow for no interference with the summer break and other reporting</w:t>
            </w:r>
            <w:r>
              <w:rPr>
                <w:color w:val="auto"/>
                <w:sz w:val="17"/>
                <w:szCs w:val="17"/>
              </w:rPr>
              <w:t>.</w:t>
            </w:r>
          </w:p>
          <w:p w14:paraId="04141FFB" w14:textId="1993B0B7" w:rsidR="004218B7" w:rsidRDefault="004218B7" w:rsidP="00D61108">
            <w:pPr>
              <w:pStyle w:val="Default"/>
              <w:numPr>
                <w:ilvl w:val="0"/>
                <w:numId w:val="5"/>
              </w:numPr>
              <w:spacing w:line="276" w:lineRule="auto"/>
              <w:jc w:val="both"/>
              <w:rPr>
                <w:color w:val="auto"/>
                <w:sz w:val="17"/>
                <w:szCs w:val="17"/>
              </w:rPr>
            </w:pPr>
            <w:r>
              <w:rPr>
                <w:color w:val="auto"/>
                <w:sz w:val="17"/>
                <w:szCs w:val="17"/>
              </w:rPr>
              <w:t>Assuralia</w:t>
            </w:r>
            <w:r w:rsidR="007A0CFF">
              <w:rPr>
                <w:color w:val="auto"/>
                <w:sz w:val="17"/>
                <w:szCs w:val="17"/>
              </w:rPr>
              <w:t xml:space="preserve"> noted that</w:t>
            </w:r>
            <w:r>
              <w:rPr>
                <w:color w:val="auto"/>
                <w:sz w:val="17"/>
                <w:szCs w:val="17"/>
              </w:rPr>
              <w:t xml:space="preserve"> </w:t>
            </w:r>
            <w:r w:rsidR="007A0CFF">
              <w:rPr>
                <w:color w:val="auto"/>
                <w:sz w:val="17"/>
                <w:szCs w:val="17"/>
              </w:rPr>
              <w:t>the s</w:t>
            </w:r>
            <w:r>
              <w:rPr>
                <w:color w:val="auto"/>
                <w:sz w:val="17"/>
                <w:szCs w:val="17"/>
              </w:rPr>
              <w:t xml:space="preserve">tress test </w:t>
            </w:r>
            <w:r w:rsidR="00C30B49">
              <w:rPr>
                <w:color w:val="auto"/>
                <w:sz w:val="17"/>
                <w:szCs w:val="17"/>
              </w:rPr>
              <w:t xml:space="preserve">should </w:t>
            </w:r>
            <w:r>
              <w:rPr>
                <w:color w:val="auto"/>
                <w:sz w:val="17"/>
                <w:szCs w:val="17"/>
              </w:rPr>
              <w:t xml:space="preserve">take place before or after the summer break. </w:t>
            </w:r>
            <w:r w:rsidR="0053346B">
              <w:rPr>
                <w:color w:val="auto"/>
                <w:sz w:val="17"/>
                <w:szCs w:val="17"/>
              </w:rPr>
              <w:t>I</w:t>
            </w:r>
            <w:r>
              <w:rPr>
                <w:color w:val="auto"/>
                <w:sz w:val="17"/>
                <w:szCs w:val="17"/>
              </w:rPr>
              <w:t xml:space="preserve">n Belgium </w:t>
            </w:r>
            <w:r w:rsidR="00A0752A">
              <w:rPr>
                <w:color w:val="auto"/>
                <w:sz w:val="17"/>
                <w:szCs w:val="17"/>
              </w:rPr>
              <w:t xml:space="preserve">the </w:t>
            </w:r>
            <w:r>
              <w:rPr>
                <w:color w:val="auto"/>
                <w:sz w:val="17"/>
                <w:szCs w:val="17"/>
              </w:rPr>
              <w:t>national stress test</w:t>
            </w:r>
            <w:r w:rsidR="0053346B">
              <w:rPr>
                <w:color w:val="auto"/>
                <w:sz w:val="17"/>
                <w:szCs w:val="17"/>
              </w:rPr>
              <w:t xml:space="preserve"> is</w:t>
            </w:r>
            <w:r>
              <w:rPr>
                <w:color w:val="auto"/>
                <w:sz w:val="17"/>
                <w:szCs w:val="17"/>
              </w:rPr>
              <w:t xml:space="preserve"> starting on 30 June up to 15 September with very extensive and burdensome calculations foreseen by the NSA.</w:t>
            </w:r>
          </w:p>
          <w:p w14:paraId="61D8DB5F" w14:textId="4A034F28" w:rsidR="004218B7" w:rsidRDefault="009155F1" w:rsidP="00D61108">
            <w:pPr>
              <w:pStyle w:val="Default"/>
              <w:numPr>
                <w:ilvl w:val="0"/>
                <w:numId w:val="5"/>
              </w:numPr>
              <w:spacing w:line="276" w:lineRule="auto"/>
              <w:jc w:val="both"/>
              <w:rPr>
                <w:color w:val="auto"/>
                <w:sz w:val="17"/>
                <w:szCs w:val="17"/>
              </w:rPr>
            </w:pPr>
            <w:r>
              <w:rPr>
                <w:color w:val="auto"/>
                <w:sz w:val="17"/>
                <w:szCs w:val="17"/>
              </w:rPr>
              <w:t xml:space="preserve">The </w:t>
            </w:r>
            <w:r w:rsidR="004218B7">
              <w:rPr>
                <w:color w:val="auto"/>
                <w:sz w:val="17"/>
                <w:szCs w:val="17"/>
              </w:rPr>
              <w:t>VVN d</w:t>
            </w:r>
            <w:r w:rsidR="00F269A3">
              <w:rPr>
                <w:color w:val="auto"/>
                <w:sz w:val="17"/>
                <w:szCs w:val="17"/>
              </w:rPr>
              <w:t>id</w:t>
            </w:r>
            <w:r w:rsidR="004218B7">
              <w:rPr>
                <w:color w:val="auto"/>
                <w:sz w:val="17"/>
                <w:szCs w:val="17"/>
              </w:rPr>
              <w:t xml:space="preserve"> not support the Danish proposal because that would mean that companies </w:t>
            </w:r>
            <w:r w:rsidR="00C30B49">
              <w:rPr>
                <w:color w:val="auto"/>
                <w:sz w:val="17"/>
                <w:szCs w:val="17"/>
              </w:rPr>
              <w:t>must</w:t>
            </w:r>
            <w:r w:rsidR="004218B7">
              <w:rPr>
                <w:color w:val="auto"/>
                <w:sz w:val="17"/>
                <w:szCs w:val="17"/>
              </w:rPr>
              <w:t xml:space="preserve"> prepare during the summer break anyway. </w:t>
            </w:r>
            <w:r w:rsidR="00F269A3">
              <w:rPr>
                <w:color w:val="auto"/>
                <w:sz w:val="17"/>
                <w:szCs w:val="17"/>
              </w:rPr>
              <w:t>It f</w:t>
            </w:r>
            <w:r w:rsidR="00C30B49">
              <w:rPr>
                <w:color w:val="auto"/>
                <w:sz w:val="17"/>
                <w:szCs w:val="17"/>
              </w:rPr>
              <w:t>avo</w:t>
            </w:r>
            <w:r w:rsidR="00F269A3">
              <w:rPr>
                <w:color w:val="auto"/>
                <w:sz w:val="17"/>
                <w:szCs w:val="17"/>
              </w:rPr>
              <w:t>ured</w:t>
            </w:r>
            <w:r w:rsidR="00C30B49">
              <w:rPr>
                <w:color w:val="auto"/>
                <w:sz w:val="17"/>
                <w:szCs w:val="17"/>
              </w:rPr>
              <w:t xml:space="preserve"> the status quo (April-May) as </w:t>
            </w:r>
            <w:r w:rsidR="00F730A5">
              <w:rPr>
                <w:color w:val="auto"/>
                <w:sz w:val="17"/>
                <w:szCs w:val="17"/>
              </w:rPr>
              <w:t>the industry</w:t>
            </w:r>
            <w:r w:rsidR="00C30B49">
              <w:rPr>
                <w:color w:val="auto"/>
                <w:sz w:val="17"/>
                <w:szCs w:val="17"/>
              </w:rPr>
              <w:t xml:space="preserve"> can leverage on the information already available from the annual QRTs and RSR.</w:t>
            </w:r>
          </w:p>
          <w:p w14:paraId="606A1FE7" w14:textId="7B5258D0" w:rsidR="00C30B49" w:rsidRDefault="009155F1" w:rsidP="00D61108">
            <w:pPr>
              <w:pStyle w:val="Default"/>
              <w:numPr>
                <w:ilvl w:val="0"/>
                <w:numId w:val="5"/>
              </w:numPr>
              <w:spacing w:line="276" w:lineRule="auto"/>
              <w:jc w:val="both"/>
              <w:rPr>
                <w:color w:val="auto"/>
                <w:sz w:val="17"/>
                <w:szCs w:val="17"/>
              </w:rPr>
            </w:pPr>
            <w:r>
              <w:rPr>
                <w:color w:val="auto"/>
                <w:sz w:val="17"/>
                <w:szCs w:val="17"/>
              </w:rPr>
              <w:t xml:space="preserve">The </w:t>
            </w:r>
            <w:r w:rsidR="00C30B49">
              <w:rPr>
                <w:color w:val="auto"/>
                <w:sz w:val="17"/>
                <w:szCs w:val="17"/>
              </w:rPr>
              <w:t xml:space="preserve">GDV </w:t>
            </w:r>
            <w:r w:rsidR="00F730A5">
              <w:rPr>
                <w:color w:val="auto"/>
                <w:sz w:val="17"/>
                <w:szCs w:val="17"/>
              </w:rPr>
              <w:t>d</w:t>
            </w:r>
            <w:r w:rsidR="002337C8">
              <w:rPr>
                <w:color w:val="auto"/>
                <w:sz w:val="17"/>
                <w:szCs w:val="17"/>
              </w:rPr>
              <w:t>id</w:t>
            </w:r>
            <w:r w:rsidR="00C30B49">
              <w:rPr>
                <w:color w:val="auto"/>
                <w:sz w:val="17"/>
                <w:szCs w:val="17"/>
              </w:rPr>
              <w:t xml:space="preserve"> not agree with basing the stress test on mid-year data. However, </w:t>
            </w:r>
            <w:r w:rsidR="00F730A5">
              <w:rPr>
                <w:color w:val="auto"/>
                <w:sz w:val="17"/>
                <w:szCs w:val="17"/>
              </w:rPr>
              <w:t>the industry</w:t>
            </w:r>
            <w:r w:rsidR="00C30B49">
              <w:rPr>
                <w:color w:val="auto"/>
                <w:sz w:val="17"/>
                <w:szCs w:val="17"/>
              </w:rPr>
              <w:t xml:space="preserve"> should ask for a longer period for the submission of the results ie current timeline + 4 weeks between launch and submission.</w:t>
            </w:r>
          </w:p>
          <w:p w14:paraId="3A7DAACA" w14:textId="2126154E" w:rsidR="00C30B49" w:rsidRDefault="009155F1" w:rsidP="00D61108">
            <w:pPr>
              <w:pStyle w:val="Default"/>
              <w:numPr>
                <w:ilvl w:val="0"/>
                <w:numId w:val="5"/>
              </w:numPr>
              <w:spacing w:line="276" w:lineRule="auto"/>
              <w:jc w:val="both"/>
              <w:rPr>
                <w:color w:val="auto"/>
                <w:sz w:val="17"/>
                <w:szCs w:val="17"/>
              </w:rPr>
            </w:pPr>
            <w:r>
              <w:rPr>
                <w:color w:val="auto"/>
                <w:sz w:val="17"/>
                <w:szCs w:val="17"/>
              </w:rPr>
              <w:t xml:space="preserve">The </w:t>
            </w:r>
            <w:r w:rsidR="00C30B49">
              <w:rPr>
                <w:color w:val="auto"/>
                <w:sz w:val="17"/>
                <w:szCs w:val="17"/>
              </w:rPr>
              <w:t>FFA</w:t>
            </w:r>
            <w:r w:rsidR="004E2E89">
              <w:rPr>
                <w:color w:val="auto"/>
                <w:sz w:val="17"/>
                <w:szCs w:val="17"/>
              </w:rPr>
              <w:t xml:space="preserve"> </w:t>
            </w:r>
            <w:r w:rsidR="00A9449E">
              <w:rPr>
                <w:color w:val="auto"/>
                <w:sz w:val="17"/>
                <w:szCs w:val="17"/>
              </w:rPr>
              <w:t xml:space="preserve">suggested as a new key message that </w:t>
            </w:r>
            <w:r w:rsidR="004E2E89">
              <w:rPr>
                <w:color w:val="auto"/>
                <w:sz w:val="17"/>
                <w:szCs w:val="17"/>
              </w:rPr>
              <w:t>EIOPA should strive to avoid overlap with the national stress-tests</w:t>
            </w:r>
            <w:r w:rsidR="004B7D6D">
              <w:rPr>
                <w:color w:val="auto"/>
                <w:sz w:val="17"/>
                <w:szCs w:val="17"/>
              </w:rPr>
              <w:t>.</w:t>
            </w:r>
          </w:p>
          <w:p w14:paraId="2E19C6F4" w14:textId="77777777" w:rsidR="00F269A3" w:rsidRPr="0006102F" w:rsidRDefault="00F269A3" w:rsidP="00BB35EA">
            <w:pPr>
              <w:pStyle w:val="Default"/>
              <w:spacing w:line="276" w:lineRule="auto"/>
              <w:ind w:left="720"/>
              <w:jc w:val="both"/>
              <w:rPr>
                <w:color w:val="auto"/>
                <w:sz w:val="17"/>
                <w:szCs w:val="17"/>
              </w:rPr>
            </w:pPr>
          </w:p>
          <w:p w14:paraId="184D6E1F" w14:textId="5A8E0C92" w:rsidR="004E2E89" w:rsidRPr="004218B7" w:rsidRDefault="004E2E89" w:rsidP="004E2E89">
            <w:pPr>
              <w:pStyle w:val="Default"/>
              <w:spacing w:line="276" w:lineRule="auto"/>
              <w:jc w:val="both"/>
              <w:rPr>
                <w:b/>
                <w:color w:val="auto"/>
                <w:sz w:val="17"/>
                <w:szCs w:val="17"/>
              </w:rPr>
            </w:pPr>
            <w:r>
              <w:rPr>
                <w:b/>
                <w:color w:val="auto"/>
                <w:sz w:val="17"/>
                <w:szCs w:val="17"/>
              </w:rPr>
              <w:t>Design</w:t>
            </w:r>
          </w:p>
          <w:p w14:paraId="6D8649F1" w14:textId="655A409B" w:rsidR="004E2E89" w:rsidRDefault="004E2E89" w:rsidP="004E2E89">
            <w:pPr>
              <w:pStyle w:val="Default"/>
              <w:numPr>
                <w:ilvl w:val="0"/>
                <w:numId w:val="5"/>
              </w:numPr>
              <w:spacing w:line="276" w:lineRule="auto"/>
              <w:jc w:val="both"/>
              <w:rPr>
                <w:color w:val="auto"/>
                <w:sz w:val="17"/>
                <w:szCs w:val="17"/>
              </w:rPr>
            </w:pPr>
            <w:r>
              <w:rPr>
                <w:color w:val="auto"/>
                <w:sz w:val="17"/>
                <w:szCs w:val="17"/>
              </w:rPr>
              <w:t>DIA</w:t>
            </w:r>
            <w:r w:rsidR="00A9449E">
              <w:rPr>
                <w:color w:val="auto"/>
                <w:sz w:val="17"/>
                <w:szCs w:val="17"/>
              </w:rPr>
              <w:t xml:space="preserve"> indicated that</w:t>
            </w:r>
            <w:r>
              <w:rPr>
                <w:color w:val="auto"/>
                <w:sz w:val="17"/>
                <w:szCs w:val="17"/>
              </w:rPr>
              <w:t xml:space="preserve"> the stress tests instructions were not very clear and this was evidenced by the number of times </w:t>
            </w:r>
            <w:r w:rsidR="00B15DC5">
              <w:rPr>
                <w:color w:val="auto"/>
                <w:sz w:val="17"/>
                <w:szCs w:val="17"/>
              </w:rPr>
              <w:t>NCAs</w:t>
            </w:r>
            <w:r>
              <w:rPr>
                <w:color w:val="auto"/>
                <w:sz w:val="17"/>
                <w:szCs w:val="17"/>
              </w:rPr>
              <w:t xml:space="preserve"> and companies exchanged back and forth to enhance clarity of the specifications.</w:t>
            </w:r>
          </w:p>
          <w:p w14:paraId="5BF8AA05" w14:textId="4AB19FE7" w:rsidR="004E2E89" w:rsidRDefault="009155F1" w:rsidP="004E2E89">
            <w:pPr>
              <w:pStyle w:val="Default"/>
              <w:numPr>
                <w:ilvl w:val="0"/>
                <w:numId w:val="5"/>
              </w:numPr>
              <w:spacing w:line="276" w:lineRule="auto"/>
              <w:jc w:val="both"/>
              <w:rPr>
                <w:color w:val="auto"/>
                <w:sz w:val="17"/>
                <w:szCs w:val="17"/>
              </w:rPr>
            </w:pPr>
            <w:r>
              <w:rPr>
                <w:color w:val="auto"/>
                <w:sz w:val="17"/>
                <w:szCs w:val="17"/>
              </w:rPr>
              <w:t xml:space="preserve">The </w:t>
            </w:r>
            <w:r w:rsidR="004E2E89">
              <w:rPr>
                <w:color w:val="auto"/>
                <w:sz w:val="17"/>
                <w:szCs w:val="17"/>
              </w:rPr>
              <w:t>GDV</w:t>
            </w:r>
            <w:r w:rsidR="00BF6B92">
              <w:rPr>
                <w:color w:val="auto"/>
                <w:sz w:val="17"/>
                <w:szCs w:val="17"/>
              </w:rPr>
              <w:t xml:space="preserve"> stressed the reference to the q</w:t>
            </w:r>
            <w:r w:rsidR="004E2E89">
              <w:rPr>
                <w:color w:val="auto"/>
                <w:sz w:val="17"/>
                <w:szCs w:val="17"/>
              </w:rPr>
              <w:t xml:space="preserve">uote </w:t>
            </w:r>
            <w:r w:rsidR="00BF6B92">
              <w:rPr>
                <w:color w:val="auto"/>
                <w:sz w:val="17"/>
                <w:szCs w:val="17"/>
              </w:rPr>
              <w:t xml:space="preserve">by </w:t>
            </w:r>
            <w:r w:rsidR="004E2E89">
              <w:rPr>
                <w:color w:val="auto"/>
                <w:sz w:val="17"/>
                <w:szCs w:val="17"/>
              </w:rPr>
              <w:t xml:space="preserve">the ESRB on the (ill-) consistency of the stress test on the government bonds. </w:t>
            </w:r>
          </w:p>
          <w:p w14:paraId="53CF829C" w14:textId="70976E63" w:rsidR="004E2E89" w:rsidRDefault="004E2E89" w:rsidP="004E2E89">
            <w:pPr>
              <w:pStyle w:val="Default"/>
              <w:numPr>
                <w:ilvl w:val="0"/>
                <w:numId w:val="5"/>
              </w:numPr>
              <w:spacing w:line="276" w:lineRule="auto"/>
              <w:jc w:val="both"/>
              <w:rPr>
                <w:color w:val="auto"/>
                <w:sz w:val="17"/>
                <w:szCs w:val="17"/>
              </w:rPr>
            </w:pPr>
            <w:r>
              <w:rPr>
                <w:color w:val="auto"/>
                <w:sz w:val="17"/>
                <w:szCs w:val="17"/>
              </w:rPr>
              <w:t>Assuralia</w:t>
            </w:r>
            <w:r w:rsidR="00BF6B92">
              <w:rPr>
                <w:color w:val="auto"/>
                <w:sz w:val="17"/>
                <w:szCs w:val="17"/>
              </w:rPr>
              <w:t xml:space="preserve"> suggested that the s</w:t>
            </w:r>
            <w:r>
              <w:rPr>
                <w:color w:val="auto"/>
                <w:sz w:val="17"/>
                <w:szCs w:val="17"/>
              </w:rPr>
              <w:t>tress test scenarios should shock the spreads rather than the yields.</w:t>
            </w:r>
          </w:p>
          <w:p w14:paraId="723EFAFD" w14:textId="77777777" w:rsidR="00F269A3" w:rsidRDefault="00F269A3" w:rsidP="00BB35EA">
            <w:pPr>
              <w:pStyle w:val="Default"/>
              <w:spacing w:line="276" w:lineRule="auto"/>
              <w:ind w:left="720"/>
              <w:jc w:val="both"/>
              <w:rPr>
                <w:color w:val="auto"/>
                <w:sz w:val="17"/>
                <w:szCs w:val="17"/>
              </w:rPr>
            </w:pPr>
          </w:p>
          <w:p w14:paraId="738375C9" w14:textId="4B6C88A3" w:rsidR="00A40645" w:rsidRPr="004218B7" w:rsidRDefault="00A40645" w:rsidP="00A40645">
            <w:pPr>
              <w:pStyle w:val="Default"/>
              <w:spacing w:line="276" w:lineRule="auto"/>
              <w:jc w:val="both"/>
              <w:rPr>
                <w:b/>
                <w:color w:val="auto"/>
                <w:sz w:val="17"/>
                <w:szCs w:val="17"/>
              </w:rPr>
            </w:pPr>
            <w:r>
              <w:rPr>
                <w:b/>
                <w:color w:val="auto"/>
                <w:sz w:val="17"/>
                <w:szCs w:val="17"/>
              </w:rPr>
              <w:t>Communication of results</w:t>
            </w:r>
          </w:p>
          <w:p w14:paraId="381913B6" w14:textId="7C72BAA1" w:rsidR="009402A0" w:rsidRDefault="00A40645" w:rsidP="00A40645">
            <w:pPr>
              <w:pStyle w:val="Default"/>
              <w:numPr>
                <w:ilvl w:val="0"/>
                <w:numId w:val="5"/>
              </w:numPr>
              <w:spacing w:line="276" w:lineRule="auto"/>
              <w:jc w:val="both"/>
              <w:rPr>
                <w:color w:val="auto"/>
                <w:sz w:val="17"/>
                <w:szCs w:val="17"/>
              </w:rPr>
            </w:pPr>
            <w:r>
              <w:rPr>
                <w:color w:val="auto"/>
                <w:sz w:val="17"/>
                <w:szCs w:val="17"/>
              </w:rPr>
              <w:t>Members confirmed to all be against disclosure of individual company’s data as a general principle because of the potential outlandish scenarios</w:t>
            </w:r>
            <w:r w:rsidR="009402A0">
              <w:rPr>
                <w:color w:val="auto"/>
                <w:sz w:val="17"/>
                <w:szCs w:val="17"/>
              </w:rPr>
              <w:t>/requirements</w:t>
            </w:r>
            <w:r>
              <w:rPr>
                <w:color w:val="auto"/>
                <w:sz w:val="17"/>
                <w:szCs w:val="17"/>
              </w:rPr>
              <w:t xml:space="preserve"> EIOPA could come up with in the future.</w:t>
            </w:r>
            <w:r w:rsidR="009402A0">
              <w:rPr>
                <w:color w:val="auto"/>
                <w:sz w:val="17"/>
                <w:szCs w:val="17"/>
              </w:rPr>
              <w:t xml:space="preserve"> </w:t>
            </w:r>
          </w:p>
          <w:p w14:paraId="2EA888EF" w14:textId="586EBDA1" w:rsidR="004B7D6D" w:rsidRDefault="004B7D6D" w:rsidP="004B7D6D">
            <w:pPr>
              <w:pStyle w:val="Default"/>
              <w:numPr>
                <w:ilvl w:val="0"/>
                <w:numId w:val="5"/>
              </w:numPr>
              <w:spacing w:line="276" w:lineRule="auto"/>
              <w:jc w:val="both"/>
              <w:rPr>
                <w:color w:val="auto"/>
                <w:sz w:val="17"/>
                <w:szCs w:val="17"/>
              </w:rPr>
            </w:pPr>
            <w:r>
              <w:rPr>
                <w:color w:val="auto"/>
                <w:sz w:val="17"/>
                <w:szCs w:val="17"/>
              </w:rPr>
              <w:t>DIA stressed that the stress test goal which is to prevent systemic risk did not necessarily require the publication of companies’ individual results.</w:t>
            </w:r>
          </w:p>
          <w:p w14:paraId="65FE50B7" w14:textId="6FA0288D" w:rsidR="004B7D6D" w:rsidRDefault="009155F1" w:rsidP="004B7D6D">
            <w:pPr>
              <w:pStyle w:val="Default"/>
              <w:numPr>
                <w:ilvl w:val="0"/>
                <w:numId w:val="5"/>
              </w:numPr>
              <w:spacing w:line="276" w:lineRule="auto"/>
              <w:jc w:val="both"/>
              <w:rPr>
                <w:color w:val="auto"/>
                <w:sz w:val="17"/>
                <w:szCs w:val="17"/>
              </w:rPr>
            </w:pPr>
            <w:r>
              <w:rPr>
                <w:color w:val="auto"/>
                <w:sz w:val="17"/>
                <w:szCs w:val="17"/>
              </w:rPr>
              <w:t xml:space="preserve">The </w:t>
            </w:r>
            <w:r w:rsidR="004B7D6D">
              <w:rPr>
                <w:color w:val="auto"/>
                <w:sz w:val="17"/>
                <w:szCs w:val="17"/>
              </w:rPr>
              <w:t>VVN stressed that the real concern to be addressed is to make sure that EIOPA proposes meaningful stress</w:t>
            </w:r>
            <w:r w:rsidR="0080446C">
              <w:rPr>
                <w:color w:val="auto"/>
                <w:sz w:val="17"/>
                <w:szCs w:val="17"/>
              </w:rPr>
              <w:t xml:space="preserve"> </w:t>
            </w:r>
            <w:r w:rsidR="004B7D6D">
              <w:rPr>
                <w:color w:val="auto"/>
                <w:sz w:val="17"/>
                <w:szCs w:val="17"/>
              </w:rPr>
              <w:t>tests.</w:t>
            </w:r>
          </w:p>
          <w:p w14:paraId="3CB04A9A" w14:textId="3D525EBA" w:rsidR="004B7D6D" w:rsidRDefault="009155F1" w:rsidP="004B7D6D">
            <w:pPr>
              <w:pStyle w:val="Default"/>
              <w:numPr>
                <w:ilvl w:val="0"/>
                <w:numId w:val="5"/>
              </w:numPr>
              <w:spacing w:line="276" w:lineRule="auto"/>
              <w:jc w:val="both"/>
              <w:rPr>
                <w:color w:val="auto"/>
                <w:sz w:val="17"/>
                <w:szCs w:val="17"/>
              </w:rPr>
            </w:pPr>
            <w:r>
              <w:rPr>
                <w:color w:val="auto"/>
                <w:sz w:val="17"/>
                <w:szCs w:val="17"/>
              </w:rPr>
              <w:t xml:space="preserve">The </w:t>
            </w:r>
            <w:r w:rsidR="004B7D6D">
              <w:rPr>
                <w:color w:val="auto"/>
                <w:sz w:val="17"/>
                <w:szCs w:val="17"/>
              </w:rPr>
              <w:t>FFA stressed that the results of the stresses required in the ORSA are not publicly disclosed.</w:t>
            </w:r>
          </w:p>
          <w:p w14:paraId="740445A6" w14:textId="34C4B67A" w:rsidR="00A40645" w:rsidRPr="0056529E" w:rsidRDefault="009155F1" w:rsidP="0056529E">
            <w:pPr>
              <w:pStyle w:val="Default"/>
              <w:numPr>
                <w:ilvl w:val="0"/>
                <w:numId w:val="5"/>
              </w:numPr>
              <w:spacing w:line="276" w:lineRule="auto"/>
              <w:jc w:val="both"/>
              <w:rPr>
                <w:color w:val="auto"/>
                <w:sz w:val="17"/>
                <w:szCs w:val="17"/>
              </w:rPr>
            </w:pPr>
            <w:r>
              <w:rPr>
                <w:color w:val="auto"/>
                <w:sz w:val="17"/>
                <w:szCs w:val="17"/>
              </w:rPr>
              <w:t xml:space="preserve">The </w:t>
            </w:r>
            <w:r w:rsidR="0056529E" w:rsidRPr="0056529E">
              <w:rPr>
                <w:color w:val="auto"/>
                <w:sz w:val="17"/>
                <w:szCs w:val="17"/>
              </w:rPr>
              <w:t xml:space="preserve">VVN noted that some companies however publish on own initiative the stress test results. </w:t>
            </w:r>
            <w:r w:rsidR="009402A0" w:rsidRPr="0056529E">
              <w:rPr>
                <w:color w:val="auto"/>
                <w:sz w:val="17"/>
                <w:szCs w:val="17"/>
              </w:rPr>
              <w:t xml:space="preserve">The chair stressed that there is a whole difference between the fact that some companies </w:t>
            </w:r>
            <w:r w:rsidR="0056529E">
              <w:rPr>
                <w:color w:val="auto"/>
                <w:sz w:val="17"/>
                <w:szCs w:val="17"/>
              </w:rPr>
              <w:t xml:space="preserve">disclose information </w:t>
            </w:r>
            <w:r w:rsidR="009402A0" w:rsidRPr="0056529E">
              <w:rPr>
                <w:color w:val="auto"/>
                <w:sz w:val="17"/>
                <w:szCs w:val="17"/>
              </w:rPr>
              <w:t>after they know their results and accepting a blanket requirement to disclose individual results for all firms before the beginning of the stress tests.</w:t>
            </w:r>
            <w:r w:rsidR="004B7D6D" w:rsidRPr="0056529E">
              <w:rPr>
                <w:color w:val="auto"/>
                <w:sz w:val="17"/>
                <w:szCs w:val="17"/>
              </w:rPr>
              <w:t xml:space="preserve"> The chair went on to say that </w:t>
            </w:r>
            <w:r>
              <w:rPr>
                <w:color w:val="auto"/>
                <w:sz w:val="17"/>
                <w:szCs w:val="17"/>
              </w:rPr>
              <w:t>Insurance Europe</w:t>
            </w:r>
            <w:r w:rsidR="004B7D6D" w:rsidRPr="0056529E">
              <w:rPr>
                <w:color w:val="auto"/>
                <w:sz w:val="17"/>
                <w:szCs w:val="17"/>
              </w:rPr>
              <w:t xml:space="preserve"> should remind EIOPA that the focus must be the MCR</w:t>
            </w:r>
            <w:r w:rsidR="00F730A5" w:rsidRPr="0056529E">
              <w:rPr>
                <w:color w:val="auto"/>
                <w:sz w:val="17"/>
                <w:szCs w:val="17"/>
              </w:rPr>
              <w:t>.</w:t>
            </w:r>
          </w:p>
          <w:p w14:paraId="7F3C5D85" w14:textId="09CC44F0" w:rsidR="009F64D4" w:rsidRDefault="009F64D4" w:rsidP="004B7D6D">
            <w:pPr>
              <w:pStyle w:val="Default"/>
              <w:spacing w:line="276" w:lineRule="auto"/>
              <w:ind w:left="720"/>
              <w:jc w:val="both"/>
              <w:rPr>
                <w:color w:val="auto"/>
                <w:sz w:val="17"/>
                <w:szCs w:val="17"/>
              </w:rPr>
            </w:pPr>
          </w:p>
          <w:p w14:paraId="2D27127D"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Action points:</w:t>
            </w:r>
          </w:p>
          <w:p w14:paraId="4EFD004E" w14:textId="799934C4" w:rsidR="009F64D4" w:rsidRDefault="0056529E" w:rsidP="009F64D4">
            <w:pPr>
              <w:numPr>
                <w:ilvl w:val="0"/>
                <w:numId w:val="1"/>
              </w:numPr>
              <w:autoSpaceDE w:val="0"/>
              <w:autoSpaceDN w:val="0"/>
              <w:adjustRightInd w:val="0"/>
              <w:jc w:val="both"/>
              <w:rPr>
                <w:sz w:val="17"/>
                <w:szCs w:val="17"/>
              </w:rPr>
            </w:pPr>
            <w:r>
              <w:rPr>
                <w:sz w:val="17"/>
                <w:szCs w:val="17"/>
              </w:rPr>
              <w:t>On the basis of the discussion, t</w:t>
            </w:r>
            <w:r w:rsidR="004B7D6D">
              <w:rPr>
                <w:sz w:val="17"/>
                <w:szCs w:val="17"/>
              </w:rPr>
              <w:t>he secretariat will update the position</w:t>
            </w:r>
            <w:r>
              <w:rPr>
                <w:sz w:val="17"/>
                <w:szCs w:val="17"/>
              </w:rPr>
              <w:t>s</w:t>
            </w:r>
            <w:r w:rsidR="004B7D6D">
              <w:rPr>
                <w:sz w:val="17"/>
                <w:szCs w:val="17"/>
              </w:rPr>
              <w:t xml:space="preserve"> which will be shared</w:t>
            </w:r>
            <w:r w:rsidR="00EF3D03">
              <w:rPr>
                <w:sz w:val="17"/>
                <w:szCs w:val="17"/>
              </w:rPr>
              <w:t xml:space="preserve"> in the coming weeks</w:t>
            </w:r>
            <w:r w:rsidR="004B7D6D">
              <w:rPr>
                <w:sz w:val="17"/>
                <w:szCs w:val="17"/>
              </w:rPr>
              <w:t xml:space="preserve"> with members for comments/additional input to </w:t>
            </w:r>
            <w:r w:rsidR="00EF3D03">
              <w:rPr>
                <w:sz w:val="17"/>
                <w:szCs w:val="17"/>
              </w:rPr>
              <w:t xml:space="preserve">be </w:t>
            </w:r>
            <w:r w:rsidR="004B7D6D">
              <w:rPr>
                <w:sz w:val="17"/>
                <w:szCs w:val="17"/>
              </w:rPr>
              <w:t>provide</w:t>
            </w:r>
            <w:r w:rsidR="00EF3D03">
              <w:rPr>
                <w:sz w:val="17"/>
                <w:szCs w:val="17"/>
              </w:rPr>
              <w:t>d.</w:t>
            </w:r>
            <w:r w:rsidR="004B7D6D">
              <w:rPr>
                <w:sz w:val="17"/>
                <w:szCs w:val="17"/>
              </w:rPr>
              <w:t xml:space="preserve"> </w:t>
            </w:r>
          </w:p>
          <w:p w14:paraId="4EB6D830" w14:textId="2D4189A6" w:rsidR="001B2627" w:rsidRPr="00C61E61" w:rsidRDefault="001B2627" w:rsidP="00BB35EA">
            <w:pPr>
              <w:autoSpaceDE w:val="0"/>
              <w:autoSpaceDN w:val="0"/>
              <w:adjustRightInd w:val="0"/>
              <w:ind w:left="16"/>
              <w:jc w:val="both"/>
              <w:rPr>
                <w:color w:val="002957"/>
                <w:sz w:val="17"/>
                <w:szCs w:val="17"/>
              </w:rPr>
            </w:pPr>
          </w:p>
        </w:tc>
      </w:tr>
      <w:tr w:rsidR="008771A8" w:rsidRPr="008771A8" w14:paraId="3ED96378" w14:textId="77777777" w:rsidTr="001B2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6" w:type="dxa"/>
            <w:tcBorders>
              <w:top w:val="nil"/>
              <w:left w:val="nil"/>
              <w:bottom w:val="nil"/>
              <w:right w:val="single" w:sz="12" w:space="0" w:color="87CB3D"/>
            </w:tcBorders>
            <w:shd w:val="clear" w:color="auto" w:fill="auto"/>
          </w:tcPr>
          <w:p w14:paraId="307D40C0" w14:textId="229F0077" w:rsidR="008771A8" w:rsidRPr="008771A8" w:rsidRDefault="009F64D4" w:rsidP="009F64D4">
            <w:pPr>
              <w:pStyle w:val="Nadpis1"/>
              <w:keepNext/>
              <w:numPr>
                <w:ilvl w:val="0"/>
                <w:numId w:val="14"/>
              </w:numPr>
              <w:spacing w:line="288" w:lineRule="auto"/>
              <w:ind w:left="408" w:hanging="408"/>
              <w:jc w:val="both"/>
              <w:rPr>
                <w:b/>
                <w:sz w:val="17"/>
                <w:szCs w:val="17"/>
              </w:rPr>
            </w:pPr>
            <w:r>
              <w:rPr>
                <w:b/>
                <w:sz w:val="17"/>
                <w:szCs w:val="17"/>
              </w:rPr>
              <w:t>Issues related to the practical application of the proportionality principle</w:t>
            </w:r>
          </w:p>
        </w:tc>
        <w:tc>
          <w:tcPr>
            <w:tcW w:w="1876" w:type="dxa"/>
            <w:tcBorders>
              <w:top w:val="nil"/>
              <w:left w:val="single" w:sz="12" w:space="0" w:color="87CB3D"/>
              <w:bottom w:val="nil"/>
              <w:right w:val="single" w:sz="12" w:space="0" w:color="87CB3D"/>
            </w:tcBorders>
            <w:shd w:val="clear" w:color="auto" w:fill="auto"/>
          </w:tcPr>
          <w:p w14:paraId="5029C9A2" w14:textId="1454227A" w:rsidR="008771A8" w:rsidRPr="008771A8" w:rsidRDefault="008771A8" w:rsidP="001B2F67">
            <w:pPr>
              <w:jc w:val="center"/>
              <w:rPr>
                <w:color w:val="002957"/>
                <w:sz w:val="17"/>
                <w:szCs w:val="17"/>
              </w:rPr>
            </w:pPr>
            <w:r w:rsidRPr="008771A8">
              <w:rPr>
                <w:color w:val="002957"/>
                <w:sz w:val="17"/>
                <w:szCs w:val="17"/>
              </w:rPr>
              <w:t xml:space="preserve">For </w:t>
            </w:r>
            <w:r w:rsidR="009F64D4">
              <w:rPr>
                <w:color w:val="002957"/>
                <w:sz w:val="17"/>
                <w:szCs w:val="17"/>
              </w:rPr>
              <w:t xml:space="preserve">information and </w:t>
            </w:r>
            <w:r w:rsidRPr="008771A8">
              <w:rPr>
                <w:color w:val="002957"/>
                <w:sz w:val="17"/>
                <w:szCs w:val="17"/>
              </w:rPr>
              <w:t>discussion</w:t>
            </w:r>
          </w:p>
        </w:tc>
        <w:tc>
          <w:tcPr>
            <w:tcW w:w="1718" w:type="dxa"/>
            <w:tcBorders>
              <w:top w:val="nil"/>
              <w:left w:val="single" w:sz="12" w:space="0" w:color="87CB3D"/>
              <w:bottom w:val="nil"/>
              <w:right w:val="nil"/>
            </w:tcBorders>
            <w:shd w:val="clear" w:color="auto" w:fill="auto"/>
          </w:tcPr>
          <w:p w14:paraId="2BF60D9A" w14:textId="77777777" w:rsidR="009F64D4" w:rsidRPr="009F64D4" w:rsidRDefault="00740EFA" w:rsidP="009F64D4">
            <w:pPr>
              <w:tabs>
                <w:tab w:val="left" w:pos="222"/>
              </w:tabs>
              <w:jc w:val="center"/>
              <w:rPr>
                <w:color w:val="244061" w:themeColor="accent1" w:themeShade="80"/>
                <w:sz w:val="17"/>
                <w:szCs w:val="17"/>
              </w:rPr>
            </w:pPr>
            <w:hyperlink r:id="rId23" w:history="1">
              <w:r w:rsidR="009F64D4" w:rsidRPr="009F64D4">
                <w:rPr>
                  <w:rStyle w:val="Hypertextovprepojenie"/>
                  <w:sz w:val="17"/>
                  <w:szCs w:val="17"/>
                </w:rPr>
                <w:t>ECO-SLV-17-103</w:t>
              </w:r>
            </w:hyperlink>
          </w:p>
          <w:p w14:paraId="6E293B6B" w14:textId="031A8892" w:rsidR="008771A8" w:rsidRPr="008771A8" w:rsidRDefault="008771A8" w:rsidP="001B2F67">
            <w:pPr>
              <w:jc w:val="center"/>
              <w:rPr>
                <w:color w:val="002957"/>
                <w:sz w:val="17"/>
                <w:szCs w:val="17"/>
              </w:rPr>
            </w:pPr>
          </w:p>
        </w:tc>
      </w:tr>
      <w:tr w:rsidR="008771A8" w:rsidRPr="008771A8" w14:paraId="5B556910" w14:textId="77777777" w:rsidTr="001B2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3"/>
            <w:tcBorders>
              <w:top w:val="nil"/>
              <w:left w:val="nil"/>
              <w:bottom w:val="nil"/>
              <w:right w:val="nil"/>
            </w:tcBorders>
          </w:tcPr>
          <w:p w14:paraId="34C9C624" w14:textId="7A8D5F6C" w:rsidR="008771A8" w:rsidRDefault="008771A8" w:rsidP="001B2F67">
            <w:pPr>
              <w:rPr>
                <w:sz w:val="17"/>
                <w:szCs w:val="17"/>
              </w:rPr>
            </w:pPr>
          </w:p>
          <w:p w14:paraId="1F920184" w14:textId="1B098C68" w:rsidR="009F64D4" w:rsidRDefault="009F64D4" w:rsidP="009F64D4">
            <w:pPr>
              <w:rPr>
                <w:sz w:val="17"/>
                <w:szCs w:val="17"/>
              </w:rPr>
            </w:pPr>
            <w:r w:rsidRPr="009F64D4">
              <w:rPr>
                <w:sz w:val="17"/>
                <w:szCs w:val="17"/>
              </w:rPr>
              <w:t>The secretariat provide</w:t>
            </w:r>
            <w:r>
              <w:rPr>
                <w:sz w:val="17"/>
                <w:szCs w:val="17"/>
              </w:rPr>
              <w:t>d</w:t>
            </w:r>
            <w:r w:rsidRPr="009F64D4">
              <w:rPr>
                <w:sz w:val="17"/>
                <w:szCs w:val="17"/>
              </w:rPr>
              <w:t xml:space="preserve"> an update on recent input and actions in the area of proportionality. Members w</w:t>
            </w:r>
            <w:r>
              <w:rPr>
                <w:sz w:val="17"/>
                <w:szCs w:val="17"/>
              </w:rPr>
              <w:t>ere</w:t>
            </w:r>
            <w:r w:rsidRPr="009F64D4">
              <w:rPr>
                <w:sz w:val="17"/>
                <w:szCs w:val="17"/>
              </w:rPr>
              <w:t xml:space="preserve"> invited to share information on related work and engagement in their respective markets.</w:t>
            </w:r>
          </w:p>
          <w:p w14:paraId="585C34D7" w14:textId="77777777" w:rsidR="009F64D4" w:rsidRPr="008771A8" w:rsidRDefault="009F64D4" w:rsidP="009F64D4">
            <w:pPr>
              <w:rPr>
                <w:sz w:val="17"/>
                <w:szCs w:val="17"/>
              </w:rPr>
            </w:pPr>
          </w:p>
          <w:p w14:paraId="2CA4FC1C"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Summary of discussions:</w:t>
            </w:r>
          </w:p>
          <w:p w14:paraId="506896F6" w14:textId="77777777" w:rsidR="009F64D4" w:rsidRPr="008771A8" w:rsidRDefault="009F64D4" w:rsidP="003F6B28">
            <w:pPr>
              <w:autoSpaceDE w:val="0"/>
              <w:autoSpaceDN w:val="0"/>
              <w:adjustRightInd w:val="0"/>
              <w:jc w:val="both"/>
              <w:rPr>
                <w:sz w:val="17"/>
                <w:szCs w:val="17"/>
              </w:rPr>
            </w:pPr>
          </w:p>
          <w:p w14:paraId="219153C3" w14:textId="79D0C53F" w:rsidR="009F64D4" w:rsidRPr="0006102F" w:rsidRDefault="00AD3567" w:rsidP="0020347B">
            <w:pPr>
              <w:pStyle w:val="Default"/>
              <w:numPr>
                <w:ilvl w:val="0"/>
                <w:numId w:val="1"/>
              </w:numPr>
              <w:spacing w:line="276" w:lineRule="auto"/>
              <w:jc w:val="both"/>
              <w:rPr>
                <w:color w:val="auto"/>
                <w:sz w:val="17"/>
                <w:szCs w:val="17"/>
              </w:rPr>
            </w:pPr>
            <w:r>
              <w:rPr>
                <w:color w:val="auto"/>
                <w:sz w:val="17"/>
                <w:szCs w:val="17"/>
              </w:rPr>
              <w:t>A</w:t>
            </w:r>
            <w:r w:rsidR="003F6B28">
              <w:rPr>
                <w:color w:val="auto"/>
                <w:sz w:val="17"/>
                <w:szCs w:val="17"/>
              </w:rPr>
              <w:t>NIA</w:t>
            </w:r>
            <w:r>
              <w:rPr>
                <w:color w:val="auto"/>
                <w:sz w:val="17"/>
                <w:szCs w:val="17"/>
              </w:rPr>
              <w:t xml:space="preserve"> noted that the company mentioned in the initial example </w:t>
            </w:r>
            <w:r w:rsidR="00556271">
              <w:rPr>
                <w:color w:val="auto"/>
                <w:sz w:val="17"/>
                <w:szCs w:val="17"/>
              </w:rPr>
              <w:t xml:space="preserve">is </w:t>
            </w:r>
            <w:r>
              <w:rPr>
                <w:color w:val="auto"/>
                <w:sz w:val="17"/>
                <w:szCs w:val="17"/>
              </w:rPr>
              <w:t xml:space="preserve">not willing to specify what simplifications they requested from the Italian supervisor for reasons of confidentiality. </w:t>
            </w:r>
            <w:r w:rsidR="00846C8A">
              <w:rPr>
                <w:color w:val="auto"/>
                <w:sz w:val="17"/>
                <w:szCs w:val="17"/>
              </w:rPr>
              <w:t>Therefore,</w:t>
            </w:r>
            <w:r>
              <w:rPr>
                <w:color w:val="auto"/>
                <w:sz w:val="17"/>
                <w:szCs w:val="17"/>
              </w:rPr>
              <w:t xml:space="preserve"> </w:t>
            </w:r>
            <w:r w:rsidR="00D95E3E">
              <w:rPr>
                <w:color w:val="auto"/>
                <w:sz w:val="17"/>
                <w:szCs w:val="17"/>
              </w:rPr>
              <w:t xml:space="preserve">ANIA understands that it is difficult for </w:t>
            </w:r>
            <w:r>
              <w:rPr>
                <w:color w:val="auto"/>
                <w:sz w:val="17"/>
                <w:szCs w:val="17"/>
              </w:rPr>
              <w:t xml:space="preserve">the secretariat </w:t>
            </w:r>
            <w:r w:rsidR="00D95E3E">
              <w:rPr>
                <w:color w:val="auto"/>
                <w:sz w:val="17"/>
                <w:szCs w:val="17"/>
              </w:rPr>
              <w:t>to</w:t>
            </w:r>
            <w:r>
              <w:rPr>
                <w:color w:val="auto"/>
                <w:sz w:val="17"/>
                <w:szCs w:val="17"/>
              </w:rPr>
              <w:t xml:space="preserve"> include this example </w:t>
            </w:r>
            <w:r w:rsidR="005B7534">
              <w:rPr>
                <w:color w:val="auto"/>
                <w:sz w:val="17"/>
                <w:szCs w:val="17"/>
              </w:rPr>
              <w:t>in</w:t>
            </w:r>
            <w:r>
              <w:rPr>
                <w:color w:val="auto"/>
                <w:sz w:val="17"/>
                <w:szCs w:val="17"/>
              </w:rPr>
              <w:t xml:space="preserve"> its further work on proportionality. </w:t>
            </w:r>
          </w:p>
          <w:p w14:paraId="21315655" w14:textId="04AC1EF3" w:rsidR="0082754D" w:rsidRDefault="0082754D" w:rsidP="0020347B">
            <w:pPr>
              <w:pStyle w:val="Default"/>
              <w:numPr>
                <w:ilvl w:val="0"/>
                <w:numId w:val="1"/>
              </w:numPr>
              <w:spacing w:line="276" w:lineRule="auto"/>
              <w:jc w:val="both"/>
              <w:rPr>
                <w:color w:val="auto"/>
                <w:sz w:val="17"/>
                <w:szCs w:val="17"/>
              </w:rPr>
            </w:pPr>
            <w:r>
              <w:rPr>
                <w:color w:val="auto"/>
                <w:sz w:val="17"/>
                <w:szCs w:val="17"/>
              </w:rPr>
              <w:t xml:space="preserve">ANIA is working on a proposal on proportionality in which </w:t>
            </w:r>
            <w:r w:rsidR="00D95E3E">
              <w:rPr>
                <w:color w:val="auto"/>
                <w:sz w:val="17"/>
                <w:szCs w:val="17"/>
              </w:rPr>
              <w:t xml:space="preserve">it proposes that </w:t>
            </w:r>
            <w:r>
              <w:rPr>
                <w:color w:val="auto"/>
                <w:sz w:val="17"/>
                <w:szCs w:val="17"/>
              </w:rPr>
              <w:t xml:space="preserve">the burden of proof will be </w:t>
            </w:r>
            <w:r w:rsidR="0020347B">
              <w:rPr>
                <w:color w:val="auto"/>
                <w:sz w:val="17"/>
                <w:szCs w:val="17"/>
              </w:rPr>
              <w:t>revers</w:t>
            </w:r>
            <w:r>
              <w:rPr>
                <w:color w:val="auto"/>
                <w:sz w:val="17"/>
                <w:szCs w:val="17"/>
              </w:rPr>
              <w:t xml:space="preserve">ed from the company to the supervisor. </w:t>
            </w:r>
            <w:r w:rsidR="00846C8A">
              <w:rPr>
                <w:color w:val="auto"/>
                <w:sz w:val="17"/>
                <w:szCs w:val="17"/>
              </w:rPr>
              <w:t>Companies are expected to auto-evaluate</w:t>
            </w:r>
            <w:r w:rsidR="005B7534">
              <w:rPr>
                <w:color w:val="auto"/>
                <w:sz w:val="17"/>
                <w:szCs w:val="17"/>
              </w:rPr>
              <w:t xml:space="preserve"> whether they qualify for certain proportionality provisions</w:t>
            </w:r>
            <w:r w:rsidR="00846C8A">
              <w:rPr>
                <w:color w:val="auto"/>
                <w:sz w:val="17"/>
                <w:szCs w:val="17"/>
              </w:rPr>
              <w:t xml:space="preserve">, based on thresholds </w:t>
            </w:r>
            <w:r w:rsidR="005B7534">
              <w:rPr>
                <w:color w:val="auto"/>
                <w:sz w:val="17"/>
                <w:szCs w:val="17"/>
              </w:rPr>
              <w:t>defined</w:t>
            </w:r>
            <w:r w:rsidR="00846C8A">
              <w:rPr>
                <w:color w:val="auto"/>
                <w:sz w:val="17"/>
                <w:szCs w:val="17"/>
              </w:rPr>
              <w:t xml:space="preserve"> by the regulator. </w:t>
            </w:r>
          </w:p>
          <w:p w14:paraId="716971E4" w14:textId="6A2A44EF" w:rsidR="0082754D" w:rsidRDefault="0082754D" w:rsidP="0020347B">
            <w:pPr>
              <w:pStyle w:val="Default"/>
              <w:numPr>
                <w:ilvl w:val="0"/>
                <w:numId w:val="1"/>
              </w:numPr>
              <w:spacing w:line="276" w:lineRule="auto"/>
              <w:jc w:val="both"/>
              <w:rPr>
                <w:color w:val="auto"/>
                <w:sz w:val="17"/>
                <w:szCs w:val="17"/>
              </w:rPr>
            </w:pPr>
            <w:r>
              <w:rPr>
                <w:color w:val="auto"/>
                <w:sz w:val="17"/>
                <w:szCs w:val="17"/>
              </w:rPr>
              <w:t xml:space="preserve">Additionally, ANIA noted that before the end of the summer a first draft of Italian national regulation on proportionality is expected. </w:t>
            </w:r>
          </w:p>
          <w:p w14:paraId="4FB12523" w14:textId="71BA96B0" w:rsidR="00846C8A" w:rsidRDefault="009155F1" w:rsidP="0020347B">
            <w:pPr>
              <w:pStyle w:val="Default"/>
              <w:numPr>
                <w:ilvl w:val="0"/>
                <w:numId w:val="1"/>
              </w:numPr>
              <w:spacing w:line="276" w:lineRule="auto"/>
              <w:jc w:val="both"/>
              <w:rPr>
                <w:color w:val="auto"/>
                <w:sz w:val="17"/>
                <w:szCs w:val="17"/>
              </w:rPr>
            </w:pPr>
            <w:r>
              <w:rPr>
                <w:color w:val="auto"/>
                <w:sz w:val="17"/>
                <w:szCs w:val="17"/>
              </w:rPr>
              <w:t xml:space="preserve">The </w:t>
            </w:r>
            <w:r w:rsidR="00846C8A">
              <w:rPr>
                <w:color w:val="auto"/>
                <w:sz w:val="17"/>
                <w:szCs w:val="17"/>
              </w:rPr>
              <w:t xml:space="preserve">GDV believes examples on proportionality </w:t>
            </w:r>
            <w:r w:rsidR="005D655A">
              <w:rPr>
                <w:color w:val="auto"/>
                <w:sz w:val="17"/>
                <w:szCs w:val="17"/>
              </w:rPr>
              <w:t>are</w:t>
            </w:r>
            <w:r w:rsidR="00846C8A">
              <w:rPr>
                <w:color w:val="auto"/>
                <w:sz w:val="17"/>
                <w:szCs w:val="17"/>
              </w:rPr>
              <w:t xml:space="preserve"> not helpful as these are </w:t>
            </w:r>
            <w:r w:rsidR="005D655A">
              <w:rPr>
                <w:color w:val="auto"/>
                <w:sz w:val="17"/>
                <w:szCs w:val="17"/>
              </w:rPr>
              <w:t>company/</w:t>
            </w:r>
            <w:r w:rsidR="00846C8A">
              <w:rPr>
                <w:color w:val="auto"/>
                <w:sz w:val="17"/>
                <w:szCs w:val="17"/>
              </w:rPr>
              <w:t xml:space="preserve">country-specific. </w:t>
            </w:r>
            <w:r w:rsidR="002F0DB4">
              <w:rPr>
                <w:color w:val="auto"/>
                <w:sz w:val="17"/>
                <w:szCs w:val="17"/>
              </w:rPr>
              <w:t>The way forward should be to ask for a consistent EU-wide approach</w:t>
            </w:r>
            <w:r w:rsidR="005D655A">
              <w:rPr>
                <w:color w:val="auto"/>
                <w:sz w:val="17"/>
                <w:szCs w:val="17"/>
              </w:rPr>
              <w:t>, which seems to be lacking at the moment</w:t>
            </w:r>
            <w:r w:rsidR="002F0DB4">
              <w:rPr>
                <w:color w:val="auto"/>
                <w:sz w:val="17"/>
                <w:szCs w:val="17"/>
              </w:rPr>
              <w:t xml:space="preserve">. </w:t>
            </w:r>
          </w:p>
          <w:p w14:paraId="35620A9D" w14:textId="21E7C1B2" w:rsidR="0039391C" w:rsidRDefault="009155F1" w:rsidP="0039391C">
            <w:pPr>
              <w:numPr>
                <w:ilvl w:val="0"/>
                <w:numId w:val="1"/>
              </w:numPr>
              <w:autoSpaceDE w:val="0"/>
              <w:autoSpaceDN w:val="0"/>
              <w:adjustRightInd w:val="0"/>
              <w:jc w:val="both"/>
              <w:rPr>
                <w:sz w:val="17"/>
                <w:szCs w:val="17"/>
              </w:rPr>
            </w:pPr>
            <w:r>
              <w:rPr>
                <w:sz w:val="17"/>
                <w:szCs w:val="17"/>
              </w:rPr>
              <w:t xml:space="preserve">The </w:t>
            </w:r>
            <w:r w:rsidR="002F0DB4">
              <w:rPr>
                <w:sz w:val="17"/>
                <w:szCs w:val="17"/>
              </w:rPr>
              <w:t xml:space="preserve">GDV ran a </w:t>
            </w:r>
            <w:r w:rsidR="005D655A">
              <w:rPr>
                <w:sz w:val="17"/>
                <w:szCs w:val="17"/>
              </w:rPr>
              <w:t>stud</w:t>
            </w:r>
            <w:r w:rsidR="002F0DB4">
              <w:rPr>
                <w:sz w:val="17"/>
                <w:szCs w:val="17"/>
              </w:rPr>
              <w:t xml:space="preserve">y on proportionality among </w:t>
            </w:r>
            <w:r w:rsidR="001013A1">
              <w:rPr>
                <w:sz w:val="17"/>
                <w:szCs w:val="17"/>
              </w:rPr>
              <w:t>its</w:t>
            </w:r>
            <w:r w:rsidR="002F0DB4">
              <w:rPr>
                <w:sz w:val="17"/>
                <w:szCs w:val="17"/>
              </w:rPr>
              <w:t xml:space="preserve"> members, </w:t>
            </w:r>
            <w:r w:rsidR="005D655A">
              <w:rPr>
                <w:sz w:val="17"/>
                <w:szCs w:val="17"/>
              </w:rPr>
              <w:t xml:space="preserve">asking their impression on complexity and cost in regard to the risk profile of the company. </w:t>
            </w:r>
            <w:r w:rsidR="005B7534">
              <w:rPr>
                <w:sz w:val="17"/>
                <w:szCs w:val="17"/>
              </w:rPr>
              <w:t>A</w:t>
            </w:r>
            <w:r w:rsidR="005D655A">
              <w:rPr>
                <w:sz w:val="17"/>
                <w:szCs w:val="17"/>
              </w:rPr>
              <w:t xml:space="preserve">lmost </w:t>
            </w:r>
            <w:r w:rsidR="002F0DB4">
              <w:rPr>
                <w:sz w:val="17"/>
                <w:szCs w:val="17"/>
              </w:rPr>
              <w:t>90%</w:t>
            </w:r>
            <w:r w:rsidR="005D655A">
              <w:rPr>
                <w:sz w:val="17"/>
                <w:szCs w:val="17"/>
              </w:rPr>
              <w:t xml:space="preserve"> of members </w:t>
            </w:r>
            <w:r w:rsidR="002F0DB4">
              <w:rPr>
                <w:sz w:val="17"/>
                <w:szCs w:val="17"/>
              </w:rPr>
              <w:t>responded</w:t>
            </w:r>
            <w:r w:rsidR="005D655A">
              <w:rPr>
                <w:sz w:val="17"/>
                <w:szCs w:val="17"/>
              </w:rPr>
              <w:t xml:space="preserve"> they are unhappy with the situation on proportionality issues</w:t>
            </w:r>
            <w:r w:rsidR="0039391C">
              <w:rPr>
                <w:sz w:val="17"/>
                <w:szCs w:val="17"/>
              </w:rPr>
              <w:t>,</w:t>
            </w:r>
            <w:r w:rsidR="005D655A">
              <w:rPr>
                <w:sz w:val="17"/>
                <w:szCs w:val="17"/>
              </w:rPr>
              <w:t xml:space="preserve"> </w:t>
            </w:r>
            <w:r w:rsidR="0039391C">
              <w:rPr>
                <w:sz w:val="17"/>
                <w:szCs w:val="17"/>
              </w:rPr>
              <w:t>e</w:t>
            </w:r>
            <w:r w:rsidR="005D655A">
              <w:rPr>
                <w:sz w:val="17"/>
                <w:szCs w:val="17"/>
              </w:rPr>
              <w:t>speciall</w:t>
            </w:r>
            <w:r w:rsidR="0043778B">
              <w:rPr>
                <w:sz w:val="17"/>
                <w:szCs w:val="17"/>
              </w:rPr>
              <w:t xml:space="preserve">y regarding pillar </w:t>
            </w:r>
            <w:r w:rsidR="004D1B03">
              <w:rPr>
                <w:sz w:val="17"/>
                <w:szCs w:val="17"/>
              </w:rPr>
              <w:t>three</w:t>
            </w:r>
            <w:r w:rsidR="0043778B">
              <w:rPr>
                <w:sz w:val="17"/>
                <w:szCs w:val="17"/>
              </w:rPr>
              <w:t xml:space="preserve">. </w:t>
            </w:r>
            <w:r>
              <w:rPr>
                <w:sz w:val="17"/>
                <w:szCs w:val="17"/>
              </w:rPr>
              <w:t xml:space="preserve">The </w:t>
            </w:r>
            <w:r w:rsidR="0039391C">
              <w:rPr>
                <w:sz w:val="17"/>
                <w:szCs w:val="17"/>
              </w:rPr>
              <w:t xml:space="preserve">GDV will share the translation of the questions of the study on proportionality with the secretariat </w:t>
            </w:r>
            <w:r w:rsidR="001D7663">
              <w:rPr>
                <w:sz w:val="17"/>
                <w:szCs w:val="17"/>
              </w:rPr>
              <w:t>a</w:t>
            </w:r>
            <w:r w:rsidR="0039391C">
              <w:rPr>
                <w:sz w:val="17"/>
                <w:szCs w:val="17"/>
              </w:rPr>
              <w:t>nd</w:t>
            </w:r>
            <w:r w:rsidR="00523D26">
              <w:rPr>
                <w:sz w:val="17"/>
                <w:szCs w:val="17"/>
              </w:rPr>
              <w:t xml:space="preserve"> suggest</w:t>
            </w:r>
            <w:r w:rsidR="001D7663">
              <w:rPr>
                <w:sz w:val="17"/>
                <w:szCs w:val="17"/>
              </w:rPr>
              <w:t>ed</w:t>
            </w:r>
            <w:r w:rsidR="00523D26">
              <w:rPr>
                <w:sz w:val="17"/>
                <w:szCs w:val="17"/>
              </w:rPr>
              <w:t xml:space="preserve"> it may be useful </w:t>
            </w:r>
            <w:r w:rsidR="0039391C">
              <w:rPr>
                <w:sz w:val="17"/>
                <w:szCs w:val="17"/>
              </w:rPr>
              <w:t xml:space="preserve">to run this study on a European level. </w:t>
            </w:r>
          </w:p>
          <w:p w14:paraId="5F4728D2" w14:textId="72BF7A06" w:rsidR="009F64D4" w:rsidRDefault="00523D26" w:rsidP="0048512D">
            <w:pPr>
              <w:pStyle w:val="Default"/>
              <w:numPr>
                <w:ilvl w:val="0"/>
                <w:numId w:val="1"/>
              </w:numPr>
              <w:spacing w:line="276" w:lineRule="auto"/>
              <w:jc w:val="both"/>
              <w:rPr>
                <w:szCs w:val="17"/>
              </w:rPr>
            </w:pPr>
            <w:r w:rsidRPr="00523D26">
              <w:rPr>
                <w:color w:val="auto"/>
                <w:sz w:val="17"/>
                <w:szCs w:val="17"/>
              </w:rPr>
              <w:t xml:space="preserve">The </w:t>
            </w:r>
            <w:r w:rsidR="001D7663">
              <w:rPr>
                <w:color w:val="auto"/>
                <w:sz w:val="17"/>
                <w:szCs w:val="17"/>
              </w:rPr>
              <w:t>c</w:t>
            </w:r>
            <w:r w:rsidRPr="00523D26">
              <w:rPr>
                <w:color w:val="auto"/>
                <w:sz w:val="17"/>
                <w:szCs w:val="17"/>
              </w:rPr>
              <w:t xml:space="preserve">hair added </w:t>
            </w:r>
            <w:r w:rsidR="00B235D0">
              <w:rPr>
                <w:color w:val="auto"/>
                <w:sz w:val="17"/>
                <w:szCs w:val="17"/>
              </w:rPr>
              <w:t xml:space="preserve">that </w:t>
            </w:r>
            <w:r w:rsidRPr="00523D26">
              <w:rPr>
                <w:color w:val="auto"/>
                <w:sz w:val="17"/>
                <w:szCs w:val="17"/>
              </w:rPr>
              <w:t xml:space="preserve">this exercise would be extremely useful. </w:t>
            </w:r>
            <w:r w:rsidR="005B7534">
              <w:rPr>
                <w:color w:val="auto"/>
                <w:sz w:val="17"/>
                <w:szCs w:val="17"/>
              </w:rPr>
              <w:t xml:space="preserve">From </w:t>
            </w:r>
            <w:r w:rsidR="00B235D0">
              <w:rPr>
                <w:color w:val="auto"/>
                <w:sz w:val="17"/>
                <w:szCs w:val="17"/>
              </w:rPr>
              <w:t xml:space="preserve">his </w:t>
            </w:r>
            <w:r w:rsidR="005B7534">
              <w:rPr>
                <w:color w:val="auto"/>
                <w:sz w:val="17"/>
                <w:szCs w:val="17"/>
              </w:rPr>
              <w:t>experience</w:t>
            </w:r>
            <w:r w:rsidR="00B235D0">
              <w:rPr>
                <w:color w:val="auto"/>
                <w:sz w:val="17"/>
                <w:szCs w:val="17"/>
              </w:rPr>
              <w:t xml:space="preserve"> </w:t>
            </w:r>
            <w:r w:rsidR="005B7534">
              <w:rPr>
                <w:color w:val="auto"/>
                <w:sz w:val="17"/>
                <w:szCs w:val="17"/>
              </w:rPr>
              <w:t>work</w:t>
            </w:r>
            <w:r w:rsidR="00B235D0">
              <w:rPr>
                <w:color w:val="auto"/>
                <w:sz w:val="17"/>
                <w:szCs w:val="17"/>
              </w:rPr>
              <w:t>ing</w:t>
            </w:r>
            <w:r w:rsidRPr="00523D26">
              <w:rPr>
                <w:color w:val="auto"/>
                <w:sz w:val="17"/>
                <w:szCs w:val="17"/>
              </w:rPr>
              <w:t xml:space="preserve"> for a medium/large company</w:t>
            </w:r>
            <w:r w:rsidR="005B7534">
              <w:rPr>
                <w:color w:val="auto"/>
                <w:sz w:val="17"/>
                <w:szCs w:val="17"/>
              </w:rPr>
              <w:t>, he is aware</w:t>
            </w:r>
            <w:r w:rsidRPr="00523D26">
              <w:rPr>
                <w:color w:val="auto"/>
                <w:sz w:val="17"/>
                <w:szCs w:val="17"/>
              </w:rPr>
              <w:t xml:space="preserve"> </w:t>
            </w:r>
            <w:r w:rsidR="0048512D" w:rsidRPr="00523D26">
              <w:rPr>
                <w:color w:val="auto"/>
                <w:sz w:val="17"/>
                <w:szCs w:val="17"/>
              </w:rPr>
              <w:t>pillar</w:t>
            </w:r>
            <w:r w:rsidRPr="00523D26">
              <w:rPr>
                <w:color w:val="auto"/>
                <w:sz w:val="17"/>
                <w:szCs w:val="17"/>
              </w:rPr>
              <w:t xml:space="preserve"> </w:t>
            </w:r>
            <w:r w:rsidR="00B235D0">
              <w:rPr>
                <w:color w:val="auto"/>
                <w:sz w:val="17"/>
                <w:szCs w:val="17"/>
              </w:rPr>
              <w:t xml:space="preserve">three </w:t>
            </w:r>
            <w:r w:rsidRPr="00523D26">
              <w:rPr>
                <w:color w:val="auto"/>
                <w:sz w:val="17"/>
                <w:szCs w:val="17"/>
              </w:rPr>
              <w:t xml:space="preserve">can be </w:t>
            </w:r>
            <w:r w:rsidR="00B235D0">
              <w:rPr>
                <w:color w:val="auto"/>
                <w:sz w:val="17"/>
                <w:szCs w:val="17"/>
              </w:rPr>
              <w:t>extremely burdensome</w:t>
            </w:r>
            <w:r w:rsidRPr="00523D26">
              <w:rPr>
                <w:color w:val="auto"/>
                <w:sz w:val="17"/>
                <w:szCs w:val="17"/>
              </w:rPr>
              <w:t>. At year</w:t>
            </w:r>
            <w:r w:rsidR="005B7534">
              <w:rPr>
                <w:color w:val="auto"/>
                <w:sz w:val="17"/>
                <w:szCs w:val="17"/>
              </w:rPr>
              <w:t>-</w:t>
            </w:r>
            <w:r w:rsidR="005B7534" w:rsidRPr="00523D26">
              <w:rPr>
                <w:color w:val="auto"/>
                <w:sz w:val="17"/>
                <w:szCs w:val="17"/>
              </w:rPr>
              <w:t xml:space="preserve">end </w:t>
            </w:r>
            <w:r w:rsidRPr="00523D26">
              <w:rPr>
                <w:color w:val="auto"/>
                <w:sz w:val="17"/>
                <w:szCs w:val="17"/>
              </w:rPr>
              <w:t xml:space="preserve">2016 and in Q1 </w:t>
            </w:r>
            <w:r w:rsidR="005B7534">
              <w:rPr>
                <w:color w:val="auto"/>
                <w:sz w:val="17"/>
                <w:szCs w:val="17"/>
              </w:rPr>
              <w:t>2017</w:t>
            </w:r>
            <w:r w:rsidRPr="00523D26">
              <w:rPr>
                <w:color w:val="auto"/>
                <w:sz w:val="17"/>
                <w:szCs w:val="17"/>
              </w:rPr>
              <w:t xml:space="preserve"> </w:t>
            </w:r>
            <w:r w:rsidR="005B7534">
              <w:rPr>
                <w:color w:val="auto"/>
                <w:sz w:val="17"/>
                <w:szCs w:val="17"/>
              </w:rPr>
              <w:t>his</w:t>
            </w:r>
            <w:r w:rsidRPr="00523D26">
              <w:rPr>
                <w:color w:val="auto"/>
                <w:sz w:val="17"/>
                <w:szCs w:val="17"/>
              </w:rPr>
              <w:t xml:space="preserve"> department had to produce 140 reports to various instances -</w:t>
            </w:r>
            <w:r w:rsidR="004D1B03">
              <w:rPr>
                <w:color w:val="auto"/>
                <w:sz w:val="17"/>
                <w:szCs w:val="17"/>
              </w:rPr>
              <w:t xml:space="preserve"> </w:t>
            </w:r>
            <w:r w:rsidRPr="00523D26">
              <w:rPr>
                <w:color w:val="auto"/>
                <w:sz w:val="17"/>
                <w:szCs w:val="17"/>
              </w:rPr>
              <w:t xml:space="preserve">both internally and externally – blocking any other type of </w:t>
            </w:r>
            <w:r>
              <w:rPr>
                <w:color w:val="auto"/>
                <w:sz w:val="17"/>
                <w:szCs w:val="17"/>
              </w:rPr>
              <w:t>activities</w:t>
            </w:r>
            <w:r w:rsidRPr="00523D26">
              <w:rPr>
                <w:color w:val="auto"/>
                <w:sz w:val="17"/>
                <w:szCs w:val="17"/>
              </w:rPr>
              <w:t xml:space="preserve"> for the</w:t>
            </w:r>
            <w:r>
              <w:rPr>
                <w:color w:val="auto"/>
                <w:sz w:val="17"/>
                <w:szCs w:val="17"/>
              </w:rPr>
              <w:t xml:space="preserve"> department involved. </w:t>
            </w:r>
            <w:r w:rsidR="005B7534">
              <w:rPr>
                <w:color w:val="auto"/>
                <w:sz w:val="17"/>
                <w:szCs w:val="17"/>
              </w:rPr>
              <w:t>P</w:t>
            </w:r>
            <w:r w:rsidR="005D315D">
              <w:rPr>
                <w:color w:val="auto"/>
                <w:sz w:val="17"/>
                <w:szCs w:val="17"/>
              </w:rPr>
              <w:t xml:space="preserve">roportionality </w:t>
            </w:r>
            <w:r w:rsidR="005B7534">
              <w:rPr>
                <w:color w:val="auto"/>
                <w:sz w:val="17"/>
                <w:szCs w:val="17"/>
              </w:rPr>
              <w:t xml:space="preserve">should </w:t>
            </w:r>
            <w:r w:rsidR="005D315D">
              <w:rPr>
                <w:color w:val="auto"/>
                <w:sz w:val="17"/>
                <w:szCs w:val="17"/>
              </w:rPr>
              <w:t xml:space="preserve">be </w:t>
            </w:r>
            <w:r w:rsidR="005B7534">
              <w:rPr>
                <w:color w:val="auto"/>
                <w:sz w:val="17"/>
                <w:szCs w:val="17"/>
              </w:rPr>
              <w:t>addressed</w:t>
            </w:r>
            <w:r w:rsidR="005D315D">
              <w:rPr>
                <w:color w:val="auto"/>
                <w:sz w:val="17"/>
                <w:szCs w:val="17"/>
              </w:rPr>
              <w:t xml:space="preserve"> at the level of reporting – not linked to the size of the company but </w:t>
            </w:r>
            <w:r w:rsidR="00B235D0">
              <w:rPr>
                <w:color w:val="auto"/>
                <w:sz w:val="17"/>
                <w:szCs w:val="17"/>
              </w:rPr>
              <w:t>t</w:t>
            </w:r>
            <w:r w:rsidR="005D315D">
              <w:rPr>
                <w:color w:val="auto"/>
                <w:sz w:val="17"/>
                <w:szCs w:val="17"/>
              </w:rPr>
              <w:t xml:space="preserve">o </w:t>
            </w:r>
            <w:r w:rsidR="00B235D0">
              <w:rPr>
                <w:color w:val="auto"/>
                <w:sz w:val="17"/>
                <w:szCs w:val="17"/>
              </w:rPr>
              <w:t>purpose of the reporting</w:t>
            </w:r>
            <w:r w:rsidR="005D315D">
              <w:rPr>
                <w:color w:val="auto"/>
                <w:sz w:val="17"/>
                <w:szCs w:val="17"/>
              </w:rPr>
              <w:t xml:space="preserve">. Over information should be avoided; </w:t>
            </w:r>
            <w:r w:rsidR="004D1B03">
              <w:rPr>
                <w:color w:val="auto"/>
                <w:sz w:val="17"/>
                <w:szCs w:val="17"/>
              </w:rPr>
              <w:t>p</w:t>
            </w:r>
            <w:r w:rsidR="005D315D">
              <w:rPr>
                <w:color w:val="auto"/>
                <w:sz w:val="17"/>
                <w:szCs w:val="17"/>
              </w:rPr>
              <w:t xml:space="preserve">roportionality should also have to take into account the </w:t>
            </w:r>
            <w:r w:rsidR="0077269E">
              <w:rPr>
                <w:color w:val="auto"/>
                <w:sz w:val="17"/>
                <w:szCs w:val="17"/>
              </w:rPr>
              <w:t>objectives</w:t>
            </w:r>
            <w:r w:rsidR="005D315D">
              <w:rPr>
                <w:color w:val="auto"/>
                <w:sz w:val="17"/>
                <w:szCs w:val="17"/>
              </w:rPr>
              <w:t xml:space="preserve"> to be achieved.</w:t>
            </w:r>
          </w:p>
          <w:p w14:paraId="09025EBE" w14:textId="1CA2C35F" w:rsidR="000C3CA6" w:rsidRPr="00370ADA" w:rsidRDefault="000C3CA6" w:rsidP="0048512D">
            <w:pPr>
              <w:pStyle w:val="Default"/>
              <w:numPr>
                <w:ilvl w:val="0"/>
                <w:numId w:val="1"/>
              </w:numPr>
              <w:spacing w:line="276" w:lineRule="auto"/>
              <w:jc w:val="both"/>
              <w:rPr>
                <w:szCs w:val="17"/>
              </w:rPr>
            </w:pPr>
            <w:r>
              <w:rPr>
                <w:color w:val="auto"/>
                <w:sz w:val="17"/>
                <w:szCs w:val="17"/>
              </w:rPr>
              <w:t xml:space="preserve">ANIA believes it would be difficult to reach a consistent European approach. </w:t>
            </w:r>
            <w:r w:rsidR="0077269E">
              <w:rPr>
                <w:color w:val="auto"/>
                <w:sz w:val="17"/>
                <w:szCs w:val="17"/>
              </w:rPr>
              <w:t xml:space="preserve">They instead supported a national approach on advocacy </w:t>
            </w:r>
            <w:r w:rsidR="001C4029">
              <w:rPr>
                <w:color w:val="auto"/>
                <w:sz w:val="17"/>
                <w:szCs w:val="17"/>
              </w:rPr>
              <w:t xml:space="preserve">before bringing the issues at </w:t>
            </w:r>
            <w:r w:rsidR="0077269E">
              <w:rPr>
                <w:color w:val="auto"/>
                <w:sz w:val="17"/>
                <w:szCs w:val="17"/>
              </w:rPr>
              <w:t>European level</w:t>
            </w:r>
            <w:r w:rsidR="00370ADA">
              <w:rPr>
                <w:color w:val="auto"/>
                <w:sz w:val="17"/>
                <w:szCs w:val="17"/>
              </w:rPr>
              <w:t>. The European regulator has mandated the national regulators with the implementation of the proportionality principle</w:t>
            </w:r>
            <w:r w:rsidR="0077269E">
              <w:rPr>
                <w:color w:val="auto"/>
                <w:sz w:val="17"/>
                <w:szCs w:val="17"/>
              </w:rPr>
              <w:t>;</w:t>
            </w:r>
            <w:r w:rsidR="00370ADA">
              <w:rPr>
                <w:color w:val="auto"/>
                <w:sz w:val="17"/>
                <w:szCs w:val="17"/>
              </w:rPr>
              <w:t xml:space="preserve"> if national regulators have difficulties implementing a coherent proportional principle into their legislation, then EIOPA </w:t>
            </w:r>
            <w:r w:rsidR="004727C2">
              <w:rPr>
                <w:color w:val="auto"/>
                <w:sz w:val="17"/>
                <w:szCs w:val="17"/>
              </w:rPr>
              <w:t xml:space="preserve">may </w:t>
            </w:r>
            <w:r w:rsidR="00370ADA">
              <w:rPr>
                <w:color w:val="auto"/>
                <w:sz w:val="17"/>
                <w:szCs w:val="17"/>
              </w:rPr>
              <w:t xml:space="preserve">be willing to work on a European level. </w:t>
            </w:r>
          </w:p>
          <w:p w14:paraId="07BDACFB" w14:textId="00D0FE12" w:rsidR="00370ADA" w:rsidRPr="004A7E79" w:rsidRDefault="004A7E79" w:rsidP="0048512D">
            <w:pPr>
              <w:pStyle w:val="Default"/>
              <w:numPr>
                <w:ilvl w:val="0"/>
                <w:numId w:val="1"/>
              </w:numPr>
              <w:spacing w:line="276" w:lineRule="auto"/>
              <w:jc w:val="both"/>
              <w:rPr>
                <w:szCs w:val="17"/>
              </w:rPr>
            </w:pPr>
            <w:r>
              <w:rPr>
                <w:color w:val="auto"/>
                <w:sz w:val="17"/>
                <w:szCs w:val="17"/>
              </w:rPr>
              <w:t xml:space="preserve">ANIA asked if other regulators are working on this </w:t>
            </w:r>
            <w:r w:rsidR="0077269E">
              <w:rPr>
                <w:color w:val="auto"/>
                <w:sz w:val="17"/>
                <w:szCs w:val="17"/>
              </w:rPr>
              <w:t>issue</w:t>
            </w:r>
            <w:r>
              <w:rPr>
                <w:color w:val="auto"/>
                <w:sz w:val="17"/>
                <w:szCs w:val="17"/>
              </w:rPr>
              <w:t xml:space="preserve">. </w:t>
            </w:r>
          </w:p>
          <w:p w14:paraId="42E0A1DE" w14:textId="3D77A7A9" w:rsidR="004A7E79" w:rsidRPr="0048512D" w:rsidRDefault="009155F1" w:rsidP="0048512D">
            <w:pPr>
              <w:pStyle w:val="Default"/>
              <w:numPr>
                <w:ilvl w:val="0"/>
                <w:numId w:val="1"/>
              </w:numPr>
              <w:spacing w:line="276" w:lineRule="auto"/>
              <w:jc w:val="both"/>
              <w:rPr>
                <w:szCs w:val="17"/>
              </w:rPr>
            </w:pPr>
            <w:r>
              <w:rPr>
                <w:color w:val="auto"/>
                <w:sz w:val="17"/>
                <w:szCs w:val="17"/>
              </w:rPr>
              <w:t xml:space="preserve">The </w:t>
            </w:r>
            <w:r w:rsidR="0048512D">
              <w:rPr>
                <w:color w:val="auto"/>
                <w:sz w:val="17"/>
                <w:szCs w:val="17"/>
              </w:rPr>
              <w:t>ABI remarked that third pillar reporting is disproportionate</w:t>
            </w:r>
            <w:r w:rsidR="0067308A">
              <w:rPr>
                <w:color w:val="auto"/>
                <w:sz w:val="17"/>
                <w:szCs w:val="17"/>
              </w:rPr>
              <w:t>,</w:t>
            </w:r>
            <w:r w:rsidR="0048512D">
              <w:rPr>
                <w:color w:val="auto"/>
                <w:sz w:val="17"/>
                <w:szCs w:val="17"/>
              </w:rPr>
              <w:t xml:space="preserve"> in particular for smaller companies. The question often raised is what </w:t>
            </w:r>
            <w:r w:rsidR="0067308A">
              <w:rPr>
                <w:color w:val="auto"/>
                <w:sz w:val="17"/>
                <w:szCs w:val="17"/>
              </w:rPr>
              <w:t>are</w:t>
            </w:r>
            <w:r w:rsidR="0048512D">
              <w:rPr>
                <w:color w:val="auto"/>
                <w:sz w:val="17"/>
                <w:szCs w:val="17"/>
              </w:rPr>
              <w:t xml:space="preserve"> regulators actually do</w:t>
            </w:r>
            <w:r w:rsidR="0067308A">
              <w:rPr>
                <w:color w:val="auto"/>
                <w:sz w:val="17"/>
                <w:szCs w:val="17"/>
              </w:rPr>
              <w:t>ing</w:t>
            </w:r>
            <w:r w:rsidR="0048512D">
              <w:rPr>
                <w:color w:val="auto"/>
                <w:sz w:val="17"/>
                <w:szCs w:val="17"/>
              </w:rPr>
              <w:t xml:space="preserve"> with th</w:t>
            </w:r>
            <w:r w:rsidR="0067308A">
              <w:rPr>
                <w:color w:val="auto"/>
                <w:sz w:val="17"/>
                <w:szCs w:val="17"/>
              </w:rPr>
              <w:t>e</w:t>
            </w:r>
            <w:r w:rsidR="0048512D">
              <w:rPr>
                <w:color w:val="auto"/>
                <w:sz w:val="17"/>
                <w:szCs w:val="17"/>
              </w:rPr>
              <w:t xml:space="preserve"> information</w:t>
            </w:r>
            <w:r w:rsidR="0067308A">
              <w:rPr>
                <w:color w:val="auto"/>
                <w:sz w:val="17"/>
                <w:szCs w:val="17"/>
              </w:rPr>
              <w:t xml:space="preserve"> they receive</w:t>
            </w:r>
            <w:r w:rsidR="0048512D">
              <w:rPr>
                <w:color w:val="auto"/>
                <w:sz w:val="17"/>
                <w:szCs w:val="17"/>
              </w:rPr>
              <w:t xml:space="preserve">? Can they demonstrate that is essential/useful for their regulatory function? </w:t>
            </w:r>
            <w:r>
              <w:rPr>
                <w:color w:val="auto"/>
                <w:sz w:val="17"/>
                <w:szCs w:val="17"/>
              </w:rPr>
              <w:t xml:space="preserve">The </w:t>
            </w:r>
            <w:r w:rsidR="0048512D">
              <w:rPr>
                <w:color w:val="auto"/>
                <w:sz w:val="17"/>
                <w:szCs w:val="17"/>
              </w:rPr>
              <w:t xml:space="preserve">ABI did a cost/benefit analysis </w:t>
            </w:r>
            <w:r w:rsidR="0067308A">
              <w:rPr>
                <w:color w:val="auto"/>
                <w:sz w:val="17"/>
                <w:szCs w:val="17"/>
              </w:rPr>
              <w:t xml:space="preserve">- </w:t>
            </w:r>
            <w:r w:rsidR="0048512D">
              <w:rPr>
                <w:color w:val="auto"/>
                <w:sz w:val="17"/>
                <w:szCs w:val="17"/>
              </w:rPr>
              <w:t>just before the PRA issued their national specific templates</w:t>
            </w:r>
            <w:r w:rsidR="0067308A">
              <w:rPr>
                <w:color w:val="auto"/>
                <w:sz w:val="17"/>
                <w:szCs w:val="17"/>
              </w:rPr>
              <w:t xml:space="preserve"> -</w:t>
            </w:r>
            <w:r w:rsidR="0048512D">
              <w:rPr>
                <w:color w:val="auto"/>
                <w:sz w:val="17"/>
                <w:szCs w:val="17"/>
              </w:rPr>
              <w:t xml:space="preserve"> looking at the burden involved for the firms producing these forms relative to the benefit the PRA derives from them. If </w:t>
            </w:r>
            <w:r w:rsidR="0067308A">
              <w:rPr>
                <w:color w:val="auto"/>
                <w:sz w:val="17"/>
                <w:szCs w:val="17"/>
              </w:rPr>
              <w:t xml:space="preserve">the information is </w:t>
            </w:r>
            <w:r w:rsidR="0048512D">
              <w:rPr>
                <w:color w:val="auto"/>
                <w:sz w:val="17"/>
                <w:szCs w:val="17"/>
              </w:rPr>
              <w:t xml:space="preserve">not essential, </w:t>
            </w:r>
            <w:r w:rsidR="0067308A">
              <w:rPr>
                <w:color w:val="auto"/>
                <w:sz w:val="17"/>
                <w:szCs w:val="17"/>
              </w:rPr>
              <w:t>it</w:t>
            </w:r>
            <w:r w:rsidR="0048512D">
              <w:rPr>
                <w:color w:val="auto"/>
                <w:sz w:val="17"/>
                <w:szCs w:val="17"/>
              </w:rPr>
              <w:t xml:space="preserve"> can be streamlined or removed. </w:t>
            </w:r>
            <w:r w:rsidR="0067308A">
              <w:rPr>
                <w:color w:val="auto"/>
                <w:sz w:val="17"/>
                <w:szCs w:val="17"/>
              </w:rPr>
              <w:t>I</w:t>
            </w:r>
            <w:r w:rsidR="0048512D">
              <w:rPr>
                <w:color w:val="auto"/>
                <w:sz w:val="17"/>
                <w:szCs w:val="17"/>
              </w:rPr>
              <w:t xml:space="preserve">t is a useful approach, putting the burden on the regulator to demonstrate what they will use the information for. </w:t>
            </w:r>
            <w:r w:rsidR="0067308A">
              <w:rPr>
                <w:color w:val="auto"/>
                <w:sz w:val="17"/>
                <w:szCs w:val="17"/>
              </w:rPr>
              <w:t xml:space="preserve">Because </w:t>
            </w:r>
            <w:r w:rsidR="0048512D">
              <w:rPr>
                <w:color w:val="auto"/>
                <w:sz w:val="17"/>
                <w:szCs w:val="17"/>
              </w:rPr>
              <w:t xml:space="preserve">in the national reporting </w:t>
            </w:r>
            <w:r w:rsidR="0067308A">
              <w:rPr>
                <w:color w:val="auto"/>
                <w:sz w:val="17"/>
                <w:szCs w:val="17"/>
              </w:rPr>
              <w:t xml:space="preserve">there is often </w:t>
            </w:r>
            <w:r w:rsidR="0048512D">
              <w:rPr>
                <w:color w:val="auto"/>
                <w:sz w:val="17"/>
                <w:szCs w:val="17"/>
              </w:rPr>
              <w:t xml:space="preserve">duplication </w:t>
            </w:r>
            <w:r w:rsidR="0067308A">
              <w:rPr>
                <w:color w:val="auto"/>
                <w:sz w:val="17"/>
                <w:szCs w:val="17"/>
              </w:rPr>
              <w:t xml:space="preserve">of </w:t>
            </w:r>
            <w:r w:rsidR="0048512D">
              <w:rPr>
                <w:color w:val="auto"/>
                <w:sz w:val="17"/>
                <w:szCs w:val="17"/>
              </w:rPr>
              <w:t>information which is already reported in the QRT</w:t>
            </w:r>
            <w:r w:rsidR="004727C2">
              <w:rPr>
                <w:color w:val="auto"/>
                <w:sz w:val="17"/>
                <w:szCs w:val="17"/>
              </w:rPr>
              <w:t>s.</w:t>
            </w:r>
          </w:p>
          <w:p w14:paraId="2E89240E" w14:textId="6CAFA44B" w:rsidR="0048512D" w:rsidRPr="0048512D" w:rsidRDefault="00B235D0" w:rsidP="0048512D">
            <w:pPr>
              <w:pStyle w:val="Default"/>
              <w:numPr>
                <w:ilvl w:val="0"/>
                <w:numId w:val="1"/>
              </w:numPr>
              <w:spacing w:line="276" w:lineRule="auto"/>
              <w:jc w:val="both"/>
              <w:rPr>
                <w:szCs w:val="17"/>
              </w:rPr>
            </w:pPr>
            <w:r>
              <w:rPr>
                <w:color w:val="auto"/>
                <w:sz w:val="17"/>
                <w:szCs w:val="17"/>
              </w:rPr>
              <w:t xml:space="preserve">The </w:t>
            </w:r>
            <w:r w:rsidR="001B3851">
              <w:rPr>
                <w:color w:val="auto"/>
                <w:sz w:val="17"/>
                <w:szCs w:val="17"/>
              </w:rPr>
              <w:t>c</w:t>
            </w:r>
            <w:r w:rsidR="0048512D">
              <w:rPr>
                <w:color w:val="auto"/>
                <w:sz w:val="17"/>
                <w:szCs w:val="17"/>
              </w:rPr>
              <w:t xml:space="preserve">hair noted that companies </w:t>
            </w:r>
            <w:r w:rsidR="0067308A">
              <w:rPr>
                <w:color w:val="auto"/>
                <w:sz w:val="17"/>
                <w:szCs w:val="17"/>
              </w:rPr>
              <w:t xml:space="preserve">already </w:t>
            </w:r>
            <w:r w:rsidR="0048512D">
              <w:rPr>
                <w:color w:val="auto"/>
                <w:sz w:val="17"/>
                <w:szCs w:val="17"/>
              </w:rPr>
              <w:t xml:space="preserve">share </w:t>
            </w:r>
            <w:r w:rsidR="0067308A">
              <w:rPr>
                <w:color w:val="auto"/>
                <w:sz w:val="17"/>
                <w:szCs w:val="17"/>
              </w:rPr>
              <w:t xml:space="preserve">very extensive </w:t>
            </w:r>
            <w:r w:rsidR="0048512D">
              <w:rPr>
                <w:color w:val="auto"/>
                <w:sz w:val="17"/>
                <w:szCs w:val="17"/>
              </w:rPr>
              <w:t>QRT data</w:t>
            </w:r>
            <w:r w:rsidR="0067308A">
              <w:rPr>
                <w:color w:val="auto"/>
                <w:sz w:val="17"/>
                <w:szCs w:val="17"/>
              </w:rPr>
              <w:t>,</w:t>
            </w:r>
            <w:r w:rsidR="0048512D">
              <w:rPr>
                <w:color w:val="auto"/>
                <w:sz w:val="17"/>
                <w:szCs w:val="17"/>
              </w:rPr>
              <w:t xml:space="preserve"> which </w:t>
            </w:r>
            <w:r w:rsidR="0067308A">
              <w:rPr>
                <w:color w:val="auto"/>
                <w:sz w:val="17"/>
                <w:szCs w:val="17"/>
              </w:rPr>
              <w:t>should be sufficient</w:t>
            </w:r>
            <w:r w:rsidR="0048512D">
              <w:rPr>
                <w:color w:val="auto"/>
                <w:sz w:val="17"/>
                <w:szCs w:val="17"/>
              </w:rPr>
              <w:t xml:space="preserve">. </w:t>
            </w:r>
          </w:p>
          <w:p w14:paraId="6AA333FB" w14:textId="293ED473" w:rsidR="0048512D" w:rsidRPr="0048512D" w:rsidRDefault="0048512D" w:rsidP="0048512D">
            <w:pPr>
              <w:pStyle w:val="Default"/>
              <w:numPr>
                <w:ilvl w:val="0"/>
                <w:numId w:val="1"/>
              </w:numPr>
              <w:spacing w:line="276" w:lineRule="auto"/>
              <w:jc w:val="both"/>
              <w:rPr>
                <w:szCs w:val="17"/>
              </w:rPr>
            </w:pPr>
            <w:r>
              <w:rPr>
                <w:color w:val="auto"/>
                <w:sz w:val="17"/>
                <w:szCs w:val="17"/>
              </w:rPr>
              <w:t xml:space="preserve">DIA </w:t>
            </w:r>
            <w:r w:rsidR="00B235D0">
              <w:rPr>
                <w:color w:val="auto"/>
                <w:sz w:val="17"/>
                <w:szCs w:val="17"/>
              </w:rPr>
              <w:t xml:space="preserve">commented its members </w:t>
            </w:r>
            <w:r w:rsidR="0067308A">
              <w:rPr>
                <w:color w:val="auto"/>
                <w:sz w:val="17"/>
                <w:szCs w:val="17"/>
              </w:rPr>
              <w:t>ha</w:t>
            </w:r>
            <w:r w:rsidR="00B235D0">
              <w:rPr>
                <w:color w:val="auto"/>
                <w:sz w:val="17"/>
                <w:szCs w:val="17"/>
              </w:rPr>
              <w:t>ve</w:t>
            </w:r>
            <w:r w:rsidR="0067308A">
              <w:rPr>
                <w:color w:val="auto"/>
                <w:sz w:val="17"/>
                <w:szCs w:val="17"/>
              </w:rPr>
              <w:t xml:space="preserve"> to </w:t>
            </w:r>
            <w:r>
              <w:rPr>
                <w:color w:val="auto"/>
                <w:sz w:val="17"/>
                <w:szCs w:val="17"/>
              </w:rPr>
              <w:t xml:space="preserve">report numbers for FSA and </w:t>
            </w:r>
            <w:r w:rsidR="0067308A">
              <w:rPr>
                <w:color w:val="auto"/>
                <w:sz w:val="17"/>
                <w:szCs w:val="17"/>
              </w:rPr>
              <w:t>N</w:t>
            </w:r>
            <w:r>
              <w:rPr>
                <w:color w:val="auto"/>
                <w:sz w:val="17"/>
                <w:szCs w:val="17"/>
              </w:rPr>
              <w:t xml:space="preserve">ational </w:t>
            </w:r>
            <w:r w:rsidR="0067308A">
              <w:rPr>
                <w:color w:val="auto"/>
                <w:sz w:val="17"/>
                <w:szCs w:val="17"/>
              </w:rPr>
              <w:t>B</w:t>
            </w:r>
            <w:r>
              <w:rPr>
                <w:color w:val="auto"/>
                <w:sz w:val="17"/>
                <w:szCs w:val="17"/>
              </w:rPr>
              <w:t xml:space="preserve">ank for the same templates, and still </w:t>
            </w:r>
            <w:r w:rsidR="0067308A">
              <w:rPr>
                <w:color w:val="auto"/>
                <w:sz w:val="17"/>
                <w:szCs w:val="17"/>
              </w:rPr>
              <w:t>the National Bank manages to come</w:t>
            </w:r>
            <w:r>
              <w:rPr>
                <w:color w:val="auto"/>
                <w:sz w:val="17"/>
                <w:szCs w:val="17"/>
              </w:rPr>
              <w:t xml:space="preserve"> up with additional information that was needed. </w:t>
            </w:r>
          </w:p>
          <w:p w14:paraId="722A0180" w14:textId="5953FEBF" w:rsidR="0048512D" w:rsidRPr="00045D2A" w:rsidRDefault="0048512D" w:rsidP="0048512D">
            <w:pPr>
              <w:pStyle w:val="Default"/>
              <w:numPr>
                <w:ilvl w:val="0"/>
                <w:numId w:val="1"/>
              </w:numPr>
              <w:spacing w:line="276" w:lineRule="auto"/>
              <w:jc w:val="both"/>
              <w:rPr>
                <w:szCs w:val="17"/>
              </w:rPr>
            </w:pPr>
            <w:r>
              <w:rPr>
                <w:color w:val="auto"/>
                <w:sz w:val="17"/>
                <w:szCs w:val="17"/>
              </w:rPr>
              <w:t xml:space="preserve">The secretariat highlighted that during an event </w:t>
            </w:r>
            <w:r w:rsidR="0067308A">
              <w:rPr>
                <w:color w:val="auto"/>
                <w:sz w:val="17"/>
                <w:szCs w:val="17"/>
              </w:rPr>
              <w:t xml:space="preserve">in May, </w:t>
            </w:r>
            <w:r>
              <w:rPr>
                <w:color w:val="auto"/>
                <w:sz w:val="17"/>
                <w:szCs w:val="17"/>
              </w:rPr>
              <w:t xml:space="preserve">EIOPA noted there would be a stock taking exercise at the beginning of next year, </w:t>
            </w:r>
            <w:r w:rsidR="00045D2A">
              <w:rPr>
                <w:color w:val="auto"/>
                <w:sz w:val="17"/>
                <w:szCs w:val="17"/>
              </w:rPr>
              <w:t>in which</w:t>
            </w:r>
            <w:r>
              <w:rPr>
                <w:color w:val="auto"/>
                <w:sz w:val="17"/>
                <w:szCs w:val="17"/>
              </w:rPr>
              <w:t xml:space="preserve"> it would assess</w:t>
            </w:r>
            <w:r w:rsidR="004727C2">
              <w:rPr>
                <w:color w:val="auto"/>
                <w:sz w:val="17"/>
                <w:szCs w:val="17"/>
              </w:rPr>
              <w:t xml:space="preserve"> </w:t>
            </w:r>
            <w:r>
              <w:rPr>
                <w:color w:val="auto"/>
                <w:sz w:val="17"/>
                <w:szCs w:val="17"/>
              </w:rPr>
              <w:t xml:space="preserve">what </w:t>
            </w:r>
            <w:r w:rsidR="00045D2A">
              <w:rPr>
                <w:color w:val="auto"/>
                <w:sz w:val="17"/>
                <w:szCs w:val="17"/>
              </w:rPr>
              <w:t>information in the QRTs is</w:t>
            </w:r>
            <w:r>
              <w:rPr>
                <w:color w:val="auto"/>
                <w:sz w:val="17"/>
                <w:szCs w:val="17"/>
              </w:rPr>
              <w:t xml:space="preserve"> really needed, and what </w:t>
            </w:r>
            <w:r w:rsidR="0067308A">
              <w:rPr>
                <w:color w:val="auto"/>
                <w:sz w:val="17"/>
                <w:szCs w:val="17"/>
              </w:rPr>
              <w:t xml:space="preserve">information </w:t>
            </w:r>
            <w:r>
              <w:rPr>
                <w:color w:val="auto"/>
                <w:sz w:val="17"/>
                <w:szCs w:val="17"/>
              </w:rPr>
              <w:t xml:space="preserve">is lacking. </w:t>
            </w:r>
          </w:p>
          <w:p w14:paraId="03237258" w14:textId="065D0046" w:rsidR="00273E60" w:rsidRPr="00273E60" w:rsidRDefault="0067308A" w:rsidP="004727C2">
            <w:pPr>
              <w:pStyle w:val="Default"/>
              <w:numPr>
                <w:ilvl w:val="0"/>
                <w:numId w:val="1"/>
              </w:numPr>
              <w:spacing w:line="276" w:lineRule="auto"/>
              <w:jc w:val="both"/>
              <w:rPr>
                <w:szCs w:val="17"/>
              </w:rPr>
            </w:pPr>
            <w:r w:rsidRPr="0067308A">
              <w:rPr>
                <w:color w:val="auto"/>
                <w:sz w:val="17"/>
                <w:szCs w:val="17"/>
              </w:rPr>
              <w:t>As</w:t>
            </w:r>
            <w:r w:rsidR="00045D2A" w:rsidRPr="0067308A">
              <w:rPr>
                <w:color w:val="auto"/>
                <w:sz w:val="17"/>
                <w:szCs w:val="17"/>
              </w:rPr>
              <w:t xml:space="preserve"> there are different perspectives on examples, and the </w:t>
            </w:r>
            <w:r w:rsidRPr="0067308A">
              <w:rPr>
                <w:color w:val="auto"/>
                <w:sz w:val="17"/>
                <w:szCs w:val="17"/>
              </w:rPr>
              <w:t xml:space="preserve">proposal for the reversal of </w:t>
            </w:r>
            <w:r w:rsidR="00045D2A" w:rsidRPr="0067308A">
              <w:rPr>
                <w:color w:val="auto"/>
                <w:sz w:val="17"/>
                <w:szCs w:val="17"/>
              </w:rPr>
              <w:t>burden of proof was already raised</w:t>
            </w:r>
            <w:r w:rsidR="004727C2">
              <w:rPr>
                <w:color w:val="auto"/>
                <w:sz w:val="17"/>
                <w:szCs w:val="17"/>
              </w:rPr>
              <w:t xml:space="preserve"> in the Solvency II letter to Commissioner Dombrovskis</w:t>
            </w:r>
            <w:r w:rsidR="00045D2A" w:rsidRPr="0067308A">
              <w:rPr>
                <w:color w:val="auto"/>
                <w:sz w:val="17"/>
                <w:szCs w:val="17"/>
              </w:rPr>
              <w:t xml:space="preserve">, </w:t>
            </w:r>
            <w:r>
              <w:rPr>
                <w:color w:val="auto"/>
                <w:sz w:val="17"/>
                <w:szCs w:val="17"/>
              </w:rPr>
              <w:t xml:space="preserve">the secretariat concluded that </w:t>
            </w:r>
            <w:r w:rsidR="004727C2">
              <w:rPr>
                <w:color w:val="auto"/>
                <w:sz w:val="17"/>
                <w:szCs w:val="17"/>
              </w:rPr>
              <w:t xml:space="preserve">it would look to receive more information on </w:t>
            </w:r>
            <w:r w:rsidR="00045D2A" w:rsidRPr="0067308A">
              <w:rPr>
                <w:color w:val="auto"/>
                <w:sz w:val="17"/>
                <w:szCs w:val="17"/>
              </w:rPr>
              <w:t>work be</w:t>
            </w:r>
            <w:r w:rsidR="004727C2">
              <w:rPr>
                <w:color w:val="auto"/>
                <w:sz w:val="17"/>
                <w:szCs w:val="17"/>
              </w:rPr>
              <w:t>ing</w:t>
            </w:r>
            <w:r w:rsidR="00045D2A" w:rsidRPr="0067308A">
              <w:rPr>
                <w:color w:val="auto"/>
                <w:sz w:val="17"/>
                <w:szCs w:val="17"/>
              </w:rPr>
              <w:t xml:space="preserve"> </w:t>
            </w:r>
            <w:r w:rsidR="004727C2">
              <w:rPr>
                <w:color w:val="auto"/>
                <w:sz w:val="17"/>
                <w:szCs w:val="17"/>
              </w:rPr>
              <w:t>by members at national level</w:t>
            </w:r>
            <w:r w:rsidR="00045D2A" w:rsidRPr="0067308A">
              <w:rPr>
                <w:color w:val="auto"/>
                <w:sz w:val="17"/>
                <w:szCs w:val="17"/>
              </w:rPr>
              <w:t xml:space="preserve">, </w:t>
            </w:r>
            <w:r w:rsidR="004727C2">
              <w:rPr>
                <w:color w:val="auto"/>
                <w:sz w:val="17"/>
                <w:szCs w:val="17"/>
              </w:rPr>
              <w:t>on the basis of which it would propose to discuss actions at European level. It encouraged members to also consider putting forward more proposals on simplifications in the Delegated Regulation.</w:t>
            </w:r>
          </w:p>
          <w:p w14:paraId="5536C1EB" w14:textId="690616B7" w:rsidR="00045D2A" w:rsidRPr="004A7E79" w:rsidRDefault="009155F1" w:rsidP="0048512D">
            <w:pPr>
              <w:pStyle w:val="Default"/>
              <w:numPr>
                <w:ilvl w:val="0"/>
                <w:numId w:val="1"/>
              </w:numPr>
              <w:spacing w:line="276" w:lineRule="auto"/>
              <w:jc w:val="both"/>
              <w:rPr>
                <w:szCs w:val="17"/>
              </w:rPr>
            </w:pPr>
            <w:r>
              <w:rPr>
                <w:color w:val="auto"/>
                <w:sz w:val="17"/>
                <w:szCs w:val="17"/>
              </w:rPr>
              <w:t xml:space="preserve">The </w:t>
            </w:r>
            <w:r w:rsidR="00273E60">
              <w:rPr>
                <w:color w:val="auto"/>
                <w:sz w:val="17"/>
                <w:szCs w:val="17"/>
              </w:rPr>
              <w:t xml:space="preserve">GDV noted that </w:t>
            </w:r>
            <w:r w:rsidR="004727C2">
              <w:rPr>
                <w:color w:val="auto"/>
                <w:sz w:val="17"/>
                <w:szCs w:val="17"/>
              </w:rPr>
              <w:t xml:space="preserve">its own study on proportionality may be worth replicating at </w:t>
            </w:r>
            <w:r w:rsidR="00045D2A">
              <w:rPr>
                <w:color w:val="auto"/>
                <w:sz w:val="17"/>
                <w:szCs w:val="17"/>
              </w:rPr>
              <w:t xml:space="preserve">European </w:t>
            </w:r>
            <w:r w:rsidR="004727C2">
              <w:rPr>
                <w:color w:val="auto"/>
                <w:sz w:val="17"/>
                <w:szCs w:val="17"/>
              </w:rPr>
              <w:t>level</w:t>
            </w:r>
            <w:r w:rsidR="00045D2A">
              <w:rPr>
                <w:color w:val="auto"/>
                <w:sz w:val="17"/>
                <w:szCs w:val="17"/>
              </w:rPr>
              <w:t xml:space="preserve">. </w:t>
            </w:r>
          </w:p>
          <w:p w14:paraId="284D11E6" w14:textId="77777777" w:rsidR="004A7E79" w:rsidRPr="00523D26" w:rsidRDefault="004A7E79" w:rsidP="004A7E79">
            <w:pPr>
              <w:pStyle w:val="Default"/>
              <w:spacing w:line="276" w:lineRule="auto"/>
              <w:ind w:left="360"/>
              <w:jc w:val="both"/>
              <w:rPr>
                <w:szCs w:val="17"/>
              </w:rPr>
            </w:pPr>
          </w:p>
          <w:p w14:paraId="47F5D6FB"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Action points:</w:t>
            </w:r>
          </w:p>
          <w:p w14:paraId="08175EAC" w14:textId="29A249F1" w:rsidR="0020347B" w:rsidRDefault="0020347B" w:rsidP="0020347B">
            <w:pPr>
              <w:pStyle w:val="Default"/>
              <w:numPr>
                <w:ilvl w:val="0"/>
                <w:numId w:val="1"/>
              </w:numPr>
              <w:spacing w:line="276" w:lineRule="auto"/>
              <w:jc w:val="both"/>
              <w:rPr>
                <w:color w:val="auto"/>
                <w:sz w:val="17"/>
                <w:szCs w:val="17"/>
              </w:rPr>
            </w:pPr>
            <w:r>
              <w:rPr>
                <w:color w:val="auto"/>
                <w:sz w:val="17"/>
                <w:szCs w:val="17"/>
              </w:rPr>
              <w:t xml:space="preserve">ANIA will share its proposal on proportionality. </w:t>
            </w:r>
          </w:p>
          <w:p w14:paraId="3D453B18" w14:textId="1ACA35FF" w:rsidR="009F64D4" w:rsidRDefault="000E5086" w:rsidP="009F64D4">
            <w:pPr>
              <w:numPr>
                <w:ilvl w:val="0"/>
                <w:numId w:val="1"/>
              </w:numPr>
              <w:autoSpaceDE w:val="0"/>
              <w:autoSpaceDN w:val="0"/>
              <w:adjustRightInd w:val="0"/>
              <w:jc w:val="both"/>
              <w:rPr>
                <w:sz w:val="17"/>
                <w:szCs w:val="17"/>
              </w:rPr>
            </w:pPr>
            <w:r>
              <w:rPr>
                <w:sz w:val="17"/>
                <w:szCs w:val="17"/>
              </w:rPr>
              <w:t xml:space="preserve">The </w:t>
            </w:r>
            <w:r w:rsidR="0039391C">
              <w:rPr>
                <w:sz w:val="17"/>
                <w:szCs w:val="17"/>
              </w:rPr>
              <w:t>GDV will share the translation of the questions of the study on proportionality with the secretariat</w:t>
            </w:r>
            <w:r>
              <w:rPr>
                <w:sz w:val="17"/>
                <w:szCs w:val="17"/>
              </w:rPr>
              <w:t>.</w:t>
            </w:r>
          </w:p>
          <w:p w14:paraId="18CBBE6F" w14:textId="51900DA8" w:rsidR="008771A8" w:rsidRPr="00070C39" w:rsidRDefault="008771A8" w:rsidP="00BB35EA">
            <w:pPr>
              <w:rPr>
                <w:color w:val="002957"/>
                <w:szCs w:val="17"/>
              </w:rPr>
            </w:pPr>
          </w:p>
        </w:tc>
      </w:tr>
    </w:tbl>
    <w:p w14:paraId="41A83D55" w14:textId="5635CD3B" w:rsidR="00A16BB0" w:rsidRPr="008771A8" w:rsidRDefault="00A16BB0" w:rsidP="00DC4EBF">
      <w:pPr>
        <w:autoSpaceDE w:val="0"/>
        <w:autoSpaceDN w:val="0"/>
        <w:adjustRightInd w:val="0"/>
        <w:jc w:val="both"/>
        <w:rPr>
          <w:sz w:val="17"/>
          <w:szCs w:val="17"/>
        </w:rPr>
      </w:pPr>
    </w:p>
    <w:tbl>
      <w:tblPr>
        <w:tblW w:w="9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6"/>
        <w:gridCol w:w="1876"/>
        <w:gridCol w:w="1718"/>
      </w:tblGrid>
      <w:tr w:rsidR="008771A8" w:rsidRPr="008771A8" w14:paraId="1F12CEFC" w14:textId="77777777" w:rsidTr="001B2F67">
        <w:tc>
          <w:tcPr>
            <w:tcW w:w="6186" w:type="dxa"/>
            <w:tcBorders>
              <w:top w:val="nil"/>
              <w:left w:val="nil"/>
              <w:bottom w:val="nil"/>
              <w:right w:val="single" w:sz="12" w:space="0" w:color="87CB3D"/>
            </w:tcBorders>
            <w:shd w:val="clear" w:color="auto" w:fill="auto"/>
          </w:tcPr>
          <w:p w14:paraId="1E14DB8E" w14:textId="64866162" w:rsidR="008771A8" w:rsidRPr="008771A8" w:rsidRDefault="008771A8" w:rsidP="009F64D4">
            <w:pPr>
              <w:pStyle w:val="Nadpis1"/>
              <w:keepNext/>
              <w:numPr>
                <w:ilvl w:val="0"/>
                <w:numId w:val="14"/>
              </w:numPr>
              <w:spacing w:line="288" w:lineRule="auto"/>
              <w:ind w:left="408" w:hanging="408"/>
              <w:jc w:val="both"/>
              <w:rPr>
                <w:b/>
                <w:sz w:val="17"/>
                <w:szCs w:val="17"/>
              </w:rPr>
            </w:pPr>
            <w:r w:rsidRPr="008771A8">
              <w:rPr>
                <w:b/>
                <w:sz w:val="17"/>
                <w:szCs w:val="17"/>
              </w:rPr>
              <w:t xml:space="preserve">Solvency II review – </w:t>
            </w:r>
            <w:r w:rsidR="009F64D4">
              <w:rPr>
                <w:b/>
                <w:sz w:val="17"/>
                <w:szCs w:val="17"/>
              </w:rPr>
              <w:t xml:space="preserve">EIOPA work on </w:t>
            </w:r>
            <w:r w:rsidRPr="008771A8">
              <w:rPr>
                <w:b/>
                <w:sz w:val="17"/>
                <w:szCs w:val="17"/>
              </w:rPr>
              <w:t>EC call for advice on treatment of unlisted equity, unrated debt, strategic participations</w:t>
            </w:r>
          </w:p>
        </w:tc>
        <w:tc>
          <w:tcPr>
            <w:tcW w:w="1876" w:type="dxa"/>
            <w:tcBorders>
              <w:top w:val="nil"/>
              <w:left w:val="single" w:sz="12" w:space="0" w:color="87CB3D"/>
              <w:bottom w:val="nil"/>
              <w:right w:val="single" w:sz="12" w:space="0" w:color="87CB3D"/>
            </w:tcBorders>
            <w:shd w:val="clear" w:color="auto" w:fill="auto"/>
          </w:tcPr>
          <w:p w14:paraId="2137A5CA" w14:textId="280CE24B" w:rsidR="008771A8" w:rsidRPr="008771A8" w:rsidRDefault="008771A8" w:rsidP="001B2F67">
            <w:pPr>
              <w:jc w:val="center"/>
              <w:rPr>
                <w:color w:val="002957"/>
                <w:sz w:val="17"/>
                <w:szCs w:val="17"/>
              </w:rPr>
            </w:pPr>
            <w:r w:rsidRPr="008771A8">
              <w:rPr>
                <w:color w:val="002957"/>
                <w:sz w:val="17"/>
                <w:szCs w:val="17"/>
              </w:rPr>
              <w:t xml:space="preserve">For discussion </w:t>
            </w:r>
          </w:p>
        </w:tc>
        <w:tc>
          <w:tcPr>
            <w:tcW w:w="1718" w:type="dxa"/>
            <w:tcBorders>
              <w:top w:val="nil"/>
              <w:left w:val="single" w:sz="12" w:space="0" w:color="87CB3D"/>
              <w:bottom w:val="nil"/>
              <w:right w:val="nil"/>
            </w:tcBorders>
            <w:shd w:val="clear" w:color="auto" w:fill="auto"/>
          </w:tcPr>
          <w:p w14:paraId="54399D68" w14:textId="77777777" w:rsidR="009F64D4" w:rsidRPr="009F64D4" w:rsidRDefault="009F64D4" w:rsidP="009F64D4">
            <w:pPr>
              <w:tabs>
                <w:tab w:val="left" w:pos="222"/>
              </w:tabs>
              <w:ind w:left="40"/>
              <w:jc w:val="center"/>
              <w:rPr>
                <w:color w:val="002957"/>
                <w:sz w:val="17"/>
                <w:szCs w:val="17"/>
              </w:rPr>
            </w:pPr>
            <w:r w:rsidRPr="009F64D4">
              <w:rPr>
                <w:color w:val="002957"/>
                <w:sz w:val="17"/>
                <w:szCs w:val="17"/>
              </w:rPr>
              <w:t>ECO-LTI-17-041</w:t>
            </w:r>
          </w:p>
          <w:p w14:paraId="6EDFE9A2" w14:textId="4158819D" w:rsidR="008771A8" w:rsidRPr="008771A8" w:rsidRDefault="009F64D4" w:rsidP="009F64D4">
            <w:pPr>
              <w:jc w:val="center"/>
              <w:rPr>
                <w:color w:val="002957"/>
                <w:sz w:val="17"/>
                <w:szCs w:val="17"/>
              </w:rPr>
            </w:pPr>
            <w:r w:rsidRPr="009F64D4">
              <w:rPr>
                <w:color w:val="244061" w:themeColor="accent1" w:themeShade="80"/>
                <w:sz w:val="17"/>
                <w:szCs w:val="17"/>
              </w:rPr>
              <w:t>ECO-SLV-17-104</w:t>
            </w:r>
          </w:p>
        </w:tc>
      </w:tr>
      <w:tr w:rsidR="008771A8" w:rsidRPr="008771A8" w14:paraId="174D67B2" w14:textId="77777777" w:rsidTr="001B2F67">
        <w:tc>
          <w:tcPr>
            <w:tcW w:w="9780" w:type="dxa"/>
            <w:gridSpan w:val="3"/>
            <w:tcBorders>
              <w:top w:val="nil"/>
              <w:left w:val="nil"/>
              <w:bottom w:val="nil"/>
              <w:right w:val="nil"/>
            </w:tcBorders>
          </w:tcPr>
          <w:p w14:paraId="2F9B5903" w14:textId="205DAF9D" w:rsidR="008771A8" w:rsidRPr="008771A8" w:rsidRDefault="008771A8" w:rsidP="001B2F67">
            <w:pPr>
              <w:rPr>
                <w:sz w:val="17"/>
                <w:szCs w:val="17"/>
              </w:rPr>
            </w:pPr>
          </w:p>
          <w:p w14:paraId="62B14AD9" w14:textId="77777777" w:rsidR="009F64D4" w:rsidRPr="008771A8" w:rsidRDefault="008771A8" w:rsidP="009F64D4">
            <w:pPr>
              <w:autoSpaceDE w:val="0"/>
              <w:autoSpaceDN w:val="0"/>
              <w:adjustRightInd w:val="0"/>
              <w:jc w:val="both"/>
              <w:rPr>
                <w:sz w:val="17"/>
                <w:szCs w:val="17"/>
              </w:rPr>
            </w:pPr>
            <w:r w:rsidRPr="008771A8">
              <w:rPr>
                <w:sz w:val="17"/>
                <w:szCs w:val="17"/>
              </w:rPr>
              <w:t xml:space="preserve">The secretariat updated members on recent developments. Members were asked </w:t>
            </w:r>
            <w:r w:rsidR="009F64D4" w:rsidRPr="009F64D4">
              <w:rPr>
                <w:sz w:val="17"/>
                <w:szCs w:val="17"/>
              </w:rPr>
              <w:t>to share views on EIOPA’s emerging positions and advise on priorities across asset classes that are in the scope of the EIOPA work.</w:t>
            </w:r>
          </w:p>
          <w:p w14:paraId="21231C38" w14:textId="77777777" w:rsidR="009F64D4" w:rsidRDefault="009F64D4" w:rsidP="009F64D4">
            <w:pPr>
              <w:jc w:val="both"/>
              <w:rPr>
                <w:sz w:val="17"/>
                <w:szCs w:val="17"/>
              </w:rPr>
            </w:pPr>
          </w:p>
          <w:p w14:paraId="615D6F17"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Summary of discussions:</w:t>
            </w:r>
          </w:p>
          <w:p w14:paraId="587BBF6A" w14:textId="0AAA206A" w:rsidR="009F64D4" w:rsidRPr="008771A8" w:rsidRDefault="00D95C06" w:rsidP="009F64D4">
            <w:pPr>
              <w:numPr>
                <w:ilvl w:val="0"/>
                <w:numId w:val="1"/>
              </w:numPr>
              <w:autoSpaceDE w:val="0"/>
              <w:autoSpaceDN w:val="0"/>
              <w:adjustRightInd w:val="0"/>
              <w:jc w:val="both"/>
              <w:rPr>
                <w:sz w:val="17"/>
                <w:szCs w:val="17"/>
              </w:rPr>
            </w:pPr>
            <w:r>
              <w:rPr>
                <w:sz w:val="17"/>
                <w:szCs w:val="17"/>
              </w:rPr>
              <w:t xml:space="preserve">ANIA expressed frustration at the lack of clarity around what types of assets specifically are incorporated in the “unrated debt” category. Furthermore, ANIA was very surprised that EIOPA formally announced that their recommendations will not be based on any </w:t>
            </w:r>
            <w:r w:rsidR="008662A4">
              <w:rPr>
                <w:sz w:val="17"/>
                <w:szCs w:val="17"/>
              </w:rPr>
              <w:t xml:space="preserve">analysis of </w:t>
            </w:r>
            <w:r>
              <w:rPr>
                <w:sz w:val="17"/>
                <w:szCs w:val="17"/>
              </w:rPr>
              <w:t>probability of default and loss-given-default.</w:t>
            </w:r>
          </w:p>
          <w:p w14:paraId="7B88EF6A" w14:textId="3BAA2C52" w:rsidR="00D95C06" w:rsidRDefault="00D95C06" w:rsidP="009F64D4">
            <w:pPr>
              <w:numPr>
                <w:ilvl w:val="0"/>
                <w:numId w:val="1"/>
              </w:numPr>
              <w:autoSpaceDE w:val="0"/>
              <w:autoSpaceDN w:val="0"/>
              <w:adjustRightInd w:val="0"/>
              <w:jc w:val="both"/>
              <w:rPr>
                <w:sz w:val="17"/>
                <w:szCs w:val="17"/>
              </w:rPr>
            </w:pPr>
            <w:r>
              <w:rPr>
                <w:sz w:val="17"/>
                <w:szCs w:val="17"/>
              </w:rPr>
              <w:t>ANIA further advised that they have been approached by their national regulator with respect to the topic, on an informal basis. ANIA will report with more detail as they acquire further information.</w:t>
            </w:r>
          </w:p>
          <w:p w14:paraId="7C9BEAA7" w14:textId="194D46DD" w:rsidR="00D95C06" w:rsidRDefault="005532AE" w:rsidP="009F64D4">
            <w:pPr>
              <w:numPr>
                <w:ilvl w:val="0"/>
                <w:numId w:val="1"/>
              </w:numPr>
              <w:autoSpaceDE w:val="0"/>
              <w:autoSpaceDN w:val="0"/>
              <w:adjustRightInd w:val="0"/>
              <w:jc w:val="both"/>
              <w:rPr>
                <w:sz w:val="17"/>
                <w:szCs w:val="17"/>
              </w:rPr>
            </w:pPr>
            <w:r>
              <w:rPr>
                <w:sz w:val="17"/>
                <w:szCs w:val="17"/>
              </w:rPr>
              <w:t xml:space="preserve">The </w:t>
            </w:r>
            <w:r w:rsidR="00D95C06">
              <w:rPr>
                <w:sz w:val="17"/>
                <w:szCs w:val="17"/>
              </w:rPr>
              <w:t>GDV indicated that they received no substantial feedback</w:t>
            </w:r>
            <w:r w:rsidR="00883071">
              <w:rPr>
                <w:sz w:val="17"/>
                <w:szCs w:val="17"/>
              </w:rPr>
              <w:t xml:space="preserve"> on unlisted equity</w:t>
            </w:r>
            <w:r w:rsidR="00D95C06">
              <w:rPr>
                <w:sz w:val="17"/>
                <w:szCs w:val="17"/>
              </w:rPr>
              <w:t xml:space="preserve"> from their members who seemed comfortable with the SCR charges associated with unlisted equity.</w:t>
            </w:r>
          </w:p>
          <w:p w14:paraId="742A9254" w14:textId="1E82A7CD" w:rsidR="00D95C06" w:rsidRDefault="005532AE" w:rsidP="009F64D4">
            <w:pPr>
              <w:numPr>
                <w:ilvl w:val="0"/>
                <w:numId w:val="1"/>
              </w:numPr>
              <w:autoSpaceDE w:val="0"/>
              <w:autoSpaceDN w:val="0"/>
              <w:adjustRightInd w:val="0"/>
              <w:jc w:val="both"/>
              <w:rPr>
                <w:sz w:val="17"/>
                <w:szCs w:val="17"/>
              </w:rPr>
            </w:pPr>
            <w:r>
              <w:rPr>
                <w:sz w:val="17"/>
                <w:szCs w:val="17"/>
              </w:rPr>
              <w:t xml:space="preserve">The </w:t>
            </w:r>
            <w:r w:rsidR="00D95C06">
              <w:rPr>
                <w:sz w:val="17"/>
                <w:szCs w:val="17"/>
              </w:rPr>
              <w:t>GDV further indicated that, with respect to the transfer of internal model credit assessments, this could in theory work within a single organisation (eg a group), but that it is unrealistic that transfers will be enabled between two completely distinct/independent entities due to the legal complexity/restrictions involved.</w:t>
            </w:r>
          </w:p>
          <w:p w14:paraId="546530F0" w14:textId="6D39E4AC" w:rsidR="009E0948" w:rsidRDefault="009E0948" w:rsidP="009F64D4">
            <w:pPr>
              <w:numPr>
                <w:ilvl w:val="0"/>
                <w:numId w:val="1"/>
              </w:numPr>
              <w:autoSpaceDE w:val="0"/>
              <w:autoSpaceDN w:val="0"/>
              <w:adjustRightInd w:val="0"/>
              <w:jc w:val="both"/>
              <w:rPr>
                <w:sz w:val="17"/>
                <w:szCs w:val="17"/>
              </w:rPr>
            </w:pPr>
            <w:r>
              <w:rPr>
                <w:sz w:val="17"/>
                <w:szCs w:val="17"/>
              </w:rPr>
              <w:t>The GDV can further supply the secretariat with some data from the Schuldschein market, which indicates the default experience of privately placed debt, which in some cases show no defaults at all, and on others, a default experience suggesting a AA - A rating.</w:t>
            </w:r>
          </w:p>
          <w:p w14:paraId="0E00521F" w14:textId="77777777" w:rsidR="009F64D4" w:rsidRPr="00070C39" w:rsidRDefault="009F64D4" w:rsidP="00BB35EA">
            <w:pPr>
              <w:autoSpaceDE w:val="0"/>
              <w:autoSpaceDN w:val="0"/>
              <w:adjustRightInd w:val="0"/>
              <w:spacing w:line="276" w:lineRule="auto"/>
              <w:jc w:val="both"/>
              <w:rPr>
                <w:sz w:val="17"/>
                <w:szCs w:val="17"/>
              </w:rPr>
            </w:pPr>
          </w:p>
          <w:p w14:paraId="6BB8252F"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Action points:</w:t>
            </w:r>
          </w:p>
          <w:p w14:paraId="12777011" w14:textId="350B1BFA" w:rsidR="009F64D4" w:rsidRDefault="009E0948" w:rsidP="009F64D4">
            <w:pPr>
              <w:numPr>
                <w:ilvl w:val="0"/>
                <w:numId w:val="1"/>
              </w:numPr>
              <w:autoSpaceDE w:val="0"/>
              <w:autoSpaceDN w:val="0"/>
              <w:adjustRightInd w:val="0"/>
              <w:jc w:val="both"/>
              <w:rPr>
                <w:sz w:val="17"/>
                <w:szCs w:val="17"/>
              </w:rPr>
            </w:pPr>
            <w:r>
              <w:rPr>
                <w:sz w:val="17"/>
                <w:szCs w:val="17"/>
              </w:rPr>
              <w:t xml:space="preserve">Insurance Europe will </w:t>
            </w:r>
            <w:r w:rsidR="00734389">
              <w:rPr>
                <w:sz w:val="17"/>
                <w:szCs w:val="17"/>
              </w:rPr>
              <w:t>recirculate a document, consolidating its emerging positions on unrated debt and unlisted equity</w:t>
            </w:r>
            <w:r w:rsidR="00B15DC5">
              <w:rPr>
                <w:sz w:val="17"/>
                <w:szCs w:val="17"/>
              </w:rPr>
              <w:t>.</w:t>
            </w:r>
          </w:p>
          <w:p w14:paraId="0B12F68C" w14:textId="557DA205" w:rsidR="009F64D4" w:rsidRPr="008771A8" w:rsidRDefault="00734389" w:rsidP="009F64D4">
            <w:pPr>
              <w:numPr>
                <w:ilvl w:val="0"/>
                <w:numId w:val="1"/>
              </w:numPr>
              <w:autoSpaceDE w:val="0"/>
              <w:autoSpaceDN w:val="0"/>
              <w:adjustRightInd w:val="0"/>
              <w:jc w:val="both"/>
              <w:rPr>
                <w:sz w:val="17"/>
                <w:szCs w:val="17"/>
              </w:rPr>
            </w:pPr>
            <w:r>
              <w:rPr>
                <w:sz w:val="17"/>
                <w:szCs w:val="17"/>
              </w:rPr>
              <w:t>Members will be asked to provide further evidence and analysis, to strengthen the main arguments, or to provide further arguments on the topic</w:t>
            </w:r>
            <w:r w:rsidR="00B15DC5">
              <w:rPr>
                <w:sz w:val="17"/>
                <w:szCs w:val="17"/>
              </w:rPr>
              <w:t>.</w:t>
            </w:r>
          </w:p>
          <w:p w14:paraId="71E9B279" w14:textId="77777777" w:rsidR="004B3C71" w:rsidRPr="008771A8" w:rsidRDefault="004B3C71" w:rsidP="004B3C71">
            <w:pPr>
              <w:autoSpaceDE w:val="0"/>
              <w:autoSpaceDN w:val="0"/>
              <w:adjustRightInd w:val="0"/>
              <w:ind w:left="360"/>
              <w:jc w:val="both"/>
              <w:rPr>
                <w:sz w:val="17"/>
                <w:szCs w:val="17"/>
              </w:rPr>
            </w:pPr>
          </w:p>
          <w:p w14:paraId="275587F4" w14:textId="77777777" w:rsidR="008771A8" w:rsidRPr="008771A8" w:rsidRDefault="008771A8" w:rsidP="001B2F67">
            <w:pPr>
              <w:jc w:val="center"/>
              <w:rPr>
                <w:color w:val="002957"/>
                <w:sz w:val="17"/>
                <w:szCs w:val="17"/>
              </w:rPr>
            </w:pPr>
          </w:p>
        </w:tc>
      </w:tr>
      <w:tr w:rsidR="008771A8" w:rsidRPr="008771A8" w14:paraId="0711F8B3" w14:textId="77777777" w:rsidTr="001B2F67">
        <w:tc>
          <w:tcPr>
            <w:tcW w:w="6186" w:type="dxa"/>
            <w:tcBorders>
              <w:top w:val="nil"/>
              <w:left w:val="nil"/>
              <w:bottom w:val="nil"/>
              <w:right w:val="single" w:sz="12" w:space="0" w:color="87CB3D"/>
            </w:tcBorders>
            <w:shd w:val="clear" w:color="auto" w:fill="auto"/>
          </w:tcPr>
          <w:p w14:paraId="735D08BE" w14:textId="517928FB" w:rsidR="008771A8" w:rsidRPr="008771A8" w:rsidRDefault="009F64D4" w:rsidP="009F64D4">
            <w:pPr>
              <w:pStyle w:val="Nadpis1"/>
              <w:keepNext/>
              <w:numPr>
                <w:ilvl w:val="0"/>
                <w:numId w:val="14"/>
              </w:numPr>
              <w:spacing w:line="288" w:lineRule="auto"/>
              <w:ind w:left="408" w:hanging="408"/>
              <w:jc w:val="both"/>
              <w:rPr>
                <w:b/>
                <w:sz w:val="17"/>
                <w:szCs w:val="17"/>
              </w:rPr>
            </w:pPr>
            <w:r>
              <w:rPr>
                <w:b/>
                <w:sz w:val="17"/>
                <w:szCs w:val="17"/>
              </w:rPr>
              <w:t>Exchange of views on experience with the application of the VA and the MA: challenges and opportunities</w:t>
            </w:r>
          </w:p>
        </w:tc>
        <w:tc>
          <w:tcPr>
            <w:tcW w:w="1876" w:type="dxa"/>
            <w:tcBorders>
              <w:top w:val="nil"/>
              <w:left w:val="single" w:sz="12" w:space="0" w:color="87CB3D"/>
              <w:bottom w:val="nil"/>
              <w:right w:val="single" w:sz="12" w:space="0" w:color="87CB3D"/>
            </w:tcBorders>
            <w:shd w:val="clear" w:color="auto" w:fill="auto"/>
          </w:tcPr>
          <w:p w14:paraId="53255277" w14:textId="14E4B761" w:rsidR="008771A8" w:rsidRPr="008771A8" w:rsidRDefault="009F64D4" w:rsidP="001B2F67">
            <w:pPr>
              <w:jc w:val="center"/>
              <w:rPr>
                <w:color w:val="002957"/>
                <w:sz w:val="17"/>
                <w:szCs w:val="17"/>
              </w:rPr>
            </w:pPr>
            <w:r>
              <w:rPr>
                <w:color w:val="002957"/>
                <w:sz w:val="17"/>
                <w:szCs w:val="17"/>
              </w:rPr>
              <w:t>For discussion</w:t>
            </w:r>
          </w:p>
        </w:tc>
        <w:tc>
          <w:tcPr>
            <w:tcW w:w="1718" w:type="dxa"/>
            <w:tcBorders>
              <w:top w:val="nil"/>
              <w:left w:val="single" w:sz="12" w:space="0" w:color="87CB3D"/>
              <w:bottom w:val="nil"/>
              <w:right w:val="nil"/>
            </w:tcBorders>
            <w:shd w:val="clear" w:color="auto" w:fill="auto"/>
          </w:tcPr>
          <w:p w14:paraId="59D9795E" w14:textId="0E1072E1" w:rsidR="008771A8" w:rsidRPr="008771A8" w:rsidRDefault="009F64D4" w:rsidP="009F64D4">
            <w:pPr>
              <w:jc w:val="center"/>
              <w:rPr>
                <w:color w:val="002957"/>
                <w:sz w:val="17"/>
                <w:szCs w:val="17"/>
              </w:rPr>
            </w:pPr>
            <w:r>
              <w:rPr>
                <w:color w:val="002957"/>
                <w:sz w:val="17"/>
                <w:szCs w:val="17"/>
              </w:rPr>
              <w:t>Verbal</w:t>
            </w:r>
          </w:p>
        </w:tc>
      </w:tr>
      <w:tr w:rsidR="008771A8" w:rsidRPr="008771A8" w14:paraId="7247DFDF" w14:textId="77777777" w:rsidTr="001B2F67">
        <w:tc>
          <w:tcPr>
            <w:tcW w:w="9780" w:type="dxa"/>
            <w:gridSpan w:val="3"/>
            <w:tcBorders>
              <w:top w:val="nil"/>
              <w:left w:val="nil"/>
              <w:bottom w:val="nil"/>
              <w:right w:val="nil"/>
            </w:tcBorders>
          </w:tcPr>
          <w:p w14:paraId="577E8D91" w14:textId="19318196" w:rsidR="008771A8" w:rsidRDefault="008771A8" w:rsidP="001B2F67">
            <w:pPr>
              <w:rPr>
                <w:sz w:val="17"/>
                <w:szCs w:val="17"/>
              </w:rPr>
            </w:pPr>
          </w:p>
          <w:p w14:paraId="5AAA7B2A" w14:textId="24177836" w:rsidR="009F64D4" w:rsidRDefault="009F64D4" w:rsidP="009F64D4">
            <w:pPr>
              <w:autoSpaceDE w:val="0"/>
              <w:autoSpaceDN w:val="0"/>
              <w:adjustRightInd w:val="0"/>
              <w:ind w:left="16"/>
              <w:jc w:val="both"/>
              <w:rPr>
                <w:sz w:val="17"/>
                <w:szCs w:val="17"/>
              </w:rPr>
            </w:pPr>
            <w:r w:rsidRPr="009F64D4">
              <w:rPr>
                <w:sz w:val="17"/>
                <w:szCs w:val="17"/>
              </w:rPr>
              <w:t>M</w:t>
            </w:r>
            <w:r>
              <w:rPr>
                <w:sz w:val="17"/>
                <w:szCs w:val="17"/>
              </w:rPr>
              <w:t xml:space="preserve">embers were </w:t>
            </w:r>
            <w:r w:rsidRPr="009F64D4">
              <w:rPr>
                <w:sz w:val="17"/>
                <w:szCs w:val="17"/>
              </w:rPr>
              <w:t>invited to share information about the practical application and performance of the VA/MA measures.</w:t>
            </w:r>
          </w:p>
          <w:p w14:paraId="336B76F3" w14:textId="77777777" w:rsidR="009F64D4" w:rsidRPr="008771A8" w:rsidRDefault="009F64D4" w:rsidP="009F64D4">
            <w:pPr>
              <w:autoSpaceDE w:val="0"/>
              <w:autoSpaceDN w:val="0"/>
              <w:adjustRightInd w:val="0"/>
              <w:ind w:left="16"/>
              <w:jc w:val="both"/>
              <w:rPr>
                <w:sz w:val="17"/>
                <w:szCs w:val="17"/>
              </w:rPr>
            </w:pPr>
          </w:p>
          <w:p w14:paraId="5540CDAF" w14:textId="77777777" w:rsidR="009F64D4" w:rsidRPr="008771A8" w:rsidRDefault="009F64D4" w:rsidP="009F64D4">
            <w:pPr>
              <w:autoSpaceDE w:val="0"/>
              <w:autoSpaceDN w:val="0"/>
              <w:adjustRightInd w:val="0"/>
              <w:jc w:val="both"/>
              <w:rPr>
                <w:i/>
                <w:sz w:val="17"/>
                <w:szCs w:val="17"/>
                <w:u w:val="single"/>
              </w:rPr>
            </w:pPr>
            <w:r w:rsidRPr="008771A8">
              <w:rPr>
                <w:i/>
                <w:sz w:val="17"/>
                <w:szCs w:val="17"/>
                <w:u w:val="single"/>
              </w:rPr>
              <w:t>Summary of discussions:</w:t>
            </w:r>
          </w:p>
          <w:p w14:paraId="321F879E" w14:textId="5286898F" w:rsidR="009F64D4" w:rsidRDefault="00883071" w:rsidP="009F64D4">
            <w:pPr>
              <w:numPr>
                <w:ilvl w:val="0"/>
                <w:numId w:val="1"/>
              </w:numPr>
              <w:autoSpaceDE w:val="0"/>
              <w:autoSpaceDN w:val="0"/>
              <w:adjustRightInd w:val="0"/>
              <w:jc w:val="both"/>
              <w:rPr>
                <w:sz w:val="17"/>
                <w:szCs w:val="17"/>
              </w:rPr>
            </w:pPr>
            <w:r>
              <w:rPr>
                <w:sz w:val="17"/>
                <w:szCs w:val="17"/>
              </w:rPr>
              <w:t>The secretariat referred to ICS 1.0, which puts forward new valuation approaches. The secretariat will look into these in the coming weeks, however it highlighted that it is very important for members to send input from member companies, involved in the IAIS field testing exercise.</w:t>
            </w:r>
          </w:p>
          <w:p w14:paraId="56BE1FD4" w14:textId="1FDC64EF" w:rsidR="00883071" w:rsidRDefault="00883071" w:rsidP="009F64D4">
            <w:pPr>
              <w:numPr>
                <w:ilvl w:val="0"/>
                <w:numId w:val="1"/>
              </w:numPr>
              <w:autoSpaceDE w:val="0"/>
              <w:autoSpaceDN w:val="0"/>
              <w:adjustRightInd w:val="0"/>
              <w:jc w:val="both"/>
              <w:rPr>
                <w:sz w:val="17"/>
                <w:szCs w:val="17"/>
              </w:rPr>
            </w:pPr>
            <w:r>
              <w:rPr>
                <w:sz w:val="17"/>
                <w:szCs w:val="17"/>
              </w:rPr>
              <w:t xml:space="preserve">The </w:t>
            </w:r>
            <w:r w:rsidR="005532AE">
              <w:rPr>
                <w:sz w:val="17"/>
                <w:szCs w:val="17"/>
              </w:rPr>
              <w:t xml:space="preserve">VVN </w:t>
            </w:r>
            <w:r>
              <w:rPr>
                <w:sz w:val="17"/>
                <w:szCs w:val="17"/>
              </w:rPr>
              <w:t xml:space="preserve">and </w:t>
            </w:r>
            <w:r w:rsidR="005532AE">
              <w:rPr>
                <w:sz w:val="17"/>
                <w:szCs w:val="17"/>
              </w:rPr>
              <w:t>ANIA</w:t>
            </w:r>
            <w:r>
              <w:rPr>
                <w:sz w:val="17"/>
                <w:szCs w:val="17"/>
              </w:rPr>
              <w:t xml:space="preserve"> indicated that they are working on investigating valuation issues in Solvency II.</w:t>
            </w:r>
          </w:p>
          <w:p w14:paraId="0B81EB4A" w14:textId="77777777" w:rsidR="00883071" w:rsidRDefault="00883071" w:rsidP="00BB35EA">
            <w:pPr>
              <w:autoSpaceDE w:val="0"/>
              <w:autoSpaceDN w:val="0"/>
              <w:adjustRightInd w:val="0"/>
              <w:ind w:left="360"/>
              <w:jc w:val="both"/>
              <w:rPr>
                <w:sz w:val="17"/>
                <w:szCs w:val="17"/>
              </w:rPr>
            </w:pPr>
          </w:p>
          <w:p w14:paraId="55ECE35F" w14:textId="77777777" w:rsidR="00883071" w:rsidRPr="008771A8" w:rsidRDefault="00883071" w:rsidP="00883071">
            <w:pPr>
              <w:autoSpaceDE w:val="0"/>
              <w:autoSpaceDN w:val="0"/>
              <w:adjustRightInd w:val="0"/>
              <w:jc w:val="both"/>
              <w:rPr>
                <w:i/>
                <w:sz w:val="17"/>
                <w:szCs w:val="17"/>
                <w:u w:val="single"/>
              </w:rPr>
            </w:pPr>
            <w:r w:rsidRPr="008771A8">
              <w:rPr>
                <w:i/>
                <w:sz w:val="17"/>
                <w:szCs w:val="17"/>
                <w:u w:val="single"/>
              </w:rPr>
              <w:t>Action points:</w:t>
            </w:r>
          </w:p>
          <w:p w14:paraId="1745D379" w14:textId="020729BC" w:rsidR="00883071" w:rsidRPr="00883071" w:rsidRDefault="00883071" w:rsidP="00BB35EA">
            <w:pPr>
              <w:pStyle w:val="Odsekzoznamu"/>
              <w:numPr>
                <w:ilvl w:val="0"/>
                <w:numId w:val="16"/>
              </w:numPr>
              <w:autoSpaceDE w:val="0"/>
              <w:autoSpaceDN w:val="0"/>
              <w:adjustRightInd w:val="0"/>
              <w:rPr>
                <w:szCs w:val="17"/>
              </w:rPr>
            </w:pPr>
            <w:r w:rsidRPr="00883071">
              <w:rPr>
                <w:szCs w:val="17"/>
              </w:rPr>
              <w:t>The secretariat to share preliminary views on the valuation approach in ICS 1.0 and members to share input.</w:t>
            </w:r>
          </w:p>
          <w:p w14:paraId="4374C8CB" w14:textId="50FC05D8" w:rsidR="008771A8" w:rsidRPr="007E7849" w:rsidRDefault="008771A8" w:rsidP="009F64D4">
            <w:pPr>
              <w:autoSpaceDE w:val="0"/>
              <w:autoSpaceDN w:val="0"/>
              <w:adjustRightInd w:val="0"/>
              <w:jc w:val="both"/>
              <w:rPr>
                <w:sz w:val="17"/>
                <w:szCs w:val="17"/>
              </w:rPr>
            </w:pPr>
          </w:p>
        </w:tc>
      </w:tr>
    </w:tbl>
    <w:p w14:paraId="5A1419BE" w14:textId="5B370061" w:rsidR="008771A8" w:rsidRPr="008771A8" w:rsidRDefault="008771A8" w:rsidP="00DC4EBF">
      <w:pPr>
        <w:autoSpaceDE w:val="0"/>
        <w:autoSpaceDN w:val="0"/>
        <w:adjustRightInd w:val="0"/>
        <w:jc w:val="both"/>
        <w:rPr>
          <w:sz w:val="17"/>
          <w:szCs w:val="17"/>
        </w:rPr>
      </w:pPr>
    </w:p>
    <w:tbl>
      <w:tblPr>
        <w:tblW w:w="9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6"/>
        <w:gridCol w:w="1876"/>
        <w:gridCol w:w="1718"/>
      </w:tblGrid>
      <w:tr w:rsidR="008771A8" w:rsidRPr="008771A8" w14:paraId="4237DDAB" w14:textId="77777777" w:rsidTr="001B2F67">
        <w:tc>
          <w:tcPr>
            <w:tcW w:w="6186" w:type="dxa"/>
            <w:tcBorders>
              <w:top w:val="nil"/>
              <w:left w:val="nil"/>
              <w:bottom w:val="nil"/>
              <w:right w:val="single" w:sz="12" w:space="0" w:color="87CB3D"/>
            </w:tcBorders>
            <w:shd w:val="clear" w:color="auto" w:fill="auto"/>
          </w:tcPr>
          <w:p w14:paraId="6FD52450" w14:textId="41D69EBA" w:rsidR="008771A8" w:rsidRPr="008771A8" w:rsidRDefault="008771A8" w:rsidP="009F64D4">
            <w:pPr>
              <w:pStyle w:val="Nadpis1"/>
              <w:keepNext/>
              <w:numPr>
                <w:ilvl w:val="0"/>
                <w:numId w:val="14"/>
              </w:numPr>
              <w:spacing w:line="288" w:lineRule="auto"/>
              <w:ind w:left="408" w:hanging="408"/>
              <w:jc w:val="both"/>
              <w:rPr>
                <w:b/>
                <w:sz w:val="17"/>
                <w:szCs w:val="17"/>
              </w:rPr>
            </w:pPr>
            <w:r w:rsidRPr="008771A8">
              <w:rPr>
                <w:b/>
                <w:sz w:val="17"/>
                <w:szCs w:val="17"/>
              </w:rPr>
              <w:t>AOB</w:t>
            </w:r>
          </w:p>
        </w:tc>
        <w:tc>
          <w:tcPr>
            <w:tcW w:w="1876" w:type="dxa"/>
            <w:tcBorders>
              <w:top w:val="nil"/>
              <w:left w:val="single" w:sz="12" w:space="0" w:color="87CB3D"/>
              <w:bottom w:val="nil"/>
              <w:right w:val="single" w:sz="12" w:space="0" w:color="87CB3D"/>
            </w:tcBorders>
            <w:shd w:val="clear" w:color="auto" w:fill="auto"/>
          </w:tcPr>
          <w:p w14:paraId="5EDF1502" w14:textId="5315244F" w:rsidR="008771A8" w:rsidRPr="008771A8" w:rsidRDefault="008771A8" w:rsidP="001B2F67">
            <w:pPr>
              <w:jc w:val="center"/>
              <w:rPr>
                <w:color w:val="002957"/>
                <w:sz w:val="17"/>
                <w:szCs w:val="17"/>
              </w:rPr>
            </w:pPr>
          </w:p>
        </w:tc>
        <w:tc>
          <w:tcPr>
            <w:tcW w:w="1718" w:type="dxa"/>
            <w:tcBorders>
              <w:top w:val="nil"/>
              <w:left w:val="single" w:sz="12" w:space="0" w:color="87CB3D"/>
              <w:bottom w:val="nil"/>
              <w:right w:val="nil"/>
            </w:tcBorders>
            <w:shd w:val="clear" w:color="auto" w:fill="auto"/>
          </w:tcPr>
          <w:p w14:paraId="2F35E8FC" w14:textId="10F99D53" w:rsidR="008771A8" w:rsidRPr="008771A8" w:rsidRDefault="008771A8" w:rsidP="001B2F67">
            <w:pPr>
              <w:jc w:val="center"/>
              <w:rPr>
                <w:color w:val="002957"/>
                <w:sz w:val="17"/>
                <w:szCs w:val="17"/>
              </w:rPr>
            </w:pPr>
          </w:p>
        </w:tc>
      </w:tr>
      <w:tr w:rsidR="008771A8" w:rsidRPr="008771A8" w14:paraId="4A63047A" w14:textId="77777777" w:rsidTr="001B2F67">
        <w:tc>
          <w:tcPr>
            <w:tcW w:w="9780" w:type="dxa"/>
            <w:gridSpan w:val="3"/>
            <w:tcBorders>
              <w:top w:val="nil"/>
              <w:left w:val="nil"/>
              <w:bottom w:val="nil"/>
              <w:right w:val="nil"/>
            </w:tcBorders>
          </w:tcPr>
          <w:p w14:paraId="4F83C8D5" w14:textId="46A8E715" w:rsidR="00EA3F34" w:rsidRPr="00EA3F34" w:rsidRDefault="00EA3F34">
            <w:pPr>
              <w:numPr>
                <w:ilvl w:val="0"/>
                <w:numId w:val="1"/>
              </w:numPr>
              <w:autoSpaceDE w:val="0"/>
              <w:autoSpaceDN w:val="0"/>
              <w:adjustRightInd w:val="0"/>
              <w:jc w:val="both"/>
              <w:rPr>
                <w:sz w:val="17"/>
                <w:szCs w:val="17"/>
              </w:rPr>
            </w:pPr>
            <w:r>
              <w:rPr>
                <w:sz w:val="17"/>
                <w:szCs w:val="17"/>
              </w:rPr>
              <w:t>The FFA gave a presentation outlining their findings on French insurers’ equity holdings and their evolution over the last 15 years.</w:t>
            </w:r>
            <w:r w:rsidR="00883071">
              <w:rPr>
                <w:sz w:val="17"/>
                <w:szCs w:val="17"/>
              </w:rPr>
              <w:t xml:space="preserve"> Other members indicated similar trends in their markets.</w:t>
            </w:r>
          </w:p>
          <w:p w14:paraId="1B71492B" w14:textId="77777777" w:rsidR="00072E0E" w:rsidRDefault="00072E0E" w:rsidP="00072E0E">
            <w:pPr>
              <w:numPr>
                <w:ilvl w:val="0"/>
                <w:numId w:val="1"/>
              </w:numPr>
              <w:autoSpaceDE w:val="0"/>
              <w:autoSpaceDN w:val="0"/>
              <w:adjustRightInd w:val="0"/>
              <w:jc w:val="both"/>
              <w:rPr>
                <w:sz w:val="17"/>
                <w:szCs w:val="17"/>
              </w:rPr>
            </w:pPr>
            <w:r>
              <w:rPr>
                <w:sz w:val="17"/>
                <w:szCs w:val="17"/>
              </w:rPr>
              <w:t>EIOPA recently published reports</w:t>
            </w:r>
          </w:p>
          <w:p w14:paraId="16853BF4" w14:textId="77777777" w:rsidR="00072E0E" w:rsidRDefault="00072E0E" w:rsidP="00072E0E">
            <w:pPr>
              <w:pStyle w:val="Default"/>
              <w:numPr>
                <w:ilvl w:val="0"/>
                <w:numId w:val="5"/>
              </w:numPr>
              <w:spacing w:line="276" w:lineRule="auto"/>
              <w:jc w:val="both"/>
              <w:rPr>
                <w:color w:val="auto"/>
                <w:sz w:val="17"/>
                <w:szCs w:val="17"/>
              </w:rPr>
            </w:pPr>
            <w:r w:rsidRPr="00072E0E">
              <w:rPr>
                <w:color w:val="auto"/>
                <w:sz w:val="17"/>
                <w:szCs w:val="17"/>
              </w:rPr>
              <w:t xml:space="preserve">The secretariat reminded members about the recent reports published by EIOPA, namely the ORSA report and the Financial stability report. </w:t>
            </w:r>
          </w:p>
          <w:p w14:paraId="743FC5F4" w14:textId="66E3BD8B" w:rsidR="008771A8" w:rsidRDefault="00072E0E" w:rsidP="00072E0E">
            <w:pPr>
              <w:pStyle w:val="Default"/>
              <w:numPr>
                <w:ilvl w:val="0"/>
                <w:numId w:val="5"/>
              </w:numPr>
              <w:spacing w:line="276" w:lineRule="auto"/>
              <w:jc w:val="both"/>
              <w:rPr>
                <w:color w:val="auto"/>
                <w:sz w:val="17"/>
                <w:szCs w:val="17"/>
              </w:rPr>
            </w:pPr>
            <w:r w:rsidRPr="00072E0E">
              <w:rPr>
                <w:color w:val="auto"/>
                <w:sz w:val="17"/>
                <w:szCs w:val="17"/>
              </w:rPr>
              <w:t xml:space="preserve">The secretariat had </w:t>
            </w:r>
            <w:r>
              <w:rPr>
                <w:color w:val="auto"/>
                <w:sz w:val="17"/>
                <w:szCs w:val="17"/>
              </w:rPr>
              <w:t>circulated</w:t>
            </w:r>
            <w:r w:rsidRPr="00072E0E">
              <w:rPr>
                <w:color w:val="auto"/>
                <w:sz w:val="17"/>
                <w:szCs w:val="17"/>
              </w:rPr>
              <w:t xml:space="preserve"> its analysis of the report and the proposed next steps </w:t>
            </w:r>
            <w:r w:rsidR="00883071">
              <w:rPr>
                <w:color w:val="auto"/>
                <w:sz w:val="17"/>
                <w:szCs w:val="17"/>
              </w:rPr>
              <w:t>– members were asked to provide comments, but no remarks were made</w:t>
            </w:r>
            <w:r w:rsidRPr="00072E0E">
              <w:rPr>
                <w:color w:val="auto"/>
                <w:sz w:val="17"/>
                <w:szCs w:val="17"/>
              </w:rPr>
              <w:t>.</w:t>
            </w:r>
          </w:p>
          <w:p w14:paraId="7E67AC45" w14:textId="66BBD1FA" w:rsidR="00EA3F34" w:rsidRDefault="00EA3F34" w:rsidP="00BB35EA">
            <w:pPr>
              <w:pStyle w:val="Default"/>
              <w:spacing w:line="276" w:lineRule="auto"/>
              <w:jc w:val="both"/>
              <w:rPr>
                <w:color w:val="auto"/>
                <w:sz w:val="17"/>
                <w:szCs w:val="17"/>
              </w:rPr>
            </w:pPr>
          </w:p>
          <w:p w14:paraId="46F5C296" w14:textId="562257F8" w:rsidR="00EA3F34" w:rsidRPr="008771A8" w:rsidRDefault="00EA3F34" w:rsidP="00EA3F34">
            <w:pPr>
              <w:autoSpaceDE w:val="0"/>
              <w:autoSpaceDN w:val="0"/>
              <w:adjustRightInd w:val="0"/>
              <w:jc w:val="both"/>
              <w:rPr>
                <w:i/>
                <w:sz w:val="17"/>
                <w:szCs w:val="17"/>
                <w:u w:val="single"/>
              </w:rPr>
            </w:pPr>
            <w:r w:rsidRPr="008771A8">
              <w:rPr>
                <w:i/>
                <w:sz w:val="17"/>
                <w:szCs w:val="17"/>
                <w:u w:val="single"/>
              </w:rPr>
              <w:t>Action points:</w:t>
            </w:r>
          </w:p>
          <w:p w14:paraId="4E73588F" w14:textId="6628B477" w:rsidR="00EA3F34" w:rsidRPr="00BB35EA" w:rsidRDefault="00EA3F34" w:rsidP="00BB35EA">
            <w:pPr>
              <w:numPr>
                <w:ilvl w:val="0"/>
                <w:numId w:val="1"/>
              </w:numPr>
              <w:autoSpaceDE w:val="0"/>
              <w:autoSpaceDN w:val="0"/>
              <w:adjustRightInd w:val="0"/>
              <w:jc w:val="both"/>
              <w:rPr>
                <w:sz w:val="17"/>
                <w:szCs w:val="17"/>
              </w:rPr>
            </w:pPr>
            <w:r>
              <w:rPr>
                <w:sz w:val="17"/>
                <w:szCs w:val="17"/>
              </w:rPr>
              <w:t xml:space="preserve">Insurance Europe will circulate a memo for action, </w:t>
            </w:r>
            <w:r w:rsidR="00400449">
              <w:rPr>
                <w:sz w:val="17"/>
                <w:szCs w:val="17"/>
              </w:rPr>
              <w:t>where</w:t>
            </w:r>
            <w:r>
              <w:rPr>
                <w:sz w:val="17"/>
                <w:szCs w:val="17"/>
              </w:rPr>
              <w:t xml:space="preserve"> members will be asked for analysis and data from local markets around the evolution of equity holdings.</w:t>
            </w:r>
            <w:r w:rsidR="00911344">
              <w:rPr>
                <w:sz w:val="17"/>
                <w:szCs w:val="17"/>
              </w:rPr>
              <w:t xml:space="preserve"> This should ideally be split between direct holdings and holdings in funds, as well as holdings based on book value vs. holdings based on market value.</w:t>
            </w:r>
          </w:p>
          <w:p w14:paraId="637F6EB7" w14:textId="77777777" w:rsidR="00072E0E" w:rsidRDefault="00072E0E" w:rsidP="008771A8">
            <w:pPr>
              <w:pStyle w:val="CEABullet-Level1"/>
              <w:rPr>
                <w:color w:val="auto"/>
                <w:kern w:val="32"/>
                <w:szCs w:val="17"/>
                <w:lang w:val="en-US" w:eastAsia="nl-NL"/>
              </w:rPr>
            </w:pPr>
          </w:p>
          <w:p w14:paraId="662ACFAF" w14:textId="69F47D7F" w:rsidR="008771A8" w:rsidRPr="008771A8" w:rsidRDefault="008771A8" w:rsidP="008771A8">
            <w:pPr>
              <w:pStyle w:val="CEABullet-Level1"/>
              <w:rPr>
                <w:rFonts w:cs="Times New Roman"/>
                <w:color w:val="auto"/>
                <w:kern w:val="32"/>
                <w:szCs w:val="17"/>
                <w:lang w:eastAsia="nl-NL"/>
              </w:rPr>
            </w:pPr>
            <w:r w:rsidRPr="008771A8">
              <w:rPr>
                <w:color w:val="auto"/>
                <w:kern w:val="32"/>
                <w:szCs w:val="17"/>
                <w:lang w:eastAsia="nl-NL"/>
              </w:rPr>
              <w:t>Upcoming Solvency II WG meetings</w:t>
            </w:r>
            <w:r w:rsidR="009F64D4">
              <w:rPr>
                <w:color w:val="auto"/>
                <w:kern w:val="32"/>
                <w:szCs w:val="17"/>
                <w:lang w:eastAsia="nl-NL"/>
              </w:rPr>
              <w:t xml:space="preserve"> (LIT PG also invited)</w:t>
            </w:r>
            <w:r w:rsidRPr="008771A8">
              <w:rPr>
                <w:color w:val="auto"/>
                <w:kern w:val="32"/>
                <w:szCs w:val="17"/>
                <w:lang w:eastAsia="nl-NL"/>
              </w:rPr>
              <w:t>:</w:t>
            </w:r>
          </w:p>
          <w:p w14:paraId="0B61A1B9" w14:textId="77777777" w:rsidR="008771A8" w:rsidRPr="009F64D4" w:rsidRDefault="008771A8" w:rsidP="009F64D4">
            <w:pPr>
              <w:numPr>
                <w:ilvl w:val="0"/>
                <w:numId w:val="1"/>
              </w:numPr>
              <w:autoSpaceDE w:val="0"/>
              <w:autoSpaceDN w:val="0"/>
              <w:adjustRightInd w:val="0"/>
              <w:jc w:val="both"/>
              <w:rPr>
                <w:sz w:val="17"/>
                <w:szCs w:val="17"/>
              </w:rPr>
            </w:pPr>
            <w:r w:rsidRPr="009F64D4">
              <w:rPr>
                <w:sz w:val="17"/>
                <w:szCs w:val="17"/>
              </w:rPr>
              <w:t>30 August</w:t>
            </w:r>
          </w:p>
          <w:p w14:paraId="3B85EAA8" w14:textId="77777777" w:rsidR="008771A8" w:rsidRPr="009F64D4" w:rsidRDefault="008771A8" w:rsidP="009F64D4">
            <w:pPr>
              <w:numPr>
                <w:ilvl w:val="0"/>
                <w:numId w:val="1"/>
              </w:numPr>
              <w:autoSpaceDE w:val="0"/>
              <w:autoSpaceDN w:val="0"/>
              <w:adjustRightInd w:val="0"/>
              <w:jc w:val="both"/>
              <w:rPr>
                <w:sz w:val="17"/>
                <w:szCs w:val="17"/>
              </w:rPr>
            </w:pPr>
            <w:r w:rsidRPr="009F64D4">
              <w:rPr>
                <w:sz w:val="17"/>
                <w:szCs w:val="17"/>
              </w:rPr>
              <w:t>4 October</w:t>
            </w:r>
          </w:p>
          <w:p w14:paraId="11B791DA" w14:textId="62C86948" w:rsidR="008771A8" w:rsidRPr="008771A8" w:rsidRDefault="008771A8" w:rsidP="009F64D4">
            <w:pPr>
              <w:numPr>
                <w:ilvl w:val="0"/>
                <w:numId w:val="1"/>
              </w:numPr>
              <w:autoSpaceDE w:val="0"/>
              <w:autoSpaceDN w:val="0"/>
              <w:adjustRightInd w:val="0"/>
              <w:jc w:val="both"/>
              <w:rPr>
                <w:color w:val="002957"/>
                <w:szCs w:val="17"/>
              </w:rPr>
            </w:pPr>
            <w:bookmarkStart w:id="1" w:name="_GoBack"/>
            <w:bookmarkEnd w:id="1"/>
            <w:r w:rsidRPr="009F64D4">
              <w:rPr>
                <w:sz w:val="17"/>
                <w:szCs w:val="17"/>
              </w:rPr>
              <w:t>8 November</w:t>
            </w:r>
          </w:p>
        </w:tc>
      </w:tr>
    </w:tbl>
    <w:p w14:paraId="2BC3E04E" w14:textId="41C13A40" w:rsidR="00A16BB0" w:rsidRPr="008771A8" w:rsidRDefault="00A16BB0" w:rsidP="009F64D4">
      <w:pPr>
        <w:autoSpaceDE w:val="0"/>
        <w:autoSpaceDN w:val="0"/>
        <w:adjustRightInd w:val="0"/>
        <w:jc w:val="both"/>
        <w:rPr>
          <w:sz w:val="17"/>
          <w:szCs w:val="17"/>
        </w:rPr>
      </w:pPr>
    </w:p>
    <w:sectPr w:rsidR="00A16BB0" w:rsidRPr="008771A8" w:rsidSect="00DC4EBF">
      <w:headerReference w:type="default" r:id="rId24"/>
      <w:footerReference w:type="default" r:id="rId25"/>
      <w:headerReference w:type="first" r:id="rId26"/>
      <w:footerReference w:type="first" r:id="rId27"/>
      <w:pgSz w:w="11907" w:h="16839" w:code="9"/>
      <w:pgMar w:top="2342" w:right="902" w:bottom="993" w:left="1418" w:header="709" w:footer="9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E46B9" w14:textId="77777777" w:rsidR="000E5086" w:rsidRDefault="000E5086">
      <w:pPr>
        <w:spacing w:line="240" w:lineRule="auto"/>
      </w:pPr>
      <w:r>
        <w:separator/>
      </w:r>
    </w:p>
  </w:endnote>
  <w:endnote w:type="continuationSeparator" w:id="0">
    <w:p w14:paraId="23837DBC" w14:textId="77777777" w:rsidR="000E5086" w:rsidRDefault="000E5086">
      <w:pPr>
        <w:spacing w:line="240" w:lineRule="auto"/>
      </w:pPr>
      <w:r>
        <w:continuationSeparator/>
      </w:r>
    </w:p>
  </w:endnote>
  <w:endnote w:type="continuationNotice" w:id="1">
    <w:p w14:paraId="430B20F2" w14:textId="77777777" w:rsidR="000E5086" w:rsidRDefault="000E50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Frutiger LT Com 45 Light">
    <w:altName w:val="Corbel"/>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CDF20" w14:textId="52777AB2" w:rsidR="000E5086" w:rsidRPr="00723412" w:rsidRDefault="000E5086" w:rsidP="00213247">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00740EFA">
      <w:rPr>
        <w:rStyle w:val="slostrany"/>
        <w:noProof/>
        <w:color w:val="002957"/>
        <w:szCs w:val="17"/>
      </w:rPr>
      <w:t>2</w:t>
    </w:r>
    <w:r>
      <w:rPr>
        <w:rStyle w:val="slostrany"/>
        <w:color w:val="002957"/>
        <w:szCs w:val="17"/>
      </w:rPr>
      <w:fldChar w:fldCharType="end"/>
    </w:r>
  </w:p>
  <w:p w14:paraId="78C8A996" w14:textId="77777777" w:rsidR="000E5086" w:rsidRPr="00EF7A2A" w:rsidRDefault="000E5086" w:rsidP="00213247">
    <w:pPr>
      <w:tabs>
        <w:tab w:val="right" w:pos="10260"/>
      </w:tabs>
      <w:autoSpaceDE w:val="0"/>
      <w:autoSpaceDN w:val="0"/>
      <w:adjustRightInd w:val="0"/>
      <w:ind w:right="23"/>
      <w:jc w:val="right"/>
      <w:textAlignment w:val="center"/>
      <w:rPr>
        <w:color w:val="000080"/>
        <w:sz w:val="18"/>
        <w:szCs w:val="18"/>
      </w:rPr>
    </w:pPr>
  </w:p>
  <w:p w14:paraId="451ECCF6" w14:textId="77777777" w:rsidR="000E5086" w:rsidRDefault="000E50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6E454" w14:textId="77777777" w:rsidR="000E5086" w:rsidRPr="006A3720" w:rsidRDefault="000E5086" w:rsidP="00213247">
    <w:pPr>
      <w:framePr w:w="3969" w:h="1083" w:hRule="exact" w:hSpace="181" w:wrap="around" w:vAnchor="page" w:hAnchor="page" w:x="1419" w:y="15423" w:anchorLock="1"/>
      <w:jc w:val="both"/>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09022BDB" w14:textId="77777777" w:rsidR="000E5086" w:rsidRPr="00EF7A2A" w:rsidRDefault="000E5086" w:rsidP="00213247">
    <w:pPr>
      <w:tabs>
        <w:tab w:val="right" w:pos="10260"/>
      </w:tabs>
      <w:autoSpaceDE w:val="0"/>
      <w:autoSpaceDN w:val="0"/>
      <w:adjustRightInd w:val="0"/>
      <w:ind w:right="23"/>
      <w:jc w:val="right"/>
      <w:textAlignment w:val="center"/>
      <w:rPr>
        <w:color w:val="000080"/>
        <w:sz w:val="18"/>
        <w:szCs w:val="18"/>
      </w:rPr>
    </w:pPr>
  </w:p>
  <w:p w14:paraId="33593306" w14:textId="77777777" w:rsidR="000E5086" w:rsidRDefault="000E508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A40BB" w14:textId="77777777" w:rsidR="000E5086" w:rsidRDefault="000E5086">
      <w:pPr>
        <w:spacing w:line="240" w:lineRule="auto"/>
      </w:pPr>
      <w:r>
        <w:separator/>
      </w:r>
    </w:p>
  </w:footnote>
  <w:footnote w:type="continuationSeparator" w:id="0">
    <w:p w14:paraId="13222427" w14:textId="77777777" w:rsidR="000E5086" w:rsidRDefault="000E5086">
      <w:pPr>
        <w:spacing w:line="240" w:lineRule="auto"/>
      </w:pPr>
      <w:r>
        <w:continuationSeparator/>
      </w:r>
    </w:p>
  </w:footnote>
  <w:footnote w:type="continuationNotice" w:id="1">
    <w:p w14:paraId="49F17713" w14:textId="77777777" w:rsidR="000E5086" w:rsidRDefault="000E508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9DD6" w14:textId="77777777" w:rsidR="000E5086" w:rsidRPr="008E16D3" w:rsidRDefault="000E5086" w:rsidP="00213247">
    <w:pPr>
      <w:pStyle w:val="CEAAgendaBlueText"/>
      <w:rPr>
        <w:color w:val="82C55B"/>
      </w:rPr>
    </w:pPr>
    <w:r w:rsidRPr="00FC35C0">
      <w:rPr>
        <w:noProof/>
        <w:lang w:val="sk-SK" w:eastAsia="sk-SK"/>
      </w:rPr>
      <w:drawing>
        <wp:anchor distT="0" distB="0" distL="114300" distR="114300" simplePos="0" relativeHeight="251658241" behindDoc="0" locked="0" layoutInCell="1" allowOverlap="1" wp14:anchorId="5EC42B83" wp14:editId="26C619F2">
          <wp:simplePos x="0" y="0"/>
          <wp:positionH relativeFrom="page">
            <wp:posOffset>521970</wp:posOffset>
          </wp:positionH>
          <wp:positionV relativeFrom="page">
            <wp:posOffset>521970</wp:posOffset>
          </wp:positionV>
          <wp:extent cx="1457325" cy="895350"/>
          <wp:effectExtent l="19050" t="0" r="0" b="0"/>
          <wp:wrapSquare wrapText="bothSides"/>
          <wp:docPr id="1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103DD0C5" w14:textId="77777777" w:rsidR="000E5086" w:rsidRPr="008E16D3" w:rsidRDefault="000E5086" w:rsidP="00213247">
    <w:pPr>
      <w:pStyle w:val="CEAAgendaBlueText"/>
      <w:rPr>
        <w:color w:val="82C55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610D7" w14:textId="77777777" w:rsidR="000E5086" w:rsidRPr="009C1F64" w:rsidRDefault="000E5086" w:rsidP="00213247">
    <w:pPr>
      <w:ind w:left="873" w:hanging="360"/>
    </w:pPr>
  </w:p>
  <w:p w14:paraId="3C00C147" w14:textId="77777777" w:rsidR="000E5086" w:rsidRDefault="000E5086" w:rsidP="00213247">
    <w:pPr>
      <w:ind w:left="873" w:hanging="360"/>
    </w:pPr>
  </w:p>
  <w:p w14:paraId="04038AFA" w14:textId="77777777" w:rsidR="000E5086" w:rsidRPr="004D398F" w:rsidRDefault="000E5086" w:rsidP="00213247">
    <w:pPr>
      <w:ind w:left="873" w:hanging="360"/>
      <w:jc w:val="right"/>
      <w:rPr>
        <w:sz w:val="36"/>
        <w:szCs w:val="36"/>
      </w:rPr>
    </w:pPr>
  </w:p>
  <w:p w14:paraId="16F7458E" w14:textId="50D764F7" w:rsidR="000E5086" w:rsidRPr="00544DA6" w:rsidRDefault="000E5086" w:rsidP="00213247">
    <w:pPr>
      <w:pStyle w:val="CEADocumentType"/>
      <w:rPr>
        <w:b w:val="0"/>
        <w:color w:val="002957"/>
        <w:sz w:val="36"/>
        <w:szCs w:val="36"/>
      </w:rPr>
    </w:pPr>
    <w:r w:rsidRPr="00544DA6">
      <w:rPr>
        <w:b w:val="0"/>
        <w:noProof/>
        <w:color w:val="002957"/>
        <w:sz w:val="36"/>
        <w:szCs w:val="36"/>
        <w:lang w:val="sk-SK" w:eastAsia="sk-SK"/>
      </w:rPr>
      <w:drawing>
        <wp:anchor distT="0" distB="0" distL="114300" distR="114300" simplePos="0" relativeHeight="251658240" behindDoc="0" locked="0" layoutInCell="1" allowOverlap="1" wp14:anchorId="18DE1083" wp14:editId="1A2C42E4">
          <wp:simplePos x="0" y="0"/>
          <wp:positionH relativeFrom="page">
            <wp:posOffset>523875</wp:posOffset>
          </wp:positionH>
          <wp:positionV relativeFrom="page">
            <wp:posOffset>523875</wp:posOffset>
          </wp:positionV>
          <wp:extent cx="1457325" cy="895350"/>
          <wp:effectExtent l="19050" t="0" r="0" b="0"/>
          <wp:wrapSquare wrapText="bothSides"/>
          <wp:docPr id="13" name="Picture 13"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Pr>
        <w:b w:val="0"/>
        <w:color w:val="002957"/>
        <w:sz w:val="36"/>
        <w:szCs w:val="36"/>
      </w:rPr>
      <w:t xml:space="preserve">DRAFT </w:t>
    </w:r>
    <w:r w:rsidRPr="00544DA6">
      <w:rPr>
        <w:b w:val="0"/>
        <w:color w:val="002957"/>
        <w:sz w:val="36"/>
        <w:szCs w:val="36"/>
      </w:rPr>
      <w:t>Meeting Conclusions</w:t>
    </w:r>
  </w:p>
  <w:p w14:paraId="27341CEC" w14:textId="77777777" w:rsidR="000E5086" w:rsidRPr="003A3CFC" w:rsidRDefault="000E5086" w:rsidP="003A3CFC">
    <w:pPr>
      <w:jc w:val="right"/>
      <w:rPr>
        <w:b/>
        <w:i/>
        <w:color w:val="002957"/>
        <w:sz w:val="32"/>
        <w:szCs w:val="32"/>
      </w:rPr>
    </w:pPr>
    <w:bookmarkStart w:id="2" w:name="Draft1st"/>
    <w:bookmarkEnd w:id="2"/>
    <w:r>
      <w:rPr>
        <w:color w:val="002957"/>
      </w:rPr>
      <w:t xml:space="preserve"> </w:t>
    </w:r>
  </w:p>
  <w:tbl>
    <w:tblPr>
      <w:tblW w:w="10949" w:type="dxa"/>
      <w:tblInd w:w="-1168" w:type="dxa"/>
      <w:tblLook w:val="04A0" w:firstRow="1" w:lastRow="0" w:firstColumn="1" w:lastColumn="0" w:noHBand="0" w:noVBand="1"/>
    </w:tblPr>
    <w:tblGrid>
      <w:gridCol w:w="1202"/>
      <w:gridCol w:w="3810"/>
      <w:gridCol w:w="469"/>
      <w:gridCol w:w="836"/>
      <w:gridCol w:w="4632"/>
    </w:tblGrid>
    <w:tr w:rsidR="000E5086" w:rsidRPr="002A432F" w14:paraId="7009E1C8" w14:textId="77777777" w:rsidTr="00AE5D73">
      <w:trPr>
        <w:trHeight w:val="288"/>
      </w:trPr>
      <w:tc>
        <w:tcPr>
          <w:tcW w:w="1202" w:type="dxa"/>
          <w:vAlign w:val="center"/>
        </w:tcPr>
        <w:p w14:paraId="15465664" w14:textId="77777777" w:rsidR="000E5086" w:rsidRPr="004D398F" w:rsidRDefault="000E5086" w:rsidP="00213247">
          <w:pPr>
            <w:pStyle w:val="CEAToLine"/>
            <w:rPr>
              <w:rFonts w:ascii="Verdana" w:hAnsi="Verdana"/>
              <w:b w:val="0"/>
              <w:color w:val="002957"/>
              <w:sz w:val="17"/>
              <w:szCs w:val="17"/>
            </w:rPr>
          </w:pPr>
        </w:p>
      </w:tc>
      <w:tc>
        <w:tcPr>
          <w:tcW w:w="9747" w:type="dxa"/>
          <w:gridSpan w:val="4"/>
          <w:vAlign w:val="center"/>
        </w:tcPr>
        <w:p w14:paraId="5AE07589" w14:textId="77777777" w:rsidR="000E5086" w:rsidRPr="004D398F" w:rsidRDefault="000E5086" w:rsidP="00213247">
          <w:pPr>
            <w:pStyle w:val="CEAToLine"/>
            <w:rPr>
              <w:rFonts w:ascii="Verdana" w:hAnsi="Verdana"/>
              <w:b w:val="0"/>
              <w:color w:val="002957"/>
              <w:sz w:val="17"/>
              <w:szCs w:val="17"/>
            </w:rPr>
          </w:pPr>
          <w:r>
            <w:rPr>
              <w:rFonts w:ascii="Verdana" w:hAnsi="Verdana"/>
              <w:b w:val="0"/>
              <w:color w:val="002957"/>
              <w:sz w:val="17"/>
              <w:szCs w:val="17"/>
            </w:rPr>
            <w:t>Solvency II Working Group</w:t>
          </w:r>
        </w:p>
      </w:tc>
    </w:tr>
    <w:tr w:rsidR="000E5086" w:rsidRPr="002A432F" w14:paraId="31B7F64A" w14:textId="77777777" w:rsidTr="00AE5D73">
      <w:trPr>
        <w:trHeight w:hRule="exact" w:val="288"/>
      </w:trPr>
      <w:tc>
        <w:tcPr>
          <w:tcW w:w="1202" w:type="dxa"/>
          <w:vAlign w:val="center"/>
        </w:tcPr>
        <w:p w14:paraId="4627ADC4" w14:textId="77777777" w:rsidR="000E5086" w:rsidRPr="004D398F" w:rsidRDefault="000E5086" w:rsidP="00213247">
          <w:pPr>
            <w:pStyle w:val="Noparagraphstyle"/>
            <w:jc w:val="right"/>
            <w:rPr>
              <w:rFonts w:ascii="Verdana" w:hAnsi="Verdana"/>
              <w:color w:val="002957"/>
              <w:sz w:val="17"/>
              <w:szCs w:val="17"/>
            </w:rPr>
          </w:pPr>
        </w:p>
      </w:tc>
      <w:tc>
        <w:tcPr>
          <w:tcW w:w="9747" w:type="dxa"/>
          <w:gridSpan w:val="4"/>
          <w:vAlign w:val="center"/>
        </w:tcPr>
        <w:p w14:paraId="7B4218A2" w14:textId="77777777" w:rsidR="000E5086" w:rsidRPr="004D398F" w:rsidRDefault="000E5086" w:rsidP="00213247">
          <w:pPr>
            <w:pStyle w:val="Noparagraphstyle"/>
            <w:rPr>
              <w:rFonts w:ascii="Verdana" w:hAnsi="Verdana"/>
              <w:color w:val="002957"/>
              <w:sz w:val="17"/>
              <w:szCs w:val="17"/>
            </w:rPr>
          </w:pPr>
        </w:p>
      </w:tc>
    </w:tr>
    <w:tr w:rsidR="000E5086" w:rsidRPr="002A432F" w14:paraId="40974B6E" w14:textId="77777777" w:rsidTr="00AE5D73">
      <w:trPr>
        <w:trHeight w:hRule="exact" w:val="288"/>
      </w:trPr>
      <w:tc>
        <w:tcPr>
          <w:tcW w:w="1202" w:type="dxa"/>
          <w:vAlign w:val="center"/>
        </w:tcPr>
        <w:p w14:paraId="79703D09" w14:textId="77777777" w:rsidR="000E5086" w:rsidRPr="00544DA6" w:rsidRDefault="000E5086" w:rsidP="00213247">
          <w:pPr>
            <w:pStyle w:val="CEALabel"/>
            <w:rPr>
              <w:b w:val="0"/>
              <w:color w:val="002957"/>
              <w:sz w:val="17"/>
              <w:szCs w:val="17"/>
            </w:rPr>
          </w:pPr>
          <w:r w:rsidRPr="00544DA6">
            <w:rPr>
              <w:b w:val="0"/>
              <w:color w:val="002957"/>
              <w:sz w:val="17"/>
              <w:szCs w:val="17"/>
            </w:rPr>
            <w:t>Meeting info:</w:t>
          </w:r>
        </w:p>
      </w:tc>
      <w:tc>
        <w:tcPr>
          <w:tcW w:w="4279" w:type="dxa"/>
          <w:gridSpan w:val="2"/>
          <w:vAlign w:val="center"/>
        </w:tcPr>
        <w:p w14:paraId="61E27F66" w14:textId="7A1E4A2D" w:rsidR="000E5086" w:rsidRPr="004D398F" w:rsidRDefault="000E5086" w:rsidP="00F26B9D">
          <w:pPr>
            <w:rPr>
              <w:color w:val="002957"/>
              <w:sz w:val="17"/>
              <w:szCs w:val="17"/>
            </w:rPr>
          </w:pPr>
          <w:r>
            <w:rPr>
              <w:color w:val="002957"/>
              <w:sz w:val="17"/>
              <w:szCs w:val="17"/>
            </w:rPr>
            <w:t>Insurance Europe, 28 June 2017</w:t>
          </w:r>
        </w:p>
      </w:tc>
      <w:tc>
        <w:tcPr>
          <w:tcW w:w="836" w:type="dxa"/>
          <w:vAlign w:val="center"/>
        </w:tcPr>
        <w:p w14:paraId="493E5315" w14:textId="77777777" w:rsidR="000E5086" w:rsidRPr="004D398F" w:rsidRDefault="000E5086" w:rsidP="00213247">
          <w:pPr>
            <w:pStyle w:val="Noparagraphstyle"/>
            <w:jc w:val="right"/>
            <w:rPr>
              <w:rFonts w:ascii="Verdana" w:hAnsi="Verdana"/>
              <w:color w:val="002957"/>
              <w:sz w:val="17"/>
              <w:szCs w:val="17"/>
            </w:rPr>
          </w:pPr>
          <w:r w:rsidRPr="004D398F">
            <w:rPr>
              <w:rFonts w:ascii="Verdana" w:hAnsi="Verdana"/>
              <w:color w:val="002957"/>
              <w:sz w:val="17"/>
              <w:szCs w:val="17"/>
            </w:rPr>
            <w:t>Time:</w:t>
          </w:r>
        </w:p>
      </w:tc>
      <w:tc>
        <w:tcPr>
          <w:tcW w:w="4632" w:type="dxa"/>
          <w:vAlign w:val="center"/>
        </w:tcPr>
        <w:p w14:paraId="77061D19" w14:textId="0EFA323B" w:rsidR="000E5086" w:rsidRPr="004D398F" w:rsidRDefault="000E5086" w:rsidP="00213247">
          <w:pPr>
            <w:rPr>
              <w:color w:val="002957"/>
              <w:sz w:val="17"/>
              <w:szCs w:val="17"/>
            </w:rPr>
          </w:pPr>
          <w:r>
            <w:rPr>
              <w:color w:val="002957"/>
              <w:sz w:val="17"/>
              <w:szCs w:val="17"/>
            </w:rPr>
            <w:t>11h30</w:t>
          </w:r>
          <w:r w:rsidRPr="00427EE9">
            <w:rPr>
              <w:color w:val="002957"/>
              <w:sz w:val="17"/>
              <w:szCs w:val="17"/>
            </w:rPr>
            <w:t xml:space="preserve"> - </w:t>
          </w:r>
          <w:r>
            <w:rPr>
              <w:color w:val="002957"/>
              <w:sz w:val="17"/>
              <w:szCs w:val="17"/>
            </w:rPr>
            <w:t>15h00</w:t>
          </w:r>
        </w:p>
      </w:tc>
    </w:tr>
    <w:tr w:rsidR="000E5086" w:rsidRPr="002A432F" w14:paraId="42913F6F" w14:textId="77777777" w:rsidTr="00AE5D73">
      <w:trPr>
        <w:trHeight w:hRule="exact" w:val="68"/>
      </w:trPr>
      <w:tc>
        <w:tcPr>
          <w:tcW w:w="1202" w:type="dxa"/>
          <w:vAlign w:val="center"/>
        </w:tcPr>
        <w:p w14:paraId="0735A4D7" w14:textId="77777777" w:rsidR="000E5086" w:rsidRPr="00544DA6" w:rsidRDefault="000E5086" w:rsidP="00213247">
          <w:pPr>
            <w:pStyle w:val="CEALabel"/>
            <w:rPr>
              <w:b w:val="0"/>
              <w:color w:val="002957"/>
              <w:sz w:val="17"/>
              <w:szCs w:val="17"/>
            </w:rPr>
          </w:pPr>
        </w:p>
      </w:tc>
      <w:tc>
        <w:tcPr>
          <w:tcW w:w="9747" w:type="dxa"/>
          <w:gridSpan w:val="4"/>
          <w:vAlign w:val="center"/>
        </w:tcPr>
        <w:p w14:paraId="30017278" w14:textId="77777777" w:rsidR="000E5086" w:rsidRPr="00204D0B" w:rsidRDefault="000E5086" w:rsidP="00213247">
          <w:pPr>
            <w:pStyle w:val="Noparagraphstyle"/>
            <w:rPr>
              <w:rFonts w:ascii="Verdana" w:hAnsi="Verdana"/>
              <w:color w:val="002957"/>
              <w:sz w:val="20"/>
              <w:szCs w:val="20"/>
            </w:rPr>
          </w:pPr>
        </w:p>
      </w:tc>
    </w:tr>
    <w:tr w:rsidR="000E5086" w:rsidRPr="002A432F" w14:paraId="190F30C5" w14:textId="77777777" w:rsidTr="00AE5D73">
      <w:trPr>
        <w:trHeight w:hRule="exact" w:val="288"/>
      </w:trPr>
      <w:tc>
        <w:tcPr>
          <w:tcW w:w="1202" w:type="dxa"/>
          <w:vAlign w:val="center"/>
        </w:tcPr>
        <w:p w14:paraId="593B56FF" w14:textId="77777777" w:rsidR="000E5086" w:rsidRPr="00544DA6" w:rsidRDefault="000E5086" w:rsidP="00213247">
          <w:pPr>
            <w:pStyle w:val="CEALabel"/>
            <w:rPr>
              <w:b w:val="0"/>
              <w:color w:val="002957"/>
              <w:sz w:val="17"/>
              <w:szCs w:val="17"/>
            </w:rPr>
          </w:pPr>
          <w:r w:rsidRPr="00544DA6">
            <w:rPr>
              <w:b w:val="0"/>
              <w:color w:val="002957"/>
              <w:sz w:val="17"/>
              <w:szCs w:val="17"/>
            </w:rPr>
            <w:t>Reference:</w:t>
          </w:r>
        </w:p>
      </w:tc>
      <w:tc>
        <w:tcPr>
          <w:tcW w:w="9747" w:type="dxa"/>
          <w:gridSpan w:val="4"/>
          <w:shd w:val="clear" w:color="auto" w:fill="auto"/>
          <w:vAlign w:val="center"/>
        </w:tcPr>
        <w:p w14:paraId="54854E06" w14:textId="52E7F383" w:rsidR="000E5086" w:rsidRPr="0001415B" w:rsidRDefault="000E5086" w:rsidP="00FE562D">
          <w:pPr>
            <w:rPr>
              <w:color w:val="002957"/>
              <w:sz w:val="17"/>
              <w:szCs w:val="17"/>
              <w:highlight w:val="yellow"/>
            </w:rPr>
          </w:pPr>
          <w:r>
            <w:rPr>
              <w:color w:val="002957"/>
              <w:sz w:val="17"/>
              <w:szCs w:val="17"/>
            </w:rPr>
            <w:t>ECO-SLV-17-</w:t>
          </w:r>
          <w:r w:rsidR="001B5594">
            <w:rPr>
              <w:color w:val="002957"/>
              <w:sz w:val="17"/>
              <w:szCs w:val="17"/>
            </w:rPr>
            <w:t>122</w:t>
          </w:r>
        </w:p>
      </w:tc>
    </w:tr>
    <w:tr w:rsidR="000E5086" w:rsidRPr="002A432F" w14:paraId="18376A3D" w14:textId="77777777" w:rsidTr="00AE5D73">
      <w:trPr>
        <w:trHeight w:hRule="exact" w:val="288"/>
      </w:trPr>
      <w:tc>
        <w:tcPr>
          <w:tcW w:w="1202" w:type="dxa"/>
          <w:vAlign w:val="center"/>
        </w:tcPr>
        <w:p w14:paraId="76CEC151" w14:textId="77777777" w:rsidR="000E5086" w:rsidRPr="00544DA6" w:rsidRDefault="000E5086" w:rsidP="00213247">
          <w:pPr>
            <w:pStyle w:val="CEALabel"/>
            <w:rPr>
              <w:b w:val="0"/>
              <w:color w:val="002957"/>
              <w:sz w:val="17"/>
              <w:szCs w:val="17"/>
            </w:rPr>
          </w:pPr>
        </w:p>
      </w:tc>
      <w:tc>
        <w:tcPr>
          <w:tcW w:w="9747" w:type="dxa"/>
          <w:gridSpan w:val="4"/>
          <w:vAlign w:val="center"/>
        </w:tcPr>
        <w:p w14:paraId="74DB32C3" w14:textId="77777777" w:rsidR="000E5086" w:rsidRPr="004D398F" w:rsidRDefault="000E5086" w:rsidP="00213247">
          <w:pPr>
            <w:rPr>
              <w:color w:val="002957"/>
              <w:sz w:val="17"/>
              <w:szCs w:val="17"/>
            </w:rPr>
          </w:pPr>
        </w:p>
      </w:tc>
    </w:tr>
    <w:tr w:rsidR="000E5086" w:rsidRPr="002A432F" w14:paraId="3ED2A893" w14:textId="77777777" w:rsidTr="00AE5D73">
      <w:trPr>
        <w:trHeight w:hRule="exact" w:val="288"/>
      </w:trPr>
      <w:tc>
        <w:tcPr>
          <w:tcW w:w="1202" w:type="dxa"/>
          <w:vAlign w:val="center"/>
        </w:tcPr>
        <w:p w14:paraId="20F36254" w14:textId="77777777" w:rsidR="000E5086" w:rsidRPr="00544DA6" w:rsidRDefault="000E5086" w:rsidP="008154E3">
          <w:pPr>
            <w:pStyle w:val="CEALabel"/>
            <w:rPr>
              <w:b w:val="0"/>
              <w:color w:val="002957"/>
              <w:sz w:val="17"/>
              <w:szCs w:val="17"/>
            </w:rPr>
          </w:pPr>
          <w:r w:rsidRPr="00544DA6">
            <w:rPr>
              <w:b w:val="0"/>
              <w:color w:val="002957"/>
              <w:sz w:val="17"/>
              <w:szCs w:val="17"/>
            </w:rPr>
            <w:t>Chair:</w:t>
          </w:r>
        </w:p>
      </w:tc>
      <w:tc>
        <w:tcPr>
          <w:tcW w:w="3810" w:type="dxa"/>
          <w:vAlign w:val="center"/>
        </w:tcPr>
        <w:p w14:paraId="341004E3" w14:textId="2FFA1678" w:rsidR="000E5086" w:rsidRPr="004D398F" w:rsidRDefault="000E5086" w:rsidP="008154E3">
          <w:pPr>
            <w:rPr>
              <w:color w:val="002957"/>
              <w:sz w:val="17"/>
              <w:szCs w:val="17"/>
            </w:rPr>
          </w:pPr>
          <w:r>
            <w:rPr>
              <w:color w:val="002957"/>
              <w:sz w:val="17"/>
              <w:szCs w:val="17"/>
            </w:rPr>
            <w:t xml:space="preserve">Renzo Avesani </w:t>
          </w:r>
        </w:p>
      </w:tc>
      <w:tc>
        <w:tcPr>
          <w:tcW w:w="1305" w:type="dxa"/>
          <w:gridSpan w:val="2"/>
          <w:vAlign w:val="center"/>
        </w:tcPr>
        <w:p w14:paraId="6598402B" w14:textId="77777777" w:rsidR="000E5086" w:rsidRPr="004D398F" w:rsidRDefault="000E5086" w:rsidP="008154E3">
          <w:pPr>
            <w:jc w:val="right"/>
            <w:rPr>
              <w:color w:val="002957"/>
              <w:sz w:val="17"/>
              <w:szCs w:val="17"/>
            </w:rPr>
          </w:pPr>
          <w:r w:rsidRPr="004D398F">
            <w:rPr>
              <w:color w:val="002957"/>
              <w:sz w:val="17"/>
              <w:szCs w:val="17"/>
            </w:rPr>
            <w:t>Vice-chair:</w:t>
          </w:r>
        </w:p>
      </w:tc>
      <w:tc>
        <w:tcPr>
          <w:tcW w:w="4632" w:type="dxa"/>
          <w:vAlign w:val="center"/>
        </w:tcPr>
        <w:p w14:paraId="1CE2AB4F" w14:textId="6E9CA809" w:rsidR="000E5086" w:rsidRPr="004D398F" w:rsidRDefault="000E5086" w:rsidP="00F26B9D">
          <w:pPr>
            <w:rPr>
              <w:color w:val="002957"/>
              <w:sz w:val="17"/>
              <w:szCs w:val="17"/>
            </w:rPr>
          </w:pPr>
          <w:r w:rsidRPr="00E213FF">
            <w:rPr>
              <w:color w:val="002957"/>
              <w:sz w:val="17"/>
              <w:szCs w:val="17"/>
            </w:rPr>
            <w:t>Jérôme Berset</w:t>
          </w:r>
          <w:r>
            <w:rPr>
              <w:color w:val="002957"/>
              <w:sz w:val="17"/>
              <w:szCs w:val="17"/>
            </w:rPr>
            <w:t xml:space="preserve"> – by conference call</w:t>
          </w:r>
        </w:p>
      </w:tc>
    </w:tr>
    <w:tr w:rsidR="000E5086" w:rsidRPr="002A432F" w14:paraId="162A2FDC" w14:textId="77777777" w:rsidTr="00AE5D73">
      <w:trPr>
        <w:trHeight w:hRule="exact" w:val="93"/>
      </w:trPr>
      <w:tc>
        <w:tcPr>
          <w:tcW w:w="1202" w:type="dxa"/>
          <w:vAlign w:val="center"/>
        </w:tcPr>
        <w:p w14:paraId="3299F60E" w14:textId="77777777" w:rsidR="000E5086" w:rsidRPr="00544DA6" w:rsidRDefault="000E5086" w:rsidP="008154E3">
          <w:pPr>
            <w:pStyle w:val="CEALabel"/>
            <w:rPr>
              <w:b w:val="0"/>
              <w:color w:val="002957"/>
              <w:sz w:val="17"/>
              <w:szCs w:val="17"/>
            </w:rPr>
          </w:pPr>
        </w:p>
      </w:tc>
      <w:tc>
        <w:tcPr>
          <w:tcW w:w="9747" w:type="dxa"/>
          <w:gridSpan w:val="4"/>
          <w:vAlign w:val="center"/>
        </w:tcPr>
        <w:p w14:paraId="57814B14" w14:textId="77777777" w:rsidR="000E5086" w:rsidRPr="004D398F" w:rsidRDefault="000E5086" w:rsidP="008154E3">
          <w:pPr>
            <w:rPr>
              <w:b/>
              <w:color w:val="002957"/>
            </w:rPr>
          </w:pPr>
        </w:p>
      </w:tc>
    </w:tr>
    <w:tr w:rsidR="000E5086" w:rsidRPr="00BB35EA" w14:paraId="5F951C8D" w14:textId="77777777" w:rsidTr="00AE5D73">
      <w:trPr>
        <w:trHeight w:val="289"/>
      </w:trPr>
      <w:tc>
        <w:tcPr>
          <w:tcW w:w="1202" w:type="dxa"/>
        </w:tcPr>
        <w:p w14:paraId="6B7ACC7B" w14:textId="77777777" w:rsidR="000E5086" w:rsidRPr="00544DA6" w:rsidRDefault="000E5086" w:rsidP="008154E3">
          <w:pPr>
            <w:pStyle w:val="CEALabel"/>
            <w:rPr>
              <w:b w:val="0"/>
              <w:color w:val="002957"/>
              <w:sz w:val="17"/>
              <w:szCs w:val="17"/>
            </w:rPr>
          </w:pPr>
          <w:r w:rsidRPr="00544DA6">
            <w:rPr>
              <w:b w:val="0"/>
              <w:color w:val="002957"/>
              <w:sz w:val="17"/>
              <w:szCs w:val="17"/>
            </w:rPr>
            <w:t>Secretariat:</w:t>
          </w:r>
        </w:p>
      </w:tc>
      <w:tc>
        <w:tcPr>
          <w:tcW w:w="9747" w:type="dxa"/>
          <w:gridSpan w:val="4"/>
          <w:vAlign w:val="center"/>
        </w:tcPr>
        <w:p w14:paraId="61038869" w14:textId="7B9B61DF" w:rsidR="000E5086" w:rsidRPr="00705320" w:rsidRDefault="000E5086" w:rsidP="008154E3">
          <w:pPr>
            <w:rPr>
              <w:color w:val="002957"/>
              <w:sz w:val="17"/>
              <w:szCs w:val="17"/>
              <w:lang w:val="fr-FR"/>
            </w:rPr>
          </w:pPr>
          <w:bookmarkStart w:id="3" w:name="CEASecretariat"/>
          <w:r>
            <w:rPr>
              <w:color w:val="002957"/>
              <w:sz w:val="17"/>
              <w:szCs w:val="17"/>
              <w:lang w:val="da-DK"/>
            </w:rPr>
            <w:t xml:space="preserve">Cristina Mihai, André-Philippe Sendé, </w:t>
          </w:r>
          <w:r w:rsidRPr="008154E3">
            <w:rPr>
              <w:color w:val="002957"/>
              <w:sz w:val="17"/>
              <w:szCs w:val="17"/>
              <w:lang w:val="da-DK"/>
            </w:rPr>
            <w:t>Carolien Afslag</w:t>
          </w:r>
          <w:r>
            <w:rPr>
              <w:color w:val="002957"/>
              <w:sz w:val="17"/>
              <w:szCs w:val="17"/>
              <w:lang w:val="da-DK"/>
            </w:rPr>
            <w:t xml:space="preserve">, </w:t>
          </w:r>
          <w:bookmarkEnd w:id="3"/>
          <w:r>
            <w:rPr>
              <w:color w:val="002957"/>
              <w:sz w:val="17"/>
              <w:szCs w:val="17"/>
              <w:lang w:val="da-DK"/>
            </w:rPr>
            <w:t>Borislav Arnaudov</w:t>
          </w:r>
        </w:p>
      </w:tc>
    </w:tr>
  </w:tbl>
  <w:p w14:paraId="76754973" w14:textId="77777777" w:rsidR="000E5086" w:rsidRPr="00705320" w:rsidRDefault="000E5086" w:rsidP="00213247">
    <w:pPr>
      <w:pStyle w:val="CEAAgendaBlueText"/>
      <w:rPr>
        <w:color w:val="82C55B"/>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0E2017F2"/>
    <w:multiLevelType w:val="hybridMultilevel"/>
    <w:tmpl w:val="9FEEEC6A"/>
    <w:lvl w:ilvl="0" w:tplc="0409000F">
      <w:start w:val="1"/>
      <w:numFmt w:val="decimal"/>
      <w:lvlText w:val="%1."/>
      <w:lvlJc w:val="left"/>
      <w:pPr>
        <w:ind w:left="1068" w:hanging="360"/>
      </w:pPr>
      <w:rPr>
        <w:rFonts w:hint="default"/>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054071E"/>
    <w:multiLevelType w:val="hybridMultilevel"/>
    <w:tmpl w:val="97B443F0"/>
    <w:lvl w:ilvl="0" w:tplc="A0240652">
      <w:start w:val="165"/>
      <w:numFmt w:val="bullet"/>
      <w:pStyle w:val="CEABullet-Level2"/>
      <w:lvlText w:val=""/>
      <w:lvlPicBulletId w:val="1"/>
      <w:lvlJc w:val="left"/>
      <w:pPr>
        <w:ind w:left="720" w:hanging="360"/>
      </w:pPr>
      <w:rPr>
        <w:rFonts w:ascii="Symbol" w:hAnsi="Symbol" w:hint="default"/>
        <w:color w:val="auto"/>
      </w:rPr>
    </w:lvl>
    <w:lvl w:ilvl="1" w:tplc="37180294">
      <w:start w:val="165"/>
      <w:numFmt w:val="bullet"/>
      <w:lvlText w:val=""/>
      <w:lvlPicBulletId w:val="2"/>
      <w:lvlJc w:val="left"/>
      <w:pPr>
        <w:ind w:left="144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45C0D"/>
    <w:multiLevelType w:val="hybridMultilevel"/>
    <w:tmpl w:val="6DF03186"/>
    <w:lvl w:ilvl="0" w:tplc="09EAB1DA">
      <w:start w:val="1"/>
      <w:numFmt w:val="lowerLetter"/>
      <w:lvlText w:val="%1)"/>
      <w:lvlJc w:val="left"/>
      <w:pPr>
        <w:ind w:left="771" w:hanging="360"/>
      </w:pPr>
      <w:rPr>
        <w:rFonts w:hint="default"/>
        <w:color w:val="002957"/>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 w15:restartNumberingAfterBreak="0">
    <w:nsid w:val="1C8602AB"/>
    <w:multiLevelType w:val="hybridMultilevel"/>
    <w:tmpl w:val="DDE4083A"/>
    <w:lvl w:ilvl="0" w:tplc="0BA64A82">
      <w:start w:val="1"/>
      <w:numFmt w:val="decimal"/>
      <w:lvlText w:val="%1."/>
      <w:lvlJc w:val="left"/>
      <w:pPr>
        <w:ind w:left="644" w:hanging="360"/>
      </w:pPr>
      <w:rPr>
        <w:b/>
        <w:sz w:val="17"/>
        <w:szCs w:val="17"/>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284FEC"/>
    <w:multiLevelType w:val="hybridMultilevel"/>
    <w:tmpl w:val="F3D4C8F4"/>
    <w:lvl w:ilvl="0" w:tplc="FFFFFFFF">
      <w:start w:val="1"/>
      <w:numFmt w:val="bullet"/>
      <w:lvlText w:val="o"/>
      <w:lvlPicBulletId w:val="1"/>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456D7"/>
    <w:multiLevelType w:val="multilevel"/>
    <w:tmpl w:val="A08239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F05285B"/>
    <w:multiLevelType w:val="hybridMultilevel"/>
    <w:tmpl w:val="C544562E"/>
    <w:lvl w:ilvl="0" w:tplc="E4EE1028">
      <w:start w:val="165"/>
      <w:numFmt w:val="bullet"/>
      <w:lvlText w:val=""/>
      <w:lvlPicBulletId w:val="0"/>
      <w:lvlJc w:val="left"/>
      <w:pPr>
        <w:ind w:left="1440" w:hanging="360"/>
      </w:pPr>
      <w:rPr>
        <w:rFonts w:ascii="Symbol" w:hAnsi="Symbol" w:hint="default"/>
        <w:color w:val="auto"/>
        <w:sz w:val="17"/>
        <w:szCs w:val="1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3A4334"/>
    <w:multiLevelType w:val="hybridMultilevel"/>
    <w:tmpl w:val="E48C51C8"/>
    <w:lvl w:ilvl="0" w:tplc="080C0001">
      <w:start w:val="1"/>
      <w:numFmt w:val="bullet"/>
      <w:lvlText w:val=""/>
      <w:lvlJc w:val="left"/>
      <w:pPr>
        <w:ind w:left="1128" w:hanging="360"/>
      </w:pPr>
      <w:rPr>
        <w:rFonts w:ascii="Symbol" w:hAnsi="Symbol" w:hint="default"/>
      </w:rPr>
    </w:lvl>
    <w:lvl w:ilvl="1" w:tplc="080C0003">
      <w:start w:val="1"/>
      <w:numFmt w:val="bullet"/>
      <w:lvlText w:val="o"/>
      <w:lvlJc w:val="left"/>
      <w:pPr>
        <w:ind w:left="1848" w:hanging="360"/>
      </w:pPr>
      <w:rPr>
        <w:rFonts w:ascii="Courier New" w:hAnsi="Courier New" w:cs="Courier New" w:hint="default"/>
      </w:rPr>
    </w:lvl>
    <w:lvl w:ilvl="2" w:tplc="080C0005" w:tentative="1">
      <w:start w:val="1"/>
      <w:numFmt w:val="bullet"/>
      <w:lvlText w:val=""/>
      <w:lvlJc w:val="left"/>
      <w:pPr>
        <w:ind w:left="2568" w:hanging="360"/>
      </w:pPr>
      <w:rPr>
        <w:rFonts w:ascii="Wingdings" w:hAnsi="Wingdings" w:hint="default"/>
      </w:rPr>
    </w:lvl>
    <w:lvl w:ilvl="3" w:tplc="080C0001" w:tentative="1">
      <w:start w:val="1"/>
      <w:numFmt w:val="bullet"/>
      <w:lvlText w:val=""/>
      <w:lvlJc w:val="left"/>
      <w:pPr>
        <w:ind w:left="3288" w:hanging="360"/>
      </w:pPr>
      <w:rPr>
        <w:rFonts w:ascii="Symbol" w:hAnsi="Symbol" w:hint="default"/>
      </w:rPr>
    </w:lvl>
    <w:lvl w:ilvl="4" w:tplc="080C0003" w:tentative="1">
      <w:start w:val="1"/>
      <w:numFmt w:val="bullet"/>
      <w:lvlText w:val="o"/>
      <w:lvlJc w:val="left"/>
      <w:pPr>
        <w:ind w:left="4008" w:hanging="360"/>
      </w:pPr>
      <w:rPr>
        <w:rFonts w:ascii="Courier New" w:hAnsi="Courier New" w:cs="Courier New" w:hint="default"/>
      </w:rPr>
    </w:lvl>
    <w:lvl w:ilvl="5" w:tplc="080C0005" w:tentative="1">
      <w:start w:val="1"/>
      <w:numFmt w:val="bullet"/>
      <w:lvlText w:val=""/>
      <w:lvlJc w:val="left"/>
      <w:pPr>
        <w:ind w:left="4728" w:hanging="360"/>
      </w:pPr>
      <w:rPr>
        <w:rFonts w:ascii="Wingdings" w:hAnsi="Wingdings" w:hint="default"/>
      </w:rPr>
    </w:lvl>
    <w:lvl w:ilvl="6" w:tplc="080C0001" w:tentative="1">
      <w:start w:val="1"/>
      <w:numFmt w:val="bullet"/>
      <w:lvlText w:val=""/>
      <w:lvlJc w:val="left"/>
      <w:pPr>
        <w:ind w:left="5448" w:hanging="360"/>
      </w:pPr>
      <w:rPr>
        <w:rFonts w:ascii="Symbol" w:hAnsi="Symbol" w:hint="default"/>
      </w:rPr>
    </w:lvl>
    <w:lvl w:ilvl="7" w:tplc="080C0003" w:tentative="1">
      <w:start w:val="1"/>
      <w:numFmt w:val="bullet"/>
      <w:lvlText w:val="o"/>
      <w:lvlJc w:val="left"/>
      <w:pPr>
        <w:ind w:left="6168" w:hanging="360"/>
      </w:pPr>
      <w:rPr>
        <w:rFonts w:ascii="Courier New" w:hAnsi="Courier New" w:cs="Courier New" w:hint="default"/>
      </w:rPr>
    </w:lvl>
    <w:lvl w:ilvl="8" w:tplc="080C0005" w:tentative="1">
      <w:start w:val="1"/>
      <w:numFmt w:val="bullet"/>
      <w:lvlText w:val=""/>
      <w:lvlJc w:val="left"/>
      <w:pPr>
        <w:ind w:left="6888" w:hanging="360"/>
      </w:pPr>
      <w:rPr>
        <w:rFonts w:ascii="Wingdings" w:hAnsi="Wingdings" w:hint="default"/>
      </w:rPr>
    </w:lvl>
  </w:abstractNum>
  <w:abstractNum w:abstractNumId="8" w15:restartNumberingAfterBreak="0">
    <w:nsid w:val="5E6065F5"/>
    <w:multiLevelType w:val="hybridMultilevel"/>
    <w:tmpl w:val="4954780A"/>
    <w:lvl w:ilvl="0" w:tplc="080C0001">
      <w:start w:val="1"/>
      <w:numFmt w:val="bullet"/>
      <w:lvlText w:val=""/>
      <w:lvlJc w:val="left"/>
      <w:pPr>
        <w:ind w:left="1131" w:hanging="360"/>
      </w:pPr>
      <w:rPr>
        <w:rFonts w:ascii="Symbol" w:hAnsi="Symbol" w:hint="default"/>
      </w:rPr>
    </w:lvl>
    <w:lvl w:ilvl="1" w:tplc="080C0003" w:tentative="1">
      <w:start w:val="1"/>
      <w:numFmt w:val="bullet"/>
      <w:lvlText w:val="o"/>
      <w:lvlJc w:val="left"/>
      <w:pPr>
        <w:ind w:left="1851" w:hanging="360"/>
      </w:pPr>
      <w:rPr>
        <w:rFonts w:ascii="Courier New" w:hAnsi="Courier New" w:cs="Courier New" w:hint="default"/>
      </w:rPr>
    </w:lvl>
    <w:lvl w:ilvl="2" w:tplc="080C0005" w:tentative="1">
      <w:start w:val="1"/>
      <w:numFmt w:val="bullet"/>
      <w:lvlText w:val=""/>
      <w:lvlJc w:val="left"/>
      <w:pPr>
        <w:ind w:left="2571" w:hanging="360"/>
      </w:pPr>
      <w:rPr>
        <w:rFonts w:ascii="Wingdings" w:hAnsi="Wingdings" w:hint="default"/>
      </w:rPr>
    </w:lvl>
    <w:lvl w:ilvl="3" w:tplc="080C0001" w:tentative="1">
      <w:start w:val="1"/>
      <w:numFmt w:val="bullet"/>
      <w:lvlText w:val=""/>
      <w:lvlJc w:val="left"/>
      <w:pPr>
        <w:ind w:left="3291" w:hanging="360"/>
      </w:pPr>
      <w:rPr>
        <w:rFonts w:ascii="Symbol" w:hAnsi="Symbol" w:hint="default"/>
      </w:rPr>
    </w:lvl>
    <w:lvl w:ilvl="4" w:tplc="080C0003" w:tentative="1">
      <w:start w:val="1"/>
      <w:numFmt w:val="bullet"/>
      <w:lvlText w:val="o"/>
      <w:lvlJc w:val="left"/>
      <w:pPr>
        <w:ind w:left="4011" w:hanging="360"/>
      </w:pPr>
      <w:rPr>
        <w:rFonts w:ascii="Courier New" w:hAnsi="Courier New" w:cs="Courier New" w:hint="default"/>
      </w:rPr>
    </w:lvl>
    <w:lvl w:ilvl="5" w:tplc="080C0005" w:tentative="1">
      <w:start w:val="1"/>
      <w:numFmt w:val="bullet"/>
      <w:lvlText w:val=""/>
      <w:lvlJc w:val="left"/>
      <w:pPr>
        <w:ind w:left="4731" w:hanging="360"/>
      </w:pPr>
      <w:rPr>
        <w:rFonts w:ascii="Wingdings" w:hAnsi="Wingdings" w:hint="default"/>
      </w:rPr>
    </w:lvl>
    <w:lvl w:ilvl="6" w:tplc="080C0001" w:tentative="1">
      <w:start w:val="1"/>
      <w:numFmt w:val="bullet"/>
      <w:lvlText w:val=""/>
      <w:lvlJc w:val="left"/>
      <w:pPr>
        <w:ind w:left="5451" w:hanging="360"/>
      </w:pPr>
      <w:rPr>
        <w:rFonts w:ascii="Symbol" w:hAnsi="Symbol" w:hint="default"/>
      </w:rPr>
    </w:lvl>
    <w:lvl w:ilvl="7" w:tplc="080C0003" w:tentative="1">
      <w:start w:val="1"/>
      <w:numFmt w:val="bullet"/>
      <w:lvlText w:val="o"/>
      <w:lvlJc w:val="left"/>
      <w:pPr>
        <w:ind w:left="6171" w:hanging="360"/>
      </w:pPr>
      <w:rPr>
        <w:rFonts w:ascii="Courier New" w:hAnsi="Courier New" w:cs="Courier New" w:hint="default"/>
      </w:rPr>
    </w:lvl>
    <w:lvl w:ilvl="8" w:tplc="080C0005" w:tentative="1">
      <w:start w:val="1"/>
      <w:numFmt w:val="bullet"/>
      <w:lvlText w:val=""/>
      <w:lvlJc w:val="left"/>
      <w:pPr>
        <w:ind w:left="6891" w:hanging="360"/>
      </w:pPr>
      <w:rPr>
        <w:rFonts w:ascii="Wingdings" w:hAnsi="Wingdings" w:hint="default"/>
      </w:rPr>
    </w:lvl>
  </w:abstractNum>
  <w:abstractNum w:abstractNumId="9" w15:restartNumberingAfterBreak="0">
    <w:nsid w:val="5E857115"/>
    <w:multiLevelType w:val="hybridMultilevel"/>
    <w:tmpl w:val="D8BAF94A"/>
    <w:lvl w:ilvl="0" w:tplc="5352C44E">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B972C4"/>
    <w:multiLevelType w:val="hybridMultilevel"/>
    <w:tmpl w:val="1980C94A"/>
    <w:lvl w:ilvl="0" w:tplc="E4EE1028">
      <w:start w:val="165"/>
      <w:numFmt w:val="bullet"/>
      <w:lvlText w:val=""/>
      <w:lvlPicBulletId w:val="0"/>
      <w:lvlJc w:val="left"/>
      <w:pPr>
        <w:ind w:left="360" w:hanging="360"/>
      </w:pPr>
      <w:rPr>
        <w:rFonts w:ascii="Symbol" w:hAnsi="Symbol" w:hint="default"/>
        <w:color w:val="auto"/>
        <w:sz w:val="17"/>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9309C8"/>
    <w:multiLevelType w:val="hybridMultilevel"/>
    <w:tmpl w:val="4E1AA51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76218"/>
    <w:multiLevelType w:val="hybridMultilevel"/>
    <w:tmpl w:val="D6E81C02"/>
    <w:lvl w:ilvl="0" w:tplc="E4EE1028">
      <w:start w:val="165"/>
      <w:numFmt w:val="bullet"/>
      <w:lvlText w:val=""/>
      <w:lvlPicBulletId w:val="0"/>
      <w:lvlJc w:val="left"/>
      <w:pPr>
        <w:ind w:left="1080" w:hanging="360"/>
      </w:pPr>
      <w:rPr>
        <w:rFonts w:ascii="Symbol" w:hAnsi="Symbol" w:hint="default"/>
        <w:color w:val="auto"/>
        <w:sz w:val="17"/>
        <w:szCs w:val="1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9E2B88"/>
    <w:multiLevelType w:val="hybridMultilevel"/>
    <w:tmpl w:val="DE8AF828"/>
    <w:lvl w:ilvl="0" w:tplc="E4EE1028">
      <w:start w:val="165"/>
      <w:numFmt w:val="bullet"/>
      <w:lvlText w:val=""/>
      <w:lvlPicBulletId w:val="0"/>
      <w:lvlJc w:val="left"/>
      <w:pPr>
        <w:ind w:left="360" w:hanging="360"/>
      </w:pPr>
      <w:rPr>
        <w:rFonts w:ascii="Symbol" w:hAnsi="Symbol" w:hint="default"/>
        <w:color w:val="auto"/>
        <w:sz w:val="17"/>
        <w:szCs w:val="17"/>
      </w:rPr>
    </w:lvl>
    <w:lvl w:ilvl="1" w:tplc="0809000F">
      <w:start w:val="1"/>
      <w:numFmt w:val="decimal"/>
      <w:lvlText w:val="%2."/>
      <w:lvlJc w:val="left"/>
      <w:pPr>
        <w:ind w:left="1080" w:hanging="360"/>
      </w:pPr>
      <w:rPr>
        <w:rFonts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8023D24"/>
    <w:multiLevelType w:val="hybridMultilevel"/>
    <w:tmpl w:val="91FABB4A"/>
    <w:lvl w:ilvl="0" w:tplc="E4EE1028">
      <w:start w:val="165"/>
      <w:numFmt w:val="bullet"/>
      <w:lvlText w:val=""/>
      <w:lvlPicBulletId w:val="0"/>
      <w:lvlJc w:val="left"/>
      <w:pPr>
        <w:ind w:left="1440" w:hanging="360"/>
      </w:pPr>
      <w:rPr>
        <w:rFonts w:ascii="Symbol" w:hAnsi="Symbol" w:hint="default"/>
        <w:color w:val="auto"/>
        <w:sz w:val="17"/>
        <w:szCs w:val="1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65660B"/>
    <w:multiLevelType w:val="hybridMultilevel"/>
    <w:tmpl w:val="1660C636"/>
    <w:lvl w:ilvl="0" w:tplc="ABAEBC9A">
      <w:start w:val="1"/>
      <w:numFmt w:val="decimal"/>
      <w:pStyle w:val="AgendaLevel1"/>
      <w:lvlText w:val="%1."/>
      <w:lvlJc w:val="left"/>
      <w:pPr>
        <w:tabs>
          <w:tab w:val="num" w:pos="900"/>
        </w:tabs>
        <w:ind w:left="900" w:hanging="360"/>
      </w:pPr>
      <w:rPr>
        <w:rFonts w:hint="default"/>
        <w:b/>
        <w:i w:val="0"/>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num w:numId="1">
    <w:abstractNumId w:val="13"/>
  </w:num>
  <w:num w:numId="2">
    <w:abstractNumId w:val="1"/>
  </w:num>
  <w:num w:numId="3">
    <w:abstractNumId w:val="15"/>
  </w:num>
  <w:num w:numId="4">
    <w:abstractNumId w:val="3"/>
  </w:num>
  <w:num w:numId="5">
    <w:abstractNumId w:val="4"/>
  </w:num>
  <w:num w:numId="6">
    <w:abstractNumId w:val="9"/>
  </w:num>
  <w:num w:numId="7">
    <w:abstractNumId w:val="0"/>
  </w:num>
  <w:num w:numId="8">
    <w:abstractNumId w:val="8"/>
  </w:num>
  <w:num w:numId="9">
    <w:abstractNumId w:val="7"/>
  </w:num>
  <w:num w:numId="10">
    <w:abstractNumId w:val="12"/>
  </w:num>
  <w:num w:numId="11">
    <w:abstractNumId w:val="14"/>
  </w:num>
  <w:num w:numId="12">
    <w:abstractNumId w:val="6"/>
  </w:num>
  <w:num w:numId="13">
    <w:abstractNumId w:val="2"/>
  </w:num>
  <w:num w:numId="14">
    <w:abstractNumId w:val="5"/>
  </w:num>
  <w:num w:numId="15">
    <w:abstractNumId w:val="11"/>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da-DK" w:vendorID="64" w:dllVersion="0" w:nlCheck="1" w:checkStyle="0"/>
  <w:activeWritingStyle w:appName="MSWord" w:lang="en-GB" w:vendorID="64" w:dllVersion="131078" w:nlCheck="1" w:checkStyle="1"/>
  <w:revisionView w:inkAnnotation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DA"/>
    <w:rsid w:val="00000B05"/>
    <w:rsid w:val="00001277"/>
    <w:rsid w:val="000020CD"/>
    <w:rsid w:val="00005945"/>
    <w:rsid w:val="0000687A"/>
    <w:rsid w:val="00007280"/>
    <w:rsid w:val="000101BB"/>
    <w:rsid w:val="00011006"/>
    <w:rsid w:val="000122D9"/>
    <w:rsid w:val="000134A3"/>
    <w:rsid w:val="0001415B"/>
    <w:rsid w:val="00016AD5"/>
    <w:rsid w:val="00016BD2"/>
    <w:rsid w:val="00021B6F"/>
    <w:rsid w:val="000243A6"/>
    <w:rsid w:val="00025221"/>
    <w:rsid w:val="00027404"/>
    <w:rsid w:val="000320CE"/>
    <w:rsid w:val="0003287D"/>
    <w:rsid w:val="00034ABB"/>
    <w:rsid w:val="000419E3"/>
    <w:rsid w:val="00045676"/>
    <w:rsid w:val="00045D2A"/>
    <w:rsid w:val="00046638"/>
    <w:rsid w:val="000473C2"/>
    <w:rsid w:val="000475C6"/>
    <w:rsid w:val="00054D43"/>
    <w:rsid w:val="0005668B"/>
    <w:rsid w:val="000574D5"/>
    <w:rsid w:val="00057FD2"/>
    <w:rsid w:val="0006102F"/>
    <w:rsid w:val="00067338"/>
    <w:rsid w:val="00067AB2"/>
    <w:rsid w:val="000702B4"/>
    <w:rsid w:val="00070C39"/>
    <w:rsid w:val="00072E0E"/>
    <w:rsid w:val="0007474F"/>
    <w:rsid w:val="00074AD2"/>
    <w:rsid w:val="00083B40"/>
    <w:rsid w:val="00084286"/>
    <w:rsid w:val="00085B67"/>
    <w:rsid w:val="0009069C"/>
    <w:rsid w:val="000913A4"/>
    <w:rsid w:val="000946D9"/>
    <w:rsid w:val="000A0D04"/>
    <w:rsid w:val="000A2046"/>
    <w:rsid w:val="000A2F8F"/>
    <w:rsid w:val="000A5FC0"/>
    <w:rsid w:val="000A7563"/>
    <w:rsid w:val="000A7AFC"/>
    <w:rsid w:val="000B1C76"/>
    <w:rsid w:val="000B25E7"/>
    <w:rsid w:val="000B6E9D"/>
    <w:rsid w:val="000C08DC"/>
    <w:rsid w:val="000C1FDF"/>
    <w:rsid w:val="000C3CA6"/>
    <w:rsid w:val="000D2600"/>
    <w:rsid w:val="000D2982"/>
    <w:rsid w:val="000D2B7D"/>
    <w:rsid w:val="000D4592"/>
    <w:rsid w:val="000D5E80"/>
    <w:rsid w:val="000D6149"/>
    <w:rsid w:val="000D7F54"/>
    <w:rsid w:val="000E26F3"/>
    <w:rsid w:val="000E30E1"/>
    <w:rsid w:val="000E4E7B"/>
    <w:rsid w:val="000E5086"/>
    <w:rsid w:val="000E64B9"/>
    <w:rsid w:val="000E6E8E"/>
    <w:rsid w:val="000F0847"/>
    <w:rsid w:val="000F38B2"/>
    <w:rsid w:val="000F6C28"/>
    <w:rsid w:val="000F7EE7"/>
    <w:rsid w:val="001013A1"/>
    <w:rsid w:val="001015D3"/>
    <w:rsid w:val="00101AD2"/>
    <w:rsid w:val="00107E15"/>
    <w:rsid w:val="001148FF"/>
    <w:rsid w:val="00116734"/>
    <w:rsid w:val="00121770"/>
    <w:rsid w:val="00124C81"/>
    <w:rsid w:val="0012574C"/>
    <w:rsid w:val="00132905"/>
    <w:rsid w:val="00135360"/>
    <w:rsid w:val="00136CCA"/>
    <w:rsid w:val="00140FF8"/>
    <w:rsid w:val="00151915"/>
    <w:rsid w:val="001546B0"/>
    <w:rsid w:val="00160F7A"/>
    <w:rsid w:val="001611A4"/>
    <w:rsid w:val="00161CE7"/>
    <w:rsid w:val="00166EA8"/>
    <w:rsid w:val="00167AE0"/>
    <w:rsid w:val="0017588D"/>
    <w:rsid w:val="001767D2"/>
    <w:rsid w:val="00177AE8"/>
    <w:rsid w:val="00180043"/>
    <w:rsid w:val="00184806"/>
    <w:rsid w:val="00192198"/>
    <w:rsid w:val="00192CA5"/>
    <w:rsid w:val="001970C8"/>
    <w:rsid w:val="00197C87"/>
    <w:rsid w:val="00197E27"/>
    <w:rsid w:val="001A00A9"/>
    <w:rsid w:val="001A3E0E"/>
    <w:rsid w:val="001A7BC0"/>
    <w:rsid w:val="001B1230"/>
    <w:rsid w:val="001B2627"/>
    <w:rsid w:val="001B2F67"/>
    <w:rsid w:val="001B3851"/>
    <w:rsid w:val="001B5594"/>
    <w:rsid w:val="001B73EF"/>
    <w:rsid w:val="001C0B66"/>
    <w:rsid w:val="001C30DD"/>
    <w:rsid w:val="001C3593"/>
    <w:rsid w:val="001C4029"/>
    <w:rsid w:val="001C77C9"/>
    <w:rsid w:val="001D52B3"/>
    <w:rsid w:val="001D7663"/>
    <w:rsid w:val="001D773C"/>
    <w:rsid w:val="001D7B92"/>
    <w:rsid w:val="001E427D"/>
    <w:rsid w:val="001E546F"/>
    <w:rsid w:val="001F06A3"/>
    <w:rsid w:val="001F0A4F"/>
    <w:rsid w:val="001F3F3A"/>
    <w:rsid w:val="001F4DE0"/>
    <w:rsid w:val="002008C9"/>
    <w:rsid w:val="0020347B"/>
    <w:rsid w:val="0020424F"/>
    <w:rsid w:val="00204F2D"/>
    <w:rsid w:val="00205FCF"/>
    <w:rsid w:val="00206286"/>
    <w:rsid w:val="0020784E"/>
    <w:rsid w:val="00210885"/>
    <w:rsid w:val="002116FF"/>
    <w:rsid w:val="00213247"/>
    <w:rsid w:val="00213B65"/>
    <w:rsid w:val="0021446D"/>
    <w:rsid w:val="0021462C"/>
    <w:rsid w:val="00217009"/>
    <w:rsid w:val="0022086B"/>
    <w:rsid w:val="00220DBB"/>
    <w:rsid w:val="002260C7"/>
    <w:rsid w:val="0022617C"/>
    <w:rsid w:val="00231446"/>
    <w:rsid w:val="002337C8"/>
    <w:rsid w:val="00234632"/>
    <w:rsid w:val="00236BDE"/>
    <w:rsid w:val="00240048"/>
    <w:rsid w:val="0024081F"/>
    <w:rsid w:val="00240D5A"/>
    <w:rsid w:val="0024479E"/>
    <w:rsid w:val="00245F99"/>
    <w:rsid w:val="002468F2"/>
    <w:rsid w:val="00247F4B"/>
    <w:rsid w:val="00250874"/>
    <w:rsid w:val="00250D70"/>
    <w:rsid w:val="0025172B"/>
    <w:rsid w:val="00251FFE"/>
    <w:rsid w:val="00253B17"/>
    <w:rsid w:val="00255BB6"/>
    <w:rsid w:val="00257B44"/>
    <w:rsid w:val="00260614"/>
    <w:rsid w:val="00264435"/>
    <w:rsid w:val="00267C1E"/>
    <w:rsid w:val="00272BFE"/>
    <w:rsid w:val="00273145"/>
    <w:rsid w:val="002733C4"/>
    <w:rsid w:val="00273E60"/>
    <w:rsid w:val="00276A5E"/>
    <w:rsid w:val="002804DD"/>
    <w:rsid w:val="0028465B"/>
    <w:rsid w:val="002859C9"/>
    <w:rsid w:val="00291303"/>
    <w:rsid w:val="00294281"/>
    <w:rsid w:val="0029437F"/>
    <w:rsid w:val="00295217"/>
    <w:rsid w:val="00296744"/>
    <w:rsid w:val="002A6321"/>
    <w:rsid w:val="002A6992"/>
    <w:rsid w:val="002B14BB"/>
    <w:rsid w:val="002B16EE"/>
    <w:rsid w:val="002B5D2B"/>
    <w:rsid w:val="002B64BA"/>
    <w:rsid w:val="002B74B7"/>
    <w:rsid w:val="002C05CE"/>
    <w:rsid w:val="002C40C2"/>
    <w:rsid w:val="002C5298"/>
    <w:rsid w:val="002D1CDE"/>
    <w:rsid w:val="002D289B"/>
    <w:rsid w:val="002E179F"/>
    <w:rsid w:val="002E410A"/>
    <w:rsid w:val="002E43F7"/>
    <w:rsid w:val="002F0CA6"/>
    <w:rsid w:val="002F0DB4"/>
    <w:rsid w:val="002F1A60"/>
    <w:rsid w:val="002F1D44"/>
    <w:rsid w:val="00302179"/>
    <w:rsid w:val="00304CAD"/>
    <w:rsid w:val="0032121D"/>
    <w:rsid w:val="003249CD"/>
    <w:rsid w:val="00327472"/>
    <w:rsid w:val="0033096A"/>
    <w:rsid w:val="00331D9F"/>
    <w:rsid w:val="003346D6"/>
    <w:rsid w:val="00334A4D"/>
    <w:rsid w:val="00337224"/>
    <w:rsid w:val="00337A56"/>
    <w:rsid w:val="00342604"/>
    <w:rsid w:val="00351F21"/>
    <w:rsid w:val="0036114A"/>
    <w:rsid w:val="00362AAD"/>
    <w:rsid w:val="0036302E"/>
    <w:rsid w:val="003642EC"/>
    <w:rsid w:val="00367E9F"/>
    <w:rsid w:val="00370ADA"/>
    <w:rsid w:val="0037126D"/>
    <w:rsid w:val="00372A4F"/>
    <w:rsid w:val="00373FED"/>
    <w:rsid w:val="00376B8C"/>
    <w:rsid w:val="00380E2F"/>
    <w:rsid w:val="0038209D"/>
    <w:rsid w:val="00382B00"/>
    <w:rsid w:val="00382DB1"/>
    <w:rsid w:val="0038480E"/>
    <w:rsid w:val="00386447"/>
    <w:rsid w:val="003870ED"/>
    <w:rsid w:val="00387E1D"/>
    <w:rsid w:val="0039391C"/>
    <w:rsid w:val="003A0A69"/>
    <w:rsid w:val="003A1497"/>
    <w:rsid w:val="003A23A7"/>
    <w:rsid w:val="003A30BA"/>
    <w:rsid w:val="003A3CFC"/>
    <w:rsid w:val="003A46BD"/>
    <w:rsid w:val="003A6F93"/>
    <w:rsid w:val="003A7C48"/>
    <w:rsid w:val="003B10E5"/>
    <w:rsid w:val="003B2173"/>
    <w:rsid w:val="003B2A57"/>
    <w:rsid w:val="003B31C6"/>
    <w:rsid w:val="003B61C1"/>
    <w:rsid w:val="003C1DDE"/>
    <w:rsid w:val="003C6269"/>
    <w:rsid w:val="003C7CDF"/>
    <w:rsid w:val="003D1623"/>
    <w:rsid w:val="003D233E"/>
    <w:rsid w:val="003D52F8"/>
    <w:rsid w:val="003E1557"/>
    <w:rsid w:val="003E5FA6"/>
    <w:rsid w:val="003E60F2"/>
    <w:rsid w:val="003F0A2B"/>
    <w:rsid w:val="003F17D2"/>
    <w:rsid w:val="003F56EB"/>
    <w:rsid w:val="003F6B28"/>
    <w:rsid w:val="00400449"/>
    <w:rsid w:val="00405D8E"/>
    <w:rsid w:val="004069F8"/>
    <w:rsid w:val="0041057C"/>
    <w:rsid w:val="0041111D"/>
    <w:rsid w:val="00413802"/>
    <w:rsid w:val="00415906"/>
    <w:rsid w:val="00417947"/>
    <w:rsid w:val="0042021B"/>
    <w:rsid w:val="004218B7"/>
    <w:rsid w:val="00427EE9"/>
    <w:rsid w:val="00431B4D"/>
    <w:rsid w:val="004332BF"/>
    <w:rsid w:val="00436E37"/>
    <w:rsid w:val="0043778B"/>
    <w:rsid w:val="00440FEE"/>
    <w:rsid w:val="00442277"/>
    <w:rsid w:val="004431B4"/>
    <w:rsid w:val="0044324E"/>
    <w:rsid w:val="00445EB9"/>
    <w:rsid w:val="004476AD"/>
    <w:rsid w:val="00447C89"/>
    <w:rsid w:val="00452221"/>
    <w:rsid w:val="0045349F"/>
    <w:rsid w:val="00460B86"/>
    <w:rsid w:val="00466C87"/>
    <w:rsid w:val="00467BB0"/>
    <w:rsid w:val="0047114E"/>
    <w:rsid w:val="004718CF"/>
    <w:rsid w:val="00471EC9"/>
    <w:rsid w:val="004727C2"/>
    <w:rsid w:val="00474EB1"/>
    <w:rsid w:val="00475DED"/>
    <w:rsid w:val="00476E40"/>
    <w:rsid w:val="004773DD"/>
    <w:rsid w:val="00480DB9"/>
    <w:rsid w:val="004813C5"/>
    <w:rsid w:val="00483A5C"/>
    <w:rsid w:val="0048512D"/>
    <w:rsid w:val="0048607F"/>
    <w:rsid w:val="0048684C"/>
    <w:rsid w:val="0048740A"/>
    <w:rsid w:val="00492CF7"/>
    <w:rsid w:val="0049382B"/>
    <w:rsid w:val="0049511F"/>
    <w:rsid w:val="00496300"/>
    <w:rsid w:val="0049665D"/>
    <w:rsid w:val="004A7224"/>
    <w:rsid w:val="004A7E79"/>
    <w:rsid w:val="004B08CB"/>
    <w:rsid w:val="004B27B7"/>
    <w:rsid w:val="004B35B3"/>
    <w:rsid w:val="004B3860"/>
    <w:rsid w:val="004B39AE"/>
    <w:rsid w:val="004B3C71"/>
    <w:rsid w:val="004B4238"/>
    <w:rsid w:val="004B7D6D"/>
    <w:rsid w:val="004C57CD"/>
    <w:rsid w:val="004D1B03"/>
    <w:rsid w:val="004D1B82"/>
    <w:rsid w:val="004E1B51"/>
    <w:rsid w:val="004E2E89"/>
    <w:rsid w:val="004E2F08"/>
    <w:rsid w:val="004E428D"/>
    <w:rsid w:val="004E49FE"/>
    <w:rsid w:val="004E540C"/>
    <w:rsid w:val="004E5886"/>
    <w:rsid w:val="004E7ED6"/>
    <w:rsid w:val="004F0C57"/>
    <w:rsid w:val="004F3947"/>
    <w:rsid w:val="004F675D"/>
    <w:rsid w:val="0050037B"/>
    <w:rsid w:val="00500587"/>
    <w:rsid w:val="00505B1D"/>
    <w:rsid w:val="00513892"/>
    <w:rsid w:val="00523386"/>
    <w:rsid w:val="00523D26"/>
    <w:rsid w:val="005301B5"/>
    <w:rsid w:val="00531363"/>
    <w:rsid w:val="00532CF8"/>
    <w:rsid w:val="00532FAC"/>
    <w:rsid w:val="005332C9"/>
    <w:rsid w:val="0053346B"/>
    <w:rsid w:val="00537EF4"/>
    <w:rsid w:val="00540B7A"/>
    <w:rsid w:val="005443AF"/>
    <w:rsid w:val="00545F56"/>
    <w:rsid w:val="00547F9F"/>
    <w:rsid w:val="005532AE"/>
    <w:rsid w:val="00556271"/>
    <w:rsid w:val="00556624"/>
    <w:rsid w:val="00560256"/>
    <w:rsid w:val="005620CA"/>
    <w:rsid w:val="0056529E"/>
    <w:rsid w:val="0056606E"/>
    <w:rsid w:val="0056636B"/>
    <w:rsid w:val="00570735"/>
    <w:rsid w:val="00572044"/>
    <w:rsid w:val="0057714A"/>
    <w:rsid w:val="005868B4"/>
    <w:rsid w:val="005901F6"/>
    <w:rsid w:val="005948F0"/>
    <w:rsid w:val="005A7D54"/>
    <w:rsid w:val="005A7DA2"/>
    <w:rsid w:val="005B202E"/>
    <w:rsid w:val="005B25E4"/>
    <w:rsid w:val="005B4850"/>
    <w:rsid w:val="005B6931"/>
    <w:rsid w:val="005B7534"/>
    <w:rsid w:val="005B7594"/>
    <w:rsid w:val="005C08B9"/>
    <w:rsid w:val="005C346A"/>
    <w:rsid w:val="005C41C9"/>
    <w:rsid w:val="005C5E67"/>
    <w:rsid w:val="005D0527"/>
    <w:rsid w:val="005D14AC"/>
    <w:rsid w:val="005D315D"/>
    <w:rsid w:val="005D4C49"/>
    <w:rsid w:val="005D655A"/>
    <w:rsid w:val="005D67F6"/>
    <w:rsid w:val="005D6881"/>
    <w:rsid w:val="005E1920"/>
    <w:rsid w:val="005E1D9B"/>
    <w:rsid w:val="005E2696"/>
    <w:rsid w:val="005E2A9F"/>
    <w:rsid w:val="005E3745"/>
    <w:rsid w:val="005E3919"/>
    <w:rsid w:val="005E5532"/>
    <w:rsid w:val="005F219D"/>
    <w:rsid w:val="0060118F"/>
    <w:rsid w:val="00603321"/>
    <w:rsid w:val="00603BDA"/>
    <w:rsid w:val="006042FB"/>
    <w:rsid w:val="00605260"/>
    <w:rsid w:val="00610A78"/>
    <w:rsid w:val="006161AB"/>
    <w:rsid w:val="00616647"/>
    <w:rsid w:val="00616CF1"/>
    <w:rsid w:val="00626022"/>
    <w:rsid w:val="00626601"/>
    <w:rsid w:val="00626999"/>
    <w:rsid w:val="00630CC6"/>
    <w:rsid w:val="006314B6"/>
    <w:rsid w:val="0063231D"/>
    <w:rsid w:val="00633019"/>
    <w:rsid w:val="00633338"/>
    <w:rsid w:val="00637318"/>
    <w:rsid w:val="006377AB"/>
    <w:rsid w:val="00641174"/>
    <w:rsid w:val="00641281"/>
    <w:rsid w:val="00642CF7"/>
    <w:rsid w:val="00645B81"/>
    <w:rsid w:val="00650765"/>
    <w:rsid w:val="0065158D"/>
    <w:rsid w:val="00651E5A"/>
    <w:rsid w:val="006531E1"/>
    <w:rsid w:val="0065506C"/>
    <w:rsid w:val="00655AD9"/>
    <w:rsid w:val="00656FA0"/>
    <w:rsid w:val="00657800"/>
    <w:rsid w:val="00657A03"/>
    <w:rsid w:val="00660411"/>
    <w:rsid w:val="006632B2"/>
    <w:rsid w:val="006645BF"/>
    <w:rsid w:val="00665FBA"/>
    <w:rsid w:val="00670B82"/>
    <w:rsid w:val="0067308A"/>
    <w:rsid w:val="00673719"/>
    <w:rsid w:val="006748C3"/>
    <w:rsid w:val="00676BB3"/>
    <w:rsid w:val="006813F6"/>
    <w:rsid w:val="006820E8"/>
    <w:rsid w:val="00683C3B"/>
    <w:rsid w:val="00684E22"/>
    <w:rsid w:val="0068748C"/>
    <w:rsid w:val="00687ED9"/>
    <w:rsid w:val="006936E7"/>
    <w:rsid w:val="00696035"/>
    <w:rsid w:val="006973D0"/>
    <w:rsid w:val="006A121E"/>
    <w:rsid w:val="006A6350"/>
    <w:rsid w:val="006B1E5B"/>
    <w:rsid w:val="006B3ADE"/>
    <w:rsid w:val="006C2C92"/>
    <w:rsid w:val="006C5B1D"/>
    <w:rsid w:val="006C60F6"/>
    <w:rsid w:val="006D1EFF"/>
    <w:rsid w:val="006D7E4A"/>
    <w:rsid w:val="006E29BF"/>
    <w:rsid w:val="006E739B"/>
    <w:rsid w:val="006E775D"/>
    <w:rsid w:val="006F0226"/>
    <w:rsid w:val="006F1997"/>
    <w:rsid w:val="006F233B"/>
    <w:rsid w:val="006F2801"/>
    <w:rsid w:val="006F4C9E"/>
    <w:rsid w:val="006F5764"/>
    <w:rsid w:val="006F6A10"/>
    <w:rsid w:val="006F738C"/>
    <w:rsid w:val="006F740C"/>
    <w:rsid w:val="00701420"/>
    <w:rsid w:val="0070183D"/>
    <w:rsid w:val="00702C2C"/>
    <w:rsid w:val="00705320"/>
    <w:rsid w:val="00705603"/>
    <w:rsid w:val="00705724"/>
    <w:rsid w:val="00710271"/>
    <w:rsid w:val="0071192D"/>
    <w:rsid w:val="007131BD"/>
    <w:rsid w:val="007153EB"/>
    <w:rsid w:val="00715995"/>
    <w:rsid w:val="007200AD"/>
    <w:rsid w:val="00720563"/>
    <w:rsid w:val="0072193F"/>
    <w:rsid w:val="007250A3"/>
    <w:rsid w:val="00726C2C"/>
    <w:rsid w:val="00726FE8"/>
    <w:rsid w:val="00727C0F"/>
    <w:rsid w:val="007326F0"/>
    <w:rsid w:val="00732CC7"/>
    <w:rsid w:val="007330F8"/>
    <w:rsid w:val="00733610"/>
    <w:rsid w:val="00734389"/>
    <w:rsid w:val="0073536A"/>
    <w:rsid w:val="00740EFA"/>
    <w:rsid w:val="00742944"/>
    <w:rsid w:val="007431FF"/>
    <w:rsid w:val="0074653D"/>
    <w:rsid w:val="00751B1F"/>
    <w:rsid w:val="00752B30"/>
    <w:rsid w:val="00755434"/>
    <w:rsid w:val="00763C87"/>
    <w:rsid w:val="00765089"/>
    <w:rsid w:val="00765FE0"/>
    <w:rsid w:val="00766A17"/>
    <w:rsid w:val="00767BAC"/>
    <w:rsid w:val="00770A98"/>
    <w:rsid w:val="0077269E"/>
    <w:rsid w:val="00772DF3"/>
    <w:rsid w:val="00775793"/>
    <w:rsid w:val="00784A60"/>
    <w:rsid w:val="00784E32"/>
    <w:rsid w:val="00787AA8"/>
    <w:rsid w:val="00790848"/>
    <w:rsid w:val="00793C33"/>
    <w:rsid w:val="007940BA"/>
    <w:rsid w:val="007A0132"/>
    <w:rsid w:val="007A0CFF"/>
    <w:rsid w:val="007A1AF9"/>
    <w:rsid w:val="007A61F6"/>
    <w:rsid w:val="007A7CB1"/>
    <w:rsid w:val="007B1AE2"/>
    <w:rsid w:val="007B3C07"/>
    <w:rsid w:val="007B6D70"/>
    <w:rsid w:val="007C3B48"/>
    <w:rsid w:val="007C45D1"/>
    <w:rsid w:val="007C499D"/>
    <w:rsid w:val="007C7474"/>
    <w:rsid w:val="007D2B42"/>
    <w:rsid w:val="007D3055"/>
    <w:rsid w:val="007D4CD0"/>
    <w:rsid w:val="007D6F2A"/>
    <w:rsid w:val="007E08ED"/>
    <w:rsid w:val="007E2095"/>
    <w:rsid w:val="007E2E33"/>
    <w:rsid w:val="007E7849"/>
    <w:rsid w:val="007F0647"/>
    <w:rsid w:val="007F3E89"/>
    <w:rsid w:val="007F5CCD"/>
    <w:rsid w:val="0080446C"/>
    <w:rsid w:val="00807F14"/>
    <w:rsid w:val="008115F1"/>
    <w:rsid w:val="00812FE0"/>
    <w:rsid w:val="008154E3"/>
    <w:rsid w:val="00823E92"/>
    <w:rsid w:val="00824075"/>
    <w:rsid w:val="0082577E"/>
    <w:rsid w:val="00826471"/>
    <w:rsid w:val="0082754D"/>
    <w:rsid w:val="008321D3"/>
    <w:rsid w:val="00833B97"/>
    <w:rsid w:val="008344AA"/>
    <w:rsid w:val="00837774"/>
    <w:rsid w:val="00840407"/>
    <w:rsid w:val="008410F2"/>
    <w:rsid w:val="00846C8A"/>
    <w:rsid w:val="00847EE7"/>
    <w:rsid w:val="00847F87"/>
    <w:rsid w:val="00851A6C"/>
    <w:rsid w:val="008536F9"/>
    <w:rsid w:val="0086100C"/>
    <w:rsid w:val="0086495A"/>
    <w:rsid w:val="008651A6"/>
    <w:rsid w:val="008662A4"/>
    <w:rsid w:val="008771A8"/>
    <w:rsid w:val="00880ECC"/>
    <w:rsid w:val="00881232"/>
    <w:rsid w:val="00883071"/>
    <w:rsid w:val="00885463"/>
    <w:rsid w:val="00892044"/>
    <w:rsid w:val="00893F6E"/>
    <w:rsid w:val="00894B82"/>
    <w:rsid w:val="00895E4D"/>
    <w:rsid w:val="008A0882"/>
    <w:rsid w:val="008A7EAB"/>
    <w:rsid w:val="008B0A39"/>
    <w:rsid w:val="008B14D3"/>
    <w:rsid w:val="008B1960"/>
    <w:rsid w:val="008B3509"/>
    <w:rsid w:val="008B7AAC"/>
    <w:rsid w:val="008B7F38"/>
    <w:rsid w:val="008C2E1F"/>
    <w:rsid w:val="008C5F6D"/>
    <w:rsid w:val="008D1EFF"/>
    <w:rsid w:val="008D287E"/>
    <w:rsid w:val="008D3D8A"/>
    <w:rsid w:val="008E6694"/>
    <w:rsid w:val="0090130B"/>
    <w:rsid w:val="00903377"/>
    <w:rsid w:val="009068DA"/>
    <w:rsid w:val="00910FB6"/>
    <w:rsid w:val="00911344"/>
    <w:rsid w:val="00913752"/>
    <w:rsid w:val="00913F4B"/>
    <w:rsid w:val="009155F1"/>
    <w:rsid w:val="009158BF"/>
    <w:rsid w:val="0091693F"/>
    <w:rsid w:val="00916CD6"/>
    <w:rsid w:val="00917E8D"/>
    <w:rsid w:val="00937115"/>
    <w:rsid w:val="009402A0"/>
    <w:rsid w:val="00940FC7"/>
    <w:rsid w:val="009443D4"/>
    <w:rsid w:val="00945137"/>
    <w:rsid w:val="00945A85"/>
    <w:rsid w:val="0094739D"/>
    <w:rsid w:val="0095409E"/>
    <w:rsid w:val="009579AF"/>
    <w:rsid w:val="00964E59"/>
    <w:rsid w:val="0096661A"/>
    <w:rsid w:val="0097285C"/>
    <w:rsid w:val="00972B4E"/>
    <w:rsid w:val="00972BB5"/>
    <w:rsid w:val="009747F8"/>
    <w:rsid w:val="00981585"/>
    <w:rsid w:val="00984042"/>
    <w:rsid w:val="0098412B"/>
    <w:rsid w:val="00984D91"/>
    <w:rsid w:val="00984E18"/>
    <w:rsid w:val="009854AA"/>
    <w:rsid w:val="00985E5F"/>
    <w:rsid w:val="00986E2B"/>
    <w:rsid w:val="009937AE"/>
    <w:rsid w:val="00995749"/>
    <w:rsid w:val="00995F81"/>
    <w:rsid w:val="00996FCD"/>
    <w:rsid w:val="009A02F6"/>
    <w:rsid w:val="009A09A0"/>
    <w:rsid w:val="009A1AD2"/>
    <w:rsid w:val="009A1E05"/>
    <w:rsid w:val="009A43E7"/>
    <w:rsid w:val="009A5AB3"/>
    <w:rsid w:val="009A62FC"/>
    <w:rsid w:val="009A7CC2"/>
    <w:rsid w:val="009B111C"/>
    <w:rsid w:val="009C13E6"/>
    <w:rsid w:val="009E0384"/>
    <w:rsid w:val="009E0948"/>
    <w:rsid w:val="009E0FB9"/>
    <w:rsid w:val="009E32A8"/>
    <w:rsid w:val="009E35DC"/>
    <w:rsid w:val="009E6033"/>
    <w:rsid w:val="009E7FBE"/>
    <w:rsid w:val="009F167D"/>
    <w:rsid w:val="009F2820"/>
    <w:rsid w:val="009F28FC"/>
    <w:rsid w:val="009F2C10"/>
    <w:rsid w:val="009F3915"/>
    <w:rsid w:val="009F64D4"/>
    <w:rsid w:val="009F6EA8"/>
    <w:rsid w:val="00A009DA"/>
    <w:rsid w:val="00A055A7"/>
    <w:rsid w:val="00A05A88"/>
    <w:rsid w:val="00A0752A"/>
    <w:rsid w:val="00A077A7"/>
    <w:rsid w:val="00A07F98"/>
    <w:rsid w:val="00A1084A"/>
    <w:rsid w:val="00A16BB0"/>
    <w:rsid w:val="00A173B5"/>
    <w:rsid w:val="00A23CBC"/>
    <w:rsid w:val="00A30914"/>
    <w:rsid w:val="00A31101"/>
    <w:rsid w:val="00A32D4A"/>
    <w:rsid w:val="00A35E06"/>
    <w:rsid w:val="00A37E58"/>
    <w:rsid w:val="00A40645"/>
    <w:rsid w:val="00A41F09"/>
    <w:rsid w:val="00A44F1E"/>
    <w:rsid w:val="00A45515"/>
    <w:rsid w:val="00A46E71"/>
    <w:rsid w:val="00A47797"/>
    <w:rsid w:val="00A50DB3"/>
    <w:rsid w:val="00A51B5F"/>
    <w:rsid w:val="00A53C65"/>
    <w:rsid w:val="00A60284"/>
    <w:rsid w:val="00A716B7"/>
    <w:rsid w:val="00A71F5B"/>
    <w:rsid w:val="00A73691"/>
    <w:rsid w:val="00A7552B"/>
    <w:rsid w:val="00A76741"/>
    <w:rsid w:val="00A8189B"/>
    <w:rsid w:val="00A9002E"/>
    <w:rsid w:val="00A91CE6"/>
    <w:rsid w:val="00A9449E"/>
    <w:rsid w:val="00AA200D"/>
    <w:rsid w:val="00AA22BE"/>
    <w:rsid w:val="00AA320C"/>
    <w:rsid w:val="00AA61EE"/>
    <w:rsid w:val="00AA7222"/>
    <w:rsid w:val="00AB1534"/>
    <w:rsid w:val="00AB1E6A"/>
    <w:rsid w:val="00AB4C48"/>
    <w:rsid w:val="00AB4FB4"/>
    <w:rsid w:val="00AB6B45"/>
    <w:rsid w:val="00AB70DA"/>
    <w:rsid w:val="00AB7964"/>
    <w:rsid w:val="00AB7DE8"/>
    <w:rsid w:val="00AC15E8"/>
    <w:rsid w:val="00AC1D9A"/>
    <w:rsid w:val="00AC2898"/>
    <w:rsid w:val="00AC48EB"/>
    <w:rsid w:val="00AC5680"/>
    <w:rsid w:val="00AC588A"/>
    <w:rsid w:val="00AD3567"/>
    <w:rsid w:val="00AD60E1"/>
    <w:rsid w:val="00AE20DF"/>
    <w:rsid w:val="00AE503B"/>
    <w:rsid w:val="00AE5D73"/>
    <w:rsid w:val="00AE6FDB"/>
    <w:rsid w:val="00AF72E3"/>
    <w:rsid w:val="00B0294E"/>
    <w:rsid w:val="00B03731"/>
    <w:rsid w:val="00B04C89"/>
    <w:rsid w:val="00B059C4"/>
    <w:rsid w:val="00B10CD4"/>
    <w:rsid w:val="00B132B7"/>
    <w:rsid w:val="00B13AD5"/>
    <w:rsid w:val="00B14632"/>
    <w:rsid w:val="00B15DC5"/>
    <w:rsid w:val="00B20F8F"/>
    <w:rsid w:val="00B228AC"/>
    <w:rsid w:val="00B22F1D"/>
    <w:rsid w:val="00B235D0"/>
    <w:rsid w:val="00B24875"/>
    <w:rsid w:val="00B27993"/>
    <w:rsid w:val="00B3207A"/>
    <w:rsid w:val="00B40008"/>
    <w:rsid w:val="00B41F9A"/>
    <w:rsid w:val="00B4390F"/>
    <w:rsid w:val="00B44BA9"/>
    <w:rsid w:val="00B47186"/>
    <w:rsid w:val="00B51A70"/>
    <w:rsid w:val="00B608CC"/>
    <w:rsid w:val="00B63143"/>
    <w:rsid w:val="00B63D9A"/>
    <w:rsid w:val="00B72EF9"/>
    <w:rsid w:val="00B73438"/>
    <w:rsid w:val="00B739F1"/>
    <w:rsid w:val="00B73DA9"/>
    <w:rsid w:val="00B7613C"/>
    <w:rsid w:val="00B8154A"/>
    <w:rsid w:val="00B82245"/>
    <w:rsid w:val="00B84D1B"/>
    <w:rsid w:val="00B86AF6"/>
    <w:rsid w:val="00B9524C"/>
    <w:rsid w:val="00B95DFE"/>
    <w:rsid w:val="00BA0488"/>
    <w:rsid w:val="00BA1259"/>
    <w:rsid w:val="00BA2498"/>
    <w:rsid w:val="00BA39B8"/>
    <w:rsid w:val="00BA70A4"/>
    <w:rsid w:val="00BB13BE"/>
    <w:rsid w:val="00BB27F0"/>
    <w:rsid w:val="00BB35EA"/>
    <w:rsid w:val="00BB3933"/>
    <w:rsid w:val="00BB3BDD"/>
    <w:rsid w:val="00BB5C0F"/>
    <w:rsid w:val="00BB72D2"/>
    <w:rsid w:val="00BB7471"/>
    <w:rsid w:val="00BC2454"/>
    <w:rsid w:val="00BC4978"/>
    <w:rsid w:val="00BC6D99"/>
    <w:rsid w:val="00BD0BFA"/>
    <w:rsid w:val="00BD196B"/>
    <w:rsid w:val="00BD1B95"/>
    <w:rsid w:val="00BD2D31"/>
    <w:rsid w:val="00BE0FE2"/>
    <w:rsid w:val="00BE2052"/>
    <w:rsid w:val="00BE33BF"/>
    <w:rsid w:val="00BE73F1"/>
    <w:rsid w:val="00BF102E"/>
    <w:rsid w:val="00BF1654"/>
    <w:rsid w:val="00BF6B92"/>
    <w:rsid w:val="00C04A84"/>
    <w:rsid w:val="00C05190"/>
    <w:rsid w:val="00C0554F"/>
    <w:rsid w:val="00C06265"/>
    <w:rsid w:val="00C067FD"/>
    <w:rsid w:val="00C12153"/>
    <w:rsid w:val="00C12251"/>
    <w:rsid w:val="00C14A2F"/>
    <w:rsid w:val="00C1703B"/>
    <w:rsid w:val="00C20E43"/>
    <w:rsid w:val="00C24A5A"/>
    <w:rsid w:val="00C27E49"/>
    <w:rsid w:val="00C30B49"/>
    <w:rsid w:val="00C3229B"/>
    <w:rsid w:val="00C32D4D"/>
    <w:rsid w:val="00C33EAA"/>
    <w:rsid w:val="00C356EC"/>
    <w:rsid w:val="00C40DB2"/>
    <w:rsid w:val="00C43935"/>
    <w:rsid w:val="00C447A1"/>
    <w:rsid w:val="00C45DFF"/>
    <w:rsid w:val="00C45F94"/>
    <w:rsid w:val="00C461B2"/>
    <w:rsid w:val="00C47EA5"/>
    <w:rsid w:val="00C54771"/>
    <w:rsid w:val="00C57168"/>
    <w:rsid w:val="00C61E61"/>
    <w:rsid w:val="00C67291"/>
    <w:rsid w:val="00C67E3F"/>
    <w:rsid w:val="00C71B31"/>
    <w:rsid w:val="00C80E46"/>
    <w:rsid w:val="00C82C67"/>
    <w:rsid w:val="00C838E6"/>
    <w:rsid w:val="00C910CE"/>
    <w:rsid w:val="00C91372"/>
    <w:rsid w:val="00C945B9"/>
    <w:rsid w:val="00C94FDC"/>
    <w:rsid w:val="00C95D30"/>
    <w:rsid w:val="00CA339D"/>
    <w:rsid w:val="00CA3CE0"/>
    <w:rsid w:val="00CA3E55"/>
    <w:rsid w:val="00CA4623"/>
    <w:rsid w:val="00CA4955"/>
    <w:rsid w:val="00CA536E"/>
    <w:rsid w:val="00CA6421"/>
    <w:rsid w:val="00CA6BFF"/>
    <w:rsid w:val="00CB3C71"/>
    <w:rsid w:val="00CB3E86"/>
    <w:rsid w:val="00CB4485"/>
    <w:rsid w:val="00CB4CB2"/>
    <w:rsid w:val="00CB5EB4"/>
    <w:rsid w:val="00CB7733"/>
    <w:rsid w:val="00CB7F24"/>
    <w:rsid w:val="00CC17B3"/>
    <w:rsid w:val="00CC21E3"/>
    <w:rsid w:val="00CD3D5B"/>
    <w:rsid w:val="00CD6710"/>
    <w:rsid w:val="00CF527A"/>
    <w:rsid w:val="00D06E73"/>
    <w:rsid w:val="00D077A0"/>
    <w:rsid w:val="00D1046C"/>
    <w:rsid w:val="00D1140D"/>
    <w:rsid w:val="00D11A00"/>
    <w:rsid w:val="00D11CAA"/>
    <w:rsid w:val="00D124D0"/>
    <w:rsid w:val="00D12835"/>
    <w:rsid w:val="00D140E9"/>
    <w:rsid w:val="00D15486"/>
    <w:rsid w:val="00D211CD"/>
    <w:rsid w:val="00D219EC"/>
    <w:rsid w:val="00D26A86"/>
    <w:rsid w:val="00D33272"/>
    <w:rsid w:val="00D3464F"/>
    <w:rsid w:val="00D425EF"/>
    <w:rsid w:val="00D44E55"/>
    <w:rsid w:val="00D47CBD"/>
    <w:rsid w:val="00D54283"/>
    <w:rsid w:val="00D57A2D"/>
    <w:rsid w:val="00D61108"/>
    <w:rsid w:val="00D61246"/>
    <w:rsid w:val="00D63C9F"/>
    <w:rsid w:val="00D64628"/>
    <w:rsid w:val="00D6496E"/>
    <w:rsid w:val="00D71D57"/>
    <w:rsid w:val="00D7442E"/>
    <w:rsid w:val="00D74BD4"/>
    <w:rsid w:val="00D817FB"/>
    <w:rsid w:val="00D8260B"/>
    <w:rsid w:val="00D830DB"/>
    <w:rsid w:val="00D83D34"/>
    <w:rsid w:val="00D8566D"/>
    <w:rsid w:val="00D90853"/>
    <w:rsid w:val="00D92E02"/>
    <w:rsid w:val="00D953F2"/>
    <w:rsid w:val="00D95C06"/>
    <w:rsid w:val="00D95E3E"/>
    <w:rsid w:val="00DA1906"/>
    <w:rsid w:val="00DA190B"/>
    <w:rsid w:val="00DA784B"/>
    <w:rsid w:val="00DB179B"/>
    <w:rsid w:val="00DB3414"/>
    <w:rsid w:val="00DC0F0A"/>
    <w:rsid w:val="00DC2302"/>
    <w:rsid w:val="00DC41A2"/>
    <w:rsid w:val="00DC4978"/>
    <w:rsid w:val="00DC4EBF"/>
    <w:rsid w:val="00DC7E33"/>
    <w:rsid w:val="00DC7E7A"/>
    <w:rsid w:val="00DD12A1"/>
    <w:rsid w:val="00DD5467"/>
    <w:rsid w:val="00DD58C5"/>
    <w:rsid w:val="00DD6C8E"/>
    <w:rsid w:val="00DE2B79"/>
    <w:rsid w:val="00DE31EE"/>
    <w:rsid w:val="00DE7569"/>
    <w:rsid w:val="00DF1FCD"/>
    <w:rsid w:val="00DF284C"/>
    <w:rsid w:val="00DF3BC3"/>
    <w:rsid w:val="00DF492E"/>
    <w:rsid w:val="00E14A27"/>
    <w:rsid w:val="00E159F3"/>
    <w:rsid w:val="00E15CC3"/>
    <w:rsid w:val="00E20194"/>
    <w:rsid w:val="00E237C5"/>
    <w:rsid w:val="00E2577F"/>
    <w:rsid w:val="00E25C21"/>
    <w:rsid w:val="00E31137"/>
    <w:rsid w:val="00E322C3"/>
    <w:rsid w:val="00E33702"/>
    <w:rsid w:val="00E33834"/>
    <w:rsid w:val="00E339B4"/>
    <w:rsid w:val="00E347AE"/>
    <w:rsid w:val="00E36C1C"/>
    <w:rsid w:val="00E37036"/>
    <w:rsid w:val="00E37D75"/>
    <w:rsid w:val="00E4286F"/>
    <w:rsid w:val="00E43588"/>
    <w:rsid w:val="00E45EC6"/>
    <w:rsid w:val="00E566EF"/>
    <w:rsid w:val="00E57659"/>
    <w:rsid w:val="00E61A85"/>
    <w:rsid w:val="00E63227"/>
    <w:rsid w:val="00E63AC3"/>
    <w:rsid w:val="00E645E9"/>
    <w:rsid w:val="00E7080C"/>
    <w:rsid w:val="00E7384E"/>
    <w:rsid w:val="00E75183"/>
    <w:rsid w:val="00E765B9"/>
    <w:rsid w:val="00E76EFF"/>
    <w:rsid w:val="00E835B8"/>
    <w:rsid w:val="00E8573F"/>
    <w:rsid w:val="00E85EEE"/>
    <w:rsid w:val="00E91627"/>
    <w:rsid w:val="00E91EDD"/>
    <w:rsid w:val="00E9459B"/>
    <w:rsid w:val="00E94BC0"/>
    <w:rsid w:val="00E975F1"/>
    <w:rsid w:val="00EA1166"/>
    <w:rsid w:val="00EA3F34"/>
    <w:rsid w:val="00EA4DF0"/>
    <w:rsid w:val="00EA5035"/>
    <w:rsid w:val="00EB10DB"/>
    <w:rsid w:val="00EB1391"/>
    <w:rsid w:val="00EC3801"/>
    <w:rsid w:val="00EC60A2"/>
    <w:rsid w:val="00EC6EE6"/>
    <w:rsid w:val="00EC741E"/>
    <w:rsid w:val="00ED7797"/>
    <w:rsid w:val="00EE1165"/>
    <w:rsid w:val="00EE164A"/>
    <w:rsid w:val="00EE288C"/>
    <w:rsid w:val="00EE294A"/>
    <w:rsid w:val="00EE46C6"/>
    <w:rsid w:val="00EE4AA9"/>
    <w:rsid w:val="00EE61F7"/>
    <w:rsid w:val="00EE783C"/>
    <w:rsid w:val="00EE7B8C"/>
    <w:rsid w:val="00EF078D"/>
    <w:rsid w:val="00EF1B85"/>
    <w:rsid w:val="00EF254E"/>
    <w:rsid w:val="00EF2B75"/>
    <w:rsid w:val="00EF3D03"/>
    <w:rsid w:val="00EF3F59"/>
    <w:rsid w:val="00EF54AB"/>
    <w:rsid w:val="00EF78E1"/>
    <w:rsid w:val="00F0120E"/>
    <w:rsid w:val="00F028DC"/>
    <w:rsid w:val="00F043F6"/>
    <w:rsid w:val="00F04887"/>
    <w:rsid w:val="00F05636"/>
    <w:rsid w:val="00F0613F"/>
    <w:rsid w:val="00F105A8"/>
    <w:rsid w:val="00F105EC"/>
    <w:rsid w:val="00F109FE"/>
    <w:rsid w:val="00F11A09"/>
    <w:rsid w:val="00F12461"/>
    <w:rsid w:val="00F14EC2"/>
    <w:rsid w:val="00F165F2"/>
    <w:rsid w:val="00F16688"/>
    <w:rsid w:val="00F16901"/>
    <w:rsid w:val="00F16BCA"/>
    <w:rsid w:val="00F22A94"/>
    <w:rsid w:val="00F24771"/>
    <w:rsid w:val="00F269A3"/>
    <w:rsid w:val="00F26B9D"/>
    <w:rsid w:val="00F272CC"/>
    <w:rsid w:val="00F30517"/>
    <w:rsid w:val="00F317D7"/>
    <w:rsid w:val="00F414EC"/>
    <w:rsid w:val="00F42F33"/>
    <w:rsid w:val="00F4301B"/>
    <w:rsid w:val="00F438EA"/>
    <w:rsid w:val="00F44C3E"/>
    <w:rsid w:val="00F50B15"/>
    <w:rsid w:val="00F519D4"/>
    <w:rsid w:val="00F54FEB"/>
    <w:rsid w:val="00F55F0F"/>
    <w:rsid w:val="00F576DF"/>
    <w:rsid w:val="00F60762"/>
    <w:rsid w:val="00F61B76"/>
    <w:rsid w:val="00F6331D"/>
    <w:rsid w:val="00F6615D"/>
    <w:rsid w:val="00F669DD"/>
    <w:rsid w:val="00F6728F"/>
    <w:rsid w:val="00F6771C"/>
    <w:rsid w:val="00F67FEB"/>
    <w:rsid w:val="00F700AB"/>
    <w:rsid w:val="00F707FF"/>
    <w:rsid w:val="00F71C0B"/>
    <w:rsid w:val="00F71CF0"/>
    <w:rsid w:val="00F71EE8"/>
    <w:rsid w:val="00F730A5"/>
    <w:rsid w:val="00F743A4"/>
    <w:rsid w:val="00F76E15"/>
    <w:rsid w:val="00F83984"/>
    <w:rsid w:val="00F86660"/>
    <w:rsid w:val="00F8705B"/>
    <w:rsid w:val="00F90604"/>
    <w:rsid w:val="00F9191F"/>
    <w:rsid w:val="00F9629B"/>
    <w:rsid w:val="00FA7022"/>
    <w:rsid w:val="00FB039A"/>
    <w:rsid w:val="00FB0EFE"/>
    <w:rsid w:val="00FB4672"/>
    <w:rsid w:val="00FB4DBB"/>
    <w:rsid w:val="00FC33E0"/>
    <w:rsid w:val="00FC3979"/>
    <w:rsid w:val="00FC3EF0"/>
    <w:rsid w:val="00FC59B4"/>
    <w:rsid w:val="00FD1F61"/>
    <w:rsid w:val="00FD6D12"/>
    <w:rsid w:val="00FD7B40"/>
    <w:rsid w:val="00FE1D0E"/>
    <w:rsid w:val="00FE2772"/>
    <w:rsid w:val="00FE2DD8"/>
    <w:rsid w:val="00FE34D1"/>
    <w:rsid w:val="00FE562D"/>
    <w:rsid w:val="00FE5E30"/>
    <w:rsid w:val="00FE6259"/>
    <w:rsid w:val="00FF2D0C"/>
    <w:rsid w:val="00FF35DB"/>
    <w:rsid w:val="00FF4842"/>
    <w:rsid w:val="00FF5CC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2D4B4"/>
  <w15:docId w15:val="{2C99EF5B-62D0-4E42-A925-A44395BF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68DA"/>
    <w:pPr>
      <w:spacing w:after="0" w:line="288" w:lineRule="auto"/>
    </w:pPr>
    <w:rPr>
      <w:rFonts w:ascii="Verdana" w:eastAsia="Times New Roman" w:hAnsi="Verdana" w:cs="Times New Roman"/>
      <w:sz w:val="20"/>
      <w:szCs w:val="24"/>
      <w:lang w:val="en-GB"/>
    </w:rPr>
  </w:style>
  <w:style w:type="paragraph" w:styleId="Nadpis1">
    <w:name w:val="heading 1"/>
    <w:basedOn w:val="Normlny"/>
    <w:link w:val="Nadpis1Char"/>
    <w:qFormat/>
    <w:rsid w:val="009068DA"/>
    <w:pPr>
      <w:spacing w:line="240" w:lineRule="exact"/>
      <w:outlineLvl w:val="0"/>
    </w:pPr>
    <w:rPr>
      <w:color w:val="002957"/>
      <w:sz w:val="24"/>
    </w:rPr>
  </w:style>
  <w:style w:type="paragraph" w:styleId="Nadpis2">
    <w:name w:val="heading 2"/>
    <w:basedOn w:val="Normlny"/>
    <w:next w:val="Normlny"/>
    <w:link w:val="Nadpis2Char"/>
    <w:qFormat/>
    <w:rsid w:val="009068DA"/>
    <w:pPr>
      <w:keepNext/>
      <w:spacing w:line="240" w:lineRule="auto"/>
      <w:jc w:val="both"/>
      <w:outlineLvl w:val="1"/>
    </w:pPr>
    <w:rPr>
      <w:sz w:val="24"/>
      <w:szCs w:val="20"/>
      <w:lang w:val="nl-NL" w:eastAsia="nl-NL"/>
    </w:rPr>
  </w:style>
  <w:style w:type="paragraph" w:styleId="Nadpis3">
    <w:name w:val="heading 3"/>
    <w:basedOn w:val="Normlny"/>
    <w:next w:val="Normlny"/>
    <w:link w:val="Nadpis3Char"/>
    <w:qFormat/>
    <w:rsid w:val="009068DA"/>
    <w:pPr>
      <w:keepNext/>
      <w:spacing w:line="240" w:lineRule="auto"/>
      <w:outlineLvl w:val="2"/>
    </w:pPr>
    <w:rPr>
      <w:rFonts w:cs="Arial"/>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068DA"/>
    <w:rPr>
      <w:rFonts w:ascii="Verdana" w:eastAsia="Times New Roman" w:hAnsi="Verdana" w:cs="Times New Roman"/>
      <w:color w:val="002957"/>
      <w:sz w:val="24"/>
      <w:szCs w:val="24"/>
      <w:lang w:val="en-GB"/>
    </w:rPr>
  </w:style>
  <w:style w:type="character" w:customStyle="1" w:styleId="Nadpis2Char">
    <w:name w:val="Nadpis 2 Char"/>
    <w:basedOn w:val="Predvolenpsmoodseku"/>
    <w:link w:val="Nadpis2"/>
    <w:rsid w:val="009068DA"/>
    <w:rPr>
      <w:rFonts w:ascii="Verdana" w:eastAsia="Times New Roman" w:hAnsi="Verdana" w:cs="Times New Roman"/>
      <w:sz w:val="24"/>
      <w:szCs w:val="20"/>
      <w:lang w:val="nl-NL" w:eastAsia="nl-NL"/>
    </w:rPr>
  </w:style>
  <w:style w:type="character" w:customStyle="1" w:styleId="Nadpis3Char">
    <w:name w:val="Nadpis 3 Char"/>
    <w:basedOn w:val="Predvolenpsmoodseku"/>
    <w:link w:val="Nadpis3"/>
    <w:rsid w:val="009068DA"/>
    <w:rPr>
      <w:rFonts w:ascii="Verdana" w:eastAsia="Times New Roman" w:hAnsi="Verdana" w:cs="Arial"/>
      <w:b/>
      <w:bCs/>
      <w:sz w:val="20"/>
      <w:szCs w:val="26"/>
      <w:lang w:val="en-GB"/>
    </w:rPr>
  </w:style>
  <w:style w:type="paragraph" w:styleId="Hlavika">
    <w:name w:val="header"/>
    <w:basedOn w:val="Normlny"/>
    <w:link w:val="HlavikaChar"/>
    <w:semiHidden/>
    <w:rsid w:val="009068DA"/>
    <w:pPr>
      <w:tabs>
        <w:tab w:val="center" w:pos="4320"/>
        <w:tab w:val="right" w:pos="8640"/>
      </w:tabs>
    </w:pPr>
  </w:style>
  <w:style w:type="character" w:customStyle="1" w:styleId="HlavikaChar">
    <w:name w:val="Hlavička Char"/>
    <w:basedOn w:val="Predvolenpsmoodseku"/>
    <w:link w:val="Hlavika"/>
    <w:semiHidden/>
    <w:rsid w:val="009068DA"/>
    <w:rPr>
      <w:rFonts w:ascii="Verdana" w:eastAsia="Times New Roman" w:hAnsi="Verdana" w:cs="Times New Roman"/>
      <w:sz w:val="20"/>
      <w:szCs w:val="24"/>
      <w:lang w:val="en-GB"/>
    </w:rPr>
  </w:style>
  <w:style w:type="paragraph" w:styleId="Pta">
    <w:name w:val="footer"/>
    <w:basedOn w:val="Normlny"/>
    <w:link w:val="PtaChar"/>
    <w:semiHidden/>
    <w:rsid w:val="009068DA"/>
    <w:pPr>
      <w:tabs>
        <w:tab w:val="center" w:pos="4320"/>
        <w:tab w:val="right" w:pos="8640"/>
      </w:tabs>
    </w:pPr>
  </w:style>
  <w:style w:type="character" w:customStyle="1" w:styleId="PtaChar">
    <w:name w:val="Päta Char"/>
    <w:basedOn w:val="Predvolenpsmoodseku"/>
    <w:link w:val="Pta"/>
    <w:semiHidden/>
    <w:rsid w:val="009068DA"/>
    <w:rPr>
      <w:rFonts w:ascii="Verdana" w:eastAsia="Times New Roman" w:hAnsi="Verdana" w:cs="Times New Roman"/>
      <w:sz w:val="20"/>
      <w:szCs w:val="24"/>
      <w:lang w:val="en-GB"/>
    </w:rPr>
  </w:style>
  <w:style w:type="paragraph" w:customStyle="1" w:styleId="Noparagraphstyle">
    <w:name w:val="[No paragraph style]"/>
    <w:semiHidden/>
    <w:rsid w:val="009068D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9068DA"/>
  </w:style>
  <w:style w:type="paragraph" w:customStyle="1" w:styleId="CEAAgendaBlueText">
    <w:name w:val="CEA Agenda Blue Text"/>
    <w:basedOn w:val="Normlny"/>
    <w:qFormat/>
    <w:rsid w:val="009068DA"/>
    <w:pPr>
      <w:jc w:val="center"/>
    </w:pPr>
    <w:rPr>
      <w:color w:val="034EA2"/>
      <w:szCs w:val="20"/>
    </w:rPr>
  </w:style>
  <w:style w:type="paragraph" w:customStyle="1" w:styleId="CEADocumentType">
    <w:name w:val="CEA Document Type"/>
    <w:basedOn w:val="Normlny"/>
    <w:semiHidden/>
    <w:qFormat/>
    <w:rsid w:val="009068DA"/>
    <w:pPr>
      <w:jc w:val="right"/>
    </w:pPr>
    <w:rPr>
      <w:rFonts w:cs="Arial"/>
      <w:b/>
      <w:color w:val="034EA2"/>
      <w:sz w:val="40"/>
      <w:szCs w:val="40"/>
    </w:rPr>
  </w:style>
  <w:style w:type="paragraph" w:customStyle="1" w:styleId="CEADraft">
    <w:name w:val="CEA Draft"/>
    <w:basedOn w:val="CEADocumentType"/>
    <w:semiHidden/>
    <w:qFormat/>
    <w:rsid w:val="009068DA"/>
    <w:rPr>
      <w:i/>
      <w:sz w:val="32"/>
    </w:rPr>
  </w:style>
  <w:style w:type="character" w:customStyle="1" w:styleId="CEAGraphTitle">
    <w:name w:val="CEA Graph Title"/>
    <w:basedOn w:val="Predvolenpsmoodseku"/>
    <w:uiPriority w:val="1"/>
    <w:qFormat/>
    <w:rsid w:val="009068DA"/>
    <w:rPr>
      <w:rFonts w:ascii="Verdana" w:hAnsi="Verdana"/>
      <w:smallCaps w:val="0"/>
      <w:sz w:val="19"/>
      <w:lang w:val="en-GB"/>
    </w:rPr>
  </w:style>
  <w:style w:type="paragraph" w:customStyle="1" w:styleId="CEALabel">
    <w:name w:val="CEA Label"/>
    <w:basedOn w:val="Normlny"/>
    <w:semiHidden/>
    <w:qFormat/>
    <w:rsid w:val="009068D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ToLine">
    <w:name w:val="CEA To Line"/>
    <w:basedOn w:val="Noparagraphstyle"/>
    <w:semiHidden/>
    <w:qFormat/>
    <w:rsid w:val="009068DA"/>
    <w:pPr>
      <w:spacing w:line="240" w:lineRule="auto"/>
    </w:pPr>
    <w:rPr>
      <w:rFonts w:ascii="Frutiger LT Com 45 Light" w:hAnsi="Frutiger LT Com 45 Light"/>
      <w:b/>
      <w:sz w:val="28"/>
      <w:szCs w:val="28"/>
    </w:rPr>
  </w:style>
  <w:style w:type="paragraph" w:customStyle="1" w:styleId="CEABullet-Level1">
    <w:name w:val="CEA Bullet - Level 1"/>
    <w:basedOn w:val="Normlny"/>
    <w:qFormat/>
    <w:rsid w:val="00452221"/>
    <w:pPr>
      <w:autoSpaceDE w:val="0"/>
      <w:autoSpaceDN w:val="0"/>
      <w:adjustRightInd w:val="0"/>
      <w:jc w:val="both"/>
    </w:pPr>
    <w:rPr>
      <w:rFonts w:cs="Frutiger LT Std 45 Light"/>
      <w:color w:val="000000"/>
      <w:sz w:val="17"/>
      <w:szCs w:val="20"/>
    </w:rPr>
  </w:style>
  <w:style w:type="paragraph" w:customStyle="1" w:styleId="CEABullet-Level2">
    <w:name w:val="CEA Bullet - Level 2"/>
    <w:basedOn w:val="CEABullet-Level1"/>
    <w:next w:val="Normlny"/>
    <w:qFormat/>
    <w:rsid w:val="00452221"/>
    <w:pPr>
      <w:numPr>
        <w:numId w:val="2"/>
      </w:numPr>
    </w:pPr>
  </w:style>
  <w:style w:type="paragraph" w:customStyle="1" w:styleId="CEABullet-Level3">
    <w:name w:val="CEA Bullet - Level 3"/>
    <w:basedOn w:val="Normlny"/>
    <w:qFormat/>
    <w:rsid w:val="00452221"/>
    <w:pPr>
      <w:autoSpaceDE w:val="0"/>
      <w:autoSpaceDN w:val="0"/>
      <w:adjustRightInd w:val="0"/>
      <w:jc w:val="both"/>
    </w:pPr>
    <w:rPr>
      <w:rFonts w:cs="Frutiger LT Std 45 Light"/>
      <w:color w:val="000000"/>
      <w:sz w:val="17"/>
      <w:szCs w:val="20"/>
    </w:rPr>
  </w:style>
  <w:style w:type="paragraph" w:customStyle="1" w:styleId="CEADirectorGeneral">
    <w:name w:val="CEA Director General"/>
    <w:basedOn w:val="Normlny"/>
    <w:semiHidden/>
    <w:qFormat/>
    <w:rsid w:val="00452221"/>
    <w:pPr>
      <w:tabs>
        <w:tab w:val="right" w:pos="360"/>
        <w:tab w:val="left" w:pos="540"/>
      </w:tabs>
      <w:autoSpaceDE w:val="0"/>
      <w:autoSpaceDN w:val="0"/>
      <w:adjustRightInd w:val="0"/>
      <w:jc w:val="both"/>
      <w:textAlignment w:val="center"/>
    </w:pPr>
    <w:rPr>
      <w:sz w:val="22"/>
      <w:szCs w:val="22"/>
    </w:rPr>
  </w:style>
  <w:style w:type="paragraph" w:customStyle="1" w:styleId="CEAFooterauthorinfo">
    <w:name w:val="CEA Footer (author info)"/>
    <w:basedOn w:val="Normlny"/>
    <w:semiHidden/>
    <w:qFormat/>
    <w:rsid w:val="00452221"/>
    <w:pPr>
      <w:autoSpaceDE w:val="0"/>
      <w:autoSpaceDN w:val="0"/>
      <w:adjustRightInd w:val="0"/>
      <w:jc w:val="both"/>
      <w:textAlignment w:val="center"/>
    </w:pPr>
    <w:rPr>
      <w:rFonts w:cs="Arial"/>
      <w:b/>
      <w:color w:val="034EA2"/>
      <w:sz w:val="16"/>
      <w:szCs w:val="16"/>
    </w:rPr>
  </w:style>
  <w:style w:type="paragraph" w:customStyle="1" w:styleId="CEAFootnote">
    <w:name w:val="CEA Footnote"/>
    <w:basedOn w:val="Normlny"/>
    <w:semiHidden/>
    <w:qFormat/>
    <w:rsid w:val="00452221"/>
    <w:pPr>
      <w:spacing w:line="240" w:lineRule="auto"/>
      <w:jc w:val="both"/>
    </w:pPr>
    <w:rPr>
      <w:sz w:val="16"/>
    </w:rPr>
  </w:style>
  <w:style w:type="character" w:customStyle="1" w:styleId="CEAGraphX">
    <w:name w:val="CEA Graph X"/>
    <w:uiPriority w:val="1"/>
    <w:qFormat/>
    <w:rsid w:val="00452221"/>
    <w:rPr>
      <w:rFonts w:ascii="Verdana" w:hAnsi="Verdana"/>
      <w:smallCaps/>
      <w:sz w:val="19"/>
      <w:lang w:val="en-GB"/>
    </w:rPr>
  </w:style>
  <w:style w:type="paragraph" w:customStyle="1" w:styleId="CEAPositionPaperTitle">
    <w:name w:val="CEA Position Paper Title"/>
    <w:basedOn w:val="Normlny"/>
    <w:semiHidden/>
    <w:qFormat/>
    <w:rsid w:val="00452221"/>
    <w:pPr>
      <w:ind w:left="-27"/>
      <w:jc w:val="both"/>
    </w:pPr>
    <w:rPr>
      <w:b/>
      <w:color w:val="034EA2"/>
      <w:sz w:val="32"/>
      <w:szCs w:val="32"/>
    </w:rPr>
  </w:style>
  <w:style w:type="paragraph" w:customStyle="1" w:styleId="CEAPressReleaseSubtitle">
    <w:name w:val="CEA Press Release Subtitle"/>
    <w:basedOn w:val="Normlny"/>
    <w:semiHidden/>
    <w:qFormat/>
    <w:rsid w:val="00452221"/>
    <w:pPr>
      <w:jc w:val="both"/>
    </w:pPr>
    <w:rPr>
      <w:sz w:val="22"/>
      <w:szCs w:val="22"/>
    </w:rPr>
  </w:style>
  <w:style w:type="paragraph" w:customStyle="1" w:styleId="CEAPressReleaseTitle">
    <w:name w:val="CEA Press Release Title"/>
    <w:basedOn w:val="Normlny"/>
    <w:semiHidden/>
    <w:qFormat/>
    <w:rsid w:val="00452221"/>
    <w:pPr>
      <w:autoSpaceDE w:val="0"/>
      <w:autoSpaceDN w:val="0"/>
      <w:adjustRightInd w:val="0"/>
      <w:spacing w:line="240" w:lineRule="auto"/>
      <w:jc w:val="both"/>
    </w:pPr>
    <w:rPr>
      <w:rFonts w:ascii="Frutiger LT Com 45 Light" w:hAnsi="Frutiger LT Com 45 Light"/>
      <w:b/>
      <w:color w:val="034EA2"/>
      <w:sz w:val="36"/>
      <w:szCs w:val="36"/>
    </w:rPr>
  </w:style>
  <w:style w:type="paragraph" w:customStyle="1" w:styleId="CEASubjectLine">
    <w:name w:val="CEA Subject Line"/>
    <w:basedOn w:val="Normlny"/>
    <w:semiHidden/>
    <w:qFormat/>
    <w:rsid w:val="00452221"/>
    <w:pPr>
      <w:jc w:val="both"/>
    </w:pPr>
    <w:rPr>
      <w:rFonts w:cs="Frutiger LT Std 55 Roman"/>
      <w:b/>
      <w:sz w:val="17"/>
      <w:szCs w:val="20"/>
    </w:rPr>
  </w:style>
  <w:style w:type="paragraph" w:customStyle="1" w:styleId="AgendaLevel1">
    <w:name w:val="Agenda Level 1"/>
    <w:basedOn w:val="Normlny"/>
    <w:rsid w:val="008154E3"/>
    <w:pPr>
      <w:numPr>
        <w:numId w:val="3"/>
      </w:numPr>
      <w:spacing w:line="240" w:lineRule="exact"/>
      <w:jc w:val="both"/>
    </w:pPr>
    <w:rPr>
      <w:b/>
      <w:sz w:val="17"/>
      <w:szCs w:val="20"/>
    </w:rPr>
  </w:style>
  <w:style w:type="character" w:styleId="Hypertextovprepojenie">
    <w:name w:val="Hyperlink"/>
    <w:uiPriority w:val="99"/>
    <w:unhideWhenUsed/>
    <w:rsid w:val="008154E3"/>
    <w:rPr>
      <w:color w:val="0000FF"/>
      <w:u w:val="single"/>
    </w:rPr>
  </w:style>
  <w:style w:type="paragraph" w:styleId="Odsekzoznamu">
    <w:name w:val="List Paragraph"/>
    <w:basedOn w:val="Normlny"/>
    <w:uiPriority w:val="34"/>
    <w:qFormat/>
    <w:rsid w:val="00C04A84"/>
    <w:pPr>
      <w:ind w:left="720"/>
      <w:contextualSpacing/>
      <w:jc w:val="both"/>
    </w:pPr>
    <w:rPr>
      <w:sz w:val="17"/>
    </w:rPr>
  </w:style>
  <w:style w:type="paragraph" w:styleId="Textbubliny">
    <w:name w:val="Balloon Text"/>
    <w:basedOn w:val="Normlny"/>
    <w:link w:val="TextbublinyChar"/>
    <w:uiPriority w:val="99"/>
    <w:semiHidden/>
    <w:unhideWhenUsed/>
    <w:rsid w:val="00B132B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32B7"/>
    <w:rPr>
      <w:rFonts w:ascii="Segoe UI" w:eastAsia="Times New Roman" w:hAnsi="Segoe UI" w:cs="Segoe UI"/>
      <w:sz w:val="18"/>
      <w:szCs w:val="18"/>
      <w:lang w:val="en-GB"/>
    </w:rPr>
  </w:style>
  <w:style w:type="character" w:styleId="Odkaznakomentr">
    <w:name w:val="annotation reference"/>
    <w:basedOn w:val="Predvolenpsmoodseku"/>
    <w:semiHidden/>
    <w:unhideWhenUsed/>
    <w:rsid w:val="003B10E5"/>
    <w:rPr>
      <w:sz w:val="16"/>
      <w:szCs w:val="16"/>
    </w:rPr>
  </w:style>
  <w:style w:type="paragraph" w:styleId="Textkomentra">
    <w:name w:val="annotation text"/>
    <w:basedOn w:val="Normlny"/>
    <w:link w:val="TextkomentraChar"/>
    <w:unhideWhenUsed/>
    <w:rsid w:val="003B10E5"/>
    <w:pPr>
      <w:spacing w:line="240" w:lineRule="auto"/>
    </w:pPr>
    <w:rPr>
      <w:szCs w:val="20"/>
    </w:rPr>
  </w:style>
  <w:style w:type="character" w:customStyle="1" w:styleId="TextkomentraChar">
    <w:name w:val="Text komentára Char"/>
    <w:basedOn w:val="Predvolenpsmoodseku"/>
    <w:link w:val="Textkomentra"/>
    <w:rsid w:val="003B10E5"/>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3B10E5"/>
    <w:rPr>
      <w:b/>
      <w:bCs/>
    </w:rPr>
  </w:style>
  <w:style w:type="character" w:customStyle="1" w:styleId="PredmetkomentraChar">
    <w:name w:val="Predmet komentára Char"/>
    <w:basedOn w:val="TextkomentraChar"/>
    <w:link w:val="Predmetkomentra"/>
    <w:uiPriority w:val="99"/>
    <w:semiHidden/>
    <w:rsid w:val="003B10E5"/>
    <w:rPr>
      <w:rFonts w:ascii="Verdana" w:eastAsia="Times New Roman" w:hAnsi="Verdana" w:cs="Times New Roman"/>
      <w:b/>
      <w:bCs/>
      <w:sz w:val="20"/>
      <w:szCs w:val="20"/>
      <w:lang w:val="en-GB"/>
    </w:rPr>
  </w:style>
  <w:style w:type="paragraph" w:styleId="Revzia">
    <w:name w:val="Revision"/>
    <w:hidden/>
    <w:uiPriority w:val="99"/>
    <w:semiHidden/>
    <w:rsid w:val="00DF492E"/>
    <w:pPr>
      <w:spacing w:after="0" w:line="240" w:lineRule="auto"/>
    </w:pPr>
    <w:rPr>
      <w:rFonts w:ascii="Verdana" w:eastAsia="Times New Roman" w:hAnsi="Verdana" w:cs="Times New Roman"/>
      <w:sz w:val="20"/>
      <w:szCs w:val="24"/>
      <w:lang w:val="en-GB"/>
    </w:rPr>
  </w:style>
  <w:style w:type="character" w:styleId="PouitHypertextovPrepojenie">
    <w:name w:val="FollowedHyperlink"/>
    <w:basedOn w:val="Predvolenpsmoodseku"/>
    <w:uiPriority w:val="99"/>
    <w:semiHidden/>
    <w:unhideWhenUsed/>
    <w:rsid w:val="0072193F"/>
    <w:rPr>
      <w:color w:val="800080" w:themeColor="followedHyperlink"/>
      <w:u w:val="single"/>
    </w:rPr>
  </w:style>
  <w:style w:type="paragraph" w:customStyle="1" w:styleId="Default">
    <w:name w:val="Default"/>
    <w:rsid w:val="009F167D"/>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841">
      <w:bodyDiv w:val="1"/>
      <w:marLeft w:val="0"/>
      <w:marRight w:val="0"/>
      <w:marTop w:val="0"/>
      <w:marBottom w:val="0"/>
      <w:divBdr>
        <w:top w:val="none" w:sz="0" w:space="0" w:color="auto"/>
        <w:left w:val="none" w:sz="0" w:space="0" w:color="auto"/>
        <w:bottom w:val="none" w:sz="0" w:space="0" w:color="auto"/>
        <w:right w:val="none" w:sz="0" w:space="0" w:color="auto"/>
      </w:divBdr>
    </w:div>
    <w:div w:id="167136735">
      <w:bodyDiv w:val="1"/>
      <w:marLeft w:val="0"/>
      <w:marRight w:val="0"/>
      <w:marTop w:val="0"/>
      <w:marBottom w:val="0"/>
      <w:divBdr>
        <w:top w:val="none" w:sz="0" w:space="0" w:color="auto"/>
        <w:left w:val="none" w:sz="0" w:space="0" w:color="auto"/>
        <w:bottom w:val="none" w:sz="0" w:space="0" w:color="auto"/>
        <w:right w:val="none" w:sz="0" w:space="0" w:color="auto"/>
      </w:divBdr>
    </w:div>
    <w:div w:id="174226611">
      <w:bodyDiv w:val="1"/>
      <w:marLeft w:val="0"/>
      <w:marRight w:val="0"/>
      <w:marTop w:val="0"/>
      <w:marBottom w:val="0"/>
      <w:divBdr>
        <w:top w:val="none" w:sz="0" w:space="0" w:color="auto"/>
        <w:left w:val="none" w:sz="0" w:space="0" w:color="auto"/>
        <w:bottom w:val="none" w:sz="0" w:space="0" w:color="auto"/>
        <w:right w:val="none" w:sz="0" w:space="0" w:color="auto"/>
      </w:divBdr>
    </w:div>
    <w:div w:id="370421806">
      <w:bodyDiv w:val="1"/>
      <w:marLeft w:val="0"/>
      <w:marRight w:val="0"/>
      <w:marTop w:val="0"/>
      <w:marBottom w:val="0"/>
      <w:divBdr>
        <w:top w:val="none" w:sz="0" w:space="0" w:color="auto"/>
        <w:left w:val="none" w:sz="0" w:space="0" w:color="auto"/>
        <w:bottom w:val="none" w:sz="0" w:space="0" w:color="auto"/>
        <w:right w:val="none" w:sz="0" w:space="0" w:color="auto"/>
      </w:divBdr>
    </w:div>
    <w:div w:id="536160434">
      <w:bodyDiv w:val="1"/>
      <w:marLeft w:val="0"/>
      <w:marRight w:val="0"/>
      <w:marTop w:val="0"/>
      <w:marBottom w:val="0"/>
      <w:divBdr>
        <w:top w:val="none" w:sz="0" w:space="0" w:color="auto"/>
        <w:left w:val="none" w:sz="0" w:space="0" w:color="auto"/>
        <w:bottom w:val="none" w:sz="0" w:space="0" w:color="auto"/>
        <w:right w:val="none" w:sz="0" w:space="0" w:color="auto"/>
      </w:divBdr>
    </w:div>
    <w:div w:id="561985049">
      <w:bodyDiv w:val="1"/>
      <w:marLeft w:val="0"/>
      <w:marRight w:val="0"/>
      <w:marTop w:val="0"/>
      <w:marBottom w:val="0"/>
      <w:divBdr>
        <w:top w:val="none" w:sz="0" w:space="0" w:color="auto"/>
        <w:left w:val="none" w:sz="0" w:space="0" w:color="auto"/>
        <w:bottom w:val="none" w:sz="0" w:space="0" w:color="auto"/>
        <w:right w:val="none" w:sz="0" w:space="0" w:color="auto"/>
      </w:divBdr>
    </w:div>
    <w:div w:id="577130265">
      <w:bodyDiv w:val="1"/>
      <w:marLeft w:val="0"/>
      <w:marRight w:val="0"/>
      <w:marTop w:val="0"/>
      <w:marBottom w:val="0"/>
      <w:divBdr>
        <w:top w:val="none" w:sz="0" w:space="0" w:color="auto"/>
        <w:left w:val="none" w:sz="0" w:space="0" w:color="auto"/>
        <w:bottom w:val="none" w:sz="0" w:space="0" w:color="auto"/>
        <w:right w:val="none" w:sz="0" w:space="0" w:color="auto"/>
      </w:divBdr>
    </w:div>
    <w:div w:id="791478454">
      <w:bodyDiv w:val="1"/>
      <w:marLeft w:val="0"/>
      <w:marRight w:val="0"/>
      <w:marTop w:val="0"/>
      <w:marBottom w:val="0"/>
      <w:divBdr>
        <w:top w:val="none" w:sz="0" w:space="0" w:color="auto"/>
        <w:left w:val="none" w:sz="0" w:space="0" w:color="auto"/>
        <w:bottom w:val="none" w:sz="0" w:space="0" w:color="auto"/>
        <w:right w:val="none" w:sz="0" w:space="0" w:color="auto"/>
      </w:divBdr>
    </w:div>
    <w:div w:id="885684654">
      <w:bodyDiv w:val="1"/>
      <w:marLeft w:val="0"/>
      <w:marRight w:val="0"/>
      <w:marTop w:val="0"/>
      <w:marBottom w:val="0"/>
      <w:divBdr>
        <w:top w:val="none" w:sz="0" w:space="0" w:color="auto"/>
        <w:left w:val="none" w:sz="0" w:space="0" w:color="auto"/>
        <w:bottom w:val="none" w:sz="0" w:space="0" w:color="auto"/>
        <w:right w:val="none" w:sz="0" w:space="0" w:color="auto"/>
      </w:divBdr>
    </w:div>
    <w:div w:id="960037155">
      <w:bodyDiv w:val="1"/>
      <w:marLeft w:val="0"/>
      <w:marRight w:val="0"/>
      <w:marTop w:val="0"/>
      <w:marBottom w:val="0"/>
      <w:divBdr>
        <w:top w:val="none" w:sz="0" w:space="0" w:color="auto"/>
        <w:left w:val="none" w:sz="0" w:space="0" w:color="auto"/>
        <w:bottom w:val="none" w:sz="0" w:space="0" w:color="auto"/>
        <w:right w:val="none" w:sz="0" w:space="0" w:color="auto"/>
      </w:divBdr>
      <w:divsChild>
        <w:div w:id="357856829">
          <w:marLeft w:val="1699"/>
          <w:marRight w:val="0"/>
          <w:marTop w:val="67"/>
          <w:marBottom w:val="0"/>
          <w:divBdr>
            <w:top w:val="none" w:sz="0" w:space="0" w:color="auto"/>
            <w:left w:val="none" w:sz="0" w:space="0" w:color="auto"/>
            <w:bottom w:val="none" w:sz="0" w:space="0" w:color="auto"/>
            <w:right w:val="none" w:sz="0" w:space="0" w:color="auto"/>
          </w:divBdr>
        </w:div>
        <w:div w:id="529684271">
          <w:marLeft w:val="1296"/>
          <w:marRight w:val="0"/>
          <w:marTop w:val="67"/>
          <w:marBottom w:val="0"/>
          <w:divBdr>
            <w:top w:val="none" w:sz="0" w:space="0" w:color="auto"/>
            <w:left w:val="none" w:sz="0" w:space="0" w:color="auto"/>
            <w:bottom w:val="none" w:sz="0" w:space="0" w:color="auto"/>
            <w:right w:val="none" w:sz="0" w:space="0" w:color="auto"/>
          </w:divBdr>
        </w:div>
        <w:div w:id="1650671562">
          <w:marLeft w:val="1699"/>
          <w:marRight w:val="0"/>
          <w:marTop w:val="67"/>
          <w:marBottom w:val="0"/>
          <w:divBdr>
            <w:top w:val="none" w:sz="0" w:space="0" w:color="auto"/>
            <w:left w:val="none" w:sz="0" w:space="0" w:color="auto"/>
            <w:bottom w:val="none" w:sz="0" w:space="0" w:color="auto"/>
            <w:right w:val="none" w:sz="0" w:space="0" w:color="auto"/>
          </w:divBdr>
        </w:div>
      </w:divsChild>
    </w:div>
    <w:div w:id="1075784509">
      <w:bodyDiv w:val="1"/>
      <w:marLeft w:val="0"/>
      <w:marRight w:val="0"/>
      <w:marTop w:val="0"/>
      <w:marBottom w:val="0"/>
      <w:divBdr>
        <w:top w:val="none" w:sz="0" w:space="0" w:color="auto"/>
        <w:left w:val="none" w:sz="0" w:space="0" w:color="auto"/>
        <w:bottom w:val="none" w:sz="0" w:space="0" w:color="auto"/>
        <w:right w:val="none" w:sz="0" w:space="0" w:color="auto"/>
      </w:divBdr>
    </w:div>
    <w:div w:id="1270090239">
      <w:bodyDiv w:val="1"/>
      <w:marLeft w:val="0"/>
      <w:marRight w:val="0"/>
      <w:marTop w:val="0"/>
      <w:marBottom w:val="0"/>
      <w:divBdr>
        <w:top w:val="none" w:sz="0" w:space="0" w:color="auto"/>
        <w:left w:val="none" w:sz="0" w:space="0" w:color="auto"/>
        <w:bottom w:val="none" w:sz="0" w:space="0" w:color="auto"/>
        <w:right w:val="none" w:sz="0" w:space="0" w:color="auto"/>
      </w:divBdr>
    </w:div>
    <w:div w:id="1659576989">
      <w:bodyDiv w:val="1"/>
      <w:marLeft w:val="0"/>
      <w:marRight w:val="0"/>
      <w:marTop w:val="0"/>
      <w:marBottom w:val="0"/>
      <w:divBdr>
        <w:top w:val="none" w:sz="0" w:space="0" w:color="auto"/>
        <w:left w:val="none" w:sz="0" w:space="0" w:color="auto"/>
        <w:bottom w:val="none" w:sz="0" w:space="0" w:color="auto"/>
        <w:right w:val="none" w:sz="0" w:space="0" w:color="auto"/>
      </w:divBdr>
      <w:divsChild>
        <w:div w:id="1061245682">
          <w:marLeft w:val="1296"/>
          <w:marRight w:val="0"/>
          <w:marTop w:val="67"/>
          <w:marBottom w:val="0"/>
          <w:divBdr>
            <w:top w:val="none" w:sz="0" w:space="0" w:color="auto"/>
            <w:left w:val="none" w:sz="0" w:space="0" w:color="auto"/>
            <w:bottom w:val="none" w:sz="0" w:space="0" w:color="auto"/>
            <w:right w:val="none" w:sz="0" w:space="0" w:color="auto"/>
          </w:divBdr>
        </w:div>
        <w:div w:id="801460884">
          <w:marLeft w:val="418"/>
          <w:marRight w:val="0"/>
          <w:marTop w:val="77"/>
          <w:marBottom w:val="0"/>
          <w:divBdr>
            <w:top w:val="none" w:sz="0" w:space="0" w:color="auto"/>
            <w:left w:val="none" w:sz="0" w:space="0" w:color="auto"/>
            <w:bottom w:val="none" w:sz="0" w:space="0" w:color="auto"/>
            <w:right w:val="none" w:sz="0" w:space="0" w:color="auto"/>
          </w:divBdr>
        </w:div>
        <w:div w:id="813167">
          <w:marLeft w:val="1166"/>
          <w:marRight w:val="0"/>
          <w:marTop w:val="67"/>
          <w:marBottom w:val="0"/>
          <w:divBdr>
            <w:top w:val="none" w:sz="0" w:space="0" w:color="auto"/>
            <w:left w:val="none" w:sz="0" w:space="0" w:color="auto"/>
            <w:bottom w:val="none" w:sz="0" w:space="0" w:color="auto"/>
            <w:right w:val="none" w:sz="0" w:space="0" w:color="auto"/>
          </w:divBdr>
        </w:div>
        <w:div w:id="859317181">
          <w:marLeft w:val="1166"/>
          <w:marRight w:val="0"/>
          <w:marTop w:val="67"/>
          <w:marBottom w:val="0"/>
          <w:divBdr>
            <w:top w:val="none" w:sz="0" w:space="0" w:color="auto"/>
            <w:left w:val="none" w:sz="0" w:space="0" w:color="auto"/>
            <w:bottom w:val="none" w:sz="0" w:space="0" w:color="auto"/>
            <w:right w:val="none" w:sz="0" w:space="0" w:color="auto"/>
          </w:divBdr>
        </w:div>
        <w:div w:id="1242326779">
          <w:marLeft w:val="1166"/>
          <w:marRight w:val="0"/>
          <w:marTop w:val="67"/>
          <w:marBottom w:val="0"/>
          <w:divBdr>
            <w:top w:val="none" w:sz="0" w:space="0" w:color="auto"/>
            <w:left w:val="none" w:sz="0" w:space="0" w:color="auto"/>
            <w:bottom w:val="none" w:sz="0" w:space="0" w:color="auto"/>
            <w:right w:val="none" w:sz="0" w:space="0" w:color="auto"/>
          </w:divBdr>
        </w:div>
      </w:divsChild>
    </w:div>
    <w:div w:id="176222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nsuranceeurope.eu/Solvency%20II%20Working%20Group/PublishedDocuments/ECO-SLV-17-105.pdf" TargetMode="External"/><Relationship Id="rId18" Type="http://schemas.openxmlformats.org/officeDocument/2006/relationships/hyperlink" Target="https://extranet.insuranceeurope.eu/Solvency%20II%20Working%20Group/PublishedDocuments/ECO-SLV-17-100.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xtranet.insuranceeurope.eu/Solvency%20II%20Working%20Group/PublishedDocuments/ECO-SLV-17-089.pdf" TargetMode="External"/><Relationship Id="rId7" Type="http://schemas.openxmlformats.org/officeDocument/2006/relationships/settings" Target="settings.xml"/><Relationship Id="rId12" Type="http://schemas.openxmlformats.org/officeDocument/2006/relationships/hyperlink" Target="https://extranet.insuranceeurope.eu/Solvency%20II%20Working%20Group/PublishedDocuments/ECO-SLV-17-099.pdf" TargetMode="External"/><Relationship Id="rId17" Type="http://schemas.openxmlformats.org/officeDocument/2006/relationships/hyperlink" Target="https://extranet.insuranceeurope.eu/Solvency%20II%20Working%20Group/PublishedDocuments/EXCO-17-065.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xtranet.insuranceeurope.eu/Solvency%20II%20Working%20Group/PublishedDocuments/EXCO-17-063.pdf" TargetMode="External"/><Relationship Id="rId20" Type="http://schemas.openxmlformats.org/officeDocument/2006/relationships/hyperlink" Target="https://extranet.insuranceeurope.eu/Solvency%20II%20Working%20Group/PublishedDocuments/ECO-SLV-17-09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insuranceeurope.eu/Solvency%20II%20Working%20Group/PublishedDocuments/ECO-SLV-17-079.doc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xtranet.insuranceeurope.eu/Solvency%20II%20Working%20Group/PublishedDocuments/EXCO-17-056.pdf" TargetMode="External"/><Relationship Id="rId23" Type="http://schemas.openxmlformats.org/officeDocument/2006/relationships/hyperlink" Target="https://extranet.insuranceeurope.eu/Solvency%20II%20Working%20Group/PublishedDocuments/ECO-SLV-17-103.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xtranet.insuranceeurope.eu/Solvency%20II%20Working%20Group/PublishedDocuments/ECO-SLV-17-11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insuranceeurope.eu/Solvency%20II%20Working%20Group/PublishedDocuments/ECO-SLV-17-058.pdf" TargetMode="External"/><Relationship Id="rId22" Type="http://schemas.openxmlformats.org/officeDocument/2006/relationships/hyperlink" Target="https://extranet.insuranceeurope.eu/Solvency%20II%20Working%20Group/PublishedDocuments/ECO-SLV-17-102.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 xsi:nil="true"/>
    <Type_x0020_of_x0020_document xmlns="34d7415f-f1a4-44df-8e35-2ceaafd480dc">Meeting Conclusions</Type_x0020_of_x0020_document>
    <Linked_x0020_files xmlns="$ListId:PublishedDocuments;" xsi:nil="true"/>
    <ValidationComment xmlns="e092deee-a6f6-4f89-8a6c-e2a43e9fb5cf" xsi:nil="true"/>
    <Can_x0020_be_x0020_edited xmlns="$ListId:PublishedDocuments;">false</Can_x0020_be_x0020_edited>
    <Deadline xmlns="2ad614c7-900c-4770-94a0-e04fed16376c">2017-08-14T22:00:00+00:00</Deadline>
    <AllowComments xmlns="e092deee-a6f6-4f89-8a6c-e2a43e9fb5cf">false</AllowComments>
    <Validated xmlns="e092deee-a6f6-4f89-8a6c-e2a43e9fb5cf">false</Validated>
    <Uploads xmlns="2ad614c7-900c-4770-94a0-e04fed16376c" xsi:nil="true"/>
    <isAnnex xmlns="2ad614c7-900c-4770-94a0-e04fed16376c">False</isAnnex>
    <Display_x0020_validated_x0020_documents_x0020_library_x0020_button xmlns="70f7eb82-310d-4963-bf1e-a4c2a37fd81c">false</Display_x0020_validated_x0020_documents_x0020_library_x0020_butt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4B40-630C-4603-83A0-81D1F4E7CA82}">
  <ds:schemaRefs>
    <ds:schemaRef ds:uri="$ListId:PublishedDocuments;"/>
    <ds:schemaRef ds:uri="e092deee-a6f6-4f89-8a6c-e2a43e9fb5cf"/>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70f7eb82-310d-4963-bf1e-a4c2a37fd81c"/>
    <ds:schemaRef ds:uri="2ad614c7-900c-4770-94a0-e04fed16376c"/>
    <ds:schemaRef ds:uri="34d7415f-f1a4-44df-8e35-2ceaafd480dc"/>
  </ds:schemaRefs>
</ds:datastoreItem>
</file>

<file path=customXml/itemProps2.xml><?xml version="1.0" encoding="utf-8"?>
<ds:datastoreItem xmlns:ds="http://schemas.openxmlformats.org/officeDocument/2006/customXml" ds:itemID="{B0F43CCF-BAAA-419D-A3DA-DD533269DE63}">
  <ds:schemaRefs>
    <ds:schemaRef ds:uri="http://schemas.microsoft.com/sharepoint/v3/contenttype/forms"/>
  </ds:schemaRefs>
</ds:datastoreItem>
</file>

<file path=customXml/itemProps3.xml><?xml version="1.0" encoding="utf-8"?>
<ds:datastoreItem xmlns:ds="http://schemas.openxmlformats.org/officeDocument/2006/customXml" ds:itemID="{BD3B0C2D-B25A-49EF-831E-3A99274D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6D6C-AE7E-45DE-BAF0-FECB03C9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4999</Words>
  <Characters>28497</Characters>
  <Application>Microsoft Office Word</Application>
  <DocSecurity>4</DocSecurity>
  <Lines>237</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Draft minutes Solvency II WG 28 June</vt:lpstr>
      <vt:lpstr>Draft minutes Solvency II WG 28 June</vt:lpstr>
    </vt:vector>
  </TitlesOfParts>
  <Company>Insurance Europe</Company>
  <LinksUpToDate>false</LinksUpToDate>
  <CharactersWithSpaces>33430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Solvency II WG 28 June</dc:title>
  <dc:subject/>
  <dc:creator>Support Helpdesk</dc:creator>
  <cp:keywords/>
  <dc:description/>
  <cp:lastModifiedBy>Bachníček Jozef</cp:lastModifiedBy>
  <cp:revision>2</cp:revision>
  <cp:lastPrinted>2017-07-03T09:59:00Z</cp:lastPrinted>
  <dcterms:created xsi:type="dcterms:W3CDTF">2017-07-13T09:53:00Z</dcterms:created>
  <dcterms:modified xsi:type="dcterms:W3CDTF">2017-07-13T09:53:00Z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ies>
</file>