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D417E7" w14:textId="77777777" w:rsidR="00152882" w:rsidRPr="00AD7A2B" w:rsidRDefault="00152882" w:rsidP="00AD7A2B">
      <w:pPr>
        <w:sectPr w:rsidR="00152882" w:rsidRPr="00AD7A2B" w:rsidSect="00825DAE">
          <w:headerReference w:type="even" r:id="rId11"/>
          <w:headerReference w:type="default" r:id="rId12"/>
          <w:footerReference w:type="even" r:id="rId13"/>
          <w:footerReference w:type="default" r:id="rId14"/>
          <w:headerReference w:type="first" r:id="rId15"/>
          <w:footerReference w:type="first" r:id="rId16"/>
          <w:pgSz w:w="11907" w:h="16839" w:code="9"/>
          <w:pgMar w:top="2336" w:right="900" w:bottom="1600" w:left="900" w:header="708" w:footer="236" w:gutter="0"/>
          <w:cols w:space="708"/>
          <w:titlePg/>
          <w:docGrid w:linePitch="360"/>
        </w:sectPr>
      </w:pPr>
    </w:p>
    <w:p w14:paraId="3670582A" w14:textId="476551D5" w:rsidR="00E46D05" w:rsidRPr="00AD7A2B" w:rsidRDefault="00E46D05" w:rsidP="00AD7A2B">
      <w:pPr>
        <w:autoSpaceDE w:val="0"/>
        <w:autoSpaceDN w:val="0"/>
        <w:adjustRightInd w:val="0"/>
        <w:rPr>
          <w:rStyle w:val="Heading1CEAChar"/>
          <w:rFonts w:ascii="Verdana" w:hAnsi="Verdana"/>
          <w:color w:val="002957"/>
          <w:sz w:val="19"/>
          <w:szCs w:val="19"/>
        </w:rPr>
      </w:pPr>
      <w:r w:rsidRPr="00AD7A2B">
        <w:rPr>
          <w:rStyle w:val="Heading1CEAChar"/>
          <w:rFonts w:ascii="Verdana" w:hAnsi="Verdana"/>
          <w:color w:val="002957"/>
          <w:sz w:val="19"/>
          <w:szCs w:val="19"/>
        </w:rPr>
        <w:t>General comments</w:t>
      </w:r>
    </w:p>
    <w:p w14:paraId="0EF307D2" w14:textId="77777777" w:rsidR="00E46D05" w:rsidRPr="00AD7A2B" w:rsidRDefault="00E46D05" w:rsidP="00AD7A2B">
      <w:pPr>
        <w:rPr>
          <w:sz w:val="17"/>
          <w:szCs w:val="17"/>
        </w:rPr>
      </w:pPr>
      <w:r w:rsidRPr="00AD7A2B">
        <w:rPr>
          <w:sz w:val="17"/>
          <w:szCs w:val="17"/>
        </w:rPr>
        <w:t>Insurance Europe welcomes the opportunity to provide comments to the EC draft proposals for changes to the Solvency II Delegated Regulation.</w:t>
      </w:r>
    </w:p>
    <w:p w14:paraId="1C7FC9F3" w14:textId="77777777" w:rsidR="00E46D05" w:rsidRPr="00AD7A2B" w:rsidRDefault="00E46D05" w:rsidP="00AD7A2B">
      <w:pPr>
        <w:rPr>
          <w:sz w:val="17"/>
          <w:szCs w:val="17"/>
        </w:rPr>
      </w:pPr>
    </w:p>
    <w:p w14:paraId="6D732DC4" w14:textId="77777777" w:rsidR="00E46D05" w:rsidRPr="00AD7A2B" w:rsidRDefault="00E46D05" w:rsidP="00AD7A2B">
      <w:pPr>
        <w:pStyle w:val="CEABullet-Level1"/>
        <w:numPr>
          <w:ilvl w:val="0"/>
          <w:numId w:val="0"/>
        </w:numPr>
        <w:rPr>
          <w:szCs w:val="17"/>
        </w:rPr>
      </w:pPr>
      <w:r w:rsidRPr="00AD7A2B">
        <w:rPr>
          <w:szCs w:val="17"/>
        </w:rPr>
        <w:t xml:space="preserve">Insurance Europe welcomes the EC proposals aimed at introducing a number of simplifications and a more proportional application of the framework in a number of areas. However, Insurance Europe is concerned that the 2018 review lacks more ambition in key areas such as the recalibration of long-term equity and the review of the risk margin – both of which would have a significant and direct impact on long-term investments and would in fact support the EC in achieving the objectives of its CMU project. </w:t>
      </w:r>
    </w:p>
    <w:p w14:paraId="76AFA4C5" w14:textId="77777777" w:rsidR="00E46D05" w:rsidRPr="00AD7A2B" w:rsidRDefault="00E46D05" w:rsidP="00AD7A2B">
      <w:pPr>
        <w:pStyle w:val="CEABullet-Level1"/>
        <w:numPr>
          <w:ilvl w:val="0"/>
          <w:numId w:val="0"/>
        </w:numPr>
        <w:rPr>
          <w:szCs w:val="17"/>
        </w:rPr>
      </w:pPr>
    </w:p>
    <w:p w14:paraId="4B512169" w14:textId="77777777" w:rsidR="00E46D05" w:rsidRPr="00AD7A2B" w:rsidRDefault="00E46D05" w:rsidP="00AD7A2B">
      <w:pPr>
        <w:pStyle w:val="CEABullet-Level1"/>
        <w:numPr>
          <w:ilvl w:val="0"/>
          <w:numId w:val="0"/>
        </w:numPr>
        <w:rPr>
          <w:szCs w:val="17"/>
        </w:rPr>
      </w:pPr>
      <w:r w:rsidRPr="00AD7A2B">
        <w:rPr>
          <w:szCs w:val="17"/>
        </w:rPr>
        <w:t xml:space="preserve">With respect to the </w:t>
      </w:r>
      <w:r w:rsidRPr="00AD7A2B">
        <w:rPr>
          <w:b/>
          <w:szCs w:val="17"/>
        </w:rPr>
        <w:t>recalibration of long-term equity investments</w:t>
      </w:r>
      <w:r w:rsidRPr="00AD7A2B">
        <w:rPr>
          <w:szCs w:val="17"/>
        </w:rPr>
        <w:t>, Insurance Europe appreciates recognition by the European Commission that action is needed. However, Insurance Europe believes that the technical proposal will not work in practice for any undertaking because of the way in which the criteria are defined. Insurance Europe calls on the EC to take swift action to amend its proposal in a way that makes it workable in practice.</w:t>
      </w:r>
    </w:p>
    <w:p w14:paraId="027B9F20" w14:textId="77777777" w:rsidR="00E46D05" w:rsidRPr="00AD7A2B" w:rsidRDefault="00E46D05" w:rsidP="00AD7A2B">
      <w:pPr>
        <w:pStyle w:val="CEABullet-Level1"/>
        <w:numPr>
          <w:ilvl w:val="0"/>
          <w:numId w:val="0"/>
        </w:numPr>
        <w:rPr>
          <w:szCs w:val="17"/>
        </w:rPr>
      </w:pPr>
    </w:p>
    <w:p w14:paraId="5B944A44" w14:textId="77777777" w:rsidR="00E46D05" w:rsidRPr="00AD7A2B" w:rsidRDefault="00E46D05" w:rsidP="00AD7A2B">
      <w:pPr>
        <w:pStyle w:val="CEABullet-Level1"/>
        <w:numPr>
          <w:ilvl w:val="0"/>
          <w:numId w:val="0"/>
        </w:numPr>
        <w:rPr>
          <w:szCs w:val="17"/>
        </w:rPr>
      </w:pPr>
      <w:r w:rsidRPr="00AD7A2B">
        <w:rPr>
          <w:szCs w:val="17"/>
        </w:rPr>
        <w:t xml:space="preserve">With respect to the </w:t>
      </w:r>
      <w:r w:rsidRPr="00AD7A2B">
        <w:rPr>
          <w:b/>
          <w:szCs w:val="17"/>
        </w:rPr>
        <w:t>review of the risk margin cost of capital</w:t>
      </w:r>
      <w:r w:rsidRPr="00AD7A2B">
        <w:rPr>
          <w:szCs w:val="17"/>
        </w:rPr>
        <w:t xml:space="preserve">, Insurance Europe reiterates its strong concerns on the current calibration of the cost of capital and more broadly the design of the risk margin.  There is extensive evidence that the 6% cost of capital is too high and the industry believes that ignoring such evidence and preserving the status quo is in fact a missed opportunity not only to correct the flaws of the framework, but also to remove the current barriers to provision of long-term business and investment by the industry. </w:t>
      </w:r>
    </w:p>
    <w:p w14:paraId="62F20305" w14:textId="77777777" w:rsidR="00E46D05" w:rsidRPr="00AD7A2B" w:rsidRDefault="00E46D05" w:rsidP="00AD7A2B">
      <w:pPr>
        <w:pStyle w:val="Odsekzoznamu"/>
        <w:ind w:left="360"/>
        <w:rPr>
          <w:szCs w:val="17"/>
        </w:rPr>
      </w:pPr>
    </w:p>
    <w:p w14:paraId="46C12F53" w14:textId="77777777" w:rsidR="00E46D05" w:rsidRPr="00AD7A2B" w:rsidRDefault="00E46D05" w:rsidP="00AD7A2B">
      <w:commentRangeStart w:id="3"/>
      <w:r w:rsidRPr="00AD7A2B">
        <w:rPr>
          <w:highlight w:val="yellow"/>
        </w:rPr>
        <w:t>xxx</w:t>
      </w:r>
      <w:commentRangeEnd w:id="3"/>
      <w:r w:rsidRPr="00AD7A2B">
        <w:rPr>
          <w:rStyle w:val="Odkaznakomentr"/>
          <w:highlight w:val="yellow"/>
        </w:rPr>
        <w:commentReference w:id="3"/>
      </w:r>
    </w:p>
    <w:p w14:paraId="7C41678E" w14:textId="4663EABD" w:rsidR="00E46D05" w:rsidRPr="00AD7A2B" w:rsidRDefault="00E46D05" w:rsidP="00714BD7">
      <w:pPr>
        <w:spacing w:after="200" w:line="276" w:lineRule="auto"/>
        <w:jc w:val="left"/>
        <w:rPr>
          <w:rStyle w:val="Heading1CEAChar"/>
          <w:rFonts w:ascii="Verdana" w:hAnsi="Verdana"/>
          <w:color w:val="002957"/>
          <w:sz w:val="19"/>
          <w:szCs w:val="19"/>
        </w:rPr>
      </w:pPr>
      <w:r w:rsidRPr="00AD7A2B">
        <w:rPr>
          <w:rStyle w:val="Heading1CEAChar"/>
          <w:rFonts w:ascii="Verdana" w:hAnsi="Verdana"/>
          <w:color w:val="002957"/>
          <w:sz w:val="19"/>
          <w:szCs w:val="19"/>
        </w:rPr>
        <w:lastRenderedPageBreak/>
        <w:t>Detailed comments per topic</w:t>
      </w:r>
    </w:p>
    <w:p w14:paraId="3B1868F6" w14:textId="77777777" w:rsidR="00E46D05" w:rsidRPr="003F4995" w:rsidRDefault="00E46D05" w:rsidP="00AA0BE2">
      <w:pPr>
        <w:pStyle w:val="CEABullet-Level1"/>
        <w:numPr>
          <w:ilvl w:val="0"/>
          <w:numId w:val="0"/>
        </w:numPr>
        <w:spacing w:after="240"/>
        <w:rPr>
          <w:b/>
          <w:szCs w:val="17"/>
        </w:rPr>
      </w:pPr>
      <w:r w:rsidRPr="003F4995">
        <w:rPr>
          <w:b/>
          <w:szCs w:val="17"/>
        </w:rPr>
        <w:t>Simplified calculations (with reference to articles 84, 88, 90a, 90b, 90c, 91, 95a, 96a, 97, 102a, 105a, 107, 108, 110, 111, 112a, 112b, 112c)</w:t>
      </w:r>
    </w:p>
    <w:p w14:paraId="61BB54DA" w14:textId="77777777" w:rsidR="00E46D05" w:rsidRPr="003F4995" w:rsidRDefault="00E46D05" w:rsidP="00AD7A2B">
      <w:pPr>
        <w:pStyle w:val="CEABullet-Level1"/>
        <w:numPr>
          <w:ilvl w:val="0"/>
          <w:numId w:val="0"/>
        </w:numPr>
        <w:rPr>
          <w:szCs w:val="17"/>
        </w:rPr>
      </w:pPr>
      <w:r w:rsidRPr="003F4995">
        <w:rPr>
          <w:szCs w:val="17"/>
        </w:rPr>
        <w:t>Overall, Insurance Europe is disappointed with the EC’s decision to follow EIOPA’s advice regarding the simplified methods allowed for use. While some new simplified calculations have been allowed, the EC did not reduce the burden for the use of the simplifications. Moreover, the double counting of the lapse risk in non-life and the level of mass lapse risk have not been addressed.</w:t>
      </w:r>
    </w:p>
    <w:p w14:paraId="6AB3280D" w14:textId="77777777" w:rsidR="00E46D05" w:rsidRPr="003F4995" w:rsidRDefault="00E46D05" w:rsidP="00AD7A2B">
      <w:pPr>
        <w:pStyle w:val="CEABullet-Level1"/>
        <w:numPr>
          <w:ilvl w:val="0"/>
          <w:numId w:val="0"/>
        </w:numPr>
        <w:rPr>
          <w:szCs w:val="17"/>
        </w:rPr>
      </w:pPr>
    </w:p>
    <w:p w14:paraId="76147A66" w14:textId="77777777" w:rsidR="00E46D05" w:rsidRPr="003F4995" w:rsidRDefault="00E46D05" w:rsidP="00AD7A2B">
      <w:pPr>
        <w:pStyle w:val="CEABullet-Level1"/>
        <w:numPr>
          <w:ilvl w:val="0"/>
          <w:numId w:val="0"/>
        </w:numPr>
        <w:rPr>
          <w:szCs w:val="17"/>
        </w:rPr>
      </w:pPr>
      <w:r w:rsidRPr="003F4995">
        <w:rPr>
          <w:szCs w:val="17"/>
        </w:rPr>
        <w:t>On the positive side</w:t>
      </w:r>
    </w:p>
    <w:p w14:paraId="0AA888AE" w14:textId="77777777" w:rsidR="00E46D05" w:rsidRDefault="00E46D05" w:rsidP="00AD7A2B">
      <w:pPr>
        <w:pStyle w:val="CEABullet-Level1"/>
        <w:rPr>
          <w:szCs w:val="17"/>
        </w:rPr>
      </w:pPr>
      <w:r w:rsidRPr="003F4995">
        <w:rPr>
          <w:szCs w:val="17"/>
        </w:rPr>
        <w:t>The allowance of simplified calculations for the lapse risk, catastrophe risk, spread risk, loss-given default for reinsurance, market risk for type 1 exposures, risk mitigating effect are welcome.</w:t>
      </w:r>
    </w:p>
    <w:p w14:paraId="787D4F29" w14:textId="77777777" w:rsidR="00AD7A2B" w:rsidRPr="003F4995" w:rsidRDefault="00AD7A2B" w:rsidP="00AD7A2B">
      <w:pPr>
        <w:pStyle w:val="CEABullet-Level1"/>
        <w:numPr>
          <w:ilvl w:val="0"/>
          <w:numId w:val="0"/>
        </w:numPr>
        <w:rPr>
          <w:szCs w:val="17"/>
        </w:rPr>
      </w:pPr>
    </w:p>
    <w:p w14:paraId="7E9024CB" w14:textId="77777777" w:rsidR="00E46D05" w:rsidRPr="003F4995" w:rsidRDefault="00E46D05" w:rsidP="00AD7A2B">
      <w:pPr>
        <w:pStyle w:val="CEABullet-Level1"/>
        <w:numPr>
          <w:ilvl w:val="0"/>
          <w:numId w:val="0"/>
        </w:numPr>
        <w:rPr>
          <w:szCs w:val="17"/>
        </w:rPr>
      </w:pPr>
      <w:r w:rsidRPr="003F4995">
        <w:rPr>
          <w:szCs w:val="17"/>
        </w:rPr>
        <w:t>On the negative side</w:t>
      </w:r>
    </w:p>
    <w:p w14:paraId="7AE078AD" w14:textId="77777777" w:rsidR="00E46D05" w:rsidRPr="003F4995" w:rsidRDefault="00E46D05" w:rsidP="00AD7A2B">
      <w:pPr>
        <w:pStyle w:val="CEABullet-Level1"/>
        <w:rPr>
          <w:szCs w:val="17"/>
        </w:rPr>
      </w:pPr>
      <w:r w:rsidRPr="003F4995">
        <w:rPr>
          <w:szCs w:val="17"/>
        </w:rPr>
        <w:t>There remains an unnecessary high administrative burden, restrictive of the use of simplifications. Moreover, there has been a lack of convergence in the application of Article 88 regarding the “</w:t>
      </w:r>
      <w:r w:rsidRPr="003F4995">
        <w:rPr>
          <w:i/>
          <w:szCs w:val="17"/>
        </w:rPr>
        <w:t>evaluation in qualitative or quantitative terms, as appropriate, of the error introduced in the results of the simplified calculation</w:t>
      </w:r>
      <w:r w:rsidRPr="003F4995">
        <w:rPr>
          <w:szCs w:val="17"/>
        </w:rPr>
        <w:t xml:space="preserve">”, resulting in a burdensome requirement of quantitative evaluation in any case from some national supervisor. The draft DA as proposed does not address that issue. Insurance Europe is of the view that provisions should be introduced in order to prevent the dissuasion of the use of simplified calculations, and to ensure the effective application of the principle of proportionality. </w:t>
      </w:r>
    </w:p>
    <w:p w14:paraId="10828BA6" w14:textId="77777777" w:rsidR="00E46D05" w:rsidRPr="003F4995" w:rsidRDefault="00E46D05" w:rsidP="00AD7A2B">
      <w:pPr>
        <w:pStyle w:val="CEABullet-Level1"/>
        <w:rPr>
          <w:szCs w:val="17"/>
        </w:rPr>
      </w:pPr>
      <w:r w:rsidRPr="003F4995">
        <w:rPr>
          <w:szCs w:val="17"/>
        </w:rPr>
        <w:t>Only simplified methods prescribed in the delegated regulation are allowed for use. Insurance Europe is of the view that a wider than prescribed use of simplified calculations is needed. Therefore, in addition to the simplifications that will be expressly listed in the legal texts, the Delegated Regulation should allow companies to take one of the following options to simplify their calculations as part of the proportionality principle:</w:t>
      </w:r>
    </w:p>
    <w:p w14:paraId="7B340A16" w14:textId="77777777" w:rsidR="00E46D05" w:rsidRPr="003F4995" w:rsidRDefault="00E46D05" w:rsidP="00AD7A2B">
      <w:pPr>
        <w:pStyle w:val="CEABullet-Level2"/>
        <w:ind w:left="1134"/>
        <w:rPr>
          <w:szCs w:val="17"/>
        </w:rPr>
      </w:pPr>
      <w:r w:rsidRPr="003F4995">
        <w:rPr>
          <w:szCs w:val="17"/>
        </w:rPr>
        <w:t>set the SCR to zero for any risk to which they have no exposure.</w:t>
      </w:r>
    </w:p>
    <w:p w14:paraId="1673E355" w14:textId="77777777" w:rsidR="00E46D05" w:rsidRPr="003F4995" w:rsidRDefault="00E46D05" w:rsidP="00AD7A2B">
      <w:pPr>
        <w:pStyle w:val="CEABullet-Level2"/>
        <w:ind w:left="1134"/>
        <w:rPr>
          <w:szCs w:val="17"/>
        </w:rPr>
      </w:pPr>
      <w:r w:rsidRPr="003F4995">
        <w:rPr>
          <w:szCs w:val="17"/>
        </w:rPr>
        <w:t>set the SCR to a fixed amount that they can show is no less prudent than the standard formula.</w:t>
      </w:r>
    </w:p>
    <w:p w14:paraId="76E4F8BC" w14:textId="77777777" w:rsidR="00E46D05" w:rsidRPr="003F4995" w:rsidRDefault="00E46D05" w:rsidP="00AD7A2B">
      <w:pPr>
        <w:pStyle w:val="CEABullet-Level1"/>
        <w:rPr>
          <w:szCs w:val="17"/>
        </w:rPr>
      </w:pPr>
      <w:r w:rsidRPr="003F4995">
        <w:rPr>
          <w:szCs w:val="17"/>
        </w:rPr>
        <w:t xml:space="preserve">A double counting between lapse risk module and premium risk remains. The latter being based on historical premium volumes already includes lapse, therefore the lapse risk within the non-life underwriting risk sub-module from the standard formula should be removed. </w:t>
      </w:r>
    </w:p>
    <w:p w14:paraId="492741BA" w14:textId="77777777" w:rsidR="00E46D05" w:rsidRPr="003F4995" w:rsidRDefault="00E46D05" w:rsidP="00AD7A2B">
      <w:pPr>
        <w:pStyle w:val="CEABullet-Level1"/>
        <w:rPr>
          <w:szCs w:val="17"/>
        </w:rPr>
      </w:pPr>
      <w:r w:rsidRPr="003F4995">
        <w:rPr>
          <w:szCs w:val="17"/>
        </w:rPr>
        <w:t xml:space="preserve">Insurance Europe continues to believe that the level of the mass lapse risk should be addressed. </w:t>
      </w:r>
    </w:p>
    <w:p w14:paraId="0211591C" w14:textId="77777777" w:rsidR="00E46D05" w:rsidRPr="003F4995" w:rsidRDefault="00E46D05" w:rsidP="00AD7A2B">
      <w:pPr>
        <w:pStyle w:val="CEABullet-Level1"/>
        <w:numPr>
          <w:ilvl w:val="0"/>
          <w:numId w:val="0"/>
        </w:numPr>
        <w:ind w:left="720"/>
        <w:rPr>
          <w:b/>
          <w:szCs w:val="17"/>
        </w:rPr>
      </w:pPr>
    </w:p>
    <w:p w14:paraId="15F0DB01" w14:textId="77777777" w:rsidR="00E46D05" w:rsidRPr="003F4995" w:rsidRDefault="00E46D05" w:rsidP="00AD7A2B">
      <w:pPr>
        <w:pStyle w:val="CEABullet-Level1"/>
        <w:numPr>
          <w:ilvl w:val="0"/>
          <w:numId w:val="0"/>
        </w:numPr>
        <w:ind w:left="720"/>
        <w:rPr>
          <w:b/>
          <w:szCs w:val="17"/>
        </w:rPr>
      </w:pPr>
    </w:p>
    <w:p w14:paraId="540E7547" w14:textId="77777777" w:rsidR="00E46D05" w:rsidRPr="00AA0BE2" w:rsidRDefault="00E46D05" w:rsidP="00AA0BE2">
      <w:pPr>
        <w:pStyle w:val="CEABullet-Level1"/>
        <w:numPr>
          <w:ilvl w:val="0"/>
          <w:numId w:val="0"/>
        </w:numPr>
        <w:spacing w:after="240"/>
        <w:rPr>
          <w:b/>
          <w:szCs w:val="17"/>
        </w:rPr>
      </w:pPr>
      <w:r w:rsidRPr="003F4995">
        <w:rPr>
          <w:b/>
          <w:szCs w:val="17"/>
        </w:rPr>
        <w:t>Treatment of guarantees, exposure guaranteed by a third-party and exposures to regional governments and local authorities (RGLA) (</w:t>
      </w:r>
      <w:r w:rsidRPr="00AA0BE2">
        <w:rPr>
          <w:b/>
          <w:szCs w:val="17"/>
        </w:rPr>
        <w:t>with reference to 180, 187, 192d)</w:t>
      </w:r>
    </w:p>
    <w:p w14:paraId="659D4288" w14:textId="77777777" w:rsidR="00E46D05" w:rsidRPr="003F4995" w:rsidRDefault="00E46D05" w:rsidP="00AD7A2B">
      <w:pPr>
        <w:pStyle w:val="CEABullet-Level1"/>
        <w:numPr>
          <w:ilvl w:val="0"/>
          <w:numId w:val="0"/>
        </w:numPr>
        <w:rPr>
          <w:color w:val="auto"/>
          <w:szCs w:val="17"/>
        </w:rPr>
      </w:pPr>
      <w:r w:rsidRPr="003F4995">
        <w:rPr>
          <w:color w:val="auto"/>
          <w:szCs w:val="17"/>
        </w:rPr>
        <w:t xml:space="preserve">Insurance Europe welcomes the EC proposals with respect to the treatment of guarantees, exposure guaranteed by a third-party and exposures to regional governments and local authorities (RGLA). </w:t>
      </w:r>
    </w:p>
    <w:p w14:paraId="5D0E4175" w14:textId="77777777" w:rsidR="00E46D05" w:rsidRPr="003F4995" w:rsidRDefault="00E46D05" w:rsidP="00AD7A2B">
      <w:pPr>
        <w:pStyle w:val="CEABullet-Level1"/>
        <w:numPr>
          <w:ilvl w:val="0"/>
          <w:numId w:val="0"/>
        </w:numPr>
        <w:rPr>
          <w:color w:val="auto"/>
          <w:szCs w:val="17"/>
        </w:rPr>
      </w:pPr>
    </w:p>
    <w:p w14:paraId="06F20E7B" w14:textId="77777777" w:rsidR="00E46D05" w:rsidRPr="003F4995" w:rsidRDefault="00E46D05" w:rsidP="00AD7A2B">
      <w:pPr>
        <w:pStyle w:val="CEABullet-Level1"/>
        <w:numPr>
          <w:ilvl w:val="0"/>
          <w:numId w:val="0"/>
        </w:numPr>
        <w:rPr>
          <w:color w:val="auto"/>
          <w:szCs w:val="17"/>
        </w:rPr>
      </w:pPr>
      <w:r w:rsidRPr="003F4995">
        <w:rPr>
          <w:color w:val="auto"/>
          <w:szCs w:val="17"/>
        </w:rPr>
        <w:t xml:space="preserve">On the </w:t>
      </w:r>
      <w:r w:rsidRPr="003F4995">
        <w:rPr>
          <w:color w:val="auto"/>
          <w:szCs w:val="17"/>
          <w:u w:val="single"/>
        </w:rPr>
        <w:t>positive</w:t>
      </w:r>
      <w:r w:rsidRPr="003F4995">
        <w:rPr>
          <w:color w:val="auto"/>
          <w:szCs w:val="17"/>
        </w:rPr>
        <w:t xml:space="preserve"> side:</w:t>
      </w:r>
    </w:p>
    <w:p w14:paraId="0F224A85" w14:textId="77777777" w:rsidR="00E46D05" w:rsidRPr="003F4995" w:rsidRDefault="00E46D05" w:rsidP="00AD7A2B">
      <w:pPr>
        <w:pStyle w:val="CEABullet-Level1"/>
        <w:rPr>
          <w:color w:val="auto"/>
          <w:szCs w:val="17"/>
        </w:rPr>
      </w:pPr>
      <w:r w:rsidRPr="003F4995">
        <w:rPr>
          <w:color w:val="auto"/>
          <w:szCs w:val="17"/>
        </w:rPr>
        <w:t xml:space="preserve">Insurance Europe supports consistency in the treatment of </w:t>
      </w:r>
      <w:r w:rsidRPr="003F4995">
        <w:rPr>
          <w:b/>
          <w:color w:val="auto"/>
          <w:szCs w:val="17"/>
        </w:rPr>
        <w:t>guarantees issued by RGLAs</w:t>
      </w:r>
      <w:r w:rsidRPr="003F4995">
        <w:rPr>
          <w:color w:val="auto"/>
          <w:szCs w:val="17"/>
        </w:rPr>
        <w:t xml:space="preserve"> in the Solvency II regulation across risk modules. Since RGLAs by entities listed in Implementing Regulation (EU) 2015/2011 and central governments do not differ in risk exposure due to their revenue raising powers, they should receive the same capital charge as exposures to central government. Therefore, in line with the treatment of RGLA guarantees in the counterparty default risk module, direct guarantees by RGLA listed in the Commission Implementing Regulation (EU) 2015/2011 should be treated as guarantees for Member States central governments also within the market risk module. The extension of this recognition to the spread and concentration risk sub-modules materially improves the extent to which RGLAs are appropriately recognised in the SCR calculation, especially considering that most of the debt guaranteed by RGLAs falls in fact within the scope of the market risk module.</w:t>
      </w:r>
    </w:p>
    <w:p w14:paraId="31918EE2" w14:textId="77777777" w:rsidR="00E46D05" w:rsidRPr="003F4995" w:rsidRDefault="00E46D05" w:rsidP="00AD7A2B">
      <w:pPr>
        <w:pStyle w:val="CEABullet-Level1"/>
        <w:rPr>
          <w:color w:val="auto"/>
          <w:szCs w:val="17"/>
        </w:rPr>
      </w:pPr>
      <w:r w:rsidRPr="003F4995">
        <w:rPr>
          <w:color w:val="auto"/>
          <w:szCs w:val="17"/>
        </w:rPr>
        <w:lastRenderedPageBreak/>
        <w:t xml:space="preserve">Insurance Europe welcomes the EC’s introduction of the </w:t>
      </w:r>
      <w:r w:rsidRPr="003F4995">
        <w:rPr>
          <w:b/>
          <w:color w:val="auto"/>
          <w:szCs w:val="17"/>
        </w:rPr>
        <w:t>intermediate treatment</w:t>
      </w:r>
      <w:r w:rsidRPr="003F4995">
        <w:rPr>
          <w:color w:val="auto"/>
          <w:szCs w:val="17"/>
        </w:rPr>
        <w:t xml:space="preserve"> in the Solvency II Delegated Regulation, whereby the capital charge of the spread risk and the concentration risk for Member States’ RGLA exposures that are not listed in the Commission Implementing Regulation (EU) 2015/2011 is calculated as exposure in the form of non-EEA governments bonds of credit quality step (CQS) 2. Such a provision ensures not only a level playing field in financial markets between insurers and banks but also a more accurate reflection of risks, which are currently overstated for RGLA exposures falling outside the scope of ITS (EU) 2015/2011, as they are currently treated as normal corporate bonds without any guarantees. </w:t>
      </w:r>
    </w:p>
    <w:p w14:paraId="38234147" w14:textId="77777777" w:rsidR="00E46D05" w:rsidRPr="003F4995" w:rsidRDefault="00E46D05" w:rsidP="00AD7A2B">
      <w:pPr>
        <w:pStyle w:val="CEABullet-Level1"/>
        <w:rPr>
          <w:color w:val="auto"/>
          <w:szCs w:val="17"/>
        </w:rPr>
      </w:pPr>
      <w:r w:rsidRPr="003F4995">
        <w:rPr>
          <w:color w:val="auto"/>
          <w:szCs w:val="17"/>
        </w:rPr>
        <w:t xml:space="preserve">Insurance Europe supports the proposal to </w:t>
      </w:r>
      <w:r w:rsidRPr="003F4995">
        <w:rPr>
          <w:b/>
          <w:color w:val="auto"/>
          <w:szCs w:val="17"/>
        </w:rPr>
        <w:t xml:space="preserve">recognize the risk mitigating effect of a partial guarantee for type 2 mortgage loan exposures </w:t>
      </w:r>
      <w:r w:rsidRPr="003F4995">
        <w:rPr>
          <w:color w:val="auto"/>
          <w:szCs w:val="17"/>
        </w:rPr>
        <w:t>in the counterparty default risk module provided that the partial guarantee meets the requirements of Art 215 of the Delegated Regulation, except for Art 215(f). This contract design is the only one allowed for state agencies in eg the Netherlands. Therefore, recognizing partial guarantees is a prerequisite that these loans can benefit from a more risk-sensitive treatment under Solvency II. Specifically, regarding the LGD proposed formula, Insurance Europe welcomes that it allows for (partial) guarantees under the type 2 counterparty default sub-module and effectively recognises central government guarantees for Type 2 exposures in the counterparty default risk module, such as the National Mortgage Guarantee (NHG) scheme in the Netherlands. Apart from recognising the risk-mitigating effect of schemes like the NHG, this will further lead to a better alignment with Article 235 of the CRR.  Furthermore, Insurance Europe also supports the EC’s proposal to relax the requirement for a full guarantee contained in Article 215 (f) of the Delegated Regulation, as partial recognition also improves the risk sensitivity of the Solvency II framework, which currently fails to account for the reduction in risk, arising from an existing partial guarantee. This is also illustrated by the case of Dutch residential mortgages, which benefit from a partial central government guarantee.</w:t>
      </w:r>
    </w:p>
    <w:p w14:paraId="3B8C1E14" w14:textId="77777777" w:rsidR="00E46D05" w:rsidRPr="003F4995" w:rsidRDefault="00E46D05" w:rsidP="00AD7A2B">
      <w:pPr>
        <w:pStyle w:val="CEABullet-Level1"/>
        <w:numPr>
          <w:ilvl w:val="0"/>
          <w:numId w:val="0"/>
        </w:numPr>
        <w:spacing w:after="120"/>
        <w:ind w:left="360"/>
        <w:rPr>
          <w:color w:val="auto"/>
          <w:szCs w:val="17"/>
        </w:rPr>
      </w:pPr>
    </w:p>
    <w:p w14:paraId="096AC494" w14:textId="77777777" w:rsidR="00E46D05" w:rsidRPr="003F4995" w:rsidRDefault="00E46D05" w:rsidP="00AD7A2B">
      <w:pPr>
        <w:spacing w:after="120"/>
        <w:rPr>
          <w:rFonts w:eastAsia="Calibri"/>
          <w:sz w:val="17"/>
          <w:szCs w:val="17"/>
          <w:lang w:val="en-US"/>
        </w:rPr>
      </w:pPr>
      <w:r w:rsidRPr="003F4995">
        <w:rPr>
          <w:rFonts w:eastAsia="Calibri"/>
          <w:sz w:val="17"/>
          <w:szCs w:val="17"/>
          <w:lang w:val="en-US"/>
        </w:rPr>
        <w:t xml:space="preserve">On the </w:t>
      </w:r>
      <w:r w:rsidRPr="003F4995">
        <w:rPr>
          <w:rFonts w:eastAsia="Calibri"/>
          <w:sz w:val="17"/>
          <w:szCs w:val="17"/>
          <w:u w:val="single"/>
          <w:lang w:val="en-US"/>
        </w:rPr>
        <w:t>negative</w:t>
      </w:r>
      <w:r w:rsidRPr="003F4995">
        <w:rPr>
          <w:rFonts w:eastAsia="Calibri"/>
          <w:sz w:val="17"/>
          <w:szCs w:val="17"/>
          <w:lang w:val="en-US"/>
        </w:rPr>
        <w:t xml:space="preserve"> side, Insurance Europe highlights that:</w:t>
      </w:r>
    </w:p>
    <w:p w14:paraId="6004170A" w14:textId="77777777" w:rsidR="00E46D05" w:rsidRPr="003F4995" w:rsidRDefault="00E46D05" w:rsidP="00AD7A2B">
      <w:pPr>
        <w:pStyle w:val="CEABullet-Level1"/>
        <w:rPr>
          <w:szCs w:val="17"/>
        </w:rPr>
      </w:pPr>
      <w:r w:rsidRPr="003F4995">
        <w:rPr>
          <w:szCs w:val="17"/>
        </w:rPr>
        <w:t>Regarding the introduction of the intermediate treatment in the Solvency II Delegated Regulation, the EC should apply the intermediate treatment also to the counterparty risk module, following the same reasoning applied for the treatment of the market risk module of the Solvency II Delegated Regulation.</w:t>
      </w:r>
    </w:p>
    <w:p w14:paraId="2293EDEE" w14:textId="77777777" w:rsidR="00E46D05" w:rsidRPr="003F4995" w:rsidRDefault="00E46D05" w:rsidP="00AD7A2B">
      <w:pPr>
        <w:spacing w:after="120"/>
        <w:rPr>
          <w:rFonts w:eastAsia="Calibri"/>
          <w:sz w:val="17"/>
          <w:szCs w:val="17"/>
          <w:u w:val="single"/>
          <w:lang w:val="en-US"/>
        </w:rPr>
      </w:pPr>
    </w:p>
    <w:p w14:paraId="201B9AAE" w14:textId="77777777" w:rsidR="00E46D05" w:rsidRPr="003F4995" w:rsidRDefault="00E46D05" w:rsidP="00AD7A2B">
      <w:pPr>
        <w:spacing w:after="120"/>
        <w:rPr>
          <w:rFonts w:eastAsia="Calibri"/>
          <w:sz w:val="17"/>
          <w:szCs w:val="17"/>
          <w:u w:val="single"/>
          <w:lang w:val="en-US"/>
        </w:rPr>
      </w:pPr>
      <w:r w:rsidRPr="003F4995">
        <w:rPr>
          <w:rFonts w:eastAsia="Calibri"/>
          <w:sz w:val="17"/>
          <w:szCs w:val="17"/>
          <w:u w:val="single"/>
          <w:lang w:val="en-US"/>
        </w:rPr>
        <w:t>Looking ahead:</w:t>
      </w:r>
    </w:p>
    <w:p w14:paraId="5E09C92B" w14:textId="77777777" w:rsidR="00E46D05" w:rsidRPr="003F4995" w:rsidRDefault="00E46D05" w:rsidP="00AD7A2B">
      <w:pPr>
        <w:pStyle w:val="CEABullet-Level1"/>
        <w:numPr>
          <w:ilvl w:val="0"/>
          <w:numId w:val="0"/>
        </w:numPr>
        <w:rPr>
          <w:szCs w:val="17"/>
        </w:rPr>
      </w:pPr>
      <w:r w:rsidRPr="003F4995">
        <w:rPr>
          <w:szCs w:val="17"/>
        </w:rPr>
        <w:t>Insurance Europe believes that the list in the Implementing Regulation 2015/2011 (complementing the Solvency II Directive) should be aligned with the RGLA list in the banking framework in a flexible manner and aligned with the intention of Article 85 of the Delegated Regulation. The alignment of both lists must not lead to the lowest common denominator but instead consider at least all RGLAs already covered by either the insurance or the banking framework. Such a list always comes with the caveat that it needs regular updates and that there might be situations in which an undertaking invests in an RGLA not yet covered by the list. Consequently, the undertaking would then be unable to benefit from a lower capital requirement. The same is true for an instrument guaranteed by such a RGLA. In addition, the list of RGLA should allow for broader RGLA categories and be more “principle-based”. This will ensure some flexibility in determining the RGLAs that qualify for equivalence with central governments and the possibility to add RGLAs in close collaboration with the national competent authority. Undertakings should also be allowed to add non-EEA RGLAs within the list in the Implementing Regulation (EU) 2015/2011.</w:t>
      </w:r>
    </w:p>
    <w:p w14:paraId="38776D29" w14:textId="77777777" w:rsidR="00E46D05" w:rsidRPr="003F4995" w:rsidRDefault="00E46D05" w:rsidP="00AD7A2B">
      <w:pPr>
        <w:pStyle w:val="CEABullet-Level1"/>
        <w:numPr>
          <w:ilvl w:val="0"/>
          <w:numId w:val="0"/>
        </w:numPr>
        <w:rPr>
          <w:b/>
          <w:szCs w:val="17"/>
        </w:rPr>
      </w:pPr>
    </w:p>
    <w:p w14:paraId="58A37F02" w14:textId="77777777" w:rsidR="00E46D05" w:rsidRPr="003F4995" w:rsidRDefault="00E46D05" w:rsidP="00AD7A2B">
      <w:pPr>
        <w:pStyle w:val="CEABullet-Level1"/>
        <w:numPr>
          <w:ilvl w:val="0"/>
          <w:numId w:val="0"/>
        </w:numPr>
        <w:rPr>
          <w:b/>
          <w:szCs w:val="17"/>
        </w:rPr>
      </w:pPr>
    </w:p>
    <w:p w14:paraId="134C43A6" w14:textId="77777777" w:rsidR="00E46D05" w:rsidRPr="003F4995" w:rsidRDefault="00E46D05" w:rsidP="00AA0BE2">
      <w:pPr>
        <w:pStyle w:val="CEABullet-Level1"/>
        <w:numPr>
          <w:ilvl w:val="0"/>
          <w:numId w:val="0"/>
        </w:numPr>
        <w:spacing w:after="240"/>
        <w:rPr>
          <w:b/>
          <w:szCs w:val="17"/>
        </w:rPr>
      </w:pPr>
      <w:r w:rsidRPr="003F4995">
        <w:rPr>
          <w:b/>
          <w:szCs w:val="17"/>
        </w:rPr>
        <w:t>Risk-mitigation techniques (with reference to Articles 208-213)</w:t>
      </w:r>
    </w:p>
    <w:p w14:paraId="7F7EAF5B" w14:textId="77777777" w:rsidR="00E46D05" w:rsidRPr="003F4995" w:rsidRDefault="00E46D05" w:rsidP="00AD7A2B">
      <w:pPr>
        <w:pStyle w:val="CEABullet-Level1"/>
        <w:numPr>
          <w:ilvl w:val="0"/>
          <w:numId w:val="0"/>
        </w:numPr>
        <w:rPr>
          <w:b/>
          <w:szCs w:val="17"/>
        </w:rPr>
      </w:pPr>
      <w:r w:rsidRPr="003F4995">
        <w:rPr>
          <w:szCs w:val="17"/>
        </w:rPr>
        <w:t xml:space="preserve">Insurance Europe welcomed the Commission’s request in its Call for Advice to EIOPA to the investigate recognition of risk mitigation techniques and suggest updates to the framework, where necessary. </w:t>
      </w:r>
    </w:p>
    <w:p w14:paraId="3A1A3390" w14:textId="77777777" w:rsidR="00E46D05" w:rsidRPr="003F4995" w:rsidRDefault="00E46D05" w:rsidP="00AD7A2B">
      <w:pPr>
        <w:pStyle w:val="CEABullet-Level1"/>
        <w:numPr>
          <w:ilvl w:val="0"/>
          <w:numId w:val="0"/>
        </w:numPr>
        <w:rPr>
          <w:szCs w:val="17"/>
        </w:rPr>
      </w:pPr>
    </w:p>
    <w:p w14:paraId="1A38FEBF" w14:textId="77777777" w:rsidR="00E46D05" w:rsidRPr="003F4995" w:rsidRDefault="00E46D05" w:rsidP="00AD7A2B">
      <w:pPr>
        <w:pStyle w:val="CEABullet-Level1"/>
        <w:numPr>
          <w:ilvl w:val="0"/>
          <w:numId w:val="0"/>
        </w:numPr>
        <w:rPr>
          <w:szCs w:val="17"/>
        </w:rPr>
      </w:pPr>
      <w:r w:rsidRPr="003F4995">
        <w:rPr>
          <w:szCs w:val="17"/>
        </w:rPr>
        <w:lastRenderedPageBreak/>
        <w:t xml:space="preserve">Risk mitigation techniques are a fundamental part of insurance risk management and, as foreseen by Article 101 of the Directive, should be properly reflected in the calculation of the SCR. As the Commission noted in its Call for Advice, risk mitigation techniques have evolved significantly over the past few years and are expected to continue to evolve in future. </w:t>
      </w:r>
    </w:p>
    <w:p w14:paraId="17919A4A" w14:textId="77777777" w:rsidR="00E46D05" w:rsidRPr="003F4995" w:rsidRDefault="00E46D05" w:rsidP="00AD7A2B">
      <w:pPr>
        <w:pStyle w:val="CEABullet-Level1"/>
        <w:numPr>
          <w:ilvl w:val="0"/>
          <w:numId w:val="0"/>
        </w:numPr>
        <w:rPr>
          <w:szCs w:val="17"/>
        </w:rPr>
      </w:pPr>
    </w:p>
    <w:p w14:paraId="47D8C580" w14:textId="77777777" w:rsidR="00E46D05" w:rsidRPr="003F4995" w:rsidRDefault="00E46D05" w:rsidP="00AD7A2B">
      <w:pPr>
        <w:pStyle w:val="CEABullet-Level1"/>
        <w:numPr>
          <w:ilvl w:val="0"/>
          <w:numId w:val="0"/>
        </w:numPr>
        <w:rPr>
          <w:szCs w:val="17"/>
        </w:rPr>
      </w:pPr>
      <w:r w:rsidRPr="003F4995">
        <w:rPr>
          <w:szCs w:val="17"/>
        </w:rPr>
        <w:t>Insurance Europe supports changes to the Solvency II framework which improve risk sensitivity and broaden the scope of eligible risk-mitigation techniques where appropriate. It is, therefore, disappointed that, despite several proposals from industry, the Commission has not put forward any improvements for the recognition of non-proportional reinsurance and Adverse Development Covers in particular.</w:t>
      </w:r>
    </w:p>
    <w:p w14:paraId="621D9750" w14:textId="77777777" w:rsidR="00E46D05" w:rsidRPr="003F4995" w:rsidRDefault="00E46D05" w:rsidP="00AD7A2B">
      <w:pPr>
        <w:pStyle w:val="CEABullet-Level1"/>
        <w:numPr>
          <w:ilvl w:val="0"/>
          <w:numId w:val="0"/>
        </w:numPr>
        <w:rPr>
          <w:szCs w:val="17"/>
        </w:rPr>
      </w:pPr>
    </w:p>
    <w:p w14:paraId="2442D3C5" w14:textId="77777777" w:rsidR="00E46D05" w:rsidRPr="003F4995" w:rsidRDefault="00E46D05" w:rsidP="00AD7A2B">
      <w:pPr>
        <w:pStyle w:val="CEABullet-Level1"/>
        <w:numPr>
          <w:ilvl w:val="0"/>
          <w:numId w:val="0"/>
        </w:numPr>
        <w:rPr>
          <w:szCs w:val="17"/>
        </w:rPr>
      </w:pPr>
      <w:r w:rsidRPr="003F4995">
        <w:rPr>
          <w:szCs w:val="17"/>
        </w:rPr>
        <w:t xml:space="preserve">On the </w:t>
      </w:r>
      <w:r w:rsidRPr="003F4995">
        <w:rPr>
          <w:szCs w:val="17"/>
          <w:u w:val="single"/>
        </w:rPr>
        <w:t>positive</w:t>
      </w:r>
      <w:r w:rsidRPr="003F4995">
        <w:rPr>
          <w:szCs w:val="17"/>
        </w:rPr>
        <w:t xml:space="preserve"> side:</w:t>
      </w:r>
    </w:p>
    <w:p w14:paraId="32C30223" w14:textId="77777777" w:rsidR="00E46D05" w:rsidRPr="003F4995" w:rsidRDefault="00E46D05" w:rsidP="00AD7A2B">
      <w:pPr>
        <w:pStyle w:val="CEABullet-Level1"/>
        <w:rPr>
          <w:szCs w:val="17"/>
        </w:rPr>
      </w:pPr>
      <w:r w:rsidRPr="003F4995">
        <w:rPr>
          <w:szCs w:val="17"/>
        </w:rPr>
        <w:t>The proposal to extend the recognition for financial instruments which are in force for a period of 12 months and have a contractual maturity not shorter than one month improves risk sensitivity and further aligns the regulation with normal business practice.</w:t>
      </w:r>
    </w:p>
    <w:p w14:paraId="7E35BCD2" w14:textId="77777777" w:rsidR="00E46D05" w:rsidRPr="003F4995" w:rsidRDefault="00E46D05" w:rsidP="00AD7A2B">
      <w:pPr>
        <w:pStyle w:val="CEABullet-Level1"/>
        <w:rPr>
          <w:szCs w:val="17"/>
        </w:rPr>
      </w:pPr>
      <w:r w:rsidRPr="003F4995">
        <w:rPr>
          <w:szCs w:val="17"/>
        </w:rPr>
        <w:t>The proposal to alter the requirements for the partial recognition of risk-mitigation provided by a reinsurer temporarily in breach of the its SCR removes unrealistic impediments to the application of the regulation.</w:t>
      </w:r>
    </w:p>
    <w:p w14:paraId="6E99C8C2" w14:textId="77777777" w:rsidR="00E46D05" w:rsidRPr="003F4995" w:rsidRDefault="00E46D05" w:rsidP="00AD7A2B">
      <w:pPr>
        <w:pStyle w:val="CEABullet-Level1"/>
        <w:numPr>
          <w:ilvl w:val="0"/>
          <w:numId w:val="0"/>
        </w:numPr>
        <w:ind w:left="360"/>
        <w:rPr>
          <w:szCs w:val="17"/>
        </w:rPr>
      </w:pPr>
    </w:p>
    <w:p w14:paraId="1CB7C014" w14:textId="77777777" w:rsidR="00E46D05" w:rsidRPr="003F4995" w:rsidRDefault="00E46D05" w:rsidP="00AD7A2B">
      <w:pPr>
        <w:pStyle w:val="CEABullet-Level1"/>
        <w:numPr>
          <w:ilvl w:val="0"/>
          <w:numId w:val="0"/>
        </w:numPr>
        <w:rPr>
          <w:szCs w:val="17"/>
        </w:rPr>
      </w:pPr>
      <w:r w:rsidRPr="003F4995">
        <w:rPr>
          <w:szCs w:val="17"/>
        </w:rPr>
        <w:t xml:space="preserve">On the </w:t>
      </w:r>
      <w:r w:rsidRPr="003F4995">
        <w:rPr>
          <w:szCs w:val="17"/>
          <w:u w:val="single"/>
        </w:rPr>
        <w:t>negative</w:t>
      </w:r>
      <w:r w:rsidRPr="003F4995">
        <w:rPr>
          <w:szCs w:val="17"/>
        </w:rPr>
        <w:t xml:space="preserve"> side:</w:t>
      </w:r>
    </w:p>
    <w:p w14:paraId="50506DA5" w14:textId="77777777" w:rsidR="00E46D05" w:rsidRPr="003F4995" w:rsidRDefault="00E46D05" w:rsidP="00AD7A2B">
      <w:pPr>
        <w:pStyle w:val="CEABullet-Level1"/>
        <w:rPr>
          <w:szCs w:val="17"/>
        </w:rPr>
      </w:pPr>
      <w:r w:rsidRPr="003F4995">
        <w:rPr>
          <w:szCs w:val="17"/>
        </w:rPr>
        <w:t>It is disappointing that, despite several proposals from industry, the Commission has not put forward any improvements for the recognition of non-proportional reinsurance and Adverse Development Covers, in particular.</w:t>
      </w:r>
    </w:p>
    <w:p w14:paraId="388B3D7D" w14:textId="77777777" w:rsidR="00E46D05" w:rsidRPr="003F4995" w:rsidRDefault="00E46D05" w:rsidP="00AD7A2B">
      <w:pPr>
        <w:pStyle w:val="CEABullet-Level1"/>
        <w:numPr>
          <w:ilvl w:val="0"/>
          <w:numId w:val="0"/>
        </w:numPr>
        <w:rPr>
          <w:b/>
          <w:szCs w:val="17"/>
        </w:rPr>
      </w:pPr>
    </w:p>
    <w:p w14:paraId="50C2C97D" w14:textId="77777777" w:rsidR="00E46D05" w:rsidRPr="003F4995" w:rsidRDefault="00E46D05" w:rsidP="00AD7A2B">
      <w:pPr>
        <w:pStyle w:val="CEABullet-Level1"/>
        <w:numPr>
          <w:ilvl w:val="0"/>
          <w:numId w:val="0"/>
        </w:numPr>
        <w:rPr>
          <w:b/>
          <w:szCs w:val="17"/>
        </w:rPr>
      </w:pPr>
    </w:p>
    <w:p w14:paraId="5BB89B86" w14:textId="77777777" w:rsidR="00E46D05" w:rsidRPr="003F4995" w:rsidRDefault="00E46D05" w:rsidP="00AA0BE2">
      <w:pPr>
        <w:pStyle w:val="CEABullet-Level1"/>
        <w:numPr>
          <w:ilvl w:val="0"/>
          <w:numId w:val="0"/>
        </w:numPr>
        <w:spacing w:after="240"/>
        <w:rPr>
          <w:b/>
          <w:szCs w:val="17"/>
        </w:rPr>
      </w:pPr>
      <w:r w:rsidRPr="003F4995">
        <w:rPr>
          <w:b/>
          <w:szCs w:val="17"/>
        </w:rPr>
        <w:t>Undertaking specific parameters (with reference to Article 218, 220 and Annex XVII)</w:t>
      </w:r>
    </w:p>
    <w:p w14:paraId="4C13F144" w14:textId="77777777" w:rsidR="00E46D05" w:rsidRPr="003F4995" w:rsidRDefault="00E46D05" w:rsidP="00AD7A2B">
      <w:pPr>
        <w:pStyle w:val="CEABullet-Level1"/>
        <w:numPr>
          <w:ilvl w:val="0"/>
          <w:numId w:val="0"/>
        </w:numPr>
        <w:rPr>
          <w:szCs w:val="17"/>
        </w:rPr>
      </w:pPr>
      <w:r w:rsidRPr="003F4995">
        <w:rPr>
          <w:szCs w:val="17"/>
        </w:rPr>
        <w:t xml:space="preserve">Insurance Europe welcomed the Commission’s ambition to extend the usage of the USP framework, as stated in its Call for Advice to EIOPA. However, it is disappointed that the level of proposals put forward by the Commission do not match the level of initial ambition. </w:t>
      </w:r>
    </w:p>
    <w:p w14:paraId="341B924C" w14:textId="77777777" w:rsidR="00E46D05" w:rsidRPr="003F4995" w:rsidRDefault="00E46D05" w:rsidP="00AD7A2B">
      <w:pPr>
        <w:pStyle w:val="CEABullet-Level1"/>
        <w:numPr>
          <w:ilvl w:val="0"/>
          <w:numId w:val="0"/>
        </w:numPr>
        <w:rPr>
          <w:szCs w:val="17"/>
        </w:rPr>
      </w:pPr>
    </w:p>
    <w:p w14:paraId="20C84A39" w14:textId="77777777" w:rsidR="00E46D05" w:rsidRPr="003F4995" w:rsidRDefault="00E46D05" w:rsidP="00AD7A2B">
      <w:pPr>
        <w:pStyle w:val="CEABullet-Level1"/>
        <w:numPr>
          <w:ilvl w:val="0"/>
          <w:numId w:val="0"/>
        </w:numPr>
        <w:rPr>
          <w:szCs w:val="17"/>
        </w:rPr>
      </w:pPr>
      <w:r w:rsidRPr="003F4995">
        <w:rPr>
          <w:szCs w:val="17"/>
        </w:rPr>
        <w:t>Insurance Europe remains strongly supportive of the use of USPs which, together with the proportionality principle, are meant to ensure that Solvency II works for all companies, irrespective of their size. However, as illustrated by EIOPA’s analysis, the use of USPs is very limited at present.</w:t>
      </w:r>
    </w:p>
    <w:p w14:paraId="3ED433AA" w14:textId="77777777" w:rsidR="00E46D05" w:rsidRPr="003F4995" w:rsidRDefault="00E46D05" w:rsidP="00AD7A2B">
      <w:pPr>
        <w:pStyle w:val="CEABullet-Level1"/>
        <w:numPr>
          <w:ilvl w:val="0"/>
          <w:numId w:val="0"/>
        </w:numPr>
        <w:rPr>
          <w:szCs w:val="17"/>
        </w:rPr>
      </w:pPr>
    </w:p>
    <w:p w14:paraId="33B9105A" w14:textId="77777777" w:rsidR="00E46D05" w:rsidRPr="003F4995" w:rsidRDefault="00E46D05" w:rsidP="00AD7A2B">
      <w:pPr>
        <w:pStyle w:val="CEABullet-Level1"/>
        <w:numPr>
          <w:ilvl w:val="0"/>
          <w:numId w:val="0"/>
        </w:numPr>
        <w:rPr>
          <w:szCs w:val="17"/>
        </w:rPr>
      </w:pPr>
      <w:r w:rsidRPr="003F4995">
        <w:rPr>
          <w:szCs w:val="17"/>
        </w:rPr>
        <w:t xml:space="preserve">On the </w:t>
      </w:r>
      <w:r w:rsidRPr="003F4995">
        <w:rPr>
          <w:szCs w:val="17"/>
          <w:u w:val="single"/>
        </w:rPr>
        <w:t>positive</w:t>
      </w:r>
      <w:r w:rsidRPr="003F4995">
        <w:rPr>
          <w:szCs w:val="17"/>
        </w:rPr>
        <w:t xml:space="preserve"> side:</w:t>
      </w:r>
    </w:p>
    <w:p w14:paraId="5DB50950" w14:textId="77777777" w:rsidR="00E46D05" w:rsidRPr="003F4995" w:rsidRDefault="00E46D05" w:rsidP="00AD7A2B">
      <w:pPr>
        <w:pStyle w:val="CEABullet-Level1"/>
        <w:rPr>
          <w:szCs w:val="17"/>
        </w:rPr>
      </w:pPr>
      <w:r w:rsidRPr="003F4995">
        <w:rPr>
          <w:szCs w:val="17"/>
        </w:rPr>
        <w:t>The newly proposal USP methodology for the calculation of the adjustment factor for non-proportional reinsurance represents an improvement to the existing permitted calculations and, in that respect, should further extend the usage of the USP for the adjustment factor.</w:t>
      </w:r>
    </w:p>
    <w:p w14:paraId="053319E2" w14:textId="77777777" w:rsidR="00E46D05" w:rsidRPr="003F4995" w:rsidRDefault="00E46D05" w:rsidP="00AD7A2B">
      <w:pPr>
        <w:pStyle w:val="CEABullet-Level1"/>
        <w:numPr>
          <w:ilvl w:val="0"/>
          <w:numId w:val="0"/>
        </w:numPr>
        <w:ind w:left="360"/>
        <w:rPr>
          <w:szCs w:val="17"/>
        </w:rPr>
      </w:pPr>
    </w:p>
    <w:p w14:paraId="1474A216" w14:textId="77777777" w:rsidR="00E46D05" w:rsidRPr="003F4995" w:rsidRDefault="00E46D05" w:rsidP="00AD7A2B">
      <w:pPr>
        <w:pStyle w:val="CEABullet-Level1"/>
        <w:numPr>
          <w:ilvl w:val="0"/>
          <w:numId w:val="0"/>
        </w:numPr>
        <w:rPr>
          <w:szCs w:val="17"/>
        </w:rPr>
      </w:pPr>
      <w:r w:rsidRPr="003F4995">
        <w:rPr>
          <w:szCs w:val="17"/>
        </w:rPr>
        <w:t xml:space="preserve">On the </w:t>
      </w:r>
      <w:r w:rsidRPr="003F4995">
        <w:rPr>
          <w:szCs w:val="17"/>
          <w:u w:val="single"/>
        </w:rPr>
        <w:t>negative</w:t>
      </w:r>
      <w:r w:rsidRPr="003F4995">
        <w:rPr>
          <w:szCs w:val="17"/>
        </w:rPr>
        <w:t xml:space="preserve"> side:</w:t>
      </w:r>
    </w:p>
    <w:p w14:paraId="597AD532" w14:textId="77777777" w:rsidR="00E46D05" w:rsidRPr="003F4995" w:rsidRDefault="00E46D05" w:rsidP="00AD7A2B">
      <w:pPr>
        <w:pStyle w:val="CEABullet-Level1"/>
        <w:rPr>
          <w:szCs w:val="17"/>
        </w:rPr>
      </w:pPr>
      <w:r w:rsidRPr="003F4995">
        <w:rPr>
          <w:szCs w:val="17"/>
        </w:rPr>
        <w:t xml:space="preserve">The scope of the USP framework, as outlined in Article 218, remains restricted relative to that foreseen under Article 104 (7) of the Solvency II Directive. </w:t>
      </w:r>
    </w:p>
    <w:p w14:paraId="5851C9A3" w14:textId="77777777" w:rsidR="00E46D05" w:rsidRPr="003F4995" w:rsidRDefault="00E46D05" w:rsidP="00AD7A2B">
      <w:pPr>
        <w:pStyle w:val="CEABullet-Level1"/>
        <w:rPr>
          <w:szCs w:val="17"/>
        </w:rPr>
      </w:pPr>
      <w:r w:rsidRPr="003F4995">
        <w:rPr>
          <w:szCs w:val="17"/>
        </w:rPr>
        <w:t>In particular, the USP framework has not been extended to include the possibility of using USPs in the lapse risk submodule. Insurance Europe considers the current calibration for lapse risk to be inappropriate as there is no clear evidence for the current discontinuance of 40 % of the insurance policies by default and for all types of contract.</w:t>
      </w:r>
    </w:p>
    <w:p w14:paraId="54B15053" w14:textId="77777777" w:rsidR="00E46D05" w:rsidRPr="003F4995" w:rsidRDefault="00E46D05" w:rsidP="00AD7A2B">
      <w:pPr>
        <w:pStyle w:val="CEABullet-Level1"/>
        <w:rPr>
          <w:szCs w:val="17"/>
        </w:rPr>
      </w:pPr>
      <w:r w:rsidRPr="003F4995">
        <w:rPr>
          <w:szCs w:val="17"/>
        </w:rPr>
        <w:t>The requirement to assess completeness, accuracy and appropriateness of the data remains very stringent and inhibits the use of USPs. The strong requirement, as set out in Article 219 (b) and (d), which mandate the data to be capable of being used in standardised methods does not allow undertakings to exert expert judgement when dealing with the set-up of the USPs (in terms of data, assumptions and methods).</w:t>
      </w:r>
    </w:p>
    <w:p w14:paraId="31635F63" w14:textId="77777777" w:rsidR="00E46D05" w:rsidRDefault="00E46D05" w:rsidP="00AD7A2B">
      <w:pPr>
        <w:pStyle w:val="CEABullet-Level1"/>
        <w:numPr>
          <w:ilvl w:val="0"/>
          <w:numId w:val="0"/>
        </w:numPr>
        <w:ind w:left="360"/>
        <w:rPr>
          <w:szCs w:val="17"/>
        </w:rPr>
      </w:pPr>
    </w:p>
    <w:p w14:paraId="5EFB838D" w14:textId="7805E3DB" w:rsidR="0094610D" w:rsidRDefault="0094610D" w:rsidP="00AD7A2B">
      <w:pPr>
        <w:pStyle w:val="CEABullet-Level1"/>
        <w:numPr>
          <w:ilvl w:val="0"/>
          <w:numId w:val="0"/>
        </w:numPr>
        <w:ind w:left="360"/>
        <w:rPr>
          <w:szCs w:val="17"/>
        </w:rPr>
      </w:pPr>
    </w:p>
    <w:p w14:paraId="3B138C9B" w14:textId="77777777" w:rsidR="0094610D" w:rsidRPr="003F4995" w:rsidRDefault="0094610D" w:rsidP="00AD7A2B">
      <w:pPr>
        <w:pStyle w:val="CEABullet-Level1"/>
        <w:numPr>
          <w:ilvl w:val="0"/>
          <w:numId w:val="0"/>
        </w:numPr>
        <w:ind w:left="360"/>
        <w:rPr>
          <w:szCs w:val="17"/>
        </w:rPr>
      </w:pPr>
    </w:p>
    <w:p w14:paraId="4C4F2DA2" w14:textId="77777777" w:rsidR="00E46D05" w:rsidRPr="003F4995" w:rsidRDefault="00E46D05" w:rsidP="00AD7A2B">
      <w:pPr>
        <w:pStyle w:val="CEABullet-Level1"/>
        <w:numPr>
          <w:ilvl w:val="0"/>
          <w:numId w:val="0"/>
        </w:numPr>
        <w:rPr>
          <w:szCs w:val="17"/>
          <w:u w:val="single"/>
        </w:rPr>
      </w:pPr>
      <w:r w:rsidRPr="003F4995">
        <w:rPr>
          <w:szCs w:val="17"/>
          <w:u w:val="single"/>
        </w:rPr>
        <w:t>Looking ahead:</w:t>
      </w:r>
    </w:p>
    <w:p w14:paraId="1496836F" w14:textId="77777777" w:rsidR="00E46D05" w:rsidRPr="003F4995" w:rsidRDefault="00E46D05" w:rsidP="00AD7A2B">
      <w:pPr>
        <w:pStyle w:val="CEABullet-Level1"/>
        <w:numPr>
          <w:ilvl w:val="0"/>
          <w:numId w:val="0"/>
        </w:numPr>
        <w:rPr>
          <w:szCs w:val="17"/>
          <w:u w:val="single"/>
        </w:rPr>
      </w:pPr>
      <w:r w:rsidRPr="003F4995">
        <w:rPr>
          <w:szCs w:val="17"/>
        </w:rPr>
        <w:t>Insurance Europe strongly believes that the scope of USPs should not be restricted to certain areas, as is currently set out in the Delegated Regulation, but rather expanded to life, health, non-life catastrophe and even operational risk.</w:t>
      </w:r>
    </w:p>
    <w:p w14:paraId="6D3CFC28" w14:textId="77777777" w:rsidR="00E46D05" w:rsidRPr="003F4995" w:rsidRDefault="00E46D05" w:rsidP="00AD7A2B">
      <w:pPr>
        <w:pStyle w:val="CEABullet-Level1"/>
        <w:numPr>
          <w:ilvl w:val="0"/>
          <w:numId w:val="0"/>
        </w:numPr>
        <w:ind w:left="360"/>
        <w:rPr>
          <w:b/>
          <w:color w:val="auto"/>
          <w:szCs w:val="17"/>
        </w:rPr>
      </w:pPr>
    </w:p>
    <w:p w14:paraId="57A28BA2" w14:textId="77777777" w:rsidR="00E46D05" w:rsidRPr="003F4995" w:rsidRDefault="00E46D05" w:rsidP="00AD7A2B">
      <w:pPr>
        <w:pStyle w:val="CEABullet-Level1"/>
        <w:numPr>
          <w:ilvl w:val="0"/>
          <w:numId w:val="0"/>
        </w:numPr>
        <w:ind w:left="360"/>
        <w:rPr>
          <w:b/>
          <w:color w:val="auto"/>
          <w:szCs w:val="17"/>
        </w:rPr>
      </w:pPr>
    </w:p>
    <w:p w14:paraId="11D39E7F" w14:textId="77777777" w:rsidR="00E46D05" w:rsidRPr="003F4995" w:rsidRDefault="00E46D05" w:rsidP="00AA0BE2">
      <w:pPr>
        <w:pStyle w:val="CEABullet-Level1"/>
        <w:numPr>
          <w:ilvl w:val="0"/>
          <w:numId w:val="0"/>
        </w:numPr>
        <w:spacing w:after="240"/>
        <w:rPr>
          <w:b/>
          <w:szCs w:val="17"/>
        </w:rPr>
      </w:pPr>
      <w:bookmarkStart w:id="4" w:name="_Hlk529965280"/>
      <w:r w:rsidRPr="003F4995">
        <w:rPr>
          <w:b/>
          <w:szCs w:val="17"/>
        </w:rPr>
        <w:t>Loss-absorbing capacity of deferred taxes (LAC DT) (with reference to articles 207, 260(1), 297, 311)</w:t>
      </w:r>
    </w:p>
    <w:p w14:paraId="478AFD99" w14:textId="77777777" w:rsidR="00E46D05" w:rsidRPr="003F4995" w:rsidRDefault="00E46D05" w:rsidP="00AD7A2B">
      <w:pPr>
        <w:pStyle w:val="CEABullet-Level1"/>
        <w:numPr>
          <w:ilvl w:val="0"/>
          <w:numId w:val="0"/>
        </w:numPr>
        <w:rPr>
          <w:szCs w:val="17"/>
        </w:rPr>
      </w:pPr>
      <w:r w:rsidRPr="003F4995">
        <w:rPr>
          <w:szCs w:val="17"/>
        </w:rPr>
        <w:t>Insurance Europe is disappointed with the decision of the EC to follow EIOPA’s own-initiative proposals in the area of LAC DT. Insurance Europe notes that EIOPA was asked by the EC to report on the various methods currently applied across the EEA on LAC DT, and on their impact. Insurance Europe therefore believes that, by submitting its analysis, EIOPA had already fully delivered on its mandate.</w:t>
      </w:r>
    </w:p>
    <w:p w14:paraId="3A2F9EE3" w14:textId="77777777" w:rsidR="00E46D05" w:rsidRPr="003F4995" w:rsidRDefault="00E46D05" w:rsidP="00AD7A2B">
      <w:pPr>
        <w:pStyle w:val="CEABullet-Level1"/>
        <w:numPr>
          <w:ilvl w:val="0"/>
          <w:numId w:val="0"/>
        </w:numPr>
        <w:rPr>
          <w:szCs w:val="17"/>
        </w:rPr>
      </w:pPr>
    </w:p>
    <w:p w14:paraId="4FEF4F2B" w14:textId="77777777" w:rsidR="00E46D05" w:rsidRPr="003F4995" w:rsidRDefault="00E46D05" w:rsidP="00AD7A2B">
      <w:pPr>
        <w:pStyle w:val="CEABullet-Level1"/>
        <w:numPr>
          <w:ilvl w:val="0"/>
          <w:numId w:val="0"/>
        </w:numPr>
        <w:rPr>
          <w:szCs w:val="17"/>
        </w:rPr>
      </w:pPr>
      <w:r w:rsidRPr="003F4995">
        <w:rPr>
          <w:szCs w:val="17"/>
        </w:rPr>
        <w:t xml:space="preserve">On the </w:t>
      </w:r>
      <w:r w:rsidRPr="003F4995">
        <w:rPr>
          <w:szCs w:val="17"/>
          <w:u w:val="single"/>
        </w:rPr>
        <w:t>positive</w:t>
      </w:r>
      <w:r w:rsidRPr="003F4995">
        <w:rPr>
          <w:szCs w:val="17"/>
        </w:rPr>
        <w:t xml:space="preserve"> side </w:t>
      </w:r>
    </w:p>
    <w:p w14:paraId="2ABD0342" w14:textId="77777777" w:rsidR="00E46D05" w:rsidRPr="003F4995" w:rsidRDefault="00E46D05" w:rsidP="00AD7A2B">
      <w:pPr>
        <w:pStyle w:val="CEABullet-Level1"/>
        <w:rPr>
          <w:szCs w:val="17"/>
        </w:rPr>
      </w:pPr>
      <w:r w:rsidRPr="003F4995">
        <w:rPr>
          <w:szCs w:val="17"/>
        </w:rPr>
        <w:t>The proposed approach is principle based</w:t>
      </w:r>
    </w:p>
    <w:p w14:paraId="3032BE43" w14:textId="77777777" w:rsidR="00E46D05" w:rsidRPr="003F4995" w:rsidRDefault="00E46D05" w:rsidP="00AD7A2B">
      <w:pPr>
        <w:pStyle w:val="CEABullet-Level1"/>
        <w:rPr>
          <w:szCs w:val="17"/>
        </w:rPr>
      </w:pPr>
      <w:r w:rsidRPr="003F4995">
        <w:rPr>
          <w:szCs w:val="17"/>
        </w:rPr>
        <w:t xml:space="preserve">While Insurance Europe agrees with the provision that ‘in case future management actions are assumed, these should be subject to the provisions foreseen in Art 23’. </w:t>
      </w:r>
    </w:p>
    <w:p w14:paraId="25B9EE87" w14:textId="77777777" w:rsidR="00E46D05" w:rsidRPr="003F4995" w:rsidRDefault="00E46D05" w:rsidP="00AD7A2B">
      <w:pPr>
        <w:pStyle w:val="CEABullet-Level1"/>
        <w:numPr>
          <w:ilvl w:val="0"/>
          <w:numId w:val="0"/>
        </w:numPr>
        <w:ind w:left="720"/>
        <w:rPr>
          <w:szCs w:val="17"/>
        </w:rPr>
      </w:pPr>
      <w:r w:rsidRPr="003F4995">
        <w:rPr>
          <w:szCs w:val="17"/>
        </w:rPr>
        <w:t>Insurance Europe notes that Article 23 refers to best estimate calculations and not SCR calculations. Therefore, it believes that a reference to Art 236(1) would be more appropriate.</w:t>
      </w:r>
    </w:p>
    <w:p w14:paraId="690070E1" w14:textId="77777777" w:rsidR="00E46D05" w:rsidRPr="003F4995" w:rsidRDefault="00E46D05" w:rsidP="00AD7A2B">
      <w:pPr>
        <w:pStyle w:val="CEABullet-Level1"/>
        <w:rPr>
          <w:szCs w:val="17"/>
        </w:rPr>
      </w:pPr>
      <w:r w:rsidRPr="003F4995">
        <w:rPr>
          <w:szCs w:val="17"/>
        </w:rPr>
        <w:t xml:space="preserve">The draft DA proposes that the validation of the LAC DT should reside either with the risk management function or with the actuarial function. </w:t>
      </w:r>
    </w:p>
    <w:p w14:paraId="50F75EA6" w14:textId="77777777" w:rsidR="00E46D05" w:rsidRPr="003F4995" w:rsidRDefault="00E46D05" w:rsidP="00AD7A2B">
      <w:pPr>
        <w:pStyle w:val="CEABullet-Level1"/>
        <w:numPr>
          <w:ilvl w:val="0"/>
          <w:numId w:val="0"/>
        </w:numPr>
        <w:ind w:left="360"/>
        <w:rPr>
          <w:szCs w:val="17"/>
        </w:rPr>
      </w:pPr>
    </w:p>
    <w:p w14:paraId="3CF6EA42" w14:textId="77777777" w:rsidR="00E46D05" w:rsidRPr="003F4995" w:rsidRDefault="00E46D05" w:rsidP="00AD7A2B">
      <w:pPr>
        <w:pStyle w:val="CEABullet-Level1"/>
        <w:numPr>
          <w:ilvl w:val="0"/>
          <w:numId w:val="0"/>
        </w:numPr>
        <w:rPr>
          <w:szCs w:val="17"/>
        </w:rPr>
      </w:pPr>
      <w:r w:rsidRPr="003F4995">
        <w:rPr>
          <w:szCs w:val="17"/>
        </w:rPr>
        <w:t xml:space="preserve">On the </w:t>
      </w:r>
      <w:r w:rsidRPr="003F4995">
        <w:rPr>
          <w:szCs w:val="17"/>
          <w:u w:val="single"/>
        </w:rPr>
        <w:t>negative</w:t>
      </w:r>
      <w:r w:rsidRPr="003F4995">
        <w:rPr>
          <w:szCs w:val="17"/>
        </w:rPr>
        <w:t xml:space="preserve"> side</w:t>
      </w:r>
    </w:p>
    <w:p w14:paraId="6785CBA7" w14:textId="77777777" w:rsidR="00E46D05" w:rsidRPr="003F4995" w:rsidRDefault="00E46D05" w:rsidP="00AD7A2B">
      <w:pPr>
        <w:pStyle w:val="CEABullet-Level1"/>
        <w:rPr>
          <w:rFonts w:cs="Times New Roman"/>
          <w:color w:val="auto"/>
          <w:szCs w:val="17"/>
          <w:lang w:val="en-US"/>
        </w:rPr>
      </w:pPr>
      <w:r w:rsidRPr="003F4995">
        <w:rPr>
          <w:szCs w:val="17"/>
          <w:lang w:val="en-US"/>
        </w:rPr>
        <w:t xml:space="preserve">For the purposes of demonstrating </w:t>
      </w:r>
      <w:r w:rsidRPr="003F4995">
        <w:rPr>
          <w:b/>
          <w:szCs w:val="17"/>
          <w:lang w:val="en-US"/>
        </w:rPr>
        <w:t>to the satisfaction of the supervisory authority</w:t>
      </w:r>
      <w:r w:rsidRPr="003F4995">
        <w:rPr>
          <w:szCs w:val="17"/>
          <w:lang w:val="en-US"/>
        </w:rPr>
        <w:t xml:space="preserve"> that it is possible that future taxable profit will be available, the extent of compliance with SCR/MCR should be reflected. </w:t>
      </w:r>
    </w:p>
    <w:p w14:paraId="12E2B22B" w14:textId="77777777" w:rsidR="00E46D05" w:rsidRPr="003F4995" w:rsidRDefault="00E46D05" w:rsidP="00AD7A2B">
      <w:pPr>
        <w:pStyle w:val="CEABullet-Level1"/>
        <w:rPr>
          <w:szCs w:val="17"/>
        </w:rPr>
      </w:pPr>
      <w:r w:rsidRPr="003F4995">
        <w:rPr>
          <w:szCs w:val="17"/>
          <w:lang w:val="en-US"/>
        </w:rPr>
        <w:t>Furthermore, t</w:t>
      </w:r>
      <w:r w:rsidRPr="003F4995">
        <w:rPr>
          <w:szCs w:val="17"/>
        </w:rPr>
        <w:t xml:space="preserve">he following conditions will have to be applied in order to </w:t>
      </w:r>
      <w:r w:rsidRPr="003F4995">
        <w:rPr>
          <w:b/>
          <w:szCs w:val="17"/>
        </w:rPr>
        <w:t>demonstrate that future taxable profits will be available</w:t>
      </w:r>
      <w:r w:rsidRPr="003F4995">
        <w:rPr>
          <w:szCs w:val="17"/>
        </w:rPr>
        <w:t>:</w:t>
      </w:r>
    </w:p>
    <w:p w14:paraId="1DD9CFB3" w14:textId="77777777" w:rsidR="00E46D05" w:rsidRPr="003F4995" w:rsidRDefault="00E46D05" w:rsidP="00AD7A2B">
      <w:pPr>
        <w:pStyle w:val="CEABullet-Level2"/>
        <w:ind w:left="1134"/>
        <w:rPr>
          <w:szCs w:val="17"/>
        </w:rPr>
      </w:pPr>
      <w:r w:rsidRPr="003F4995">
        <w:rPr>
          <w:szCs w:val="17"/>
        </w:rPr>
        <w:t xml:space="preserve">No assumptions will be applied that are more favourable than those used for the valuation and utilisation of deferred taxes in accordance with article 15. </w:t>
      </w:r>
    </w:p>
    <w:p w14:paraId="4801C2B8" w14:textId="77777777" w:rsidR="00E46D05" w:rsidRPr="003F4995" w:rsidRDefault="00E46D05" w:rsidP="00AD7A2B">
      <w:pPr>
        <w:pStyle w:val="CEABullet-Level2"/>
        <w:ind w:left="1134"/>
        <w:rPr>
          <w:szCs w:val="17"/>
        </w:rPr>
      </w:pPr>
      <w:r w:rsidRPr="003F4995">
        <w:rPr>
          <w:szCs w:val="17"/>
        </w:rPr>
        <w:t>New business sales cannot exceed those used for business planning</w:t>
      </w:r>
    </w:p>
    <w:p w14:paraId="0697EBA2" w14:textId="77777777" w:rsidR="00E46D05" w:rsidRPr="003F4995" w:rsidRDefault="00E46D05" w:rsidP="00AD7A2B">
      <w:pPr>
        <w:pStyle w:val="CEABullet-Level2"/>
        <w:ind w:left="1134"/>
        <w:rPr>
          <w:szCs w:val="17"/>
        </w:rPr>
      </w:pPr>
      <w:r w:rsidRPr="003F4995">
        <w:rPr>
          <w:szCs w:val="17"/>
        </w:rPr>
        <w:t xml:space="preserve">New business sales cannot go beyond the business planning horizon, with a maximum horizon of 5 years. </w:t>
      </w:r>
    </w:p>
    <w:p w14:paraId="0D3750B7" w14:textId="77777777" w:rsidR="00E46D05" w:rsidRPr="003F4995" w:rsidRDefault="00E46D05" w:rsidP="00AD7A2B">
      <w:pPr>
        <w:pStyle w:val="CEABullet-Level2"/>
        <w:numPr>
          <w:ilvl w:val="0"/>
          <w:numId w:val="0"/>
        </w:numPr>
        <w:ind w:left="1134"/>
        <w:rPr>
          <w:szCs w:val="17"/>
        </w:rPr>
      </w:pPr>
      <w:r w:rsidRPr="003F4995">
        <w:rPr>
          <w:szCs w:val="17"/>
        </w:rPr>
        <w:t xml:space="preserve">Insurance Europe highlights that this requirement implies that an insurer is no longer in ‘going concern’ after 5 years, this conflicts with Dir Art 101 (2), which states that ‘The SCR shall be calculated on the presumption that the undertaking will pursue its business as a going concern. </w:t>
      </w:r>
    </w:p>
    <w:p w14:paraId="1E202C10" w14:textId="77777777" w:rsidR="00E46D05" w:rsidRPr="003F4995" w:rsidRDefault="00E46D05" w:rsidP="00AD7A2B">
      <w:pPr>
        <w:pStyle w:val="CEABullet-Level2"/>
        <w:ind w:left="1134"/>
        <w:rPr>
          <w:szCs w:val="17"/>
        </w:rPr>
      </w:pPr>
      <w:r w:rsidRPr="003F4995">
        <w:rPr>
          <w:szCs w:val="17"/>
          <w:lang w:val="en-US"/>
        </w:rPr>
        <w:t xml:space="preserve">The returns in excess of the risk-free rates are only allowed when undertakings are able to provide credible evidence of likely returns in excess the risk-free rates. These returns are limited to the level assumed in the pre-shock DTA calculation. </w:t>
      </w:r>
    </w:p>
    <w:p w14:paraId="53472266" w14:textId="77777777" w:rsidR="00E46D05" w:rsidRPr="003F4995" w:rsidRDefault="00E46D05" w:rsidP="00AD7A2B">
      <w:pPr>
        <w:pStyle w:val="CEABullet-Level2"/>
        <w:numPr>
          <w:ilvl w:val="0"/>
          <w:numId w:val="0"/>
        </w:numPr>
        <w:ind w:left="1134"/>
        <w:rPr>
          <w:szCs w:val="17"/>
        </w:rPr>
      </w:pPr>
      <w:r w:rsidRPr="003F4995">
        <w:rPr>
          <w:szCs w:val="17"/>
          <w:lang w:val="en-US"/>
        </w:rPr>
        <w:t xml:space="preserve">This implies that no pull-to-par and no equity market rebound assumptions are permitted. In addition, the condition to provide credible evidence entails more unnecessary and burdensome requirements for undertakings. </w:t>
      </w:r>
    </w:p>
    <w:p w14:paraId="6AFF92EC" w14:textId="77777777" w:rsidR="00E46D05" w:rsidRPr="003F4995" w:rsidRDefault="00E46D05" w:rsidP="00AD7A2B">
      <w:pPr>
        <w:pStyle w:val="CEABullet-Level2"/>
        <w:ind w:left="1134"/>
        <w:rPr>
          <w:szCs w:val="17"/>
        </w:rPr>
      </w:pPr>
      <w:r w:rsidRPr="003F4995">
        <w:rPr>
          <w:szCs w:val="17"/>
        </w:rPr>
        <w:t xml:space="preserve">If undertakings set a projection horizon for profits from new business, that is longer than the business planning horizon, a finite projection horizon has to be determined and appropriate haircuts shall be applied to the profits from new business projected beyond the business planning horizon. The haircuts shall increase the further the profits are projected into the future. </w:t>
      </w:r>
    </w:p>
    <w:p w14:paraId="69B448D7" w14:textId="77777777" w:rsidR="00E46D05" w:rsidRPr="003F4995" w:rsidRDefault="00E46D05" w:rsidP="00AD7A2B">
      <w:pPr>
        <w:pStyle w:val="CEABullet-Level1"/>
        <w:rPr>
          <w:szCs w:val="17"/>
        </w:rPr>
      </w:pPr>
      <w:r w:rsidRPr="003F4995">
        <w:rPr>
          <w:szCs w:val="17"/>
          <w:lang w:val="en-US"/>
        </w:rPr>
        <w:t>The Commission followed EIOPA’s advice to impose additional disclosures to the public and to the supervisors (by amending the SFCR and the RSR in the DA).</w:t>
      </w:r>
      <w:r w:rsidRPr="003F4995">
        <w:rPr>
          <w:szCs w:val="17"/>
        </w:rPr>
        <w:t xml:space="preserve"> </w:t>
      </w:r>
    </w:p>
    <w:p w14:paraId="445B4988" w14:textId="77777777" w:rsidR="00E46D05" w:rsidRPr="003F4995" w:rsidRDefault="00E46D05" w:rsidP="00AD7A2B">
      <w:pPr>
        <w:pStyle w:val="CEABullet-Level1"/>
        <w:numPr>
          <w:ilvl w:val="0"/>
          <w:numId w:val="0"/>
        </w:numPr>
        <w:ind w:left="720"/>
        <w:rPr>
          <w:szCs w:val="17"/>
        </w:rPr>
      </w:pPr>
      <w:r w:rsidRPr="003F4995">
        <w:rPr>
          <w:szCs w:val="17"/>
          <w:lang w:val="en-US"/>
        </w:rPr>
        <w:t>Insurance Europe is concerned that EIOPA’s proposals to strengthen the RSR and the SFCR with regards to LAC DT will increase (as opposed to decrease) the reporting burden of undertakings. Furthermore, Insurance Europe disagrees with the disclosure of competitive information in the SFCR.</w:t>
      </w:r>
    </w:p>
    <w:p w14:paraId="7D20AFAF" w14:textId="77777777" w:rsidR="00E46D05" w:rsidRDefault="00E46D05" w:rsidP="00AD7A2B">
      <w:pPr>
        <w:pStyle w:val="CEABullet-Level1"/>
        <w:numPr>
          <w:ilvl w:val="0"/>
          <w:numId w:val="0"/>
        </w:numPr>
        <w:rPr>
          <w:szCs w:val="17"/>
        </w:rPr>
      </w:pPr>
    </w:p>
    <w:p w14:paraId="09B4FCA3" w14:textId="77777777" w:rsidR="0094610D" w:rsidRPr="003F4995" w:rsidRDefault="0094610D" w:rsidP="00AD7A2B">
      <w:pPr>
        <w:pStyle w:val="CEABullet-Level1"/>
        <w:numPr>
          <w:ilvl w:val="0"/>
          <w:numId w:val="0"/>
        </w:numPr>
        <w:rPr>
          <w:szCs w:val="17"/>
        </w:rPr>
      </w:pPr>
    </w:p>
    <w:p w14:paraId="6A00BF23" w14:textId="77777777" w:rsidR="00E46D05" w:rsidRPr="003F4995" w:rsidRDefault="00E46D05" w:rsidP="00AD7A2B">
      <w:pPr>
        <w:pStyle w:val="CEABullet-Level1"/>
        <w:numPr>
          <w:ilvl w:val="0"/>
          <w:numId w:val="0"/>
        </w:numPr>
        <w:rPr>
          <w:szCs w:val="17"/>
        </w:rPr>
      </w:pPr>
      <w:r w:rsidRPr="003F4995">
        <w:rPr>
          <w:szCs w:val="17"/>
          <w:u w:val="single"/>
        </w:rPr>
        <w:t>Looking ahead:</w:t>
      </w:r>
    </w:p>
    <w:p w14:paraId="39B19794" w14:textId="77777777" w:rsidR="00E46D05" w:rsidRPr="003F4995" w:rsidRDefault="00E46D05" w:rsidP="00AD7A2B">
      <w:pPr>
        <w:pStyle w:val="CEABullet-Level1"/>
        <w:numPr>
          <w:ilvl w:val="0"/>
          <w:numId w:val="0"/>
        </w:numPr>
        <w:rPr>
          <w:szCs w:val="17"/>
        </w:rPr>
      </w:pPr>
      <w:r w:rsidRPr="003F4995">
        <w:rPr>
          <w:szCs w:val="17"/>
        </w:rPr>
        <w:t>Insurance Europe believes that no further changes are needed in the area of LAC DT.</w:t>
      </w:r>
    </w:p>
    <w:bookmarkEnd w:id="4"/>
    <w:p w14:paraId="6D10D7E3" w14:textId="77777777" w:rsidR="00E46D05" w:rsidRPr="003F4995" w:rsidRDefault="00E46D05" w:rsidP="00AD7A2B">
      <w:pPr>
        <w:pStyle w:val="CEABullet-Level1"/>
        <w:numPr>
          <w:ilvl w:val="0"/>
          <w:numId w:val="0"/>
        </w:numPr>
        <w:rPr>
          <w:szCs w:val="17"/>
        </w:rPr>
      </w:pPr>
    </w:p>
    <w:p w14:paraId="3A37187A" w14:textId="77777777" w:rsidR="00E46D05" w:rsidRPr="003F4995" w:rsidRDefault="00E46D05" w:rsidP="00AD7A2B">
      <w:pPr>
        <w:pStyle w:val="CEABullet-Level1"/>
        <w:numPr>
          <w:ilvl w:val="0"/>
          <w:numId w:val="0"/>
        </w:numPr>
        <w:rPr>
          <w:szCs w:val="17"/>
        </w:rPr>
      </w:pPr>
    </w:p>
    <w:p w14:paraId="6EB2C148" w14:textId="77777777" w:rsidR="00E46D05" w:rsidRPr="003F4995" w:rsidRDefault="00E46D05" w:rsidP="00AA0BE2">
      <w:pPr>
        <w:pStyle w:val="CEABullet-Level1"/>
        <w:numPr>
          <w:ilvl w:val="0"/>
          <w:numId w:val="0"/>
        </w:numPr>
        <w:spacing w:after="240"/>
        <w:rPr>
          <w:b/>
          <w:szCs w:val="17"/>
        </w:rPr>
      </w:pPr>
      <w:r w:rsidRPr="003F4995">
        <w:rPr>
          <w:b/>
          <w:szCs w:val="17"/>
        </w:rPr>
        <w:t>Recalibration of standard parameters of premium and reserve risks (with reference to Annexes II and IX)</w:t>
      </w:r>
    </w:p>
    <w:p w14:paraId="5997C884" w14:textId="77777777" w:rsidR="00E46D05" w:rsidRPr="003F4995" w:rsidRDefault="00E46D05" w:rsidP="00AD7A2B">
      <w:pPr>
        <w:pStyle w:val="CEABullet-Level1"/>
        <w:numPr>
          <w:ilvl w:val="0"/>
          <w:numId w:val="0"/>
        </w:numPr>
        <w:rPr>
          <w:szCs w:val="17"/>
        </w:rPr>
      </w:pPr>
      <w:r w:rsidRPr="003F4995">
        <w:rPr>
          <w:szCs w:val="17"/>
        </w:rPr>
        <w:t>Overall, Insurance Europe is disappointed with the recalibrated standard parameters put forward by the EC in the DA. The overall direction across the lines of business is to increase capital requirements. Insurance Europe has challenged EIOPA’s approach for recalibration of the standard parameters, because of the disproportionate weighting by country has led to overall calibrations that are dominated by a few countries.</w:t>
      </w:r>
    </w:p>
    <w:p w14:paraId="2EF442D3" w14:textId="77777777" w:rsidR="00E46D05" w:rsidRPr="003F4995" w:rsidRDefault="00E46D05" w:rsidP="00AD7A2B">
      <w:pPr>
        <w:pStyle w:val="CEABullet-Level1"/>
        <w:numPr>
          <w:ilvl w:val="0"/>
          <w:numId w:val="0"/>
        </w:numPr>
        <w:rPr>
          <w:szCs w:val="17"/>
        </w:rPr>
      </w:pPr>
    </w:p>
    <w:p w14:paraId="6BB46E71" w14:textId="77777777" w:rsidR="00E46D05" w:rsidRPr="003F4995" w:rsidRDefault="00E46D05" w:rsidP="00AD7A2B">
      <w:pPr>
        <w:pStyle w:val="CEABullet-Level1"/>
        <w:numPr>
          <w:ilvl w:val="0"/>
          <w:numId w:val="0"/>
        </w:numPr>
        <w:rPr>
          <w:szCs w:val="17"/>
        </w:rPr>
      </w:pPr>
      <w:r w:rsidRPr="003F4995">
        <w:rPr>
          <w:szCs w:val="17"/>
        </w:rPr>
        <w:t xml:space="preserve">On the </w:t>
      </w:r>
      <w:r w:rsidRPr="003F4995">
        <w:rPr>
          <w:szCs w:val="17"/>
          <w:u w:val="single"/>
        </w:rPr>
        <w:t>positive</w:t>
      </w:r>
      <w:r w:rsidRPr="003F4995">
        <w:rPr>
          <w:szCs w:val="17"/>
        </w:rPr>
        <w:t xml:space="preserve"> side, Insurance Europe appreciates that the premium risk parameter for medical expense remains unchanged.</w:t>
      </w:r>
    </w:p>
    <w:p w14:paraId="03FDE46F" w14:textId="77777777" w:rsidR="00E46D05" w:rsidRPr="003F4995" w:rsidRDefault="00E46D05" w:rsidP="00AD7A2B">
      <w:pPr>
        <w:pStyle w:val="CEABullet-Level1"/>
        <w:numPr>
          <w:ilvl w:val="0"/>
          <w:numId w:val="0"/>
        </w:numPr>
        <w:rPr>
          <w:szCs w:val="17"/>
        </w:rPr>
      </w:pPr>
    </w:p>
    <w:p w14:paraId="3E3121B5" w14:textId="77777777" w:rsidR="00E46D05" w:rsidRPr="003F4995" w:rsidRDefault="00E46D05" w:rsidP="00AD7A2B">
      <w:pPr>
        <w:pStyle w:val="CEABullet-Level1"/>
        <w:numPr>
          <w:ilvl w:val="0"/>
          <w:numId w:val="0"/>
        </w:numPr>
        <w:rPr>
          <w:szCs w:val="17"/>
        </w:rPr>
      </w:pPr>
      <w:r w:rsidRPr="003F4995">
        <w:rPr>
          <w:szCs w:val="17"/>
        </w:rPr>
        <w:t xml:space="preserve">On the </w:t>
      </w:r>
      <w:r w:rsidRPr="003F4995">
        <w:rPr>
          <w:szCs w:val="17"/>
          <w:u w:val="single"/>
        </w:rPr>
        <w:t>negative</w:t>
      </w:r>
      <w:r w:rsidRPr="003F4995">
        <w:rPr>
          <w:szCs w:val="17"/>
        </w:rPr>
        <w:t xml:space="preserve"> side, in particular, for credit and suretyship the premium calibration increases by around 50%, which coincides with a material reduction in volumes used in the 2017 exercise. Insurance Europe has doubts on whether the data is representative of the industry as a whole, and it is not clear whether there is likely to be significant variation between companies as a result of different mix of business.</w:t>
      </w:r>
    </w:p>
    <w:p w14:paraId="7DE6FD1C" w14:textId="77777777" w:rsidR="00E46D05" w:rsidRPr="003F4995" w:rsidRDefault="00E46D05" w:rsidP="00AD7A2B">
      <w:pPr>
        <w:pStyle w:val="CEABullet-Level1"/>
        <w:numPr>
          <w:ilvl w:val="0"/>
          <w:numId w:val="0"/>
        </w:numPr>
        <w:rPr>
          <w:szCs w:val="17"/>
        </w:rPr>
      </w:pPr>
    </w:p>
    <w:p w14:paraId="21890BA4" w14:textId="77777777" w:rsidR="00E46D05" w:rsidRPr="003F4995" w:rsidRDefault="00E46D05" w:rsidP="00AD7A2B">
      <w:pPr>
        <w:pStyle w:val="CEABullet-Level1"/>
        <w:numPr>
          <w:ilvl w:val="0"/>
          <w:numId w:val="0"/>
        </w:numPr>
        <w:rPr>
          <w:szCs w:val="17"/>
        </w:rPr>
      </w:pPr>
      <w:r w:rsidRPr="003F4995">
        <w:rPr>
          <w:szCs w:val="17"/>
          <w:u w:val="single"/>
        </w:rPr>
        <w:t>Looking ahead:</w:t>
      </w:r>
    </w:p>
    <w:p w14:paraId="21905EC8" w14:textId="77777777" w:rsidR="00E46D05" w:rsidRPr="003F4995" w:rsidRDefault="00E46D05" w:rsidP="00AD7A2B">
      <w:pPr>
        <w:pStyle w:val="CEABullet-Level1"/>
        <w:numPr>
          <w:ilvl w:val="0"/>
          <w:numId w:val="0"/>
        </w:numPr>
        <w:rPr>
          <w:szCs w:val="17"/>
        </w:rPr>
      </w:pPr>
      <w:r w:rsidRPr="003F4995">
        <w:rPr>
          <w:szCs w:val="17"/>
        </w:rPr>
        <w:t>Insurance Europe believes that before changing the standard parameters for premium and reserve risks, further analysis is necessary.</w:t>
      </w:r>
    </w:p>
    <w:p w14:paraId="3A90EE15" w14:textId="77777777" w:rsidR="00E46D05" w:rsidRPr="003F4995" w:rsidRDefault="00E46D05" w:rsidP="00AD7A2B">
      <w:pPr>
        <w:pStyle w:val="CEABullet-Level1"/>
        <w:numPr>
          <w:ilvl w:val="0"/>
          <w:numId w:val="0"/>
        </w:numPr>
        <w:rPr>
          <w:b/>
          <w:szCs w:val="17"/>
          <w:lang w:eastAsia="en-GB"/>
        </w:rPr>
      </w:pPr>
    </w:p>
    <w:p w14:paraId="60390694" w14:textId="77777777" w:rsidR="00AD7A2B" w:rsidRPr="003F4995" w:rsidRDefault="00AD7A2B" w:rsidP="00AD7A2B">
      <w:pPr>
        <w:pStyle w:val="CEABullet-Level1"/>
        <w:numPr>
          <w:ilvl w:val="0"/>
          <w:numId w:val="0"/>
        </w:numPr>
        <w:rPr>
          <w:b/>
          <w:szCs w:val="17"/>
          <w:lang w:eastAsia="en-GB"/>
        </w:rPr>
      </w:pPr>
    </w:p>
    <w:p w14:paraId="650A63C8" w14:textId="77777777" w:rsidR="00E46D05" w:rsidRPr="003F4995" w:rsidRDefault="00E46D05" w:rsidP="00AA0BE2">
      <w:pPr>
        <w:pStyle w:val="CEABullet-Level1"/>
        <w:numPr>
          <w:ilvl w:val="0"/>
          <w:numId w:val="0"/>
        </w:numPr>
        <w:spacing w:after="240"/>
        <w:rPr>
          <w:b/>
          <w:szCs w:val="17"/>
        </w:rPr>
      </w:pPr>
      <w:r w:rsidRPr="003F4995">
        <w:rPr>
          <w:b/>
          <w:szCs w:val="17"/>
        </w:rPr>
        <w:t>Volume measure for premium risk (with reference to article 116(3)(d) and article 147(3)(d))</w:t>
      </w:r>
    </w:p>
    <w:p w14:paraId="3762C1E6" w14:textId="77777777" w:rsidR="00E46D05" w:rsidRPr="003F4995" w:rsidRDefault="00E46D05" w:rsidP="00AD7A2B">
      <w:pPr>
        <w:pStyle w:val="CEABullet-Level1"/>
        <w:numPr>
          <w:ilvl w:val="0"/>
          <w:numId w:val="0"/>
        </w:numPr>
        <w:rPr>
          <w:szCs w:val="17"/>
        </w:rPr>
      </w:pPr>
      <w:r w:rsidRPr="003F4995">
        <w:rPr>
          <w:szCs w:val="17"/>
        </w:rPr>
        <w:t xml:space="preserve">Overall, Insurance Europe welcomes the changes proposed in the Delegated Acts, the proposed formula recognises the overstatements introduced in the capital required when applying volatility factors beyond N+1. </w:t>
      </w:r>
    </w:p>
    <w:p w14:paraId="62B55717" w14:textId="77777777" w:rsidR="00E46D05" w:rsidRPr="003F4995" w:rsidRDefault="00E46D05" w:rsidP="00AD7A2B">
      <w:pPr>
        <w:pStyle w:val="CEABullet-Level1"/>
        <w:numPr>
          <w:ilvl w:val="0"/>
          <w:numId w:val="0"/>
        </w:numPr>
        <w:rPr>
          <w:szCs w:val="17"/>
        </w:rPr>
      </w:pPr>
    </w:p>
    <w:p w14:paraId="61DAF295" w14:textId="77777777" w:rsidR="00E46D05" w:rsidRPr="003F4995" w:rsidRDefault="00E46D05" w:rsidP="00AD7A2B">
      <w:pPr>
        <w:pStyle w:val="CEABullet-Level1"/>
        <w:numPr>
          <w:ilvl w:val="0"/>
          <w:numId w:val="0"/>
        </w:numPr>
        <w:rPr>
          <w:szCs w:val="17"/>
        </w:rPr>
      </w:pPr>
      <w:r w:rsidRPr="003F4995">
        <w:rPr>
          <w:szCs w:val="17"/>
        </w:rPr>
        <w:t xml:space="preserve">On the </w:t>
      </w:r>
      <w:r w:rsidRPr="003F4995">
        <w:rPr>
          <w:szCs w:val="17"/>
          <w:u w:val="single"/>
        </w:rPr>
        <w:t>positive</w:t>
      </w:r>
      <w:r w:rsidRPr="003F4995">
        <w:rPr>
          <w:szCs w:val="17"/>
        </w:rPr>
        <w:t xml:space="preserve"> side: </w:t>
      </w:r>
    </w:p>
    <w:p w14:paraId="2799272E" w14:textId="77777777" w:rsidR="00E46D05" w:rsidRPr="003F4995" w:rsidRDefault="00E46D05" w:rsidP="00AD7A2B">
      <w:pPr>
        <w:pStyle w:val="CEABullet-Level1"/>
        <w:rPr>
          <w:szCs w:val="17"/>
        </w:rPr>
      </w:pPr>
      <w:r w:rsidRPr="003F4995">
        <w:rPr>
          <w:szCs w:val="17"/>
          <w:lang w:val="en-US"/>
        </w:rPr>
        <w:t>I</w:t>
      </w:r>
      <w:r w:rsidRPr="003F4995">
        <w:rPr>
          <w:szCs w:val="17"/>
        </w:rPr>
        <w:t>nsurance Europe welcomes the update of the formula to determine the volume measure for premium risk, where it is proposed to make a </w:t>
      </w:r>
      <w:r w:rsidRPr="003F4995">
        <w:rPr>
          <w:bCs/>
          <w:szCs w:val="17"/>
        </w:rPr>
        <w:t>distinction</w:t>
      </w:r>
      <w:r w:rsidRPr="003F4995">
        <w:rPr>
          <w:szCs w:val="17"/>
        </w:rPr>
        <w:t xml:space="preserve"> between annual and multiyear contracts regarding the definition of FP</w:t>
      </w:r>
      <w:r w:rsidRPr="003F4995">
        <w:rPr>
          <w:szCs w:val="17"/>
          <w:vertAlign w:val="subscript"/>
        </w:rPr>
        <w:t>future</w:t>
      </w:r>
      <w:r w:rsidRPr="003F4995">
        <w:rPr>
          <w:szCs w:val="17"/>
        </w:rPr>
        <w:t>:</w:t>
      </w:r>
    </w:p>
    <w:p w14:paraId="3980DC83" w14:textId="77777777" w:rsidR="00E46D05" w:rsidRPr="003F4995" w:rsidRDefault="00E46D05" w:rsidP="00AD7A2B">
      <w:pPr>
        <w:pStyle w:val="CEABullet-Level2"/>
        <w:ind w:left="1134"/>
        <w:rPr>
          <w:szCs w:val="17"/>
        </w:rPr>
      </w:pPr>
      <w:r w:rsidRPr="003F4995">
        <w:rPr>
          <w:szCs w:val="17"/>
        </w:rPr>
        <w:t>For annual contracts: FP</w:t>
      </w:r>
      <w:r w:rsidRPr="003F4995">
        <w:rPr>
          <w:szCs w:val="17"/>
          <w:vertAlign w:val="subscript"/>
        </w:rPr>
        <w:t>future</w:t>
      </w:r>
      <w:r w:rsidRPr="003F4995">
        <w:rPr>
          <w:szCs w:val="17"/>
        </w:rPr>
        <w:t xml:space="preserve"> definition remains unchanged. </w:t>
      </w:r>
    </w:p>
    <w:p w14:paraId="1F986E66" w14:textId="77777777" w:rsidR="00E46D05" w:rsidRPr="003F4995" w:rsidRDefault="00E46D05" w:rsidP="00AD7A2B">
      <w:pPr>
        <w:pStyle w:val="CEABullet-Level2"/>
        <w:ind w:left="1134"/>
        <w:rPr>
          <w:szCs w:val="17"/>
        </w:rPr>
      </w:pPr>
      <w:r w:rsidRPr="003F4995">
        <w:rPr>
          <w:szCs w:val="17"/>
        </w:rPr>
        <w:t xml:space="preserve">For multiyear contracts, EIOPA advises to close the gap, and to apply an adjustment factor of 30% </w:t>
      </w:r>
    </w:p>
    <w:p w14:paraId="35D00C9B" w14:textId="77777777" w:rsidR="00E46D05" w:rsidRPr="003F4995" w:rsidRDefault="00E46D05" w:rsidP="00AD7A2B">
      <w:pPr>
        <w:pStyle w:val="CEABullet-Level1"/>
        <w:numPr>
          <w:ilvl w:val="0"/>
          <w:numId w:val="0"/>
        </w:numPr>
        <w:rPr>
          <w:szCs w:val="17"/>
        </w:rPr>
      </w:pPr>
    </w:p>
    <w:p w14:paraId="09807014" w14:textId="77777777" w:rsidR="00E46D05" w:rsidRPr="003F4995" w:rsidRDefault="00E46D05" w:rsidP="00AD7A2B">
      <w:pPr>
        <w:pStyle w:val="CEABullet-Level1"/>
        <w:numPr>
          <w:ilvl w:val="0"/>
          <w:numId w:val="0"/>
        </w:numPr>
        <w:rPr>
          <w:szCs w:val="17"/>
        </w:rPr>
      </w:pPr>
      <w:r w:rsidRPr="003F4995">
        <w:rPr>
          <w:szCs w:val="17"/>
        </w:rPr>
        <w:t xml:space="preserve">On the </w:t>
      </w:r>
      <w:r w:rsidRPr="003F4995">
        <w:rPr>
          <w:szCs w:val="17"/>
          <w:u w:val="single"/>
        </w:rPr>
        <w:t>negative</w:t>
      </w:r>
      <w:r w:rsidRPr="003F4995">
        <w:rPr>
          <w:szCs w:val="17"/>
        </w:rPr>
        <w:t xml:space="preserve"> side: </w:t>
      </w:r>
    </w:p>
    <w:p w14:paraId="1F58539C" w14:textId="77777777" w:rsidR="00E46D05" w:rsidRPr="003F4995" w:rsidRDefault="00E46D05" w:rsidP="00AD7A2B">
      <w:pPr>
        <w:pStyle w:val="CEABullet-Level1"/>
        <w:rPr>
          <w:szCs w:val="17"/>
        </w:rPr>
      </w:pPr>
      <w:r w:rsidRPr="003F4995">
        <w:rPr>
          <w:szCs w:val="17"/>
        </w:rPr>
        <w:t>Unfortunately, the updated Delegated Acts still consider the notice period in the initial recognition date leading to inconsistency with calibration principles (estimated sigma factors are based on one-year earned premiums) and inconsistencies across markets and undertakings.</w:t>
      </w:r>
    </w:p>
    <w:p w14:paraId="1A8C3ED2" w14:textId="77777777" w:rsidR="00E46D05" w:rsidRPr="003F4995" w:rsidRDefault="00E46D05" w:rsidP="00AD7A2B">
      <w:pPr>
        <w:pStyle w:val="CEABullet-Level2"/>
        <w:numPr>
          <w:ilvl w:val="0"/>
          <w:numId w:val="0"/>
        </w:numPr>
        <w:ind w:left="708"/>
        <w:rPr>
          <w:szCs w:val="17"/>
        </w:rPr>
      </w:pPr>
      <w:r w:rsidRPr="003F4995">
        <w:rPr>
          <w:szCs w:val="17"/>
        </w:rPr>
        <w:t>Furthermore, the updated Delegated Acts do not apply an adjustment factor to FP</w:t>
      </w:r>
      <w:r w:rsidRPr="003F4995">
        <w:rPr>
          <w:szCs w:val="17"/>
          <w:vertAlign w:val="subscript"/>
        </w:rPr>
        <w:t>existing</w:t>
      </w:r>
      <w:r w:rsidRPr="003F4995">
        <w:rPr>
          <w:szCs w:val="17"/>
        </w:rPr>
        <w:t xml:space="preserve"> for multiyear contracts.</w:t>
      </w:r>
    </w:p>
    <w:p w14:paraId="1152CC25" w14:textId="77777777" w:rsidR="00E46D05" w:rsidRPr="003F4995" w:rsidRDefault="00E46D05" w:rsidP="00AD7A2B">
      <w:pPr>
        <w:pStyle w:val="CEABullet-Level1"/>
        <w:numPr>
          <w:ilvl w:val="0"/>
          <w:numId w:val="0"/>
        </w:numPr>
        <w:rPr>
          <w:szCs w:val="17"/>
        </w:rPr>
      </w:pPr>
    </w:p>
    <w:p w14:paraId="306E505B" w14:textId="77777777" w:rsidR="00E46D05" w:rsidRPr="003F4995" w:rsidRDefault="00E46D05" w:rsidP="00AD7A2B">
      <w:pPr>
        <w:pStyle w:val="CEABullet-Level1"/>
        <w:numPr>
          <w:ilvl w:val="0"/>
          <w:numId w:val="0"/>
        </w:numPr>
        <w:rPr>
          <w:szCs w:val="17"/>
        </w:rPr>
      </w:pPr>
      <w:r w:rsidRPr="003F4995">
        <w:rPr>
          <w:szCs w:val="17"/>
          <w:u w:val="single"/>
        </w:rPr>
        <w:t>Looking ahead</w:t>
      </w:r>
      <w:r w:rsidRPr="003F4995">
        <w:rPr>
          <w:szCs w:val="17"/>
        </w:rPr>
        <w:t xml:space="preserve">, Insurance Europe believes the issue of the notice period being considered in the initial recognition date should be addressed. </w:t>
      </w:r>
    </w:p>
    <w:p w14:paraId="130D6D48" w14:textId="77777777" w:rsidR="00E46D05" w:rsidRPr="003F4995" w:rsidRDefault="00E46D05" w:rsidP="00AD7A2B">
      <w:pPr>
        <w:pStyle w:val="CEABullet-Level2"/>
        <w:numPr>
          <w:ilvl w:val="0"/>
          <w:numId w:val="0"/>
        </w:numPr>
        <w:rPr>
          <w:szCs w:val="17"/>
        </w:rPr>
      </w:pPr>
    </w:p>
    <w:p w14:paraId="05261BCE" w14:textId="77777777" w:rsidR="00E46D05" w:rsidRPr="003F4995" w:rsidRDefault="00E46D05" w:rsidP="00AD7A2B">
      <w:pPr>
        <w:pStyle w:val="CEABullet-Level1"/>
        <w:numPr>
          <w:ilvl w:val="0"/>
          <w:numId w:val="0"/>
        </w:numPr>
        <w:rPr>
          <w:b/>
          <w:color w:val="auto"/>
          <w:szCs w:val="17"/>
        </w:rPr>
      </w:pPr>
    </w:p>
    <w:p w14:paraId="22056D9A" w14:textId="77777777" w:rsidR="00E46D05" w:rsidRPr="003F4995" w:rsidRDefault="00E46D05" w:rsidP="00AA0BE2">
      <w:pPr>
        <w:pStyle w:val="CEABullet-Level1"/>
        <w:numPr>
          <w:ilvl w:val="0"/>
          <w:numId w:val="0"/>
        </w:numPr>
        <w:spacing w:after="240"/>
        <w:rPr>
          <w:b/>
          <w:szCs w:val="17"/>
        </w:rPr>
      </w:pPr>
      <w:r w:rsidRPr="003F4995">
        <w:rPr>
          <w:b/>
          <w:szCs w:val="17"/>
        </w:rPr>
        <w:t>Recalibration of mortality and longevity risks</w:t>
      </w:r>
    </w:p>
    <w:p w14:paraId="54B1DAC1" w14:textId="77777777" w:rsidR="00E46D05" w:rsidRPr="003F4995" w:rsidRDefault="00E46D05" w:rsidP="00AD7A2B">
      <w:pPr>
        <w:spacing w:after="120"/>
        <w:rPr>
          <w:rFonts w:eastAsia="Calibri"/>
          <w:color w:val="000000"/>
          <w:sz w:val="17"/>
          <w:szCs w:val="17"/>
          <w:lang w:val="en-US"/>
        </w:rPr>
      </w:pPr>
      <w:r w:rsidRPr="003F4995">
        <w:rPr>
          <w:rFonts w:eastAsia="Calibri"/>
          <w:color w:val="000000"/>
          <w:sz w:val="17"/>
          <w:szCs w:val="17"/>
          <w:lang w:val="en-US"/>
        </w:rPr>
        <w:t>Insurance Europe welcomes the EC’s decision to maintain the 20% stress for longevity risk and the 15% stress for mortality.</w:t>
      </w:r>
    </w:p>
    <w:p w14:paraId="4622036B" w14:textId="77777777" w:rsidR="00E46D05" w:rsidRPr="003F4995" w:rsidRDefault="00E46D05" w:rsidP="00AD7A2B">
      <w:pPr>
        <w:spacing w:after="120"/>
        <w:rPr>
          <w:rFonts w:eastAsia="Calibri"/>
          <w:color w:val="000000"/>
          <w:sz w:val="17"/>
          <w:szCs w:val="17"/>
          <w:lang w:val="en-US"/>
        </w:rPr>
      </w:pPr>
    </w:p>
    <w:p w14:paraId="21E9E987" w14:textId="77777777" w:rsidR="00E46D05" w:rsidRPr="003F4995" w:rsidRDefault="00E46D05" w:rsidP="00AA0BE2">
      <w:pPr>
        <w:pStyle w:val="CEABullet-Level1"/>
        <w:numPr>
          <w:ilvl w:val="0"/>
          <w:numId w:val="0"/>
        </w:numPr>
        <w:spacing w:after="240"/>
        <w:rPr>
          <w:b/>
          <w:szCs w:val="17"/>
        </w:rPr>
      </w:pPr>
      <w:r w:rsidRPr="003F4995">
        <w:rPr>
          <w:b/>
          <w:szCs w:val="17"/>
        </w:rPr>
        <w:t>Catastrophe risk (with reference to articles 90b, 90c, 121-125, 130-132 and annexes V-X)</w:t>
      </w:r>
    </w:p>
    <w:p w14:paraId="0545A265" w14:textId="77777777" w:rsidR="00E46D05" w:rsidRPr="003F4995" w:rsidRDefault="00E46D05" w:rsidP="00AD7A2B">
      <w:pPr>
        <w:pStyle w:val="CEABullet-Level1"/>
        <w:numPr>
          <w:ilvl w:val="0"/>
          <w:numId w:val="0"/>
        </w:numPr>
        <w:rPr>
          <w:szCs w:val="17"/>
        </w:rPr>
      </w:pPr>
      <w:r w:rsidRPr="003F4995">
        <w:rPr>
          <w:szCs w:val="17"/>
        </w:rPr>
        <w:t>Insurance Europe broadly welcomes the EC’s proposed changes to the catastrophe risk submodules which should mitigate some of the unnecessary calculation burden for insurers and improve the risk sensitivity of the calculations.</w:t>
      </w:r>
    </w:p>
    <w:p w14:paraId="5B73A05B" w14:textId="77777777" w:rsidR="00E46D05" w:rsidRPr="003F4995" w:rsidRDefault="00E46D05" w:rsidP="00AD7A2B">
      <w:pPr>
        <w:pStyle w:val="CEABullet-Level1"/>
        <w:numPr>
          <w:ilvl w:val="0"/>
          <w:numId w:val="0"/>
        </w:numPr>
        <w:rPr>
          <w:szCs w:val="17"/>
        </w:rPr>
      </w:pPr>
    </w:p>
    <w:p w14:paraId="7DDBAE94" w14:textId="77777777" w:rsidR="00E46D05" w:rsidRPr="003F4995" w:rsidRDefault="00E46D05" w:rsidP="00AD7A2B">
      <w:pPr>
        <w:pStyle w:val="CEABullet-Level1"/>
        <w:numPr>
          <w:ilvl w:val="0"/>
          <w:numId w:val="0"/>
        </w:numPr>
        <w:rPr>
          <w:szCs w:val="17"/>
        </w:rPr>
      </w:pPr>
      <w:r w:rsidRPr="003F4995">
        <w:rPr>
          <w:szCs w:val="17"/>
        </w:rPr>
        <w:t xml:space="preserve">On the </w:t>
      </w:r>
      <w:r w:rsidRPr="003F4995">
        <w:rPr>
          <w:szCs w:val="17"/>
          <w:u w:val="single"/>
        </w:rPr>
        <w:t>positive</w:t>
      </w:r>
      <w:r w:rsidRPr="003F4995">
        <w:rPr>
          <w:szCs w:val="17"/>
        </w:rPr>
        <w:t xml:space="preserve"> side:</w:t>
      </w:r>
    </w:p>
    <w:p w14:paraId="6FC556B4" w14:textId="77777777" w:rsidR="00E46D05" w:rsidRPr="003F4995" w:rsidRDefault="00E46D05" w:rsidP="00AD7A2B">
      <w:pPr>
        <w:pStyle w:val="CEABullet-Level1"/>
        <w:rPr>
          <w:szCs w:val="17"/>
        </w:rPr>
      </w:pPr>
      <w:r w:rsidRPr="003F4995">
        <w:rPr>
          <w:szCs w:val="17"/>
        </w:rPr>
        <w:t xml:space="preserve">The inclusion of </w:t>
      </w:r>
      <w:r w:rsidRPr="003F4995">
        <w:rPr>
          <w:b/>
          <w:szCs w:val="17"/>
        </w:rPr>
        <w:t xml:space="preserve">simplified calculations for the sum insured for natural catastrophe risks </w:t>
      </w:r>
      <w:r w:rsidRPr="003F4995">
        <w:rPr>
          <w:szCs w:val="17"/>
        </w:rPr>
        <w:t xml:space="preserve">is welcome. This will reduce the calculation burden for insurers where the mapping of individual exposures to the given risk zones is unfeasible or of an unjustified cost. </w:t>
      </w:r>
    </w:p>
    <w:p w14:paraId="009C29CF" w14:textId="77777777" w:rsidR="00E46D05" w:rsidRPr="003F4995" w:rsidRDefault="00E46D05" w:rsidP="00AD7A2B">
      <w:pPr>
        <w:pStyle w:val="CEABullet-Level1"/>
        <w:rPr>
          <w:szCs w:val="17"/>
        </w:rPr>
      </w:pPr>
      <w:r w:rsidRPr="003F4995">
        <w:rPr>
          <w:szCs w:val="17"/>
        </w:rPr>
        <w:t>Most of the proposed updated parameters for the natural catastrophe which provide a better reflection of the true risks facing insurers.</w:t>
      </w:r>
    </w:p>
    <w:p w14:paraId="01FCABC4" w14:textId="77777777" w:rsidR="00E46D05" w:rsidRPr="003F4995" w:rsidRDefault="00E46D05" w:rsidP="00AD7A2B">
      <w:pPr>
        <w:pStyle w:val="CEABullet-Level1"/>
        <w:rPr>
          <w:szCs w:val="17"/>
        </w:rPr>
      </w:pPr>
      <w:r w:rsidRPr="003F4995">
        <w:rPr>
          <w:szCs w:val="17"/>
        </w:rPr>
        <w:t xml:space="preserve">Insurance Europe welcomes the inclusion of </w:t>
      </w:r>
      <w:r w:rsidRPr="003F4995">
        <w:rPr>
          <w:b/>
          <w:szCs w:val="17"/>
        </w:rPr>
        <w:t>a simplified calculation for the capital requirement for fire risk</w:t>
      </w:r>
      <w:r w:rsidRPr="003F4995">
        <w:rPr>
          <w:szCs w:val="17"/>
        </w:rPr>
        <w:t xml:space="preserve"> provides a pragmatic and risk-sensitive alternative to the full calculation which was noted to create significant burdens for some insurers. </w:t>
      </w:r>
    </w:p>
    <w:p w14:paraId="55562F35" w14:textId="77777777" w:rsidR="00E46D05" w:rsidRPr="003F4995" w:rsidRDefault="00E46D05" w:rsidP="00AD7A2B">
      <w:pPr>
        <w:pStyle w:val="CEABullet-Level1"/>
        <w:rPr>
          <w:szCs w:val="17"/>
        </w:rPr>
      </w:pPr>
      <w:r w:rsidRPr="003F4995">
        <w:rPr>
          <w:szCs w:val="17"/>
        </w:rPr>
        <w:t xml:space="preserve">The </w:t>
      </w:r>
      <w:r w:rsidRPr="003F4995">
        <w:rPr>
          <w:b/>
          <w:szCs w:val="17"/>
        </w:rPr>
        <w:t>extension of the Marine risk sub-module</w:t>
      </w:r>
      <w:r w:rsidRPr="003F4995">
        <w:rPr>
          <w:szCs w:val="17"/>
        </w:rPr>
        <w:t xml:space="preserve"> to cover all vessels should improve overall risk sensitivity of the standard formula without increasing complexity. </w:t>
      </w:r>
    </w:p>
    <w:p w14:paraId="665DE1A6" w14:textId="77777777" w:rsidR="00E46D05" w:rsidRPr="003F4995" w:rsidRDefault="00E46D05" w:rsidP="00AD7A2B">
      <w:pPr>
        <w:pStyle w:val="CEABullet-Level1"/>
        <w:rPr>
          <w:szCs w:val="17"/>
        </w:rPr>
      </w:pPr>
      <w:r w:rsidRPr="003F4995">
        <w:rPr>
          <w:szCs w:val="17"/>
        </w:rPr>
        <w:t xml:space="preserve">Similarly, improved risk sensitivity should be achieved through the proposed </w:t>
      </w:r>
      <w:r w:rsidRPr="003F4995">
        <w:rPr>
          <w:b/>
          <w:szCs w:val="17"/>
        </w:rPr>
        <w:t>alteration of the scenario-based calculations for the Marine, Aviation and Fire risk submodules</w:t>
      </w:r>
      <w:r w:rsidRPr="003F4995">
        <w:rPr>
          <w:szCs w:val="17"/>
        </w:rPr>
        <w:t xml:space="preserve"> so that they are based on the largest exposure, after deduction of amounts recoverable from reinsurance or special purpose vehicles. However, it is unclear why the calculations net of reinsurance would be insufficient and a provision to calculate the scenarios gross of reinsurance is included in the proposals. </w:t>
      </w:r>
    </w:p>
    <w:p w14:paraId="3AA68348" w14:textId="77777777" w:rsidR="00E46D05" w:rsidRPr="003F4995" w:rsidRDefault="00E46D05" w:rsidP="00AD7A2B">
      <w:pPr>
        <w:pStyle w:val="CEABullet-Level1"/>
        <w:rPr>
          <w:szCs w:val="17"/>
        </w:rPr>
      </w:pPr>
      <w:r w:rsidRPr="003F4995">
        <w:rPr>
          <w:szCs w:val="17"/>
        </w:rPr>
        <w:t xml:space="preserve">The proposal to </w:t>
      </w:r>
      <w:r w:rsidRPr="003F4995">
        <w:rPr>
          <w:b/>
          <w:szCs w:val="17"/>
        </w:rPr>
        <w:t>remove the “disability that lasts 10-years” scenario</w:t>
      </w:r>
      <w:r w:rsidRPr="003F4995">
        <w:rPr>
          <w:szCs w:val="17"/>
        </w:rPr>
        <w:t xml:space="preserve"> from the mass accident and accident concentration risk submodules will reduce unjustified calculation complexity. </w:t>
      </w:r>
    </w:p>
    <w:p w14:paraId="2107432A" w14:textId="77777777" w:rsidR="00E46D05" w:rsidRPr="003F4995" w:rsidRDefault="00E46D05" w:rsidP="00AD7A2B">
      <w:pPr>
        <w:pStyle w:val="CEABullet-Level1"/>
        <w:numPr>
          <w:ilvl w:val="0"/>
          <w:numId w:val="0"/>
        </w:numPr>
        <w:rPr>
          <w:szCs w:val="17"/>
        </w:rPr>
      </w:pPr>
    </w:p>
    <w:p w14:paraId="2EA86C37" w14:textId="77777777" w:rsidR="00E46D05" w:rsidRPr="003F4995" w:rsidRDefault="00E46D05" w:rsidP="00AD7A2B">
      <w:pPr>
        <w:pStyle w:val="CEABullet-Level1"/>
        <w:numPr>
          <w:ilvl w:val="0"/>
          <w:numId w:val="0"/>
        </w:numPr>
        <w:rPr>
          <w:szCs w:val="17"/>
        </w:rPr>
      </w:pPr>
      <w:r w:rsidRPr="003F4995">
        <w:rPr>
          <w:szCs w:val="17"/>
        </w:rPr>
        <w:t xml:space="preserve">On the </w:t>
      </w:r>
      <w:r w:rsidRPr="003F4995">
        <w:rPr>
          <w:szCs w:val="17"/>
          <w:u w:val="single"/>
        </w:rPr>
        <w:t>negative</w:t>
      </w:r>
      <w:r w:rsidRPr="003F4995">
        <w:rPr>
          <w:szCs w:val="17"/>
        </w:rPr>
        <w:t xml:space="preserve"> side:</w:t>
      </w:r>
    </w:p>
    <w:p w14:paraId="0E4C382D" w14:textId="77777777" w:rsidR="00E46D05" w:rsidRPr="003F4995" w:rsidRDefault="00E46D05" w:rsidP="00AD7A2B">
      <w:pPr>
        <w:pStyle w:val="CEABullet-Level1"/>
        <w:rPr>
          <w:szCs w:val="17"/>
        </w:rPr>
      </w:pPr>
      <w:r w:rsidRPr="003F4995">
        <w:rPr>
          <w:szCs w:val="17"/>
        </w:rPr>
        <w:t xml:space="preserve">The proposed changes to the natural catastrophe risk submodules which </w:t>
      </w:r>
      <w:r w:rsidRPr="003F4995">
        <w:rPr>
          <w:b/>
          <w:szCs w:val="17"/>
        </w:rPr>
        <w:t xml:space="preserve">attempt to better reflect contractual limits are expected to have a very limited impact </w:t>
      </w:r>
      <w:r w:rsidRPr="003F4995">
        <w:rPr>
          <w:szCs w:val="17"/>
        </w:rPr>
        <w:t>in practice. The contractual limits which are required to be in force for the “lower amount” to exceed the weighted sum insured are far below those seen in the market.</w:t>
      </w:r>
    </w:p>
    <w:p w14:paraId="1D13C0AF" w14:textId="77777777" w:rsidR="00E46D05" w:rsidRPr="003F4995" w:rsidRDefault="00E46D05" w:rsidP="00AD7A2B">
      <w:pPr>
        <w:pStyle w:val="CEABullet-Level1"/>
        <w:rPr>
          <w:szCs w:val="17"/>
        </w:rPr>
      </w:pPr>
      <w:r w:rsidRPr="003F4995">
        <w:rPr>
          <w:szCs w:val="17"/>
        </w:rPr>
        <w:t>Some of the proposed calibrations of the NatCat standard formula parameters are overly prudent, eg. Italian Earthquake risk and Greece Earthquake risk country factors.</w:t>
      </w:r>
    </w:p>
    <w:p w14:paraId="19D3C51B" w14:textId="77777777" w:rsidR="00E46D05" w:rsidRPr="003F4995" w:rsidRDefault="00E46D05" w:rsidP="00AD7A2B">
      <w:pPr>
        <w:pStyle w:val="CEABullet-Level1"/>
        <w:rPr>
          <w:szCs w:val="17"/>
        </w:rPr>
      </w:pPr>
      <w:r w:rsidRPr="003F4995">
        <w:rPr>
          <w:szCs w:val="17"/>
        </w:rPr>
        <w:t>The application of materiality thresholds for different perils has also resulted in a lack of consistency. For example, Slovenian windstorm risk parameters are proposed despite these not breaching the materiality threshold previously used by EIOPA.</w:t>
      </w:r>
    </w:p>
    <w:p w14:paraId="6C3D53E1" w14:textId="77777777" w:rsidR="00E46D05" w:rsidRPr="003F4995" w:rsidRDefault="00E46D05" w:rsidP="00AD7A2B">
      <w:pPr>
        <w:pStyle w:val="CEABullet-Level1"/>
        <w:numPr>
          <w:ilvl w:val="0"/>
          <w:numId w:val="0"/>
        </w:numPr>
        <w:rPr>
          <w:szCs w:val="17"/>
        </w:rPr>
      </w:pPr>
    </w:p>
    <w:p w14:paraId="07C7CBFD" w14:textId="77777777" w:rsidR="00E46D05" w:rsidRPr="003F4995" w:rsidRDefault="00E46D05" w:rsidP="00AD7A2B">
      <w:pPr>
        <w:pStyle w:val="CEABullet-Level1"/>
        <w:numPr>
          <w:ilvl w:val="0"/>
          <w:numId w:val="0"/>
        </w:numPr>
        <w:rPr>
          <w:szCs w:val="17"/>
        </w:rPr>
      </w:pPr>
    </w:p>
    <w:p w14:paraId="16E95618" w14:textId="77777777" w:rsidR="00E46D05" w:rsidRPr="003F4995" w:rsidRDefault="00E46D05" w:rsidP="00AA0BE2">
      <w:pPr>
        <w:pStyle w:val="CEABullet-Level1"/>
        <w:numPr>
          <w:ilvl w:val="0"/>
          <w:numId w:val="0"/>
        </w:numPr>
        <w:spacing w:after="240"/>
        <w:rPr>
          <w:b/>
          <w:szCs w:val="17"/>
        </w:rPr>
      </w:pPr>
      <w:r w:rsidRPr="003F4995">
        <w:rPr>
          <w:b/>
          <w:szCs w:val="17"/>
        </w:rPr>
        <w:t>Look-through approach (with reference to Article 84 and Article 88)</w:t>
      </w:r>
    </w:p>
    <w:p w14:paraId="4A056ECA" w14:textId="77777777" w:rsidR="00E46D05" w:rsidRPr="003F4995" w:rsidRDefault="00E46D05" w:rsidP="00AD7A2B">
      <w:pPr>
        <w:pStyle w:val="CEABullet-Level1"/>
        <w:numPr>
          <w:ilvl w:val="0"/>
          <w:numId w:val="0"/>
        </w:numPr>
        <w:rPr>
          <w:szCs w:val="17"/>
        </w:rPr>
      </w:pPr>
      <w:r w:rsidRPr="003F4995">
        <w:rPr>
          <w:szCs w:val="17"/>
        </w:rPr>
        <w:t>Insurance Europe welcomes the Commission’s proposed simplifications to the look-through approach and the EC’s proposal to extend the application of the look-through approach to investment related undertakings.</w:t>
      </w:r>
    </w:p>
    <w:p w14:paraId="4D781080" w14:textId="77777777" w:rsidR="00E46D05" w:rsidRPr="003F4995" w:rsidRDefault="00E46D05" w:rsidP="00AD7A2B">
      <w:pPr>
        <w:pStyle w:val="Normlnywebov"/>
        <w:shd w:val="clear" w:color="auto" w:fill="FFFFFF"/>
        <w:spacing w:before="0" w:beforeAutospacing="0" w:after="0" w:afterAutospacing="0" w:line="264" w:lineRule="auto"/>
        <w:jc w:val="both"/>
        <w:rPr>
          <w:rFonts w:ascii="Verdana" w:hAnsi="Verdana" w:cs="Frutiger LT Std 45 Light"/>
          <w:color w:val="000000"/>
          <w:sz w:val="17"/>
          <w:szCs w:val="17"/>
          <w:lang w:val="en-GB"/>
        </w:rPr>
      </w:pPr>
    </w:p>
    <w:p w14:paraId="121DE588" w14:textId="77777777" w:rsidR="00E46D05" w:rsidRPr="003F4995" w:rsidRDefault="00E46D05" w:rsidP="00AD7A2B">
      <w:pPr>
        <w:pStyle w:val="Normlnywebov"/>
        <w:shd w:val="clear" w:color="auto" w:fill="FFFFFF"/>
        <w:spacing w:before="0" w:beforeAutospacing="0" w:after="0" w:afterAutospacing="0" w:line="264" w:lineRule="auto"/>
        <w:jc w:val="both"/>
        <w:rPr>
          <w:rFonts w:ascii="Verdana" w:hAnsi="Verdana" w:cs="Frutiger LT Std 45 Light"/>
          <w:color w:val="000000"/>
          <w:sz w:val="17"/>
          <w:szCs w:val="17"/>
          <w:lang w:val="en-GB"/>
        </w:rPr>
      </w:pPr>
      <w:r w:rsidRPr="003F4995">
        <w:rPr>
          <w:rFonts w:ascii="Verdana" w:hAnsi="Verdana" w:cs="Frutiger LT Std 45 Light"/>
          <w:color w:val="000000"/>
          <w:sz w:val="17"/>
          <w:szCs w:val="17"/>
          <w:lang w:val="en-GB"/>
        </w:rPr>
        <w:t xml:space="preserve">On the </w:t>
      </w:r>
      <w:r w:rsidRPr="003F4995">
        <w:rPr>
          <w:rFonts w:ascii="Verdana" w:hAnsi="Verdana" w:cs="Frutiger LT Std 45 Light"/>
          <w:color w:val="000000"/>
          <w:sz w:val="17"/>
          <w:szCs w:val="17"/>
          <w:u w:val="single"/>
          <w:lang w:val="en-GB"/>
        </w:rPr>
        <w:t>positive</w:t>
      </w:r>
      <w:r w:rsidRPr="003F4995">
        <w:rPr>
          <w:rFonts w:ascii="Verdana" w:hAnsi="Verdana" w:cs="Frutiger LT Std 45 Light"/>
          <w:color w:val="000000"/>
          <w:sz w:val="17"/>
          <w:szCs w:val="17"/>
          <w:lang w:val="en-GB"/>
        </w:rPr>
        <w:t xml:space="preserve"> side, t</w:t>
      </w:r>
      <w:r w:rsidRPr="003F4995">
        <w:rPr>
          <w:rFonts w:ascii="Verdana" w:hAnsi="Verdana"/>
          <w:sz w:val="17"/>
          <w:szCs w:val="17"/>
          <w:lang w:val="en-GB"/>
        </w:rPr>
        <w:t>he simplifications to the look-through approach suggested:</w:t>
      </w:r>
    </w:p>
    <w:p w14:paraId="1FFB3C85" w14:textId="77777777" w:rsidR="00E46D05" w:rsidRPr="003F4995" w:rsidRDefault="00E46D05" w:rsidP="00AD7A2B">
      <w:pPr>
        <w:pStyle w:val="CEABullet-Level1"/>
        <w:rPr>
          <w:szCs w:val="17"/>
        </w:rPr>
      </w:pPr>
      <w:r w:rsidRPr="003F4995">
        <w:rPr>
          <w:szCs w:val="17"/>
        </w:rPr>
        <w:t>the carve-out of assets for unit/index linked products from the 20% limit.</w:t>
      </w:r>
    </w:p>
    <w:p w14:paraId="044D70F1" w14:textId="77777777" w:rsidR="00E46D05" w:rsidRPr="003F4995" w:rsidRDefault="00E46D05" w:rsidP="00AD7A2B">
      <w:pPr>
        <w:pStyle w:val="CEABullet-Level1"/>
        <w:rPr>
          <w:szCs w:val="17"/>
        </w:rPr>
      </w:pPr>
      <w:r w:rsidRPr="003F4995">
        <w:rPr>
          <w:szCs w:val="17"/>
        </w:rPr>
        <w:t>the possibility to use the last reported asset allocation of the collective investment undertaking or fund to calculate the SCR</w:t>
      </w:r>
    </w:p>
    <w:p w14:paraId="29F290FD" w14:textId="77777777" w:rsidR="00E46D05" w:rsidRPr="003F4995" w:rsidRDefault="00E46D05" w:rsidP="00AD7A2B">
      <w:pPr>
        <w:pStyle w:val="CEABullet-Level1"/>
        <w:rPr>
          <w:szCs w:val="17"/>
        </w:rPr>
      </w:pPr>
      <w:r w:rsidRPr="003F4995">
        <w:rPr>
          <w:szCs w:val="17"/>
        </w:rPr>
        <w:t>the permission to use groupings of exposures also when the target asset allocation is not available at the level of granularity necessary</w:t>
      </w:r>
    </w:p>
    <w:p w14:paraId="59B0FFAB" w14:textId="77777777" w:rsidR="00E46D05" w:rsidRPr="003F4995" w:rsidRDefault="00E46D05" w:rsidP="00AD7A2B">
      <w:pPr>
        <w:shd w:val="clear" w:color="auto" w:fill="FFFFFF"/>
        <w:spacing w:line="264" w:lineRule="auto"/>
        <w:rPr>
          <w:sz w:val="17"/>
          <w:szCs w:val="17"/>
        </w:rPr>
      </w:pPr>
    </w:p>
    <w:p w14:paraId="764D2114" w14:textId="77777777" w:rsidR="00E46D05" w:rsidRPr="003F4995" w:rsidRDefault="00E46D05" w:rsidP="00AD7A2B">
      <w:pPr>
        <w:pStyle w:val="CEABullet-Level1"/>
        <w:numPr>
          <w:ilvl w:val="0"/>
          <w:numId w:val="0"/>
        </w:numPr>
        <w:rPr>
          <w:szCs w:val="17"/>
        </w:rPr>
      </w:pPr>
      <w:r w:rsidRPr="003F4995">
        <w:rPr>
          <w:szCs w:val="17"/>
        </w:rPr>
        <w:t xml:space="preserve">On the </w:t>
      </w:r>
      <w:r w:rsidRPr="003F4995">
        <w:rPr>
          <w:szCs w:val="17"/>
          <w:u w:val="single"/>
        </w:rPr>
        <w:t>negative</w:t>
      </w:r>
      <w:r w:rsidRPr="003F4995">
        <w:rPr>
          <w:szCs w:val="17"/>
        </w:rPr>
        <w:t xml:space="preserve"> side:</w:t>
      </w:r>
    </w:p>
    <w:p w14:paraId="07FAF3EE" w14:textId="77777777" w:rsidR="00E46D05" w:rsidRPr="003F4995" w:rsidRDefault="00E46D05" w:rsidP="00AD7A2B">
      <w:pPr>
        <w:pStyle w:val="CEABullet-Level1"/>
        <w:rPr>
          <w:szCs w:val="17"/>
        </w:rPr>
      </w:pPr>
      <w:r w:rsidRPr="003F4995">
        <w:rPr>
          <w:szCs w:val="17"/>
        </w:rPr>
        <w:t>Insurance Europe highlights that the reference to Article 88 on proportionality comes as an additional and unnecessary layer of burden, which should be avoided. Insurance Europe notes that, in the case of the proposed look-through simplifications, there are already safeguards for prudence, namely the 20% threshold and the requirement for testing the asset allocation criterion.</w:t>
      </w:r>
    </w:p>
    <w:p w14:paraId="416CA815" w14:textId="77777777" w:rsidR="00E46D05" w:rsidRPr="003F4995" w:rsidRDefault="00E46D05" w:rsidP="00AD7A2B">
      <w:pPr>
        <w:pStyle w:val="CEABullet-Level1"/>
        <w:rPr>
          <w:szCs w:val="17"/>
        </w:rPr>
      </w:pPr>
      <w:r w:rsidRPr="003F4995">
        <w:rPr>
          <w:szCs w:val="17"/>
        </w:rPr>
        <w:t>While Insurance Europe broadly supports the conditions – introduced by the EC - for defining an investment related undertaking, it notes that on the requirement of ‘following a specific and documented investment mandate’ the role of the investment mandate could also be fulfilled by other indicators, such as the purpose outlined in the partnership agreement of the investment related undertaking, the context of its incorporation (as investment vehicle) or internal investment guidelines of the (parent) insurance company.</w:t>
      </w:r>
    </w:p>
    <w:p w14:paraId="0079176F" w14:textId="77777777" w:rsidR="00E46D05" w:rsidRPr="003F4995" w:rsidRDefault="00E46D05" w:rsidP="00AD7A2B">
      <w:pPr>
        <w:pStyle w:val="CEABullet-Level1"/>
        <w:numPr>
          <w:ilvl w:val="0"/>
          <w:numId w:val="0"/>
        </w:numPr>
        <w:rPr>
          <w:szCs w:val="17"/>
        </w:rPr>
      </w:pPr>
    </w:p>
    <w:p w14:paraId="40849CB8" w14:textId="77777777" w:rsidR="00E46D05" w:rsidRPr="003F4995" w:rsidRDefault="00E46D05" w:rsidP="00AD7A2B">
      <w:pPr>
        <w:pStyle w:val="CEABullet-Level1"/>
        <w:numPr>
          <w:ilvl w:val="0"/>
          <w:numId w:val="0"/>
        </w:numPr>
        <w:rPr>
          <w:szCs w:val="17"/>
          <w:u w:val="single"/>
        </w:rPr>
      </w:pPr>
    </w:p>
    <w:p w14:paraId="3A7D1CCE" w14:textId="77777777" w:rsidR="00E46D05" w:rsidRPr="003F4995" w:rsidRDefault="00E46D05" w:rsidP="00AA0BE2">
      <w:pPr>
        <w:pStyle w:val="CEABullet-Level1"/>
        <w:numPr>
          <w:ilvl w:val="0"/>
          <w:numId w:val="0"/>
        </w:numPr>
        <w:spacing w:after="240"/>
        <w:rPr>
          <w:b/>
          <w:szCs w:val="17"/>
        </w:rPr>
      </w:pPr>
      <w:r w:rsidRPr="003F4995">
        <w:rPr>
          <w:b/>
          <w:szCs w:val="17"/>
        </w:rPr>
        <w:t>Relevant risk-free rate term structure (with reference to Article 43)</w:t>
      </w:r>
    </w:p>
    <w:p w14:paraId="25AFAD7A" w14:textId="77777777" w:rsidR="00E46D05" w:rsidRPr="003F4995" w:rsidRDefault="00E46D05" w:rsidP="00AD7A2B">
      <w:pPr>
        <w:pStyle w:val="CEABullet-Level1"/>
        <w:numPr>
          <w:ilvl w:val="0"/>
          <w:numId w:val="0"/>
        </w:numPr>
        <w:rPr>
          <w:szCs w:val="17"/>
        </w:rPr>
      </w:pPr>
      <w:r w:rsidRPr="003F4995">
        <w:rPr>
          <w:szCs w:val="17"/>
        </w:rPr>
        <w:t xml:space="preserve">Insurance Europe welcomes the additional clarifications provided by the Commission regarding the derivation of the risk-free interest rate term structures and the process which should be followed to make substantial changes. These provisions should ensure any changes are thoroughly considered and, importantly. the impact of the changes is estimated and understood prior to their application. </w:t>
      </w:r>
    </w:p>
    <w:p w14:paraId="5F9EF384" w14:textId="77777777" w:rsidR="00E46D05" w:rsidRPr="003F4995" w:rsidRDefault="00E46D05" w:rsidP="00AD7A2B">
      <w:pPr>
        <w:pStyle w:val="CEABullet-Level1"/>
        <w:numPr>
          <w:ilvl w:val="0"/>
          <w:numId w:val="0"/>
        </w:numPr>
        <w:rPr>
          <w:szCs w:val="17"/>
        </w:rPr>
      </w:pPr>
    </w:p>
    <w:p w14:paraId="6FF0F2C1" w14:textId="77777777" w:rsidR="00E46D05" w:rsidRPr="003F4995" w:rsidRDefault="00E46D05" w:rsidP="00AD7A2B">
      <w:pPr>
        <w:pStyle w:val="CEABullet-Level1"/>
        <w:numPr>
          <w:ilvl w:val="0"/>
          <w:numId w:val="0"/>
        </w:numPr>
        <w:rPr>
          <w:szCs w:val="17"/>
        </w:rPr>
      </w:pPr>
      <w:r w:rsidRPr="003F4995">
        <w:rPr>
          <w:szCs w:val="17"/>
        </w:rPr>
        <w:t xml:space="preserve">Insurance Europe further welcomes the Commission’s decision to postpone the review of the interest rate risk submodule until the Review of the Solvency II Directive in 2020. EIOPA’s own initiative proposals would have unnecessarily and significantly increased capital requirements for many insurers and exacerbated the existing problems and concerns for long-term business and investment. </w:t>
      </w:r>
    </w:p>
    <w:p w14:paraId="099DD439" w14:textId="77777777" w:rsidR="00E46D05" w:rsidRPr="003F4995" w:rsidRDefault="00E46D05" w:rsidP="00AD7A2B">
      <w:pPr>
        <w:pStyle w:val="CEABullet-Level1"/>
        <w:numPr>
          <w:ilvl w:val="0"/>
          <w:numId w:val="0"/>
        </w:numPr>
        <w:rPr>
          <w:szCs w:val="17"/>
        </w:rPr>
      </w:pPr>
    </w:p>
    <w:p w14:paraId="06E336CC" w14:textId="77777777" w:rsidR="00E46D05" w:rsidRPr="003F4995" w:rsidRDefault="00E46D05" w:rsidP="00AD7A2B">
      <w:pPr>
        <w:pStyle w:val="CEABullet-Level1"/>
        <w:numPr>
          <w:ilvl w:val="0"/>
          <w:numId w:val="0"/>
        </w:numPr>
        <w:rPr>
          <w:szCs w:val="17"/>
          <w:u w:val="single"/>
        </w:rPr>
      </w:pPr>
      <w:r w:rsidRPr="003F4995">
        <w:rPr>
          <w:szCs w:val="17"/>
          <w:u w:val="single"/>
        </w:rPr>
        <w:t>Looking ahead:</w:t>
      </w:r>
    </w:p>
    <w:p w14:paraId="55B9EA67" w14:textId="77777777" w:rsidR="00E46D05" w:rsidRPr="003F4995" w:rsidRDefault="00E46D05" w:rsidP="00AD7A2B">
      <w:pPr>
        <w:pStyle w:val="CEABullet-Level1"/>
        <w:numPr>
          <w:ilvl w:val="0"/>
          <w:numId w:val="0"/>
        </w:numPr>
        <w:rPr>
          <w:szCs w:val="17"/>
        </w:rPr>
      </w:pPr>
      <w:r w:rsidRPr="003F4995">
        <w:rPr>
          <w:szCs w:val="17"/>
        </w:rPr>
        <w:t xml:space="preserve">Given the fundamental importance of this risk module, a comprehensive and detailed impact assessment should be foreseen to test any proposals so that policymakers fully understand their impact and consequences. </w:t>
      </w:r>
    </w:p>
    <w:p w14:paraId="4FBF9FB2" w14:textId="77777777" w:rsidR="00E46D05" w:rsidRPr="003F4995" w:rsidRDefault="00E46D05" w:rsidP="00AD7A2B">
      <w:pPr>
        <w:pStyle w:val="CEABullet-Level1"/>
        <w:numPr>
          <w:ilvl w:val="0"/>
          <w:numId w:val="0"/>
        </w:numPr>
        <w:rPr>
          <w:szCs w:val="17"/>
        </w:rPr>
      </w:pPr>
    </w:p>
    <w:p w14:paraId="055E5FFC" w14:textId="77777777" w:rsidR="00E46D05" w:rsidRPr="003F4995" w:rsidRDefault="00E46D05" w:rsidP="00AD7A2B">
      <w:pPr>
        <w:pStyle w:val="CEABullet-Level1"/>
        <w:numPr>
          <w:ilvl w:val="0"/>
          <w:numId w:val="0"/>
        </w:numPr>
        <w:rPr>
          <w:szCs w:val="17"/>
        </w:rPr>
      </w:pPr>
    </w:p>
    <w:p w14:paraId="3FE3975C" w14:textId="77777777" w:rsidR="00E46D05" w:rsidRPr="003F4995" w:rsidRDefault="00E46D05" w:rsidP="00AA0BE2">
      <w:pPr>
        <w:pStyle w:val="CEABullet-Level1"/>
        <w:numPr>
          <w:ilvl w:val="0"/>
          <w:numId w:val="0"/>
        </w:numPr>
        <w:spacing w:after="240"/>
        <w:rPr>
          <w:b/>
          <w:szCs w:val="17"/>
        </w:rPr>
      </w:pPr>
      <w:r w:rsidRPr="003F4995">
        <w:rPr>
          <w:b/>
          <w:szCs w:val="17"/>
        </w:rPr>
        <w:t>Market risk concentration (with reference to Articles 182, 184, 186, 187)</w:t>
      </w:r>
    </w:p>
    <w:p w14:paraId="3EFD9AB7" w14:textId="77777777" w:rsidR="00E46D05" w:rsidRPr="003F4995" w:rsidRDefault="00E46D05" w:rsidP="00AD7A2B">
      <w:pPr>
        <w:pStyle w:val="CEABullet-Level1"/>
        <w:numPr>
          <w:ilvl w:val="0"/>
          <w:numId w:val="0"/>
        </w:numPr>
        <w:rPr>
          <w:rFonts w:cs="Times New Roman"/>
          <w:color w:val="auto"/>
          <w:szCs w:val="17"/>
        </w:rPr>
      </w:pPr>
      <w:r w:rsidRPr="003F4995">
        <w:rPr>
          <w:rFonts w:cs="Times New Roman"/>
          <w:color w:val="auto"/>
          <w:szCs w:val="17"/>
        </w:rPr>
        <w:t xml:space="preserve">Insurance Europe notes the proposed changes to the market concentration risk submodule which clarify the methodology which must be followed to calculate the risk factor for single name exposures (SNE). </w:t>
      </w:r>
    </w:p>
    <w:p w14:paraId="2225255D" w14:textId="77777777" w:rsidR="00E46D05" w:rsidRPr="003F4995" w:rsidRDefault="00E46D05" w:rsidP="00AD7A2B">
      <w:pPr>
        <w:pStyle w:val="CEABullet-Level1"/>
        <w:numPr>
          <w:ilvl w:val="0"/>
          <w:numId w:val="0"/>
        </w:numPr>
        <w:rPr>
          <w:rFonts w:cs="Times New Roman"/>
          <w:color w:val="auto"/>
          <w:szCs w:val="17"/>
        </w:rPr>
      </w:pPr>
    </w:p>
    <w:p w14:paraId="0617342F" w14:textId="77777777" w:rsidR="00E46D05" w:rsidRPr="003F4995" w:rsidRDefault="00E46D05" w:rsidP="00AD7A2B">
      <w:pPr>
        <w:pStyle w:val="CEABullet-Level1"/>
        <w:numPr>
          <w:ilvl w:val="0"/>
          <w:numId w:val="0"/>
        </w:numPr>
        <w:rPr>
          <w:rFonts w:cs="Times New Roman"/>
          <w:color w:val="auto"/>
          <w:szCs w:val="17"/>
        </w:rPr>
      </w:pPr>
      <w:r w:rsidRPr="003F4995">
        <w:rPr>
          <w:rFonts w:cs="Times New Roman"/>
          <w:color w:val="auto"/>
          <w:szCs w:val="17"/>
        </w:rPr>
        <w:t xml:space="preserve">On the </w:t>
      </w:r>
      <w:r w:rsidRPr="003F4995">
        <w:rPr>
          <w:rFonts w:cs="Times New Roman"/>
          <w:color w:val="auto"/>
          <w:szCs w:val="17"/>
          <w:u w:val="single"/>
        </w:rPr>
        <w:t>positive</w:t>
      </w:r>
      <w:r w:rsidRPr="003F4995">
        <w:rPr>
          <w:rFonts w:cs="Times New Roman"/>
          <w:color w:val="auto"/>
          <w:szCs w:val="17"/>
        </w:rPr>
        <w:t xml:space="preserve"> side:</w:t>
      </w:r>
    </w:p>
    <w:p w14:paraId="4339A8EB" w14:textId="77777777" w:rsidR="00E46D05" w:rsidRPr="003F4995" w:rsidRDefault="00E46D05" w:rsidP="00AD7A2B">
      <w:pPr>
        <w:pStyle w:val="CEABullet-Level1"/>
        <w:rPr>
          <w:rFonts w:cs="Times New Roman"/>
          <w:color w:val="auto"/>
          <w:szCs w:val="17"/>
        </w:rPr>
      </w:pPr>
      <w:r w:rsidRPr="003F4995">
        <w:rPr>
          <w:rFonts w:cs="Times New Roman"/>
          <w:color w:val="auto"/>
          <w:szCs w:val="17"/>
        </w:rPr>
        <w:t xml:space="preserve">The Commission’s proposals should </w:t>
      </w:r>
      <w:r w:rsidRPr="003F4995">
        <w:rPr>
          <w:rFonts w:cs="Times New Roman"/>
          <w:b/>
          <w:color w:val="auto"/>
          <w:szCs w:val="17"/>
        </w:rPr>
        <w:t>remove ambiguity in the sequencing of the calculations</w:t>
      </w:r>
      <w:r w:rsidRPr="003F4995">
        <w:rPr>
          <w:rFonts w:cs="Times New Roman"/>
          <w:color w:val="auto"/>
          <w:szCs w:val="17"/>
        </w:rPr>
        <w:t xml:space="preserve"> for certain exposures.</w:t>
      </w:r>
    </w:p>
    <w:p w14:paraId="161221E8" w14:textId="77777777" w:rsidR="00E46D05" w:rsidRPr="003F4995" w:rsidRDefault="00E46D05" w:rsidP="00AD7A2B">
      <w:pPr>
        <w:pStyle w:val="CEABullet-Level1"/>
        <w:numPr>
          <w:ilvl w:val="0"/>
          <w:numId w:val="0"/>
        </w:numPr>
        <w:rPr>
          <w:rFonts w:cs="Times New Roman"/>
          <w:color w:val="auto"/>
          <w:szCs w:val="17"/>
        </w:rPr>
      </w:pPr>
    </w:p>
    <w:p w14:paraId="50AB6F49" w14:textId="77777777" w:rsidR="00E46D05" w:rsidRPr="003F4995" w:rsidRDefault="00E46D05" w:rsidP="00AD7A2B">
      <w:pPr>
        <w:pStyle w:val="CEABullet-Level1"/>
        <w:numPr>
          <w:ilvl w:val="0"/>
          <w:numId w:val="0"/>
        </w:numPr>
        <w:rPr>
          <w:rFonts w:cs="Times New Roman"/>
          <w:color w:val="auto"/>
          <w:szCs w:val="17"/>
        </w:rPr>
      </w:pPr>
      <w:r w:rsidRPr="003F4995">
        <w:rPr>
          <w:rFonts w:cs="Times New Roman"/>
          <w:color w:val="auto"/>
          <w:szCs w:val="17"/>
        </w:rPr>
        <w:t xml:space="preserve">On the </w:t>
      </w:r>
      <w:r w:rsidRPr="003F4995">
        <w:rPr>
          <w:rFonts w:cs="Times New Roman"/>
          <w:color w:val="auto"/>
          <w:szCs w:val="17"/>
          <w:u w:val="single"/>
        </w:rPr>
        <w:t>negative</w:t>
      </w:r>
      <w:r w:rsidRPr="003F4995">
        <w:rPr>
          <w:rFonts w:cs="Times New Roman"/>
          <w:color w:val="auto"/>
          <w:szCs w:val="17"/>
        </w:rPr>
        <w:t xml:space="preserve"> side:</w:t>
      </w:r>
    </w:p>
    <w:p w14:paraId="5BD93196" w14:textId="77777777" w:rsidR="00E46D05" w:rsidRPr="003F4995" w:rsidRDefault="00E46D05" w:rsidP="00AD7A2B">
      <w:pPr>
        <w:pStyle w:val="CEABullet-Level1"/>
        <w:rPr>
          <w:rFonts w:cs="Times New Roman"/>
          <w:color w:val="auto"/>
          <w:szCs w:val="17"/>
        </w:rPr>
      </w:pPr>
      <w:r w:rsidRPr="003F4995">
        <w:rPr>
          <w:rFonts w:cs="Times New Roman"/>
          <w:color w:val="auto"/>
          <w:szCs w:val="17"/>
        </w:rPr>
        <w:t>Insurance Europe supports the removal of the existing restrictions in Article 184 (2)(b) (i), (ii) &amp; (iv) in order to remove all entities in a group from the calculation base of the of the submodule.</w:t>
      </w:r>
    </w:p>
    <w:p w14:paraId="3650412D" w14:textId="77777777" w:rsidR="00E46D05" w:rsidRPr="003F4995" w:rsidRDefault="00E46D05" w:rsidP="00AD7A2B">
      <w:pPr>
        <w:pStyle w:val="CEABullet-Level1"/>
        <w:rPr>
          <w:rFonts w:cs="Times New Roman"/>
          <w:color w:val="auto"/>
          <w:szCs w:val="17"/>
        </w:rPr>
      </w:pPr>
      <w:r w:rsidRPr="003F4995">
        <w:rPr>
          <w:rFonts w:cs="Times New Roman"/>
          <w:color w:val="auto"/>
          <w:szCs w:val="17"/>
        </w:rPr>
        <w:t xml:space="preserve">It further supports the inclusion of strategic participations and related investment undertakings in the list of exclusions in Article 184 (2). </w:t>
      </w:r>
    </w:p>
    <w:p w14:paraId="3FE13496" w14:textId="77777777" w:rsidR="00E46D05" w:rsidRPr="003F4995" w:rsidRDefault="00E46D05" w:rsidP="00AD7A2B">
      <w:pPr>
        <w:pStyle w:val="CEABullet-Level1"/>
        <w:rPr>
          <w:rFonts w:cs="Times New Roman"/>
          <w:color w:val="auto"/>
          <w:szCs w:val="17"/>
        </w:rPr>
      </w:pPr>
      <w:r w:rsidRPr="003F4995">
        <w:rPr>
          <w:rFonts w:cs="Times New Roman"/>
          <w:color w:val="auto"/>
          <w:szCs w:val="17"/>
        </w:rPr>
        <w:t xml:space="preserve">The 0% risk charge applied to exposures to Member State’s central governments and central banks under Article 187 (3)(b) should also be applicable to foreign currency obligations. </w:t>
      </w:r>
    </w:p>
    <w:p w14:paraId="3DAB4525" w14:textId="77777777" w:rsidR="00E46D05" w:rsidRPr="003F4995" w:rsidRDefault="00E46D05" w:rsidP="00AD7A2B">
      <w:pPr>
        <w:pStyle w:val="CEABullet-Level1"/>
        <w:numPr>
          <w:ilvl w:val="0"/>
          <w:numId w:val="0"/>
        </w:numPr>
        <w:rPr>
          <w:b/>
          <w:szCs w:val="17"/>
        </w:rPr>
      </w:pPr>
    </w:p>
    <w:p w14:paraId="6E88706F" w14:textId="77777777" w:rsidR="00E46D05" w:rsidRPr="003F4995" w:rsidRDefault="00E46D05" w:rsidP="00AD7A2B">
      <w:pPr>
        <w:pStyle w:val="CEABullet-Level1"/>
        <w:numPr>
          <w:ilvl w:val="0"/>
          <w:numId w:val="0"/>
        </w:numPr>
        <w:rPr>
          <w:b/>
          <w:szCs w:val="17"/>
        </w:rPr>
      </w:pPr>
    </w:p>
    <w:p w14:paraId="034E43EB" w14:textId="77777777" w:rsidR="00E46D05" w:rsidRPr="003F4995" w:rsidRDefault="00E46D05" w:rsidP="00AA0BE2">
      <w:pPr>
        <w:pStyle w:val="CEABullet-Level1"/>
        <w:numPr>
          <w:ilvl w:val="0"/>
          <w:numId w:val="0"/>
        </w:numPr>
        <w:spacing w:after="240"/>
        <w:rPr>
          <w:b/>
          <w:szCs w:val="17"/>
        </w:rPr>
      </w:pPr>
      <w:r w:rsidRPr="003F4995">
        <w:rPr>
          <w:b/>
          <w:szCs w:val="17"/>
        </w:rPr>
        <w:t>Currency risk at group level (with reference to Article 337)</w:t>
      </w:r>
    </w:p>
    <w:p w14:paraId="77575B31" w14:textId="77777777" w:rsidR="00E46D05" w:rsidRPr="003F4995" w:rsidRDefault="00E46D05" w:rsidP="00AD7A2B">
      <w:pPr>
        <w:pStyle w:val="CEABullet-Level1"/>
        <w:numPr>
          <w:ilvl w:val="0"/>
          <w:numId w:val="0"/>
        </w:numPr>
        <w:rPr>
          <w:szCs w:val="17"/>
        </w:rPr>
      </w:pPr>
      <w:r w:rsidRPr="003F4995">
        <w:rPr>
          <w:szCs w:val="17"/>
        </w:rPr>
        <w:t>Insurance Europe notes the alternative calculation proposed by the Commission to improve the risk sensitivity of the currency risk submodule for group who use the standard formula.</w:t>
      </w:r>
    </w:p>
    <w:p w14:paraId="6D524FC6" w14:textId="77777777" w:rsidR="00E46D05" w:rsidRPr="003F4995" w:rsidRDefault="00E46D05" w:rsidP="00AD7A2B">
      <w:pPr>
        <w:pStyle w:val="CEABullet-Level1"/>
        <w:numPr>
          <w:ilvl w:val="0"/>
          <w:numId w:val="0"/>
        </w:numPr>
        <w:rPr>
          <w:szCs w:val="17"/>
        </w:rPr>
      </w:pPr>
    </w:p>
    <w:p w14:paraId="09CB4B34" w14:textId="77777777" w:rsidR="00E46D05" w:rsidRPr="003F4995" w:rsidRDefault="00E46D05" w:rsidP="00AD7A2B">
      <w:pPr>
        <w:pStyle w:val="CEABullet-Level1"/>
        <w:numPr>
          <w:ilvl w:val="0"/>
          <w:numId w:val="0"/>
        </w:numPr>
        <w:rPr>
          <w:szCs w:val="17"/>
        </w:rPr>
      </w:pPr>
      <w:r w:rsidRPr="003F4995">
        <w:rPr>
          <w:szCs w:val="17"/>
        </w:rPr>
        <w:t>While the proposed formulation of the Article 337 should achieve its objective, Insurance Europe does not expect the amendment to be widely used in practice due to the prevalence of internal model usage amongst the groups which are eligible to make use of the proposal.</w:t>
      </w:r>
    </w:p>
    <w:p w14:paraId="5710CF7F" w14:textId="77777777" w:rsidR="00E46D05" w:rsidRPr="003F4995" w:rsidRDefault="00E46D05" w:rsidP="00AD7A2B">
      <w:pPr>
        <w:pStyle w:val="CEABullet-Level1"/>
        <w:numPr>
          <w:ilvl w:val="0"/>
          <w:numId w:val="0"/>
        </w:numPr>
        <w:rPr>
          <w:szCs w:val="17"/>
        </w:rPr>
      </w:pPr>
    </w:p>
    <w:p w14:paraId="3AF53186" w14:textId="77777777" w:rsidR="00E46D05" w:rsidRPr="003F4995" w:rsidRDefault="00E46D05" w:rsidP="00AD7A2B">
      <w:pPr>
        <w:pStyle w:val="CEABullet-Level1"/>
        <w:numPr>
          <w:ilvl w:val="0"/>
          <w:numId w:val="0"/>
        </w:numPr>
        <w:rPr>
          <w:szCs w:val="17"/>
        </w:rPr>
      </w:pPr>
      <w:r w:rsidRPr="003F4995">
        <w:rPr>
          <w:szCs w:val="17"/>
        </w:rPr>
        <w:t xml:space="preserve">Insurance Europe is disappointed that the Commission did not use the opportunity to make more ambitious improvements to the currency risk submodule. At present, the currency risk submodule penalises good risk management techniques, both at a solo and group level, by applying a risk charge to all foreign currency exposures which are held to support the risk arising from foreign currency liabilities.  </w:t>
      </w:r>
      <w:r w:rsidRPr="003F4995">
        <w:rPr>
          <w:szCs w:val="17"/>
        </w:rPr>
        <w:tab/>
      </w:r>
    </w:p>
    <w:p w14:paraId="6B79BB37" w14:textId="77777777" w:rsidR="00E46D05" w:rsidRPr="003F4995" w:rsidRDefault="00E46D05" w:rsidP="00AD7A2B">
      <w:pPr>
        <w:pStyle w:val="CEABullet-Level1"/>
        <w:numPr>
          <w:ilvl w:val="0"/>
          <w:numId w:val="0"/>
        </w:numPr>
        <w:rPr>
          <w:szCs w:val="17"/>
        </w:rPr>
      </w:pPr>
    </w:p>
    <w:p w14:paraId="5FFB51E3" w14:textId="77777777" w:rsidR="00E46D05" w:rsidRPr="003F4995" w:rsidRDefault="00E46D05" w:rsidP="00AD7A2B">
      <w:pPr>
        <w:pStyle w:val="CEABullet-Level1"/>
        <w:numPr>
          <w:ilvl w:val="0"/>
          <w:numId w:val="0"/>
        </w:numPr>
        <w:rPr>
          <w:b/>
          <w:szCs w:val="17"/>
        </w:rPr>
      </w:pPr>
    </w:p>
    <w:p w14:paraId="47814C21" w14:textId="77777777" w:rsidR="00E46D05" w:rsidRPr="003F4995" w:rsidRDefault="00E46D05" w:rsidP="00AA0BE2">
      <w:pPr>
        <w:pStyle w:val="CEABullet-Level1"/>
        <w:numPr>
          <w:ilvl w:val="0"/>
          <w:numId w:val="0"/>
        </w:numPr>
        <w:spacing w:after="240"/>
        <w:rPr>
          <w:b/>
          <w:szCs w:val="17"/>
        </w:rPr>
      </w:pPr>
      <w:r w:rsidRPr="003F4995">
        <w:rPr>
          <w:b/>
          <w:szCs w:val="17"/>
        </w:rPr>
        <w:t>Unrated debt (</w:t>
      </w:r>
      <w:r w:rsidRPr="00AA0BE2">
        <w:rPr>
          <w:b/>
          <w:szCs w:val="17"/>
        </w:rPr>
        <w:t>with reference to Art 5a, 176, 176a, 176b, 176c)</w:t>
      </w:r>
    </w:p>
    <w:p w14:paraId="6129CFE9" w14:textId="77777777" w:rsidR="00E46D05" w:rsidRPr="003F4995" w:rsidRDefault="00E46D05" w:rsidP="00AD7A2B">
      <w:pPr>
        <w:spacing w:after="120"/>
        <w:rPr>
          <w:rFonts w:eastAsia="Calibri"/>
          <w:sz w:val="17"/>
          <w:szCs w:val="17"/>
          <w:lang w:val="en-US"/>
        </w:rPr>
      </w:pPr>
      <w:r w:rsidRPr="003F4995">
        <w:rPr>
          <w:sz w:val="17"/>
          <w:szCs w:val="17"/>
        </w:rPr>
        <w:t xml:space="preserve">Overall, </w:t>
      </w:r>
      <w:r w:rsidRPr="003F4995">
        <w:rPr>
          <w:rFonts w:eastAsia="Calibri"/>
          <w:sz w:val="17"/>
          <w:szCs w:val="17"/>
          <w:lang w:val="en-US"/>
        </w:rPr>
        <w:t xml:space="preserve">Insurance Europe welcomes the EC work aimed at providing a more appropriate capital treatment for unrated debt that can receive, as a proxy, the credit rating of rated debt should a set of criteria be met. </w:t>
      </w:r>
    </w:p>
    <w:p w14:paraId="1C1A165B" w14:textId="77777777" w:rsidR="00E46D05" w:rsidRPr="003F4995" w:rsidRDefault="00E46D05" w:rsidP="00E10FA5">
      <w:pPr>
        <w:pStyle w:val="CEABullet-Level1"/>
        <w:numPr>
          <w:ilvl w:val="0"/>
          <w:numId w:val="0"/>
        </w:numPr>
        <w:rPr>
          <w:rFonts w:eastAsia="Calibri" w:cs="Times New Roman"/>
          <w:szCs w:val="17"/>
          <w:lang w:val="en-US"/>
        </w:rPr>
      </w:pPr>
      <w:r w:rsidRPr="003F4995">
        <w:rPr>
          <w:rFonts w:eastAsia="Calibri"/>
          <w:szCs w:val="17"/>
          <w:lang w:val="en-US"/>
        </w:rPr>
        <w:t xml:space="preserve">Unrated debt represents not only an important investment asset for the industry, but also a key source of funding for SMEs in Europe. The industry therefore welcomes steps by the Commission aimed at removing barriers to investment in assets that are key for European growth and also at the center of the CMU project </w:t>
      </w:r>
      <w:r w:rsidRPr="003F4995">
        <w:rPr>
          <w:rFonts w:eastAsia="Calibri" w:cs="Times New Roman"/>
          <w:szCs w:val="17"/>
          <w:lang w:val="en-US"/>
        </w:rPr>
        <w:t>and its objectives.</w:t>
      </w:r>
    </w:p>
    <w:p w14:paraId="25E8DB4A" w14:textId="77777777" w:rsidR="00E10FA5" w:rsidRPr="003F4995" w:rsidRDefault="00E10FA5" w:rsidP="00E10FA5">
      <w:pPr>
        <w:pStyle w:val="CEABullet-Level1"/>
        <w:numPr>
          <w:ilvl w:val="0"/>
          <w:numId w:val="0"/>
        </w:numPr>
        <w:rPr>
          <w:rFonts w:eastAsia="Calibri" w:cs="Times New Roman"/>
          <w:szCs w:val="17"/>
          <w:lang w:val="en-US"/>
        </w:rPr>
      </w:pPr>
    </w:p>
    <w:p w14:paraId="2FD86C70" w14:textId="77777777" w:rsidR="00E46D05" w:rsidRPr="003F4995" w:rsidRDefault="00E46D05" w:rsidP="00E10FA5">
      <w:pPr>
        <w:pStyle w:val="CEABullet-Level1"/>
        <w:numPr>
          <w:ilvl w:val="0"/>
          <w:numId w:val="0"/>
        </w:numPr>
        <w:rPr>
          <w:rFonts w:eastAsia="Calibri"/>
          <w:szCs w:val="17"/>
          <w:lang w:val="en-US"/>
        </w:rPr>
      </w:pPr>
      <w:r w:rsidRPr="003F4995">
        <w:rPr>
          <w:rFonts w:eastAsia="Calibri" w:cs="Times New Roman"/>
          <w:szCs w:val="17"/>
          <w:lang w:val="en-US"/>
        </w:rPr>
        <w:t>On</w:t>
      </w:r>
      <w:r w:rsidRPr="003F4995">
        <w:rPr>
          <w:rFonts w:eastAsia="Calibri"/>
          <w:szCs w:val="17"/>
          <w:lang w:val="en-US"/>
        </w:rPr>
        <w:t xml:space="preserve"> the </w:t>
      </w:r>
      <w:r w:rsidRPr="003F4995">
        <w:rPr>
          <w:rFonts w:eastAsia="Calibri"/>
          <w:szCs w:val="17"/>
          <w:u w:val="single"/>
          <w:lang w:val="en-US"/>
        </w:rPr>
        <w:t>positive</w:t>
      </w:r>
      <w:r w:rsidRPr="003F4995">
        <w:rPr>
          <w:rFonts w:eastAsia="Calibri"/>
          <w:szCs w:val="17"/>
          <w:lang w:val="en-US"/>
        </w:rPr>
        <w:t xml:space="preserve"> side:</w:t>
      </w:r>
    </w:p>
    <w:p w14:paraId="1CC4D430" w14:textId="77777777" w:rsidR="00E46D05" w:rsidRPr="003F4995" w:rsidRDefault="00E46D05" w:rsidP="00AD7A2B">
      <w:pPr>
        <w:pStyle w:val="CEABullet-Level1"/>
        <w:rPr>
          <w:rFonts w:eastAsia="Calibri"/>
          <w:szCs w:val="17"/>
          <w:lang w:val="en-US"/>
        </w:rPr>
      </w:pPr>
      <w:r w:rsidRPr="003F4995">
        <w:rPr>
          <w:rFonts w:eastAsia="Calibri"/>
          <w:szCs w:val="17"/>
          <w:lang w:val="en-US"/>
        </w:rPr>
        <w:t xml:space="preserve">Insurance Europe broadly supports the </w:t>
      </w:r>
      <w:r w:rsidRPr="003F4995">
        <w:rPr>
          <w:rFonts w:eastAsia="Calibri"/>
          <w:b/>
          <w:szCs w:val="17"/>
          <w:lang w:val="en-US"/>
        </w:rPr>
        <w:t>own internal credit assessment</w:t>
      </w:r>
      <w:r w:rsidRPr="003F4995">
        <w:rPr>
          <w:rFonts w:eastAsia="Calibri"/>
          <w:szCs w:val="17"/>
          <w:lang w:val="en-US"/>
        </w:rPr>
        <w:t xml:space="preserve"> approach, which is viewed as overall adequate and not overly complex. This approach will particularly work in countries and for undertakings that invest directly in unrated debt and are already using similar criteria in their internal investment processes.</w:t>
      </w:r>
    </w:p>
    <w:p w14:paraId="43E49FB9" w14:textId="77777777" w:rsidR="00E10FA5" w:rsidRPr="003F4995" w:rsidRDefault="00E10FA5" w:rsidP="00E10FA5">
      <w:pPr>
        <w:pStyle w:val="CEABullet-Level1"/>
        <w:numPr>
          <w:ilvl w:val="0"/>
          <w:numId w:val="0"/>
        </w:numPr>
        <w:rPr>
          <w:rFonts w:eastAsia="Calibri"/>
          <w:szCs w:val="17"/>
          <w:lang w:val="en-US"/>
        </w:rPr>
      </w:pPr>
    </w:p>
    <w:p w14:paraId="460D0490" w14:textId="77777777" w:rsidR="00E46D05" w:rsidRPr="003F4995" w:rsidRDefault="00E46D05" w:rsidP="00E10FA5">
      <w:pPr>
        <w:pStyle w:val="CEABullet-Level1"/>
        <w:numPr>
          <w:ilvl w:val="0"/>
          <w:numId w:val="0"/>
        </w:numPr>
        <w:rPr>
          <w:rFonts w:eastAsia="Calibri"/>
          <w:szCs w:val="17"/>
          <w:lang w:val="en-US"/>
        </w:rPr>
      </w:pPr>
      <w:r w:rsidRPr="003F4995">
        <w:rPr>
          <w:rFonts w:eastAsia="Calibri"/>
          <w:szCs w:val="17"/>
          <w:lang w:val="en-US"/>
        </w:rPr>
        <w:t xml:space="preserve">On the </w:t>
      </w:r>
      <w:r w:rsidRPr="003F4995">
        <w:rPr>
          <w:rFonts w:eastAsia="Calibri"/>
          <w:szCs w:val="17"/>
          <w:u w:val="single"/>
          <w:lang w:val="en-US"/>
        </w:rPr>
        <w:t>negative</w:t>
      </w:r>
      <w:r w:rsidRPr="003F4995">
        <w:rPr>
          <w:rFonts w:eastAsia="Calibri"/>
          <w:szCs w:val="17"/>
          <w:lang w:val="en-US"/>
        </w:rPr>
        <w:t xml:space="preserve"> side, Insurance Europe highlights that:</w:t>
      </w:r>
    </w:p>
    <w:p w14:paraId="7C74DAF4" w14:textId="77777777" w:rsidR="00E46D05" w:rsidRPr="003F4995" w:rsidRDefault="00E46D05" w:rsidP="00AD7A2B">
      <w:pPr>
        <w:pStyle w:val="CEABullet-Level1"/>
        <w:rPr>
          <w:rFonts w:eastAsia="Calibri"/>
          <w:color w:val="212121"/>
          <w:szCs w:val="17"/>
          <w:lang w:val="en"/>
        </w:rPr>
      </w:pPr>
      <w:r w:rsidRPr="003F4995">
        <w:rPr>
          <w:rFonts w:eastAsia="Calibri"/>
          <w:szCs w:val="17"/>
          <w:lang w:val="en"/>
        </w:rPr>
        <w:t>T</w:t>
      </w:r>
      <w:r w:rsidRPr="003F4995">
        <w:rPr>
          <w:rFonts w:eastAsia="Calibri"/>
          <w:color w:val="212121"/>
          <w:szCs w:val="17"/>
          <w:lang w:val="en"/>
        </w:rPr>
        <w:t xml:space="preserve">he </w:t>
      </w:r>
      <w:r w:rsidRPr="003F4995">
        <w:rPr>
          <w:rFonts w:eastAsia="Calibri"/>
          <w:b/>
          <w:color w:val="212121"/>
          <w:szCs w:val="17"/>
          <w:lang w:val="en"/>
        </w:rPr>
        <w:t>approved internal model approach</w:t>
      </w:r>
      <w:r w:rsidRPr="003F4995">
        <w:rPr>
          <w:rFonts w:eastAsia="Calibri"/>
          <w:color w:val="212121"/>
          <w:szCs w:val="17"/>
          <w:lang w:val="en"/>
        </w:rPr>
        <w:t>, as proposed, is not reflective of market reality, is overly restrictive and will not work in practice. While in a number of member states insurers do co-invest with banks/credit institutions, the criteria foreseen by the Commission (eg 50% retention by banks, disclosure of all applications and details on all decisions to approve/reject applications for bonds and loans) are very difficult, if not even impossible, to meet in real life. In fact, the significant challenge of criteria difficult to meet in practice was acknowledged by EIOPA in its advice to the Commission of February 2018.</w:t>
      </w:r>
    </w:p>
    <w:p w14:paraId="2A00D042" w14:textId="77777777" w:rsidR="00E46D05" w:rsidRPr="003F4995" w:rsidRDefault="00E46D05" w:rsidP="00AD7A2B">
      <w:pPr>
        <w:pStyle w:val="CEABullet-Level1"/>
        <w:rPr>
          <w:rFonts w:eastAsia="Calibri"/>
          <w:color w:val="212121"/>
          <w:szCs w:val="17"/>
          <w:lang w:val="en"/>
        </w:rPr>
      </w:pPr>
      <w:r w:rsidRPr="003F4995">
        <w:rPr>
          <w:rFonts w:eastAsia="Calibri"/>
          <w:color w:val="212121"/>
          <w:szCs w:val="17"/>
          <w:lang w:val="en"/>
        </w:rPr>
        <w:t xml:space="preserve">There are </w:t>
      </w:r>
      <w:r w:rsidRPr="003F4995">
        <w:rPr>
          <w:rFonts w:eastAsia="Calibri"/>
          <w:b/>
          <w:color w:val="212121"/>
          <w:szCs w:val="17"/>
          <w:lang w:val="en"/>
        </w:rPr>
        <w:t>concerns in markets investing in unrated debt though funds</w:t>
      </w:r>
      <w:r w:rsidRPr="003F4995">
        <w:rPr>
          <w:rFonts w:eastAsia="Calibri"/>
          <w:color w:val="212121"/>
          <w:szCs w:val="17"/>
          <w:lang w:val="en"/>
        </w:rPr>
        <w:t xml:space="preserve"> that they may not be able to benefit from this improvement in the capital requirement assessment because the costs of obtaining the information needed may outweigh the actual “benefits” in terms of capital reduction.</w:t>
      </w:r>
    </w:p>
    <w:p w14:paraId="7C423323" w14:textId="77777777" w:rsidR="00E46D05" w:rsidRPr="003F4995" w:rsidRDefault="00E46D05" w:rsidP="00AD7A2B">
      <w:pPr>
        <w:pStyle w:val="CEABullet-Level1"/>
        <w:rPr>
          <w:rFonts w:eastAsia="Calibri"/>
          <w:szCs w:val="17"/>
          <w:lang w:val="en-US"/>
        </w:rPr>
      </w:pPr>
      <w:r w:rsidRPr="003F4995">
        <w:rPr>
          <w:rFonts w:eastAsia="Calibri"/>
          <w:szCs w:val="17"/>
          <w:lang w:val="en-US"/>
        </w:rPr>
        <w:t xml:space="preserve">The </w:t>
      </w:r>
      <w:r w:rsidRPr="003F4995">
        <w:rPr>
          <w:rFonts w:eastAsia="Calibri"/>
          <w:b/>
          <w:szCs w:val="17"/>
          <w:lang w:val="en-US"/>
        </w:rPr>
        <w:t>limitation of the scope to CQS 3</w:t>
      </w:r>
      <w:r w:rsidRPr="003F4995">
        <w:rPr>
          <w:rFonts w:eastAsia="Calibri"/>
          <w:szCs w:val="17"/>
          <w:lang w:val="en-US"/>
        </w:rPr>
        <w:t xml:space="preserve"> will result in a limitation of coverage across member states. Extension to CQS 4 and respective criteria would be welcome.</w:t>
      </w:r>
    </w:p>
    <w:p w14:paraId="5190E4F8" w14:textId="77777777" w:rsidR="00AD7A2B" w:rsidRPr="003F4995" w:rsidRDefault="00AD7A2B" w:rsidP="00AD7A2B">
      <w:pPr>
        <w:pStyle w:val="CEABullet-Level1"/>
        <w:numPr>
          <w:ilvl w:val="0"/>
          <w:numId w:val="0"/>
        </w:numPr>
        <w:ind w:left="360"/>
        <w:rPr>
          <w:rFonts w:eastAsia="Calibri"/>
          <w:szCs w:val="17"/>
          <w:lang w:val="en-US"/>
        </w:rPr>
      </w:pPr>
    </w:p>
    <w:p w14:paraId="12B0CAA4" w14:textId="77777777" w:rsidR="00E46D05" w:rsidRPr="003F4995" w:rsidRDefault="00E46D05" w:rsidP="00AD7A2B">
      <w:pPr>
        <w:spacing w:after="120"/>
        <w:rPr>
          <w:rFonts w:eastAsia="Calibri"/>
          <w:color w:val="000000"/>
          <w:sz w:val="17"/>
          <w:szCs w:val="17"/>
          <w:u w:val="single"/>
          <w:lang w:val="en-US"/>
        </w:rPr>
      </w:pPr>
      <w:r w:rsidRPr="003F4995">
        <w:rPr>
          <w:rFonts w:eastAsia="Calibri"/>
          <w:color w:val="000000"/>
          <w:sz w:val="17"/>
          <w:szCs w:val="17"/>
          <w:u w:val="single"/>
          <w:lang w:val="en-US"/>
        </w:rPr>
        <w:t>Looking ahead:</w:t>
      </w:r>
    </w:p>
    <w:p w14:paraId="235AB20C" w14:textId="77777777" w:rsidR="00E46D05" w:rsidRPr="003F4995" w:rsidRDefault="00E46D05" w:rsidP="00AD7A2B">
      <w:pPr>
        <w:pStyle w:val="CEABullet-Level1"/>
        <w:rPr>
          <w:rFonts w:eastAsia="Calibri"/>
          <w:szCs w:val="17"/>
        </w:rPr>
      </w:pPr>
      <w:r w:rsidRPr="003F4995">
        <w:rPr>
          <w:rFonts w:eastAsia="Calibri"/>
          <w:szCs w:val="17"/>
        </w:rPr>
        <w:t xml:space="preserve">Insurance Europe calls on the Commission to </w:t>
      </w:r>
      <w:r w:rsidRPr="003F4995">
        <w:rPr>
          <w:rFonts w:eastAsia="Calibri"/>
          <w:b/>
          <w:szCs w:val="17"/>
        </w:rPr>
        <w:t>closely monitor, with data and information support from EIOPA</w:t>
      </w:r>
      <w:r w:rsidRPr="003F4995">
        <w:rPr>
          <w:rFonts w:eastAsia="Calibri"/>
          <w:szCs w:val="17"/>
        </w:rPr>
        <w:t xml:space="preserve">, the extent to which these proposals will be used by insurers in practice and their numerical impact. </w:t>
      </w:r>
    </w:p>
    <w:p w14:paraId="696D403D" w14:textId="77777777" w:rsidR="00E46D05" w:rsidRPr="003F4995" w:rsidRDefault="00E46D05" w:rsidP="00AD7A2B">
      <w:pPr>
        <w:pStyle w:val="CEABullet-Level1"/>
        <w:rPr>
          <w:rFonts w:eastAsia="Calibri"/>
          <w:szCs w:val="17"/>
          <w:lang w:val="en-US"/>
        </w:rPr>
      </w:pPr>
      <w:r w:rsidRPr="003F4995">
        <w:rPr>
          <w:rFonts w:eastAsia="Calibri"/>
          <w:szCs w:val="17"/>
          <w:lang w:val="en-US"/>
        </w:rPr>
        <w:t>Insurance Europe calls the European Commission to be more ambitious in its endeavors to enhance the risk-sensitiveness of the Solvency II framework, by more adequately measuring the actual risks that insurers are exposed to, especially in the case of long-term investments in bonds.</w:t>
      </w:r>
    </w:p>
    <w:p w14:paraId="4118B664" w14:textId="77777777" w:rsidR="0034036B" w:rsidRDefault="0034036B" w:rsidP="00AD7A2B">
      <w:pPr>
        <w:spacing w:after="120"/>
        <w:rPr>
          <w:rFonts w:eastAsia="Calibri"/>
          <w:color w:val="000000"/>
          <w:sz w:val="17"/>
          <w:szCs w:val="17"/>
          <w:lang w:val="en-US"/>
        </w:rPr>
      </w:pPr>
    </w:p>
    <w:p w14:paraId="1F4641BF" w14:textId="16D9EAFD" w:rsidR="00E46D05" w:rsidRPr="003F4995" w:rsidRDefault="00E46D05" w:rsidP="00AD7A2B">
      <w:pPr>
        <w:spacing w:after="120"/>
        <w:rPr>
          <w:rFonts w:eastAsiaTheme="minorHAnsi" w:cs="Roboto-Black"/>
          <w:i/>
          <w:sz w:val="17"/>
          <w:szCs w:val="17"/>
        </w:rPr>
      </w:pPr>
      <w:r w:rsidRPr="003F4995">
        <w:rPr>
          <w:rFonts w:eastAsia="Calibri"/>
          <w:color w:val="000000"/>
          <w:sz w:val="17"/>
          <w:szCs w:val="17"/>
          <w:lang w:val="en-US"/>
        </w:rPr>
        <w:t>With respect to the second bullet point above, Insurance Europe asks the Commission to follow up on the related recommendations of the Final Report of the HLEG on sustainable finance</w:t>
      </w:r>
      <w:r w:rsidRPr="003F4995">
        <w:rPr>
          <w:rStyle w:val="Odkaznapoznmkupodiarou"/>
          <w:rFonts w:eastAsia="Calibri"/>
          <w:color w:val="000000"/>
          <w:sz w:val="17"/>
          <w:szCs w:val="17"/>
          <w:lang w:val="en-US"/>
        </w:rPr>
        <w:footnoteReference w:id="1"/>
      </w:r>
      <w:r w:rsidRPr="003F4995">
        <w:rPr>
          <w:rFonts w:eastAsia="Calibri"/>
          <w:color w:val="000000"/>
          <w:sz w:val="17"/>
          <w:szCs w:val="17"/>
          <w:lang w:val="en-US"/>
        </w:rPr>
        <w:t>, and in particular, which explicitly recommends an investigation into</w:t>
      </w:r>
      <w:r w:rsidRPr="003F4995">
        <w:rPr>
          <w:rFonts w:eastAsiaTheme="minorHAnsi" w:cs="Roboto-Black"/>
          <w:color w:val="00A29B"/>
          <w:sz w:val="17"/>
          <w:szCs w:val="17"/>
        </w:rPr>
        <w:t xml:space="preserve"> </w:t>
      </w:r>
      <w:r w:rsidRPr="003F4995">
        <w:rPr>
          <w:rFonts w:eastAsiaTheme="minorHAnsi" w:cs="Roboto-Black"/>
          <w:i/>
          <w:sz w:val="17"/>
          <w:szCs w:val="17"/>
        </w:rPr>
        <w:t>“how Solvency II could be adapted to facilitate further long-term investment while maintaining a strong risk-based nature:</w:t>
      </w:r>
    </w:p>
    <w:p w14:paraId="65551134" w14:textId="77777777" w:rsidR="00E46D05" w:rsidRPr="003F4995" w:rsidRDefault="00E46D05" w:rsidP="00AD7A2B">
      <w:pPr>
        <w:pStyle w:val="CEABullet-Level1"/>
        <w:rPr>
          <w:rFonts w:eastAsiaTheme="minorHAnsi" w:cs="Roboto-Regular"/>
          <w:i/>
          <w:szCs w:val="17"/>
        </w:rPr>
      </w:pPr>
      <w:r w:rsidRPr="003F4995">
        <w:rPr>
          <w:rFonts w:eastAsiaTheme="minorHAnsi" w:cs="Roboto-Black"/>
          <w:i/>
          <w:szCs w:val="17"/>
        </w:rPr>
        <w:t>Assessment of alternative ways to deal with prudential concerns about forced selling of assets</w:t>
      </w:r>
    </w:p>
    <w:p w14:paraId="0B81E969" w14:textId="77777777" w:rsidR="00E46D05" w:rsidRPr="003F4995" w:rsidRDefault="00E46D05" w:rsidP="00AD7A2B">
      <w:pPr>
        <w:pStyle w:val="CEABullet-Level1"/>
        <w:rPr>
          <w:rFonts w:eastAsiaTheme="minorHAnsi" w:cs="Roboto-Black"/>
          <w:i/>
          <w:szCs w:val="17"/>
        </w:rPr>
      </w:pPr>
      <w:r w:rsidRPr="003F4995">
        <w:rPr>
          <w:rFonts w:eastAsiaTheme="minorHAnsi" w:cs="Roboto-Black"/>
          <w:i/>
          <w:szCs w:val="17"/>
        </w:rPr>
        <w:t>Assessment of alternative ways to set discount rates to avoid exaggerating liabilities and balance sheet volatility</w:t>
      </w:r>
    </w:p>
    <w:p w14:paraId="11E41BBE" w14:textId="77777777" w:rsidR="00E46D05" w:rsidRPr="003F4995" w:rsidRDefault="00E46D05" w:rsidP="00AD7A2B">
      <w:pPr>
        <w:pStyle w:val="CEABullet-Level1"/>
        <w:rPr>
          <w:rFonts w:eastAsia="Calibri"/>
          <w:szCs w:val="17"/>
          <w:lang w:val="en"/>
        </w:rPr>
      </w:pPr>
      <w:r w:rsidRPr="003F4995">
        <w:rPr>
          <w:rFonts w:eastAsiaTheme="minorHAnsi" w:cs="Roboto-Black"/>
          <w:i/>
          <w:szCs w:val="17"/>
        </w:rPr>
        <w:t xml:space="preserve">Examination of how long-term investment risk can differ from short-term trading risks and how this </w:t>
      </w:r>
      <w:r w:rsidRPr="003F4995">
        <w:rPr>
          <w:rFonts w:eastAsia="Calibri"/>
          <w:i/>
          <w:szCs w:val="17"/>
          <w:lang w:val="en"/>
        </w:rPr>
        <w:t>difference can be reflected in solvency capital charges”</w:t>
      </w:r>
    </w:p>
    <w:p w14:paraId="107619CB" w14:textId="77777777" w:rsidR="00B02E37" w:rsidRPr="003F4995" w:rsidRDefault="00B02E37" w:rsidP="00AD7A2B">
      <w:pPr>
        <w:pStyle w:val="CEABullet-Level1"/>
        <w:numPr>
          <w:ilvl w:val="0"/>
          <w:numId w:val="0"/>
        </w:numPr>
        <w:ind w:left="720"/>
        <w:rPr>
          <w:b/>
          <w:szCs w:val="17"/>
        </w:rPr>
      </w:pPr>
    </w:p>
    <w:p w14:paraId="1C851808" w14:textId="77777777" w:rsidR="00B02E37" w:rsidRPr="003F4995" w:rsidRDefault="00B02E37" w:rsidP="00AD7A2B">
      <w:pPr>
        <w:pStyle w:val="CEABullet-Level1"/>
        <w:numPr>
          <w:ilvl w:val="0"/>
          <w:numId w:val="0"/>
        </w:numPr>
        <w:ind w:left="720"/>
        <w:rPr>
          <w:b/>
          <w:szCs w:val="17"/>
        </w:rPr>
      </w:pPr>
    </w:p>
    <w:p w14:paraId="40E50990" w14:textId="77777777" w:rsidR="00E46D05" w:rsidRPr="003F4995" w:rsidRDefault="00E46D05" w:rsidP="00AA0BE2">
      <w:pPr>
        <w:pStyle w:val="CEABullet-Level1"/>
        <w:numPr>
          <w:ilvl w:val="0"/>
          <w:numId w:val="0"/>
        </w:numPr>
        <w:spacing w:after="240"/>
        <w:rPr>
          <w:b/>
          <w:szCs w:val="17"/>
        </w:rPr>
      </w:pPr>
      <w:r w:rsidRPr="003F4995">
        <w:rPr>
          <w:b/>
          <w:szCs w:val="17"/>
        </w:rPr>
        <w:t>Unlisted equity (with reference to Articles 168 (a) and 171a)</w:t>
      </w:r>
    </w:p>
    <w:p w14:paraId="53288A72" w14:textId="77777777" w:rsidR="00E46D05" w:rsidRPr="003F4995" w:rsidRDefault="00E46D05" w:rsidP="00AD7A2B">
      <w:pPr>
        <w:spacing w:after="120"/>
        <w:rPr>
          <w:rFonts w:eastAsia="Calibri"/>
          <w:sz w:val="17"/>
          <w:szCs w:val="17"/>
          <w:lang w:val="en-US"/>
        </w:rPr>
      </w:pPr>
      <w:r w:rsidRPr="003F4995">
        <w:rPr>
          <w:sz w:val="17"/>
          <w:szCs w:val="17"/>
        </w:rPr>
        <w:t xml:space="preserve">Overall, </w:t>
      </w:r>
      <w:r w:rsidRPr="003F4995">
        <w:rPr>
          <w:rFonts w:eastAsia="Calibri"/>
          <w:sz w:val="17"/>
          <w:szCs w:val="17"/>
          <w:lang w:val="en-US"/>
        </w:rPr>
        <w:t xml:space="preserve">Insurance Europe welcomes the EC work aimed at providing a more appropriate capital treatment for unrated equity that can receive, as a proxy, the same capital treatment as listed equity, should a set of criteria be met. </w:t>
      </w:r>
    </w:p>
    <w:p w14:paraId="55541B25" w14:textId="77777777" w:rsidR="00E46D05" w:rsidRPr="003F4995" w:rsidRDefault="00E46D05" w:rsidP="00AD7A2B">
      <w:pPr>
        <w:spacing w:after="120"/>
        <w:rPr>
          <w:rFonts w:eastAsia="Calibri"/>
          <w:sz w:val="17"/>
          <w:szCs w:val="17"/>
          <w:lang w:val="en-US"/>
        </w:rPr>
      </w:pPr>
      <w:r w:rsidRPr="003F4995">
        <w:rPr>
          <w:rFonts w:eastAsia="Calibri"/>
          <w:sz w:val="17"/>
          <w:szCs w:val="17"/>
          <w:lang w:val="en-US"/>
        </w:rPr>
        <w:t>Unrated equity represents not only an important investment asset for the industry, but also a key source of funding in Europe. The industry therefore welcomes steps by the Commission aimed at removing barriers to investment in assets that are key for European growth and also at the center of the CMU project and its objectives.</w:t>
      </w:r>
    </w:p>
    <w:p w14:paraId="16A22B38" w14:textId="77777777" w:rsidR="00E46D05" w:rsidRPr="003F4995" w:rsidRDefault="00E46D05" w:rsidP="00E10FA5">
      <w:pPr>
        <w:pStyle w:val="CEABullet-Level1"/>
        <w:numPr>
          <w:ilvl w:val="0"/>
          <w:numId w:val="0"/>
        </w:numPr>
        <w:rPr>
          <w:rFonts w:eastAsia="Calibri" w:cs="Times New Roman"/>
          <w:szCs w:val="17"/>
          <w:lang w:val="en-US"/>
        </w:rPr>
      </w:pPr>
      <w:r w:rsidRPr="003F4995">
        <w:rPr>
          <w:rFonts w:eastAsia="Calibri"/>
          <w:szCs w:val="17"/>
          <w:lang w:val="en-US"/>
        </w:rPr>
        <w:t xml:space="preserve">While the proposal may work for insurers who invest directly in equity, it is significantly burdensome for </w:t>
      </w:r>
      <w:r w:rsidRPr="003F4995">
        <w:rPr>
          <w:rFonts w:eastAsia="Calibri" w:cs="Times New Roman"/>
          <w:szCs w:val="17"/>
          <w:lang w:val="en-US"/>
        </w:rPr>
        <w:t xml:space="preserve">insurers who invest in equity via funds. </w:t>
      </w:r>
    </w:p>
    <w:p w14:paraId="4E21C9A4" w14:textId="77777777" w:rsidR="00E10FA5" w:rsidRPr="003F4995" w:rsidRDefault="00E10FA5" w:rsidP="00E10FA5">
      <w:pPr>
        <w:pStyle w:val="CEABullet-Level1"/>
        <w:numPr>
          <w:ilvl w:val="0"/>
          <w:numId w:val="0"/>
        </w:numPr>
        <w:rPr>
          <w:rFonts w:eastAsia="Calibri" w:cs="Times New Roman"/>
          <w:szCs w:val="17"/>
          <w:lang w:val="en-US"/>
        </w:rPr>
      </w:pPr>
    </w:p>
    <w:p w14:paraId="6660AF79" w14:textId="77777777" w:rsidR="00E46D05" w:rsidRPr="003F4995" w:rsidRDefault="00E46D05" w:rsidP="00E10FA5">
      <w:pPr>
        <w:pStyle w:val="CEABullet-Level1"/>
        <w:numPr>
          <w:ilvl w:val="0"/>
          <w:numId w:val="0"/>
        </w:numPr>
        <w:rPr>
          <w:rFonts w:eastAsia="Calibri"/>
          <w:szCs w:val="17"/>
          <w:lang w:val="en-US"/>
        </w:rPr>
      </w:pPr>
      <w:r w:rsidRPr="003F4995">
        <w:rPr>
          <w:rFonts w:eastAsia="Calibri" w:cs="Times New Roman"/>
          <w:szCs w:val="17"/>
          <w:lang w:val="en-US"/>
        </w:rPr>
        <w:t>On</w:t>
      </w:r>
      <w:r w:rsidRPr="003F4995">
        <w:rPr>
          <w:rFonts w:eastAsia="Calibri"/>
          <w:szCs w:val="17"/>
          <w:lang w:val="en-US"/>
        </w:rPr>
        <w:t xml:space="preserve"> the </w:t>
      </w:r>
      <w:r w:rsidRPr="003F4995">
        <w:rPr>
          <w:rFonts w:eastAsia="Calibri"/>
          <w:szCs w:val="17"/>
          <w:u w:val="single"/>
          <w:lang w:val="en-US"/>
        </w:rPr>
        <w:t>positive</w:t>
      </w:r>
      <w:r w:rsidRPr="003F4995">
        <w:rPr>
          <w:rFonts w:eastAsia="Calibri"/>
          <w:szCs w:val="17"/>
          <w:lang w:val="en-US"/>
        </w:rPr>
        <w:t xml:space="preserve"> side:</w:t>
      </w:r>
    </w:p>
    <w:p w14:paraId="2638B4A3" w14:textId="4663010B" w:rsidR="00E46D05" w:rsidRPr="003F4995" w:rsidRDefault="00E46D05" w:rsidP="00AD7A2B">
      <w:pPr>
        <w:pStyle w:val="CEABullet-Level1"/>
        <w:rPr>
          <w:rFonts w:eastAsia="Calibri"/>
          <w:szCs w:val="17"/>
          <w:lang w:val="en-US"/>
        </w:rPr>
      </w:pPr>
      <w:r w:rsidRPr="003F4995">
        <w:rPr>
          <w:rFonts w:eastAsia="Calibri"/>
          <w:szCs w:val="17"/>
          <w:lang w:val="en-US"/>
        </w:rPr>
        <w:t>Insurance Europe broadly welcomes the proposed criteria, and in particular appreciates that the Commission did not fully follow EIOPA’s advice in this area, which would have actually made the entire proposal now worka</w:t>
      </w:r>
      <w:r w:rsidR="00E10FA5" w:rsidRPr="003F4995">
        <w:rPr>
          <w:rFonts w:eastAsia="Calibri"/>
          <w:szCs w:val="17"/>
          <w:lang w:val="en-US"/>
        </w:rPr>
        <w:t>ble/not applicable in practice.</w:t>
      </w:r>
    </w:p>
    <w:p w14:paraId="1B9F3939" w14:textId="77777777" w:rsidR="00E10FA5" w:rsidRPr="003F4995" w:rsidRDefault="00E10FA5" w:rsidP="00E10FA5">
      <w:pPr>
        <w:pStyle w:val="CEABullet-Level1"/>
        <w:numPr>
          <w:ilvl w:val="0"/>
          <w:numId w:val="0"/>
        </w:numPr>
        <w:rPr>
          <w:rFonts w:eastAsia="Calibri" w:cs="Times New Roman"/>
          <w:szCs w:val="17"/>
          <w:lang w:val="en-US"/>
        </w:rPr>
      </w:pPr>
    </w:p>
    <w:p w14:paraId="68769878" w14:textId="77777777" w:rsidR="00E46D05" w:rsidRPr="003F4995" w:rsidRDefault="00E46D05" w:rsidP="00E10FA5">
      <w:pPr>
        <w:pStyle w:val="CEABullet-Level1"/>
        <w:numPr>
          <w:ilvl w:val="0"/>
          <w:numId w:val="0"/>
        </w:numPr>
        <w:rPr>
          <w:rFonts w:eastAsia="Calibri"/>
          <w:szCs w:val="17"/>
          <w:lang w:val="en-US"/>
        </w:rPr>
      </w:pPr>
      <w:r w:rsidRPr="003F4995">
        <w:rPr>
          <w:rFonts w:eastAsia="Calibri" w:cs="Times New Roman"/>
          <w:szCs w:val="17"/>
          <w:lang w:val="en-US"/>
        </w:rPr>
        <w:t>On the</w:t>
      </w:r>
      <w:r w:rsidRPr="003F4995">
        <w:rPr>
          <w:rFonts w:eastAsia="Calibri"/>
          <w:szCs w:val="17"/>
          <w:lang w:val="en-US"/>
        </w:rPr>
        <w:t xml:space="preserve"> </w:t>
      </w:r>
      <w:r w:rsidRPr="003F4995">
        <w:rPr>
          <w:rFonts w:eastAsia="Calibri"/>
          <w:szCs w:val="17"/>
          <w:u w:val="single"/>
          <w:lang w:val="en-US"/>
        </w:rPr>
        <w:t>negative</w:t>
      </w:r>
      <w:r w:rsidRPr="003F4995">
        <w:rPr>
          <w:rFonts w:eastAsia="Calibri"/>
          <w:szCs w:val="17"/>
          <w:lang w:val="en-US"/>
        </w:rPr>
        <w:t xml:space="preserve"> side, Insurance Europe highlights that:</w:t>
      </w:r>
    </w:p>
    <w:p w14:paraId="28C429D5" w14:textId="77777777" w:rsidR="00E46D05" w:rsidRPr="003F4995" w:rsidRDefault="00E46D05" w:rsidP="00AD7A2B">
      <w:pPr>
        <w:pStyle w:val="CEABullet-Level1"/>
        <w:rPr>
          <w:rFonts w:eastAsia="Calibri"/>
          <w:szCs w:val="17"/>
          <w:u w:val="single"/>
          <w:lang w:val="en-US"/>
        </w:rPr>
      </w:pPr>
      <w:r w:rsidRPr="003F4995">
        <w:rPr>
          <w:rFonts w:eastAsia="Calibri"/>
          <w:szCs w:val="17"/>
          <w:lang w:val="en"/>
        </w:rPr>
        <w:t>T</w:t>
      </w:r>
      <w:r w:rsidRPr="003F4995">
        <w:rPr>
          <w:rFonts w:eastAsia="Calibri"/>
          <w:color w:val="212121"/>
          <w:szCs w:val="17"/>
          <w:lang w:val="en"/>
        </w:rPr>
        <w:t xml:space="preserve">he marginal impact of the capital reduction remains limited. The Commission should envisage more ambitious steps on reviewing the capital treatment of equity in general. </w:t>
      </w:r>
    </w:p>
    <w:p w14:paraId="08859BFC" w14:textId="77777777" w:rsidR="00E46D05" w:rsidRPr="003F4995" w:rsidRDefault="00E46D05" w:rsidP="00AD7A2B">
      <w:pPr>
        <w:pStyle w:val="CEABullet-Level1"/>
        <w:numPr>
          <w:ilvl w:val="0"/>
          <w:numId w:val="0"/>
        </w:numPr>
        <w:rPr>
          <w:b/>
          <w:szCs w:val="17"/>
        </w:rPr>
      </w:pPr>
    </w:p>
    <w:p w14:paraId="116E8413" w14:textId="77777777" w:rsidR="00AD7A2B" w:rsidRPr="003F4995" w:rsidRDefault="00AD7A2B" w:rsidP="00AD7A2B">
      <w:pPr>
        <w:pStyle w:val="CEABullet-Level1"/>
        <w:numPr>
          <w:ilvl w:val="0"/>
          <w:numId w:val="0"/>
        </w:numPr>
        <w:rPr>
          <w:b/>
          <w:szCs w:val="17"/>
        </w:rPr>
      </w:pPr>
    </w:p>
    <w:p w14:paraId="08BDD097" w14:textId="77777777" w:rsidR="00E46D05" w:rsidRPr="003F4995" w:rsidRDefault="00E46D05" w:rsidP="00AA0BE2">
      <w:pPr>
        <w:pStyle w:val="CEABullet-Level1"/>
        <w:numPr>
          <w:ilvl w:val="0"/>
          <w:numId w:val="0"/>
        </w:numPr>
        <w:spacing w:after="240"/>
        <w:rPr>
          <w:b/>
          <w:szCs w:val="17"/>
        </w:rPr>
      </w:pPr>
      <w:r w:rsidRPr="003F4995">
        <w:rPr>
          <w:b/>
          <w:szCs w:val="17"/>
        </w:rPr>
        <w:t>Long-term equity investments (with reference to Art 169, 171a)</w:t>
      </w:r>
    </w:p>
    <w:p w14:paraId="6749C82B" w14:textId="77777777" w:rsidR="00E46D05" w:rsidRPr="003F4995" w:rsidRDefault="00E46D05" w:rsidP="00AD7A2B">
      <w:pPr>
        <w:pStyle w:val="CEABullet-Level1"/>
        <w:numPr>
          <w:ilvl w:val="0"/>
          <w:numId w:val="0"/>
        </w:numPr>
        <w:rPr>
          <w:szCs w:val="17"/>
        </w:rPr>
      </w:pPr>
      <w:r w:rsidRPr="003F4995">
        <w:rPr>
          <w:szCs w:val="17"/>
        </w:rPr>
        <w:t>Insurance Europe appreciates recognition by the European Commission that action is needed to review the capital treatment of long-term equity investments in Solvency II. It further notes and welcomes that the three key European institutions (EC, EP and Council) appear to be aligned on the view that barriers to long-term equity investment need to be addressed, while maintaining the risk-based nature of Solvency II.</w:t>
      </w:r>
    </w:p>
    <w:p w14:paraId="1490F676" w14:textId="77777777" w:rsidR="00E46D05" w:rsidRPr="003F4995" w:rsidRDefault="00E46D05" w:rsidP="00AD7A2B">
      <w:pPr>
        <w:pStyle w:val="CEABullet-Level1"/>
        <w:numPr>
          <w:ilvl w:val="0"/>
          <w:numId w:val="0"/>
        </w:numPr>
        <w:rPr>
          <w:szCs w:val="17"/>
        </w:rPr>
      </w:pPr>
    </w:p>
    <w:p w14:paraId="184BC25E" w14:textId="77777777" w:rsidR="00E46D05" w:rsidRPr="003F4995" w:rsidRDefault="00E46D05" w:rsidP="00AD7A2B">
      <w:pPr>
        <w:pStyle w:val="CEABullet-Level1"/>
        <w:numPr>
          <w:ilvl w:val="0"/>
          <w:numId w:val="0"/>
        </w:numPr>
        <w:rPr>
          <w:szCs w:val="17"/>
        </w:rPr>
      </w:pPr>
      <w:r w:rsidRPr="003F4995">
        <w:rPr>
          <w:szCs w:val="17"/>
        </w:rPr>
        <w:t xml:space="preserve">However, Insurance Europe believes that the technical proposal will not work in practice for any undertaking because of the way in which the criteria are defined. In particular, the following elements in the current proposal are preventing it from producing any impact in practice: </w:t>
      </w:r>
    </w:p>
    <w:p w14:paraId="2D6C5E26" w14:textId="77777777" w:rsidR="00E46D05" w:rsidRPr="003F4995" w:rsidRDefault="00E46D05" w:rsidP="00AD7A2B">
      <w:pPr>
        <w:pStyle w:val="CEABullet-Level1"/>
        <w:rPr>
          <w:szCs w:val="17"/>
        </w:rPr>
      </w:pPr>
      <w:r w:rsidRPr="003F4995">
        <w:rPr>
          <w:szCs w:val="17"/>
        </w:rPr>
        <w:t>The ring-fencing obligation is a clear disincentive from applying this proposal, as it would lead to loss of diversification, which is key to an overall portfolio risk assessment. This requirement is not needed and should be removed.</w:t>
      </w:r>
    </w:p>
    <w:p w14:paraId="3164B504" w14:textId="77777777" w:rsidR="00E46D05" w:rsidRPr="003F4995" w:rsidRDefault="00E46D05" w:rsidP="00AD7A2B">
      <w:pPr>
        <w:pStyle w:val="CEABullet-Level1"/>
        <w:rPr>
          <w:szCs w:val="17"/>
        </w:rPr>
      </w:pPr>
      <w:r w:rsidRPr="003F4995">
        <w:rPr>
          <w:szCs w:val="17"/>
        </w:rPr>
        <w:t xml:space="preserve">The 12 years duration/ limitation is misleading and not justified. In fact, while the Commission indicates its intention to take steps for long-term investment, it proposes an extremely narrow perspective on how a long-term equity investment could be identified. </w:t>
      </w:r>
    </w:p>
    <w:p w14:paraId="7F8132CA" w14:textId="77777777" w:rsidR="00E46D05" w:rsidRPr="003F4995" w:rsidRDefault="00E46D05" w:rsidP="00AD7A2B">
      <w:pPr>
        <w:pStyle w:val="CEABullet-Level1"/>
        <w:rPr>
          <w:szCs w:val="17"/>
        </w:rPr>
      </w:pPr>
      <w:r w:rsidRPr="003F4995">
        <w:rPr>
          <w:szCs w:val="17"/>
        </w:rPr>
        <w:t>Furthermore, the requirement that the holding period of assets is higher than that of liabilities does not make sense, as it suggests comparing a retrospective parameter (ie holding period of assets) with a prospective one (ie current duration of future liabilities).</w:t>
      </w:r>
    </w:p>
    <w:p w14:paraId="1A867582" w14:textId="77777777" w:rsidR="00E46D05" w:rsidRPr="003F4995" w:rsidRDefault="00E46D05" w:rsidP="00AD7A2B">
      <w:pPr>
        <w:pStyle w:val="CEABullet-Level1"/>
        <w:rPr>
          <w:szCs w:val="17"/>
        </w:rPr>
      </w:pPr>
      <w:r w:rsidRPr="003F4995">
        <w:rPr>
          <w:szCs w:val="17"/>
        </w:rPr>
        <w:t>The limitation to EEA countries is not consistent with other similar provisions in Solvency II, which refer to OECD countries.</w:t>
      </w:r>
    </w:p>
    <w:p w14:paraId="3356B519" w14:textId="77777777" w:rsidR="00E46D05" w:rsidRPr="003F4995" w:rsidRDefault="00E46D05" w:rsidP="00AD7A2B">
      <w:pPr>
        <w:pStyle w:val="CEABullet-Level1"/>
        <w:numPr>
          <w:ilvl w:val="0"/>
          <w:numId w:val="0"/>
        </w:numPr>
        <w:rPr>
          <w:szCs w:val="17"/>
        </w:rPr>
      </w:pPr>
    </w:p>
    <w:p w14:paraId="206E54C1" w14:textId="77777777" w:rsidR="00E46D05" w:rsidRPr="003F4995" w:rsidRDefault="00E46D05" w:rsidP="00AD7A2B">
      <w:pPr>
        <w:pStyle w:val="CEABullet-Level1"/>
        <w:numPr>
          <w:ilvl w:val="0"/>
          <w:numId w:val="0"/>
        </w:numPr>
        <w:rPr>
          <w:szCs w:val="17"/>
        </w:rPr>
      </w:pPr>
      <w:r w:rsidRPr="003F4995">
        <w:rPr>
          <w:szCs w:val="17"/>
        </w:rPr>
        <w:t xml:space="preserve">Insurance Europe therefore argues that the current proposal would not work in practice and calls on the EC to present its impact assessment of this proposal and present its analysis on the practical applicability of the new equity bucket and ultimate impact on capital requirements. </w:t>
      </w:r>
    </w:p>
    <w:p w14:paraId="43B62D54" w14:textId="77777777" w:rsidR="00E46D05" w:rsidRPr="003F4995" w:rsidRDefault="00E46D05" w:rsidP="00AD7A2B">
      <w:pPr>
        <w:pStyle w:val="CEABullet-Level1"/>
        <w:numPr>
          <w:ilvl w:val="0"/>
          <w:numId w:val="0"/>
        </w:numPr>
        <w:rPr>
          <w:szCs w:val="17"/>
        </w:rPr>
      </w:pPr>
    </w:p>
    <w:p w14:paraId="3EF5D8B7" w14:textId="77777777" w:rsidR="00E46D05" w:rsidRPr="003F4995" w:rsidRDefault="00E46D05" w:rsidP="00AD7A2B">
      <w:pPr>
        <w:pStyle w:val="CEABullet-Level1"/>
        <w:numPr>
          <w:ilvl w:val="0"/>
          <w:numId w:val="0"/>
        </w:numPr>
        <w:rPr>
          <w:szCs w:val="17"/>
          <w:highlight w:val="yellow"/>
        </w:rPr>
      </w:pPr>
      <w:r w:rsidRPr="003F4995">
        <w:rPr>
          <w:szCs w:val="17"/>
        </w:rPr>
        <w:t xml:space="preserve">The European insurance industry calls on the EC to make changes to its proposal, as follows: </w:t>
      </w:r>
      <w:commentRangeStart w:id="5"/>
      <w:r w:rsidRPr="003F4995">
        <w:rPr>
          <w:szCs w:val="17"/>
          <w:highlight w:val="yellow"/>
        </w:rPr>
        <w:t>xxx</w:t>
      </w:r>
      <w:commentRangeEnd w:id="5"/>
      <w:r w:rsidRPr="003F4995">
        <w:rPr>
          <w:rStyle w:val="Odkaznakomentr"/>
          <w:rFonts w:cs="Times New Roman"/>
          <w:color w:val="auto"/>
          <w:sz w:val="17"/>
          <w:szCs w:val="17"/>
        </w:rPr>
        <w:commentReference w:id="5"/>
      </w:r>
    </w:p>
    <w:p w14:paraId="7887BF37" w14:textId="77777777" w:rsidR="00E46D05" w:rsidRPr="003F4995" w:rsidRDefault="00E46D05" w:rsidP="00AD7A2B">
      <w:pPr>
        <w:pStyle w:val="CEABullet-Level1"/>
        <w:numPr>
          <w:ilvl w:val="0"/>
          <w:numId w:val="0"/>
        </w:numPr>
        <w:rPr>
          <w:b/>
          <w:szCs w:val="17"/>
        </w:rPr>
      </w:pPr>
    </w:p>
    <w:p w14:paraId="0ABF9FEA" w14:textId="77777777" w:rsidR="00E46D05" w:rsidRPr="003F4995" w:rsidRDefault="00E46D05" w:rsidP="00AD7A2B">
      <w:pPr>
        <w:pStyle w:val="CEABullet-Level1"/>
        <w:numPr>
          <w:ilvl w:val="0"/>
          <w:numId w:val="0"/>
        </w:numPr>
        <w:rPr>
          <w:b/>
          <w:szCs w:val="17"/>
        </w:rPr>
      </w:pPr>
    </w:p>
    <w:p w14:paraId="74667C17" w14:textId="77777777" w:rsidR="00E46D05" w:rsidRPr="003F4995" w:rsidRDefault="00E46D05" w:rsidP="00AA0BE2">
      <w:pPr>
        <w:pStyle w:val="CEABullet-Level1"/>
        <w:numPr>
          <w:ilvl w:val="0"/>
          <w:numId w:val="0"/>
        </w:numPr>
        <w:spacing w:after="240"/>
        <w:rPr>
          <w:b/>
          <w:szCs w:val="17"/>
        </w:rPr>
      </w:pPr>
      <w:r w:rsidRPr="003F4995">
        <w:rPr>
          <w:b/>
          <w:szCs w:val="17"/>
        </w:rPr>
        <w:t>Simplification of counterparty default risk (with reference to Articles 110, 111(a), 112(a) and 112(b))</w:t>
      </w:r>
    </w:p>
    <w:p w14:paraId="74109A00" w14:textId="77777777" w:rsidR="00E46D05" w:rsidRPr="003F4995" w:rsidRDefault="00E46D05" w:rsidP="00AD7A2B">
      <w:pPr>
        <w:pStyle w:val="CEABullet-Level1"/>
        <w:numPr>
          <w:ilvl w:val="0"/>
          <w:numId w:val="0"/>
        </w:numPr>
        <w:rPr>
          <w:rFonts w:eastAsia="Calibri" w:cs="Times New Roman"/>
          <w:szCs w:val="17"/>
          <w:lang w:val="en-US"/>
        </w:rPr>
      </w:pPr>
      <w:r w:rsidRPr="003F4995">
        <w:rPr>
          <w:rFonts w:eastAsia="Calibri" w:cs="Times New Roman"/>
          <w:szCs w:val="17"/>
          <w:lang w:val="en-US"/>
        </w:rPr>
        <w:t xml:space="preserve">Insurance Europe welcomes the Commission’s proposals for the enhancement of existing simplified calculations and the inclusion of three new simplified calculations for the counterparty default risk submodule. </w:t>
      </w:r>
    </w:p>
    <w:p w14:paraId="3BF0E1F2" w14:textId="77777777" w:rsidR="00E46D05" w:rsidRPr="003F4995" w:rsidRDefault="00E46D05" w:rsidP="00AD7A2B">
      <w:pPr>
        <w:pStyle w:val="CEABullet-Level1"/>
        <w:numPr>
          <w:ilvl w:val="0"/>
          <w:numId w:val="0"/>
        </w:numPr>
        <w:rPr>
          <w:rFonts w:eastAsia="Calibri" w:cs="Times New Roman"/>
          <w:szCs w:val="17"/>
          <w:lang w:val="en-US"/>
        </w:rPr>
      </w:pPr>
    </w:p>
    <w:p w14:paraId="2318C2C7" w14:textId="77777777" w:rsidR="00E46D05" w:rsidRPr="003F4995" w:rsidRDefault="00E46D05" w:rsidP="00AD7A2B">
      <w:pPr>
        <w:pStyle w:val="CEABullet-Level1"/>
        <w:numPr>
          <w:ilvl w:val="0"/>
          <w:numId w:val="0"/>
        </w:numPr>
        <w:rPr>
          <w:rFonts w:eastAsia="Calibri" w:cs="Times New Roman"/>
          <w:szCs w:val="17"/>
          <w:lang w:val="en-US"/>
        </w:rPr>
      </w:pPr>
      <w:r w:rsidRPr="003F4995">
        <w:rPr>
          <w:rFonts w:eastAsia="Calibri" w:cs="Times New Roman"/>
          <w:szCs w:val="17"/>
          <w:lang w:val="en-US"/>
        </w:rPr>
        <w:t xml:space="preserve">On the </w:t>
      </w:r>
      <w:r w:rsidRPr="003F4995">
        <w:rPr>
          <w:rFonts w:eastAsia="Calibri" w:cs="Times New Roman"/>
          <w:szCs w:val="17"/>
          <w:u w:val="single"/>
          <w:lang w:val="en-US"/>
        </w:rPr>
        <w:t>positive</w:t>
      </w:r>
      <w:r w:rsidRPr="003F4995">
        <w:rPr>
          <w:rFonts w:eastAsia="Calibri" w:cs="Times New Roman"/>
          <w:szCs w:val="17"/>
          <w:lang w:val="en-US"/>
        </w:rPr>
        <w:t xml:space="preserve"> side:</w:t>
      </w:r>
    </w:p>
    <w:p w14:paraId="07F5192C" w14:textId="77777777" w:rsidR="00E46D05" w:rsidRPr="003F4995" w:rsidRDefault="00E46D05" w:rsidP="00AD7A2B">
      <w:pPr>
        <w:pStyle w:val="CEABullet-Level1"/>
        <w:rPr>
          <w:rFonts w:eastAsia="Calibri" w:cs="Times New Roman"/>
          <w:szCs w:val="17"/>
          <w:lang w:val="en-US"/>
        </w:rPr>
      </w:pPr>
      <w:r w:rsidRPr="003F4995">
        <w:rPr>
          <w:rFonts w:eastAsia="Calibri" w:cs="Times New Roman"/>
          <w:szCs w:val="17"/>
          <w:lang w:val="en-US"/>
        </w:rPr>
        <w:t>The enhancement and extension of available simplified calculations is welcome. These could reduce the calculation burden for some insurers and could be used to address some of the known issues with the existing formulae in Article 200.</w:t>
      </w:r>
    </w:p>
    <w:p w14:paraId="60D36E65" w14:textId="77777777" w:rsidR="00E46D05" w:rsidRPr="003F4995" w:rsidRDefault="00E46D05" w:rsidP="00AD7A2B">
      <w:pPr>
        <w:pStyle w:val="CEABullet-Level1"/>
        <w:numPr>
          <w:ilvl w:val="0"/>
          <w:numId w:val="0"/>
        </w:numPr>
        <w:rPr>
          <w:rFonts w:eastAsia="Calibri" w:cs="Times New Roman"/>
          <w:szCs w:val="17"/>
          <w:lang w:val="en-US"/>
        </w:rPr>
      </w:pPr>
    </w:p>
    <w:p w14:paraId="2A3F087C" w14:textId="77777777" w:rsidR="00E46D05" w:rsidRPr="003F4995" w:rsidRDefault="00E46D05" w:rsidP="00AD7A2B">
      <w:pPr>
        <w:pStyle w:val="CEABullet-Level1"/>
        <w:numPr>
          <w:ilvl w:val="0"/>
          <w:numId w:val="0"/>
        </w:numPr>
        <w:rPr>
          <w:rFonts w:eastAsia="Calibri" w:cs="Times New Roman"/>
          <w:szCs w:val="17"/>
          <w:lang w:val="en-US"/>
        </w:rPr>
      </w:pPr>
      <w:r w:rsidRPr="003F4995">
        <w:rPr>
          <w:rFonts w:eastAsia="Calibri" w:cs="Times New Roman"/>
          <w:szCs w:val="17"/>
          <w:lang w:val="en-US"/>
        </w:rPr>
        <w:t xml:space="preserve">On the </w:t>
      </w:r>
      <w:r w:rsidRPr="003F4995">
        <w:rPr>
          <w:rFonts w:eastAsia="Calibri" w:cs="Times New Roman"/>
          <w:szCs w:val="17"/>
          <w:u w:val="single"/>
          <w:lang w:val="en-US"/>
        </w:rPr>
        <w:t>negative</w:t>
      </w:r>
      <w:r w:rsidRPr="003F4995">
        <w:rPr>
          <w:rFonts w:eastAsia="Calibri" w:cs="Times New Roman"/>
          <w:szCs w:val="17"/>
          <w:lang w:val="en-US"/>
        </w:rPr>
        <w:t xml:space="preserve"> side:</w:t>
      </w:r>
    </w:p>
    <w:p w14:paraId="4F35572F" w14:textId="77777777" w:rsidR="00E46D05" w:rsidRPr="003F4995" w:rsidRDefault="00E46D05" w:rsidP="00AD7A2B">
      <w:pPr>
        <w:pStyle w:val="CEABullet-Level1"/>
        <w:rPr>
          <w:rFonts w:eastAsia="Calibri" w:cs="Times New Roman"/>
          <w:szCs w:val="17"/>
          <w:lang w:val="en-US"/>
        </w:rPr>
      </w:pPr>
      <w:r w:rsidRPr="003F4995">
        <w:rPr>
          <w:rFonts w:eastAsia="Calibri" w:cs="Times New Roman"/>
          <w:szCs w:val="17"/>
          <w:lang w:val="en-US"/>
        </w:rPr>
        <w:t xml:space="preserve">The newly proposed simplification for Article 192 (2) and for Type 1 exposures in Article 200 result in </w:t>
      </w:r>
      <w:r w:rsidRPr="003F4995">
        <w:rPr>
          <w:szCs w:val="17"/>
        </w:rPr>
        <w:t>additional unjustified prudence being introduced into the calculations which may restrict their use by</w:t>
      </w:r>
      <w:r w:rsidRPr="003F4995">
        <w:rPr>
          <w:rFonts w:eastAsia="Calibri" w:cs="Times New Roman"/>
          <w:szCs w:val="17"/>
          <w:lang w:val="en-US"/>
        </w:rPr>
        <w:t xml:space="preserve"> undertakings.</w:t>
      </w:r>
    </w:p>
    <w:p w14:paraId="4C5E939E" w14:textId="77777777" w:rsidR="00E46D05" w:rsidRPr="003F4995" w:rsidRDefault="00E46D05" w:rsidP="00AD7A2B">
      <w:pPr>
        <w:pStyle w:val="CEABullet-Level1"/>
        <w:rPr>
          <w:rFonts w:eastAsia="Calibri" w:cs="Times New Roman"/>
          <w:szCs w:val="17"/>
          <w:lang w:val="en-US"/>
        </w:rPr>
      </w:pPr>
      <w:r w:rsidRPr="003F4995">
        <w:rPr>
          <w:rFonts w:eastAsia="Calibri" w:cs="Times New Roman"/>
          <w:szCs w:val="17"/>
          <w:lang w:val="en-US"/>
        </w:rPr>
        <w:t xml:space="preserve">Insurance Europe is disappointed that, despite the evidence showing that the counterparty default risk is the most burdensome to complete relative the capital requirement, the Commission did not propose more comprehensive simplifications to the structure of the submodule, as foreseen in its Call for Advice to EIOPA. </w:t>
      </w:r>
    </w:p>
    <w:p w14:paraId="635203AA" w14:textId="77777777" w:rsidR="00E46D05" w:rsidRPr="003F4995" w:rsidRDefault="00E46D05" w:rsidP="00AD7A2B">
      <w:pPr>
        <w:pStyle w:val="CEABullet-Level1"/>
        <w:numPr>
          <w:ilvl w:val="0"/>
          <w:numId w:val="0"/>
        </w:numPr>
        <w:rPr>
          <w:szCs w:val="17"/>
        </w:rPr>
      </w:pPr>
    </w:p>
    <w:p w14:paraId="5C6386D8" w14:textId="77777777" w:rsidR="00E46D05" w:rsidRPr="003F4995" w:rsidRDefault="00E46D05" w:rsidP="00AD7A2B">
      <w:pPr>
        <w:pStyle w:val="CEABullet-Level1"/>
        <w:numPr>
          <w:ilvl w:val="0"/>
          <w:numId w:val="0"/>
        </w:numPr>
        <w:rPr>
          <w:szCs w:val="17"/>
        </w:rPr>
      </w:pPr>
      <w:r w:rsidRPr="003F4995">
        <w:rPr>
          <w:szCs w:val="17"/>
        </w:rPr>
        <w:t xml:space="preserve">Insurance Europe </w:t>
      </w:r>
      <w:r w:rsidRPr="003F4995">
        <w:rPr>
          <w:b/>
          <w:szCs w:val="17"/>
          <w:u w:val="single"/>
        </w:rPr>
        <w:t>highlights</w:t>
      </w:r>
      <w:r w:rsidRPr="003F4995">
        <w:rPr>
          <w:szCs w:val="17"/>
        </w:rPr>
        <w:t xml:space="preserve"> the following typo in the draft regulation:</w:t>
      </w:r>
    </w:p>
    <w:p w14:paraId="7138F07F" w14:textId="77777777" w:rsidR="00E46D05" w:rsidRPr="003F4995" w:rsidRDefault="00E46D05" w:rsidP="00AD7A2B">
      <w:pPr>
        <w:pStyle w:val="CEABullet-Level1"/>
        <w:rPr>
          <w:szCs w:val="17"/>
        </w:rPr>
      </w:pPr>
      <w:r w:rsidRPr="003F4995">
        <w:rPr>
          <w:szCs w:val="17"/>
        </w:rPr>
        <w:t xml:space="preserve">“Section (50) – in Article 201 </w:t>
      </w:r>
      <w:r w:rsidRPr="003F4995">
        <w:rPr>
          <w:b/>
          <w:szCs w:val="17"/>
          <w:u w:val="single"/>
        </w:rPr>
        <w:t>(2)</w:t>
      </w:r>
      <w:r w:rsidRPr="003F4995">
        <w:rPr>
          <w:szCs w:val="17"/>
        </w:rPr>
        <w:t>, point (a) is replaced by……”</w:t>
      </w:r>
    </w:p>
    <w:p w14:paraId="32E2F52F" w14:textId="77777777" w:rsidR="00E46D05" w:rsidRPr="003F4995" w:rsidRDefault="00E46D05" w:rsidP="00AD7A2B">
      <w:pPr>
        <w:pStyle w:val="CEABullet-Level1"/>
        <w:numPr>
          <w:ilvl w:val="0"/>
          <w:numId w:val="0"/>
        </w:numPr>
        <w:rPr>
          <w:szCs w:val="17"/>
          <w:u w:val="single"/>
        </w:rPr>
      </w:pPr>
    </w:p>
    <w:p w14:paraId="47E4CE76" w14:textId="77777777" w:rsidR="00E46D05" w:rsidRPr="003F4995" w:rsidRDefault="00E46D05" w:rsidP="00AD7A2B">
      <w:pPr>
        <w:pStyle w:val="CEABullet-Level1"/>
        <w:numPr>
          <w:ilvl w:val="0"/>
          <w:numId w:val="0"/>
        </w:numPr>
        <w:rPr>
          <w:szCs w:val="17"/>
          <w:u w:val="single"/>
        </w:rPr>
      </w:pPr>
      <w:r w:rsidRPr="003F4995">
        <w:rPr>
          <w:szCs w:val="17"/>
          <w:u w:val="single"/>
        </w:rPr>
        <w:t>Looking ahead</w:t>
      </w:r>
    </w:p>
    <w:p w14:paraId="2FD15C29" w14:textId="77777777" w:rsidR="00E46D05" w:rsidRPr="003F4995" w:rsidRDefault="00E46D05" w:rsidP="00AD7A2B">
      <w:pPr>
        <w:pStyle w:val="CEABullet-Level1"/>
        <w:rPr>
          <w:szCs w:val="17"/>
        </w:rPr>
      </w:pPr>
      <w:r w:rsidRPr="003F4995">
        <w:rPr>
          <w:szCs w:val="17"/>
        </w:rPr>
        <w:t>The Commission and EIOPA should monitor the use of the available simplifications for the counterparty default risk submodule, and simplifications more generally, to assess if these are being used in practice.</w:t>
      </w:r>
    </w:p>
    <w:p w14:paraId="0DC95BD4" w14:textId="77777777" w:rsidR="00E46D05" w:rsidRPr="003F4995" w:rsidRDefault="00E46D05" w:rsidP="00AD7A2B">
      <w:pPr>
        <w:pStyle w:val="CEABullet-Level1"/>
        <w:rPr>
          <w:szCs w:val="17"/>
        </w:rPr>
      </w:pPr>
      <w:r w:rsidRPr="003F4995">
        <w:rPr>
          <w:szCs w:val="17"/>
        </w:rPr>
        <w:t xml:space="preserve">Insurance Europe encourages the Commission to be more ambitious in the application of the proportionality principle to seek to reduce unjustified complexity and remove unnecessary barriers. </w:t>
      </w:r>
    </w:p>
    <w:p w14:paraId="724DD63D" w14:textId="77777777" w:rsidR="00E46D05" w:rsidRPr="003F4995" w:rsidRDefault="00E46D05" w:rsidP="00AD7A2B">
      <w:pPr>
        <w:pStyle w:val="CEABullet-Level1"/>
        <w:numPr>
          <w:ilvl w:val="0"/>
          <w:numId w:val="0"/>
        </w:numPr>
        <w:rPr>
          <w:b/>
          <w:szCs w:val="17"/>
        </w:rPr>
      </w:pPr>
    </w:p>
    <w:p w14:paraId="2F20D8ED" w14:textId="77777777" w:rsidR="00E46D05" w:rsidRPr="003F4995" w:rsidRDefault="00E46D05" w:rsidP="00AD7A2B">
      <w:pPr>
        <w:pStyle w:val="CEABullet-Level1"/>
        <w:numPr>
          <w:ilvl w:val="0"/>
          <w:numId w:val="0"/>
        </w:numPr>
        <w:rPr>
          <w:b/>
          <w:szCs w:val="17"/>
        </w:rPr>
      </w:pPr>
    </w:p>
    <w:p w14:paraId="0D3D5EA1" w14:textId="24ADC005" w:rsidR="00E46D05" w:rsidRPr="00AA0BE2" w:rsidRDefault="00E46D05" w:rsidP="00AA0BE2">
      <w:pPr>
        <w:pStyle w:val="CEABullet-Level1"/>
        <w:numPr>
          <w:ilvl w:val="0"/>
          <w:numId w:val="0"/>
        </w:numPr>
        <w:spacing w:after="240"/>
        <w:rPr>
          <w:b/>
          <w:szCs w:val="17"/>
        </w:rPr>
      </w:pPr>
      <w:r w:rsidRPr="003F4995">
        <w:rPr>
          <w:b/>
          <w:szCs w:val="17"/>
        </w:rPr>
        <w:t>Treatment of exposures to CCPs and changes resulting from EMIR (with reference to Articles 1, 189, 192, 192a)</w:t>
      </w:r>
    </w:p>
    <w:p w14:paraId="0663F2ED" w14:textId="77777777" w:rsidR="00E46D05" w:rsidRPr="003F4995" w:rsidRDefault="00E46D05" w:rsidP="00AD7A2B">
      <w:pPr>
        <w:spacing w:after="120"/>
        <w:rPr>
          <w:rFonts w:eastAsia="Calibri"/>
          <w:color w:val="000000"/>
          <w:sz w:val="17"/>
          <w:szCs w:val="17"/>
          <w:lang w:val="en-US"/>
        </w:rPr>
      </w:pPr>
      <w:r w:rsidRPr="003F4995">
        <w:rPr>
          <w:rFonts w:eastAsia="Calibri"/>
          <w:color w:val="000000"/>
          <w:sz w:val="17"/>
          <w:szCs w:val="17"/>
          <w:lang w:val="en-US"/>
        </w:rPr>
        <w:t xml:space="preserve">Insurance Europe welcomes the Commission proposals aimed at better reflecting the post-EMIR derivatives regulatory environment in the calibration of the Solvency II capital requirements for derivative exposures. This is a good example of how targeted improvements can enhance the risk-based nature of the framework. </w:t>
      </w:r>
    </w:p>
    <w:p w14:paraId="436B168F" w14:textId="77777777" w:rsidR="00E46D05" w:rsidRPr="003F4995" w:rsidRDefault="00E46D05" w:rsidP="00AD7A2B">
      <w:pPr>
        <w:pStyle w:val="CEABullet-Level1"/>
        <w:numPr>
          <w:ilvl w:val="0"/>
          <w:numId w:val="0"/>
        </w:numPr>
        <w:rPr>
          <w:b/>
          <w:szCs w:val="17"/>
        </w:rPr>
      </w:pPr>
    </w:p>
    <w:p w14:paraId="7E4D4915" w14:textId="77777777" w:rsidR="00E46D05" w:rsidRPr="003F4995" w:rsidRDefault="00E46D05" w:rsidP="00AD7A2B">
      <w:pPr>
        <w:pStyle w:val="CEABullet-Level1"/>
        <w:numPr>
          <w:ilvl w:val="0"/>
          <w:numId w:val="0"/>
        </w:numPr>
        <w:rPr>
          <w:b/>
          <w:szCs w:val="17"/>
        </w:rPr>
      </w:pPr>
    </w:p>
    <w:p w14:paraId="75F9A25D" w14:textId="77777777" w:rsidR="00E46D05" w:rsidRPr="003F4995" w:rsidRDefault="00E46D05" w:rsidP="00AA0BE2">
      <w:pPr>
        <w:pStyle w:val="CEABullet-Level1"/>
        <w:numPr>
          <w:ilvl w:val="0"/>
          <w:numId w:val="0"/>
        </w:numPr>
        <w:spacing w:after="240"/>
        <w:rPr>
          <w:b/>
          <w:szCs w:val="17"/>
        </w:rPr>
      </w:pPr>
      <w:r w:rsidRPr="003F4995">
        <w:rPr>
          <w:b/>
          <w:szCs w:val="17"/>
        </w:rPr>
        <w:t>Comparison of own funds in insurance and banking sectors (with reference to articles 71(f), 73(5), 77(5))</w:t>
      </w:r>
    </w:p>
    <w:p w14:paraId="04D6ADD2" w14:textId="77777777" w:rsidR="00E46D05" w:rsidRPr="003F4995" w:rsidRDefault="00E46D05" w:rsidP="00AD7A2B">
      <w:pPr>
        <w:pStyle w:val="CEABullet-Level1"/>
        <w:numPr>
          <w:ilvl w:val="0"/>
          <w:numId w:val="0"/>
        </w:numPr>
        <w:rPr>
          <w:szCs w:val="17"/>
        </w:rPr>
      </w:pPr>
      <w:r w:rsidRPr="003F4995">
        <w:rPr>
          <w:szCs w:val="17"/>
        </w:rPr>
        <w:t>While Insurance Europe welcomes the Commission proposal to allow partial write down and conversion and to allow supervisors to exceptionally waive the triggering of the principal loss absorbency mechanism (PLAM), it is concerned that PLAM waiver options are not available for all adverse scenarios.</w:t>
      </w:r>
    </w:p>
    <w:p w14:paraId="3AD6F149" w14:textId="77777777" w:rsidR="00E46D05" w:rsidRPr="003F4995" w:rsidRDefault="00E46D05" w:rsidP="00AD7A2B">
      <w:pPr>
        <w:pStyle w:val="CEABullet-Level1"/>
        <w:numPr>
          <w:ilvl w:val="0"/>
          <w:numId w:val="0"/>
        </w:numPr>
        <w:rPr>
          <w:szCs w:val="17"/>
        </w:rPr>
      </w:pPr>
    </w:p>
    <w:p w14:paraId="62F3467F" w14:textId="77777777" w:rsidR="00E46D05" w:rsidRPr="003F4995" w:rsidRDefault="00E46D05" w:rsidP="00AD7A2B">
      <w:pPr>
        <w:pStyle w:val="CEABullet-Level1"/>
        <w:numPr>
          <w:ilvl w:val="0"/>
          <w:numId w:val="0"/>
        </w:numPr>
        <w:rPr>
          <w:szCs w:val="17"/>
        </w:rPr>
      </w:pPr>
      <w:r w:rsidRPr="003F4995">
        <w:rPr>
          <w:szCs w:val="17"/>
        </w:rPr>
        <w:t xml:space="preserve">On the </w:t>
      </w:r>
      <w:r w:rsidRPr="003F4995">
        <w:rPr>
          <w:szCs w:val="17"/>
          <w:u w:val="single"/>
        </w:rPr>
        <w:t>positive side</w:t>
      </w:r>
      <w:r w:rsidRPr="003F4995">
        <w:rPr>
          <w:szCs w:val="17"/>
        </w:rPr>
        <w:t xml:space="preserve">: </w:t>
      </w:r>
    </w:p>
    <w:p w14:paraId="29E47332" w14:textId="77777777" w:rsidR="00E46D05" w:rsidRPr="003F4995" w:rsidRDefault="00E46D05" w:rsidP="00AD7A2B">
      <w:pPr>
        <w:pStyle w:val="CEABullet-Level1"/>
        <w:rPr>
          <w:szCs w:val="17"/>
        </w:rPr>
      </w:pPr>
      <w:r w:rsidRPr="003F4995">
        <w:rPr>
          <w:szCs w:val="17"/>
        </w:rPr>
        <w:t xml:space="preserve">Introducing permission to partially write down/convert RT1 instruments where mandatory trigger of 3 months SCR has been breached, but only as long as 75% SCR breach and MCR breach triggers have not been triggered. As a minimum, RT1 is written down on a straight-line basis so that full write down is reached at 75% SCR breach (and no MCR breach). Additionally, SCR coverage should be recalculated, and if necessary further write down should be performed. </w:t>
      </w:r>
    </w:p>
    <w:p w14:paraId="3C23FEB6" w14:textId="77777777" w:rsidR="00E46D05" w:rsidRPr="003F4995" w:rsidRDefault="00E46D05" w:rsidP="00AD7A2B">
      <w:pPr>
        <w:pStyle w:val="CEABullet-Level1"/>
        <w:rPr>
          <w:szCs w:val="17"/>
        </w:rPr>
      </w:pPr>
      <w:r w:rsidRPr="003F4995">
        <w:rPr>
          <w:szCs w:val="17"/>
        </w:rPr>
        <w:t xml:space="preserve">Supervisors are enabled to grant an exceptional waiver from the triggering of the principal loss absorbency mechanism, subject to conditions. </w:t>
      </w:r>
    </w:p>
    <w:p w14:paraId="4BEF52C6" w14:textId="77777777" w:rsidR="00E46D05" w:rsidRPr="003F4995" w:rsidRDefault="00E46D05" w:rsidP="00AD7A2B">
      <w:pPr>
        <w:pStyle w:val="CEABullet-Level1"/>
        <w:rPr>
          <w:b/>
          <w:szCs w:val="17"/>
        </w:rPr>
      </w:pPr>
      <w:r w:rsidRPr="003F4995">
        <w:rPr>
          <w:szCs w:val="17"/>
        </w:rPr>
        <w:t>The introduction of a provision allowing to redeem the instrument before 5 years from the date of issuance, subject to supervisory approval, in case there is a change in the regulatory classification or a change in the applicable tax treatment of the basic own-fund item.</w:t>
      </w:r>
    </w:p>
    <w:p w14:paraId="37475AC9" w14:textId="77777777" w:rsidR="00E46D05" w:rsidRPr="003F4995" w:rsidRDefault="00E46D05" w:rsidP="00AD7A2B">
      <w:pPr>
        <w:pStyle w:val="CEABullet-Level1"/>
        <w:numPr>
          <w:ilvl w:val="0"/>
          <w:numId w:val="0"/>
        </w:numPr>
        <w:rPr>
          <w:szCs w:val="17"/>
        </w:rPr>
      </w:pPr>
    </w:p>
    <w:p w14:paraId="4772973A" w14:textId="77777777" w:rsidR="00E46D05" w:rsidRPr="003F4995" w:rsidRDefault="00E46D05" w:rsidP="00AD7A2B">
      <w:pPr>
        <w:pStyle w:val="CEABullet-Level1"/>
        <w:numPr>
          <w:ilvl w:val="0"/>
          <w:numId w:val="0"/>
        </w:numPr>
        <w:rPr>
          <w:b/>
          <w:szCs w:val="17"/>
        </w:rPr>
      </w:pPr>
      <w:r w:rsidRPr="003F4995">
        <w:rPr>
          <w:szCs w:val="17"/>
        </w:rPr>
        <w:t xml:space="preserve">On the </w:t>
      </w:r>
      <w:r w:rsidRPr="003F4995">
        <w:rPr>
          <w:szCs w:val="17"/>
          <w:u w:val="single"/>
        </w:rPr>
        <w:t>negative side</w:t>
      </w:r>
      <w:r w:rsidRPr="003F4995">
        <w:rPr>
          <w:szCs w:val="17"/>
        </w:rPr>
        <w:t xml:space="preserve"> </w:t>
      </w:r>
    </w:p>
    <w:p w14:paraId="12206D7B" w14:textId="77777777" w:rsidR="00E46D05" w:rsidRPr="003F4995" w:rsidRDefault="00E46D05" w:rsidP="00AD7A2B">
      <w:pPr>
        <w:pStyle w:val="CEABullet-Level1"/>
        <w:rPr>
          <w:szCs w:val="17"/>
        </w:rPr>
      </w:pPr>
      <w:r w:rsidRPr="003F4995">
        <w:rPr>
          <w:szCs w:val="17"/>
        </w:rPr>
        <w:t>As PLAM waiver options are not available for all adverse scenarios, the risk remains that in certain circumstances write-down/conversion will lead to a deterioration of the solvency ratio. In particular, PLAM reduces solvency coverage via a reduction of deferred tax assets and thus via a reduction of eligible Tier 3</w:t>
      </w:r>
    </w:p>
    <w:p w14:paraId="0114C042" w14:textId="77777777" w:rsidR="00E46D05" w:rsidRPr="003F4995" w:rsidRDefault="00E46D05" w:rsidP="00AD7A2B">
      <w:pPr>
        <w:pStyle w:val="CEABullet-Level1"/>
        <w:rPr>
          <w:szCs w:val="17"/>
        </w:rPr>
      </w:pPr>
      <w:r w:rsidRPr="003F4995">
        <w:rPr>
          <w:szCs w:val="17"/>
        </w:rPr>
        <w:t>The impact of trigger inversion is not addressed. This implies that PLAM reduces a relevant solvency coverage where PLAM is triggered by the breach of the Group MCR (in case of trigger inversion)</w:t>
      </w:r>
    </w:p>
    <w:p w14:paraId="14205CC6" w14:textId="77777777" w:rsidR="00E46D05" w:rsidRPr="003F4995" w:rsidRDefault="00E46D05" w:rsidP="00AD7A2B">
      <w:pPr>
        <w:pStyle w:val="CEABullet-Level1"/>
        <w:numPr>
          <w:ilvl w:val="0"/>
          <w:numId w:val="0"/>
        </w:numPr>
        <w:rPr>
          <w:b/>
          <w:szCs w:val="17"/>
        </w:rPr>
      </w:pPr>
    </w:p>
    <w:p w14:paraId="3893E5A2" w14:textId="77777777" w:rsidR="00E46D05" w:rsidRPr="003F4995" w:rsidRDefault="00E46D05" w:rsidP="00AD7A2B">
      <w:pPr>
        <w:pStyle w:val="CEABullet-Level1"/>
        <w:numPr>
          <w:ilvl w:val="0"/>
          <w:numId w:val="0"/>
        </w:numPr>
        <w:rPr>
          <w:szCs w:val="17"/>
          <w:u w:val="single"/>
        </w:rPr>
      </w:pPr>
      <w:r w:rsidRPr="003F4995">
        <w:rPr>
          <w:szCs w:val="17"/>
          <w:u w:val="single"/>
        </w:rPr>
        <w:t>Looking ahead</w:t>
      </w:r>
    </w:p>
    <w:p w14:paraId="1CDD44B1" w14:textId="77777777" w:rsidR="00E46D05" w:rsidRPr="003F4995" w:rsidRDefault="00E46D05" w:rsidP="00AD7A2B">
      <w:pPr>
        <w:pStyle w:val="CEABullet-Level1"/>
        <w:numPr>
          <w:ilvl w:val="0"/>
          <w:numId w:val="0"/>
        </w:numPr>
        <w:rPr>
          <w:szCs w:val="17"/>
        </w:rPr>
      </w:pPr>
      <w:r w:rsidRPr="003F4995">
        <w:rPr>
          <w:szCs w:val="17"/>
        </w:rPr>
        <w:t>Insurance Europe believes the shortcomings in this area should be addressed, and therefore it proposes to introduce an extension of PLAM waiver option.</w:t>
      </w:r>
    </w:p>
    <w:p w14:paraId="6FA10B5F" w14:textId="77777777" w:rsidR="00E46D05" w:rsidRPr="003F4995" w:rsidRDefault="00E46D05" w:rsidP="00AD7A2B">
      <w:pPr>
        <w:pStyle w:val="CEABullet-Level1"/>
        <w:numPr>
          <w:ilvl w:val="0"/>
          <w:numId w:val="0"/>
        </w:numPr>
        <w:rPr>
          <w:szCs w:val="17"/>
          <w:lang w:val="en-US"/>
        </w:rPr>
      </w:pPr>
      <w:r w:rsidRPr="003F4995">
        <w:rPr>
          <w:szCs w:val="17"/>
          <w:lang w:val="en-US"/>
        </w:rPr>
        <w:t>Indeed, the PLAM waiver option should be available whenever PLAM would lead to a reduction of relevant solvency coverage ratios (ie group SCR or MCR ratio, solo SCR ratios), including in the following cases where:</w:t>
      </w:r>
    </w:p>
    <w:p w14:paraId="103E29E2" w14:textId="77777777" w:rsidR="00E46D05" w:rsidRPr="003F4995" w:rsidRDefault="00E46D05" w:rsidP="00AD7A2B">
      <w:pPr>
        <w:pStyle w:val="CEABullet-Level1"/>
        <w:rPr>
          <w:szCs w:val="17"/>
          <w:lang w:val="en-US"/>
        </w:rPr>
      </w:pPr>
      <w:r w:rsidRPr="003F4995">
        <w:rPr>
          <w:szCs w:val="17"/>
          <w:lang w:val="en-US"/>
        </w:rPr>
        <w:t>PLAM reduces solvency coverage via a reduction of deferred tax assets and thus via a reduction of eligible Tier 3</w:t>
      </w:r>
    </w:p>
    <w:p w14:paraId="3BD98C02" w14:textId="77777777" w:rsidR="00E46D05" w:rsidRPr="003F4995" w:rsidRDefault="00E46D05" w:rsidP="00AD7A2B">
      <w:pPr>
        <w:pStyle w:val="CEABullet-Level1"/>
        <w:rPr>
          <w:szCs w:val="17"/>
          <w:lang w:val="en-US"/>
        </w:rPr>
      </w:pPr>
      <w:r w:rsidRPr="003F4995">
        <w:rPr>
          <w:szCs w:val="17"/>
          <w:lang w:val="en-US"/>
        </w:rPr>
        <w:t>PLAM reduces a relevant solvency coverage where PLAM is triggered by the breach of the Group MCR (in case of trigger inversion)</w:t>
      </w:r>
    </w:p>
    <w:p w14:paraId="23DCF874" w14:textId="77777777" w:rsidR="00E46D05" w:rsidRPr="003F4995" w:rsidRDefault="00E46D05" w:rsidP="00AD7A2B">
      <w:pPr>
        <w:pStyle w:val="CEABullet-Level1"/>
        <w:numPr>
          <w:ilvl w:val="0"/>
          <w:numId w:val="0"/>
        </w:numPr>
        <w:rPr>
          <w:szCs w:val="17"/>
          <w:lang w:val="en-US"/>
        </w:rPr>
      </w:pPr>
    </w:p>
    <w:p w14:paraId="6F3437CE" w14:textId="77777777" w:rsidR="00E46D05" w:rsidRPr="003F4995" w:rsidRDefault="00E46D05" w:rsidP="00AD7A2B">
      <w:pPr>
        <w:pStyle w:val="CEABullet-Level1"/>
        <w:numPr>
          <w:ilvl w:val="0"/>
          <w:numId w:val="0"/>
        </w:numPr>
        <w:rPr>
          <w:b/>
          <w:szCs w:val="17"/>
          <w:lang w:val="en-US"/>
        </w:rPr>
      </w:pPr>
      <w:r w:rsidRPr="003F4995">
        <w:rPr>
          <w:szCs w:val="17"/>
          <w:lang w:val="en-US"/>
        </w:rPr>
        <w:t xml:space="preserve">Therefore, Insurance Europe proposes the following amendments </w:t>
      </w:r>
      <w:r w:rsidRPr="003F4995">
        <w:rPr>
          <w:b/>
          <w:szCs w:val="17"/>
          <w:lang w:val="en-US"/>
        </w:rPr>
        <w:t>to Art 71(10) :</w:t>
      </w:r>
    </w:p>
    <w:p w14:paraId="414DC67B" w14:textId="77777777" w:rsidR="00E46D05" w:rsidRPr="003F4995" w:rsidRDefault="00E46D05" w:rsidP="00AD7A2B">
      <w:pPr>
        <w:pStyle w:val="CEABullet-Level1"/>
        <w:rPr>
          <w:szCs w:val="17"/>
          <w:lang w:val="en-US"/>
        </w:rPr>
      </w:pPr>
      <w:r w:rsidRPr="003F4995">
        <w:rPr>
          <w:szCs w:val="17"/>
          <w:lang w:val="en-US"/>
        </w:rPr>
        <w:t xml:space="preserve">Condition (b) </w:t>
      </w:r>
      <w:r w:rsidRPr="003F4995">
        <w:rPr>
          <w:i/>
          <w:szCs w:val="17"/>
          <w:lang w:val="en-US"/>
        </w:rPr>
        <w:t>[there have been no previous trigger events in the circumstances described in point (a) or (b) of the second subparagraph of that paragraph</w:t>
      </w:r>
      <w:r w:rsidRPr="003F4995">
        <w:rPr>
          <w:i/>
          <w:szCs w:val="17"/>
        </w:rPr>
        <w:t>]</w:t>
      </w:r>
      <w:r w:rsidRPr="003F4995">
        <w:rPr>
          <w:szCs w:val="17"/>
          <w:lang w:val="en-US"/>
        </w:rPr>
        <w:t xml:space="preserve"> should be deleted.</w:t>
      </w:r>
    </w:p>
    <w:p w14:paraId="5FC44535" w14:textId="77777777" w:rsidR="00E46D05" w:rsidRPr="003F4995" w:rsidRDefault="00E46D05" w:rsidP="00AD7A2B">
      <w:pPr>
        <w:pStyle w:val="CEABullet-Level1"/>
        <w:rPr>
          <w:szCs w:val="17"/>
          <w:lang w:val="en-US"/>
        </w:rPr>
      </w:pPr>
      <w:r w:rsidRPr="003F4995">
        <w:rPr>
          <w:szCs w:val="17"/>
          <w:lang w:val="en-US"/>
        </w:rPr>
        <w:t xml:space="preserve">Condition (c) should be amended (text added) as follows: </w:t>
      </w:r>
      <w:r w:rsidRPr="003F4995">
        <w:rPr>
          <w:i/>
          <w:szCs w:val="17"/>
          <w:lang w:val="en-US"/>
        </w:rPr>
        <w:t>the supervisory authority agrees exceptionally to waive the triggering of the principal loss absorbency mechanism on the basis of both of the following pieces of information:</w:t>
      </w:r>
    </w:p>
    <w:p w14:paraId="079FEB02" w14:textId="77777777" w:rsidR="00E46D05" w:rsidRPr="003F4995" w:rsidRDefault="00E46D05" w:rsidP="00AD7A2B">
      <w:pPr>
        <w:pStyle w:val="CEABullet-Level1"/>
        <w:numPr>
          <w:ilvl w:val="0"/>
          <w:numId w:val="4"/>
        </w:numPr>
        <w:ind w:left="1080" w:hanging="360"/>
        <w:rPr>
          <w:szCs w:val="17"/>
          <w:lang w:val="en-US"/>
        </w:rPr>
      </w:pPr>
      <w:r w:rsidRPr="003F4995">
        <w:rPr>
          <w:i/>
          <w:szCs w:val="17"/>
          <w:lang w:val="en-US"/>
        </w:rPr>
        <w:t xml:space="preserve">projections provided to the supervisory authority by the insurance or reinsurance undertaking when that undertaking submits the recovery plan required by Article 138(2) of Directive 2009/138/EC, which demonstrate that triggering the principal loss absorbency mechanism in that case would be very likely to give rise to a tax liability </w:t>
      </w:r>
      <w:r w:rsidRPr="003F4995">
        <w:rPr>
          <w:b/>
          <w:i/>
          <w:szCs w:val="17"/>
          <w:lang w:val="en-US"/>
        </w:rPr>
        <w:t>or a tax asset</w:t>
      </w:r>
      <w:r w:rsidRPr="003F4995">
        <w:rPr>
          <w:i/>
          <w:szCs w:val="17"/>
          <w:lang w:val="en-US"/>
        </w:rPr>
        <w:t xml:space="preserve"> that would have a significant adverse effect on the undertaking’s solvency position.</w:t>
      </w:r>
    </w:p>
    <w:p w14:paraId="1D075CA8" w14:textId="77777777" w:rsidR="00E46D05" w:rsidRPr="003F4995" w:rsidRDefault="00E46D05" w:rsidP="00AD7A2B">
      <w:pPr>
        <w:pStyle w:val="CEABullet-Level1"/>
        <w:numPr>
          <w:ilvl w:val="0"/>
          <w:numId w:val="0"/>
        </w:numPr>
        <w:rPr>
          <w:b/>
          <w:szCs w:val="17"/>
        </w:rPr>
      </w:pPr>
    </w:p>
    <w:p w14:paraId="3E7A63F6" w14:textId="77777777" w:rsidR="00E46D05" w:rsidRPr="003F4995" w:rsidRDefault="00E46D05" w:rsidP="00AD7A2B">
      <w:pPr>
        <w:pStyle w:val="CEABullet-Level1"/>
        <w:numPr>
          <w:ilvl w:val="0"/>
          <w:numId w:val="0"/>
        </w:numPr>
        <w:rPr>
          <w:b/>
          <w:szCs w:val="17"/>
        </w:rPr>
      </w:pPr>
    </w:p>
    <w:p w14:paraId="7859A06B" w14:textId="77777777" w:rsidR="00E46D05" w:rsidRPr="003F4995" w:rsidRDefault="00E46D05" w:rsidP="00AA0BE2">
      <w:pPr>
        <w:pStyle w:val="CEABullet-Level1"/>
        <w:numPr>
          <w:ilvl w:val="0"/>
          <w:numId w:val="0"/>
        </w:numPr>
        <w:spacing w:after="240"/>
        <w:rPr>
          <w:b/>
          <w:szCs w:val="17"/>
        </w:rPr>
      </w:pPr>
      <w:r w:rsidRPr="003F4995">
        <w:rPr>
          <w:b/>
          <w:szCs w:val="17"/>
        </w:rPr>
        <w:t>Look-through approach at group level (with reference to articles 335f, 336)</w:t>
      </w:r>
    </w:p>
    <w:p w14:paraId="49CA59C1" w14:textId="77777777" w:rsidR="00E46D05" w:rsidRPr="003F4995" w:rsidRDefault="00E46D05" w:rsidP="00AD7A2B">
      <w:pPr>
        <w:pStyle w:val="CEABullet-Level1"/>
        <w:numPr>
          <w:ilvl w:val="0"/>
          <w:numId w:val="0"/>
        </w:numPr>
        <w:rPr>
          <w:szCs w:val="17"/>
        </w:rPr>
      </w:pPr>
      <w:r w:rsidRPr="003F4995">
        <w:rPr>
          <w:szCs w:val="17"/>
        </w:rPr>
        <w:t>Insurance Europe appreciates the proposed changes to the DA with respect to the look-through approach at</w:t>
      </w:r>
    </w:p>
    <w:p w14:paraId="72E22511" w14:textId="77777777" w:rsidR="00E46D05" w:rsidRPr="003F4995" w:rsidRDefault="00E46D05" w:rsidP="00AD7A2B">
      <w:pPr>
        <w:pStyle w:val="CEABullet-Level1"/>
        <w:numPr>
          <w:ilvl w:val="0"/>
          <w:numId w:val="0"/>
        </w:numPr>
        <w:rPr>
          <w:szCs w:val="17"/>
        </w:rPr>
      </w:pPr>
      <w:r w:rsidRPr="003F4995">
        <w:rPr>
          <w:szCs w:val="17"/>
        </w:rPr>
        <w:t>group level. The changes ensure consistency between the treatment at solo level and at group level of</w:t>
      </w:r>
    </w:p>
    <w:p w14:paraId="68B4E2DA" w14:textId="77777777" w:rsidR="00E46D05" w:rsidRPr="003F4995" w:rsidRDefault="00E46D05" w:rsidP="00AD7A2B">
      <w:pPr>
        <w:pStyle w:val="CEABullet-Level1"/>
        <w:numPr>
          <w:ilvl w:val="0"/>
          <w:numId w:val="0"/>
        </w:numPr>
        <w:rPr>
          <w:szCs w:val="17"/>
        </w:rPr>
      </w:pPr>
      <w:r w:rsidRPr="003F4995">
        <w:rPr>
          <w:szCs w:val="17"/>
        </w:rPr>
        <w:t xml:space="preserve">collective investment undertakings and investments packaged as funds.  </w:t>
      </w:r>
    </w:p>
    <w:p w14:paraId="7E6FB1C3" w14:textId="77777777" w:rsidR="00E46D05" w:rsidRPr="003F4995" w:rsidRDefault="00E46D05" w:rsidP="00AD7A2B">
      <w:pPr>
        <w:pStyle w:val="CEABullet-Level1"/>
        <w:numPr>
          <w:ilvl w:val="0"/>
          <w:numId w:val="0"/>
        </w:numPr>
        <w:rPr>
          <w:b/>
          <w:szCs w:val="17"/>
        </w:rPr>
      </w:pPr>
    </w:p>
    <w:p w14:paraId="1E038D9D" w14:textId="77777777" w:rsidR="00E46D05" w:rsidRPr="003F4995" w:rsidRDefault="00E46D05" w:rsidP="00AD7A2B">
      <w:pPr>
        <w:pStyle w:val="CEABullet-Level1"/>
        <w:numPr>
          <w:ilvl w:val="0"/>
          <w:numId w:val="0"/>
        </w:numPr>
        <w:rPr>
          <w:szCs w:val="17"/>
        </w:rPr>
      </w:pPr>
    </w:p>
    <w:p w14:paraId="095C789C" w14:textId="77777777" w:rsidR="00E46D05" w:rsidRPr="003F4995" w:rsidRDefault="00E46D05" w:rsidP="00AA0BE2">
      <w:pPr>
        <w:pStyle w:val="CEABullet-Level1"/>
        <w:numPr>
          <w:ilvl w:val="0"/>
          <w:numId w:val="0"/>
        </w:numPr>
        <w:spacing w:after="240"/>
        <w:rPr>
          <w:b/>
          <w:szCs w:val="17"/>
        </w:rPr>
      </w:pPr>
      <w:r w:rsidRPr="003F4995">
        <w:rPr>
          <w:b/>
          <w:szCs w:val="17"/>
        </w:rPr>
        <w:t>Risk Margin</w:t>
      </w:r>
    </w:p>
    <w:p w14:paraId="7924164B" w14:textId="77777777" w:rsidR="00E46D05" w:rsidRPr="003F4995" w:rsidRDefault="00E46D05" w:rsidP="00AD7A2B">
      <w:pPr>
        <w:pStyle w:val="CEABullet-Level1"/>
        <w:numPr>
          <w:ilvl w:val="0"/>
          <w:numId w:val="0"/>
        </w:numPr>
        <w:rPr>
          <w:szCs w:val="17"/>
        </w:rPr>
      </w:pPr>
      <w:r w:rsidRPr="003F4995">
        <w:rPr>
          <w:szCs w:val="17"/>
        </w:rPr>
        <w:t>Insurance Europe welcomed, back in July 2016, the inclusion of the risk margin in the EC call for advice.</w:t>
      </w:r>
    </w:p>
    <w:p w14:paraId="787822F2" w14:textId="77777777" w:rsidR="00E46D05" w:rsidRPr="003F4995" w:rsidRDefault="00E46D05" w:rsidP="00AD7A2B">
      <w:pPr>
        <w:pStyle w:val="CEABullet-Level1"/>
        <w:numPr>
          <w:ilvl w:val="0"/>
          <w:numId w:val="0"/>
        </w:numPr>
        <w:rPr>
          <w:szCs w:val="17"/>
        </w:rPr>
      </w:pPr>
      <w:r w:rsidRPr="003F4995">
        <w:rPr>
          <w:szCs w:val="17"/>
        </w:rPr>
        <w:t xml:space="preserve">Insurance Europe is disappointed by the EC’s decision to follow EIOPA’s recommendation not to change the 6% CoC.  </w:t>
      </w:r>
    </w:p>
    <w:p w14:paraId="33E186BD" w14:textId="77777777" w:rsidR="00E46D05" w:rsidRPr="003F4995" w:rsidRDefault="00E46D05" w:rsidP="00AD7A2B">
      <w:pPr>
        <w:rPr>
          <w:sz w:val="17"/>
          <w:szCs w:val="17"/>
        </w:rPr>
      </w:pPr>
    </w:p>
    <w:p w14:paraId="6DFADEFE" w14:textId="77777777" w:rsidR="00E46D05" w:rsidRPr="003F4995" w:rsidRDefault="00E46D05" w:rsidP="00AD7A2B">
      <w:pPr>
        <w:pStyle w:val="CEABullet-Level1"/>
        <w:numPr>
          <w:ilvl w:val="0"/>
          <w:numId w:val="0"/>
        </w:numPr>
        <w:rPr>
          <w:szCs w:val="17"/>
        </w:rPr>
      </w:pPr>
      <w:r w:rsidRPr="003F4995">
        <w:rPr>
          <w:szCs w:val="17"/>
        </w:rPr>
        <w:t xml:space="preserve">On the </w:t>
      </w:r>
      <w:r w:rsidRPr="003F4995">
        <w:rPr>
          <w:szCs w:val="17"/>
          <w:u w:val="single"/>
        </w:rPr>
        <w:t>negative</w:t>
      </w:r>
      <w:r w:rsidRPr="003F4995">
        <w:rPr>
          <w:szCs w:val="17"/>
        </w:rPr>
        <w:t xml:space="preserve"> side</w:t>
      </w:r>
    </w:p>
    <w:p w14:paraId="4C49AA69" w14:textId="77777777" w:rsidR="00E46D05" w:rsidRPr="003F4995" w:rsidRDefault="00E46D05" w:rsidP="00AD7A2B">
      <w:pPr>
        <w:pStyle w:val="CEABullet-Level1"/>
        <w:rPr>
          <w:szCs w:val="17"/>
        </w:rPr>
      </w:pPr>
      <w:r w:rsidRPr="003F4995">
        <w:rPr>
          <w:szCs w:val="17"/>
        </w:rPr>
        <w:t xml:space="preserve">The issues of size and volatility of the risk margin, and its inappropriateness for certain long-term products remains unaddressed. </w:t>
      </w:r>
    </w:p>
    <w:p w14:paraId="411B6CF7" w14:textId="77777777" w:rsidR="00E46D05" w:rsidRPr="003F4995" w:rsidRDefault="00E46D05" w:rsidP="00AD7A2B">
      <w:pPr>
        <w:pStyle w:val="CEABullet-Level1"/>
        <w:rPr>
          <w:szCs w:val="17"/>
        </w:rPr>
      </w:pPr>
      <w:r w:rsidRPr="003F4995">
        <w:rPr>
          <w:szCs w:val="17"/>
        </w:rPr>
        <w:t>EIOPA and the EC have ignored the extensive arguments and evidence showing that the CoC is too high.  A value of 2-3% would be appropriate while remaining prudent. This is a missed opportunity for the EC to address these weaknesses, which are generally accepted by stakeholders throughout Europe.</w:t>
      </w:r>
    </w:p>
    <w:p w14:paraId="54300C02" w14:textId="77777777" w:rsidR="00E46D05" w:rsidRPr="003F4995" w:rsidRDefault="00E46D05" w:rsidP="00AD7A2B">
      <w:pPr>
        <w:pStyle w:val="CEABullet-Level1"/>
        <w:rPr>
          <w:szCs w:val="17"/>
        </w:rPr>
      </w:pPr>
      <w:r w:rsidRPr="003F4995">
        <w:rPr>
          <w:szCs w:val="17"/>
        </w:rPr>
        <w:t>Outdated assumptions: EIOPA advice was based on methodologies first developed in 2007-2008, and in particular the following assumptions:</w:t>
      </w:r>
    </w:p>
    <w:p w14:paraId="52497F1E" w14:textId="77777777" w:rsidR="00E46D05" w:rsidRPr="003F4995" w:rsidRDefault="00E46D05" w:rsidP="00AD7A2B">
      <w:pPr>
        <w:pStyle w:val="CEABullet-Level2"/>
        <w:ind w:left="1134"/>
        <w:rPr>
          <w:szCs w:val="17"/>
        </w:rPr>
      </w:pPr>
      <w:r w:rsidRPr="003F4995">
        <w:rPr>
          <w:szCs w:val="17"/>
        </w:rPr>
        <w:t>Using an industry β without an adjustment to reflect minimal market risk is incompatible with the requirement to minimise market risk within the Reference Undertaking as set out in Solvency II Delegated Acts article 38(h)</w:t>
      </w:r>
    </w:p>
    <w:p w14:paraId="689E8C4B" w14:textId="77777777" w:rsidR="00E46D05" w:rsidRPr="003F4995" w:rsidRDefault="00E46D05" w:rsidP="00AD7A2B">
      <w:pPr>
        <w:pStyle w:val="CEABullet-Level2"/>
        <w:ind w:left="1134"/>
        <w:rPr>
          <w:szCs w:val="17"/>
        </w:rPr>
      </w:pPr>
      <w:r w:rsidRPr="003F4995">
        <w:rPr>
          <w:szCs w:val="17"/>
        </w:rPr>
        <w:t xml:space="preserve">Using an industry β without a deleverage adjustment is incompatible with EIOPA’s 100% equity funding assumption for reference undertaking Stakeholders provided EIOPA with detailed proposals for a number of improvements to the risk margin framework.  EIOPA has dismissed these with very brief, high-level comments.  </w:t>
      </w:r>
    </w:p>
    <w:p w14:paraId="257916C1" w14:textId="77777777" w:rsidR="00E46D05" w:rsidRPr="003F4995" w:rsidRDefault="00E46D05" w:rsidP="00AD7A2B">
      <w:pPr>
        <w:pStyle w:val="CEABullet-Level2"/>
        <w:ind w:left="1134"/>
        <w:rPr>
          <w:szCs w:val="17"/>
        </w:rPr>
      </w:pPr>
      <w:r w:rsidRPr="003F4995">
        <w:rPr>
          <w:szCs w:val="17"/>
        </w:rPr>
        <w:t>ERP selected by EIOPA is backward looking, which is inconsistent with Dir Art 77(5) and is materially higher than the recommendation by expert studies due to a range of issues</w:t>
      </w:r>
      <w:r w:rsidRPr="003F4995" w:rsidDel="008D2F97">
        <w:rPr>
          <w:szCs w:val="17"/>
        </w:rPr>
        <w:t xml:space="preserve"> </w:t>
      </w:r>
    </w:p>
    <w:p w14:paraId="316AA71B" w14:textId="77777777" w:rsidR="00E46D05" w:rsidRPr="003F4995" w:rsidRDefault="00E46D05" w:rsidP="00AD7A2B">
      <w:pPr>
        <w:pStyle w:val="CEABullet-Level1"/>
        <w:rPr>
          <w:szCs w:val="17"/>
        </w:rPr>
      </w:pPr>
      <w:r w:rsidRPr="003F4995">
        <w:rPr>
          <w:szCs w:val="17"/>
        </w:rPr>
        <w:t>So far it seems that no work has been done to assess the true transfer cost for different lines of business, and whether the risk margin genuinely simulates that in a reasonable way across a range of products.  EIOPA has a duty to do this work.</w:t>
      </w:r>
    </w:p>
    <w:p w14:paraId="63998B1A" w14:textId="77777777" w:rsidR="00E46D05" w:rsidRPr="003F4995" w:rsidRDefault="00E46D05" w:rsidP="00AD7A2B">
      <w:pPr>
        <w:pStyle w:val="CEABullet-Level1"/>
        <w:numPr>
          <w:ilvl w:val="0"/>
          <w:numId w:val="0"/>
        </w:numPr>
        <w:rPr>
          <w:szCs w:val="17"/>
          <w:u w:val="single"/>
        </w:rPr>
      </w:pPr>
    </w:p>
    <w:p w14:paraId="147A4B8D" w14:textId="77777777" w:rsidR="00E46D05" w:rsidRPr="003F4995" w:rsidRDefault="00E46D05" w:rsidP="00AD7A2B">
      <w:pPr>
        <w:pStyle w:val="CEABullet-Level1"/>
        <w:numPr>
          <w:ilvl w:val="0"/>
          <w:numId w:val="0"/>
        </w:numPr>
        <w:rPr>
          <w:szCs w:val="17"/>
        </w:rPr>
      </w:pPr>
      <w:r w:rsidRPr="003F4995">
        <w:rPr>
          <w:szCs w:val="17"/>
          <w:u w:val="single"/>
        </w:rPr>
        <w:t>Looking ahead</w:t>
      </w:r>
      <w:r w:rsidRPr="003F4995">
        <w:rPr>
          <w:szCs w:val="17"/>
        </w:rPr>
        <w:t xml:space="preserve"> Insurance Europe believes that the calibration of the CoC and the design of the risk margin</w:t>
      </w:r>
    </w:p>
    <w:p w14:paraId="32B1114D" w14:textId="77777777" w:rsidR="00E46D05" w:rsidRPr="003F4995" w:rsidRDefault="00E46D05" w:rsidP="00AD7A2B">
      <w:pPr>
        <w:pStyle w:val="CEABullet-Level1"/>
        <w:numPr>
          <w:ilvl w:val="0"/>
          <w:numId w:val="0"/>
        </w:numPr>
        <w:rPr>
          <w:szCs w:val="17"/>
        </w:rPr>
      </w:pPr>
      <w:r w:rsidRPr="003F4995">
        <w:rPr>
          <w:szCs w:val="17"/>
        </w:rPr>
        <w:t>should be thoroughly reviewed as part of the 2020 review.</w:t>
      </w:r>
    </w:p>
    <w:p w14:paraId="4727EEEA" w14:textId="77777777" w:rsidR="00E46D05" w:rsidRPr="003F4995" w:rsidRDefault="00E46D05" w:rsidP="00AD7A2B">
      <w:pPr>
        <w:pStyle w:val="CEABullet-Level1"/>
        <w:numPr>
          <w:ilvl w:val="0"/>
          <w:numId w:val="0"/>
        </w:numPr>
        <w:rPr>
          <w:b/>
          <w:szCs w:val="17"/>
        </w:rPr>
      </w:pPr>
      <w:bookmarkStart w:id="6" w:name="_Hlk529271090"/>
    </w:p>
    <w:p w14:paraId="62056F9B" w14:textId="77777777" w:rsidR="00E46D05" w:rsidRPr="003F4995" w:rsidRDefault="00E46D05" w:rsidP="00AA0BE2">
      <w:pPr>
        <w:pStyle w:val="CEABullet-Level1"/>
        <w:numPr>
          <w:ilvl w:val="0"/>
          <w:numId w:val="0"/>
        </w:numPr>
        <w:spacing w:after="240"/>
        <w:rPr>
          <w:b/>
          <w:szCs w:val="17"/>
        </w:rPr>
      </w:pPr>
      <w:r w:rsidRPr="003F4995">
        <w:rPr>
          <w:b/>
          <w:szCs w:val="17"/>
        </w:rPr>
        <w:t>Strategic equity investments</w:t>
      </w:r>
    </w:p>
    <w:p w14:paraId="1FA448B7" w14:textId="77777777" w:rsidR="00E46D05" w:rsidRPr="003F4995" w:rsidRDefault="00E46D05" w:rsidP="00AD7A2B">
      <w:pPr>
        <w:spacing w:after="120"/>
        <w:rPr>
          <w:rFonts w:eastAsia="Calibri"/>
          <w:color w:val="000000"/>
          <w:sz w:val="17"/>
          <w:szCs w:val="17"/>
          <w:lang w:val="en-US"/>
        </w:rPr>
      </w:pPr>
      <w:r w:rsidRPr="003F4995">
        <w:rPr>
          <w:rFonts w:eastAsia="Calibri"/>
          <w:color w:val="000000"/>
          <w:sz w:val="17"/>
          <w:szCs w:val="17"/>
          <w:lang w:val="en-US"/>
        </w:rPr>
        <w:t xml:space="preserve">While Insurance Europe welcomed the EC request for information on strategic participations to EIOPA, it is disappointed by the lack of any actions in this area. </w:t>
      </w:r>
    </w:p>
    <w:p w14:paraId="7C865FC8" w14:textId="77777777" w:rsidR="00E46D05" w:rsidRPr="003F4995" w:rsidRDefault="00E46D05" w:rsidP="00AD7A2B">
      <w:pPr>
        <w:spacing w:after="120"/>
        <w:rPr>
          <w:rFonts w:eastAsia="Calibri"/>
          <w:color w:val="000000"/>
          <w:sz w:val="17"/>
          <w:szCs w:val="17"/>
          <w:lang w:val="en-US"/>
        </w:rPr>
      </w:pPr>
      <w:r w:rsidRPr="003F4995">
        <w:rPr>
          <w:rFonts w:eastAsia="Calibri"/>
          <w:color w:val="000000"/>
          <w:sz w:val="17"/>
          <w:szCs w:val="17"/>
          <w:lang w:val="en-US"/>
        </w:rPr>
        <w:t>As the EIOPA analysis showed, the current criteria for strategic participations are difficult to validate in practice, and this may be one of the reasons why the estimated allocation by the industry to this asset class (ie €155bn) is likely below the actual exposure.</w:t>
      </w:r>
    </w:p>
    <w:p w14:paraId="4A156A8D" w14:textId="77777777" w:rsidR="00E46D05" w:rsidRPr="003F4995" w:rsidRDefault="00E46D05" w:rsidP="00AD7A2B">
      <w:pPr>
        <w:spacing w:after="120"/>
        <w:rPr>
          <w:rFonts w:eastAsia="Calibri"/>
          <w:sz w:val="17"/>
          <w:szCs w:val="17"/>
          <w:lang w:val="en-US"/>
        </w:rPr>
      </w:pPr>
      <w:r w:rsidRPr="003F4995">
        <w:rPr>
          <w:rFonts w:eastAsia="Calibri"/>
          <w:sz w:val="17"/>
          <w:szCs w:val="17"/>
          <w:lang w:val="en-US"/>
        </w:rPr>
        <w:t>In terms of criteria for the identification of strategic participations, Insurance Europe proposes:</w:t>
      </w:r>
    </w:p>
    <w:p w14:paraId="32A57678" w14:textId="77777777" w:rsidR="00E46D05" w:rsidRPr="003F4995" w:rsidRDefault="00E46D05" w:rsidP="00AD7A2B">
      <w:pPr>
        <w:pStyle w:val="CEABullet-Level1"/>
        <w:rPr>
          <w:rFonts w:eastAsia="Calibri"/>
          <w:szCs w:val="17"/>
        </w:rPr>
      </w:pPr>
      <w:r w:rsidRPr="003F4995">
        <w:rPr>
          <w:rFonts w:eastAsia="Calibri"/>
          <w:szCs w:val="17"/>
        </w:rPr>
        <w:t xml:space="preserve">the removal of the forward-looking short-term volatility criterion, which is not only very difficult to test in practice, but it also fails to be a good proxy for the actual risks of such assets for insurers who take a long-term strategic view. </w:t>
      </w:r>
    </w:p>
    <w:p w14:paraId="10BEABDE" w14:textId="77777777" w:rsidR="00E46D05" w:rsidRPr="003F4995" w:rsidRDefault="00E46D05" w:rsidP="00AD7A2B">
      <w:pPr>
        <w:pStyle w:val="CEABullet-Level1"/>
        <w:rPr>
          <w:rFonts w:eastAsia="Calibri"/>
          <w:szCs w:val="17"/>
        </w:rPr>
      </w:pPr>
      <w:r w:rsidRPr="003F4995">
        <w:rPr>
          <w:rFonts w:eastAsia="Calibri"/>
          <w:szCs w:val="17"/>
        </w:rPr>
        <w:t xml:space="preserve">The change of the ownership &amp; control threshold from 20% to 10%. </w:t>
      </w:r>
    </w:p>
    <w:p w14:paraId="7DD4280E" w14:textId="77777777" w:rsidR="00E46D05" w:rsidRPr="003F4995" w:rsidRDefault="00E46D05" w:rsidP="00AD7A2B">
      <w:pPr>
        <w:pStyle w:val="CEABullet-Level1"/>
        <w:numPr>
          <w:ilvl w:val="0"/>
          <w:numId w:val="0"/>
        </w:numPr>
        <w:rPr>
          <w:b/>
          <w:szCs w:val="17"/>
        </w:rPr>
      </w:pPr>
    </w:p>
    <w:p w14:paraId="4F119B12" w14:textId="77777777" w:rsidR="00E46D05" w:rsidRPr="003F4995" w:rsidRDefault="00E46D05" w:rsidP="00AD7A2B">
      <w:pPr>
        <w:pStyle w:val="CEABullet-Level1"/>
        <w:numPr>
          <w:ilvl w:val="0"/>
          <w:numId w:val="0"/>
        </w:numPr>
        <w:rPr>
          <w:b/>
          <w:szCs w:val="17"/>
        </w:rPr>
      </w:pPr>
    </w:p>
    <w:p w14:paraId="7176D049" w14:textId="77777777" w:rsidR="00E46D05" w:rsidRPr="003F4995" w:rsidRDefault="00E46D05" w:rsidP="00AA0BE2">
      <w:pPr>
        <w:pStyle w:val="CEABullet-Level1"/>
        <w:numPr>
          <w:ilvl w:val="0"/>
          <w:numId w:val="0"/>
        </w:numPr>
        <w:spacing w:after="240"/>
        <w:rPr>
          <w:b/>
          <w:szCs w:val="17"/>
        </w:rPr>
      </w:pPr>
      <w:r w:rsidRPr="003F4995">
        <w:rPr>
          <w:b/>
          <w:szCs w:val="17"/>
        </w:rPr>
        <w:t>Capital instruments only eligible as tier 1 up to 20% of total tier 1</w:t>
      </w:r>
    </w:p>
    <w:bookmarkEnd w:id="6"/>
    <w:p w14:paraId="7DC7315D" w14:textId="77777777" w:rsidR="00E46D05" w:rsidRPr="003F4995" w:rsidRDefault="00E46D05" w:rsidP="00AD7A2B">
      <w:pPr>
        <w:pStyle w:val="CEABullet-Level1"/>
        <w:numPr>
          <w:ilvl w:val="0"/>
          <w:numId w:val="0"/>
        </w:numPr>
        <w:rPr>
          <w:szCs w:val="17"/>
        </w:rPr>
      </w:pPr>
      <w:r w:rsidRPr="003F4995">
        <w:rPr>
          <w:szCs w:val="17"/>
        </w:rPr>
        <w:t>Insurance Europe welcomed the EC’s request in the EC call for advice to assess how eligibility criteria could be modified if the 20% limit on restricted Tier 1 own funds were to be removed. Insurance Europe appreciates the Commission’s decision to preserve the 20% limit, as the strengthening of the related criteria would only result in prohibiting most insurers from issuing Tier 1 instruments in the form of subordinated debt.</w:t>
      </w:r>
    </w:p>
    <w:p w14:paraId="5DBDAE4D" w14:textId="77777777" w:rsidR="00E46D05" w:rsidRPr="00AD7A2B" w:rsidRDefault="00E46D05" w:rsidP="00AD7A2B">
      <w:pPr>
        <w:pStyle w:val="CEABullet-Level1"/>
        <w:numPr>
          <w:ilvl w:val="0"/>
          <w:numId w:val="0"/>
        </w:numPr>
        <w:rPr>
          <w:b/>
        </w:rPr>
      </w:pPr>
    </w:p>
    <w:p w14:paraId="69CD58B7" w14:textId="77777777" w:rsidR="0094610D" w:rsidRPr="00AD7A2B" w:rsidRDefault="0094610D" w:rsidP="00AD7A2B">
      <w:pPr>
        <w:pStyle w:val="CEABullet-Level1"/>
        <w:numPr>
          <w:ilvl w:val="0"/>
          <w:numId w:val="0"/>
        </w:numPr>
        <w:rPr>
          <w:b/>
        </w:rPr>
      </w:pPr>
    </w:p>
    <w:p w14:paraId="083185D3" w14:textId="77777777" w:rsidR="00E46D05" w:rsidRPr="003F4995" w:rsidRDefault="00E46D05" w:rsidP="003F4995">
      <w:pPr>
        <w:autoSpaceDE w:val="0"/>
        <w:autoSpaceDN w:val="0"/>
        <w:adjustRightInd w:val="0"/>
        <w:rPr>
          <w:rStyle w:val="Heading1CEAChar"/>
          <w:rFonts w:ascii="Verdana" w:hAnsi="Verdana"/>
          <w:color w:val="002957"/>
          <w:sz w:val="19"/>
          <w:szCs w:val="19"/>
        </w:rPr>
      </w:pPr>
      <w:r w:rsidRPr="003F4995">
        <w:rPr>
          <w:rStyle w:val="Heading1CEAChar"/>
          <w:rFonts w:ascii="Verdana" w:hAnsi="Verdana"/>
          <w:color w:val="002957"/>
          <w:sz w:val="19"/>
          <w:szCs w:val="19"/>
        </w:rPr>
        <w:t>Other comments</w:t>
      </w:r>
    </w:p>
    <w:p w14:paraId="6EE796B0" w14:textId="77777777" w:rsidR="00E46D05" w:rsidRPr="00AD7A2B" w:rsidRDefault="00E46D05" w:rsidP="00AD7A2B">
      <w:pPr>
        <w:rPr>
          <w:sz w:val="17"/>
          <w:szCs w:val="17"/>
        </w:rPr>
      </w:pPr>
    </w:p>
    <w:p w14:paraId="458CD021" w14:textId="77777777" w:rsidR="00E46D05" w:rsidRPr="00AD7A2B" w:rsidRDefault="00E46D05" w:rsidP="00AD7A2B">
      <w:pPr>
        <w:rPr>
          <w:sz w:val="17"/>
          <w:szCs w:val="17"/>
        </w:rPr>
      </w:pPr>
      <w:r w:rsidRPr="00AD7A2B">
        <w:rPr>
          <w:sz w:val="17"/>
          <w:szCs w:val="17"/>
        </w:rPr>
        <w:t xml:space="preserve">Insurance Europe highlights the following </w:t>
      </w:r>
      <w:r w:rsidRPr="00AD7A2B">
        <w:rPr>
          <w:b/>
          <w:sz w:val="17"/>
          <w:szCs w:val="17"/>
          <w:u w:val="single"/>
        </w:rPr>
        <w:t>typos</w:t>
      </w:r>
      <w:r w:rsidRPr="00AD7A2B">
        <w:rPr>
          <w:sz w:val="17"/>
          <w:szCs w:val="17"/>
        </w:rPr>
        <w:t xml:space="preserve"> in the published draft:</w:t>
      </w:r>
    </w:p>
    <w:p w14:paraId="461954EF" w14:textId="77777777" w:rsidR="00E46D05" w:rsidRPr="00AD7A2B" w:rsidRDefault="00E46D05" w:rsidP="00AD7A2B">
      <w:pPr>
        <w:pStyle w:val="CEABullet-Level1"/>
      </w:pPr>
      <w:r w:rsidRPr="00AD7A2B">
        <w:t>Recital 30 – There is a full stop missing at the end of the first sentence.</w:t>
      </w:r>
    </w:p>
    <w:p w14:paraId="54DC3196" w14:textId="77777777" w:rsidR="00E46D05" w:rsidRPr="00AD7A2B" w:rsidRDefault="00E46D05" w:rsidP="00AD7A2B">
      <w:pPr>
        <w:pStyle w:val="CEABullet-Level1"/>
      </w:pPr>
      <w:r w:rsidRPr="00AD7A2B">
        <w:t>Recital 32 – “</w:t>
      </w:r>
      <w:r w:rsidRPr="00AD7A2B">
        <w:rPr>
          <w:i/>
        </w:rPr>
        <w:t xml:space="preserve">Insurance and reinsurance undertakings should not </w:t>
      </w:r>
      <w:r w:rsidRPr="00AD7A2B">
        <w:rPr>
          <w:b/>
          <w:i/>
          <w:u w:val="single"/>
        </w:rPr>
        <w:t>be</w:t>
      </w:r>
      <w:r w:rsidRPr="00AD7A2B">
        <w:rPr>
          <w:i/>
        </w:rPr>
        <w:t xml:space="preserve"> disproportionately</w:t>
      </w:r>
      <w:r w:rsidRPr="00AD7A2B">
        <w:t>…”</w:t>
      </w:r>
    </w:p>
    <w:p w14:paraId="1E671C63" w14:textId="77777777" w:rsidR="00E46D05" w:rsidRPr="00AD7A2B" w:rsidRDefault="00E46D05" w:rsidP="00AD7A2B">
      <w:pPr>
        <w:pStyle w:val="CEABullet-Level1"/>
      </w:pPr>
      <w:r w:rsidRPr="00AD7A2B">
        <w:t xml:space="preserve">Recital 33 – </w:t>
      </w:r>
      <w:r w:rsidRPr="00AD7A2B">
        <w:rPr>
          <w:i/>
        </w:rPr>
        <w:t xml:space="preserve">“… in the Solvency Capital Requirement standard formula calculation with undertaking-specific parameters by laying down a standardised method to calculate an undertaking-specific parameter </w:t>
      </w:r>
      <w:r w:rsidRPr="00AD7A2B">
        <w:rPr>
          <w:b/>
          <w:i/>
          <w:u w:val="single"/>
        </w:rPr>
        <w:t>which</w:t>
      </w:r>
      <w:r w:rsidRPr="00AD7A2B">
        <w:rPr>
          <w:i/>
        </w:rPr>
        <w:t xml:space="preserve"> should be laid down to replace the standard parameter for non-proportional reinsurance.</w:t>
      </w:r>
      <w:r w:rsidRPr="00AD7A2B">
        <w:t>”</w:t>
      </w:r>
    </w:p>
    <w:p w14:paraId="74B8D415" w14:textId="77777777" w:rsidR="00E46D05" w:rsidRPr="00AD7A2B" w:rsidRDefault="00E46D05" w:rsidP="00AD7A2B">
      <w:pPr>
        <w:pStyle w:val="CEABullet-Level1"/>
      </w:pPr>
      <w:r w:rsidRPr="00AD7A2B">
        <w:t>Recital 38 – “</w:t>
      </w:r>
      <w:r w:rsidRPr="00AD7A2B">
        <w:rPr>
          <w:i/>
        </w:rPr>
        <w:t xml:space="preserve">The complexity </w:t>
      </w:r>
      <w:r w:rsidRPr="00AD7A2B">
        <w:rPr>
          <w:b/>
          <w:i/>
          <w:u w:val="single"/>
        </w:rPr>
        <w:t>of the</w:t>
      </w:r>
      <w:r w:rsidRPr="00AD7A2B">
        <w:rPr>
          <w:i/>
        </w:rPr>
        <w:t xml:space="preserve"> calculation of the</w:t>
      </w:r>
      <w:r w:rsidRPr="00AD7A2B">
        <w:t>…”</w:t>
      </w:r>
    </w:p>
    <w:p w14:paraId="71AD2CD3" w14:textId="77777777" w:rsidR="00E46D05" w:rsidRPr="00AD7A2B" w:rsidRDefault="00E46D05" w:rsidP="00AD7A2B">
      <w:pPr>
        <w:pStyle w:val="CEABullet-Level1"/>
      </w:pPr>
      <w:r w:rsidRPr="00AD7A2B">
        <w:t>Recital 38 – “</w:t>
      </w:r>
      <w:r w:rsidRPr="00AD7A2B">
        <w:rPr>
          <w:i/>
        </w:rPr>
        <w:t xml:space="preserve">Therefore the event type referring to disability that lasts 10 years caused by an accident should </w:t>
      </w:r>
      <w:r w:rsidRPr="00AD7A2B">
        <w:rPr>
          <w:b/>
          <w:i/>
          <w:dstrike/>
          <w:u w:val="single"/>
        </w:rPr>
        <w:t>no longer</w:t>
      </w:r>
      <w:r w:rsidRPr="00AD7A2B">
        <w:rPr>
          <w:i/>
        </w:rPr>
        <w:t xml:space="preserve"> be removed from this calculation</w:t>
      </w:r>
      <w:r w:rsidRPr="00AD7A2B">
        <w:t>.</w:t>
      </w:r>
    </w:p>
    <w:p w14:paraId="1B9D9CF5" w14:textId="77777777" w:rsidR="00E46D05" w:rsidRPr="00AD7A2B" w:rsidRDefault="00E46D05" w:rsidP="00AD7A2B">
      <w:pPr>
        <w:pStyle w:val="CEABullet-Level1"/>
      </w:pPr>
      <w:r w:rsidRPr="00AD7A2B">
        <w:t>Amendment (2) - There is an unnecessary comma at the end of the proposed Article 43 (3) “</w:t>
      </w:r>
      <w:r w:rsidRPr="00AD7A2B">
        <w:rPr>
          <w:i/>
        </w:rPr>
        <w:t>ultimate forward rate</w:t>
      </w:r>
      <w:r w:rsidRPr="00AD7A2B">
        <w:rPr>
          <w:b/>
          <w:i/>
          <w:u w:val="single"/>
        </w:rPr>
        <w:t xml:space="preserve">, </w:t>
      </w:r>
      <w:r w:rsidRPr="00AD7A2B">
        <w:rPr>
          <w:i/>
        </w:rPr>
        <w:t>.</w:t>
      </w:r>
      <w:r w:rsidRPr="00AD7A2B">
        <w:t>”</w:t>
      </w:r>
    </w:p>
    <w:p w14:paraId="089B11B0" w14:textId="77777777" w:rsidR="00E46D05" w:rsidRPr="00AD7A2B" w:rsidRDefault="00E46D05" w:rsidP="00AD7A2B">
      <w:pPr>
        <w:pStyle w:val="CEABullet-Level1"/>
      </w:pPr>
      <w:r w:rsidRPr="00AD7A2B">
        <w:t>Amendment (29) – There is a sentence in the concluding remarks which appears to be incomplete “</w:t>
      </w:r>
      <w:r w:rsidRPr="00AD7A2B">
        <w:rPr>
          <w:i/>
        </w:rPr>
        <w:t xml:space="preserve">In determining the sum insured for a set of buildings, insurance and reinsurance undertakings shall only take into account reinsurance contracts and special purpose vehicles that would pay out in the event of </w:t>
      </w:r>
      <w:r w:rsidRPr="00AD7A2B">
        <w:rPr>
          <w:b/>
          <w:i/>
          <w:u w:val="single"/>
        </w:rPr>
        <w:t>insurance claims related to building</w:t>
      </w:r>
      <w:r w:rsidRPr="00AD7A2B">
        <w:t xml:space="preserve">” </w:t>
      </w:r>
    </w:p>
    <w:p w14:paraId="400246A2" w14:textId="77777777" w:rsidR="00E46D05" w:rsidRPr="00AD7A2B" w:rsidRDefault="00E46D05" w:rsidP="00AD7A2B">
      <w:pPr>
        <w:pStyle w:val="CEABullet-Level1"/>
      </w:pPr>
      <w:r w:rsidRPr="00AD7A2B">
        <w:t xml:space="preserve">Article 71 (5)(a) and Article 71(6)(a) provide similar provisions and refer to the same paragraphs, however, different wording is used. </w:t>
      </w:r>
    </w:p>
    <w:p w14:paraId="325C8972" w14:textId="77777777" w:rsidR="00E46D05" w:rsidRPr="00AD7A2B" w:rsidRDefault="00E46D05" w:rsidP="00AD7A2B">
      <w:pPr>
        <w:pStyle w:val="CEABullet-Level2"/>
        <w:ind w:left="1134"/>
      </w:pPr>
      <w:r w:rsidRPr="00AD7A2B">
        <w:t xml:space="preserve">Article 71 </w:t>
      </w:r>
      <w:r w:rsidRPr="00AD7A2B">
        <w:rPr>
          <w:i/>
        </w:rPr>
        <w:t xml:space="preserve">'5a. For the purposes of </w:t>
      </w:r>
      <w:r w:rsidRPr="00AD7A2B">
        <w:rPr>
          <w:b/>
          <w:i/>
        </w:rPr>
        <w:t xml:space="preserve">point (i) of paragraph 1(e), the rules </w:t>
      </w:r>
      <w:r w:rsidRPr="00AD7A2B">
        <w:rPr>
          <w:i/>
        </w:rPr>
        <w:t>governing the write-down of the nominal or principal amount of the basic own-fund item shall provide for all of the following:</w:t>
      </w:r>
      <w:r w:rsidRPr="00AD7A2B">
        <w:t>’</w:t>
      </w:r>
    </w:p>
    <w:p w14:paraId="2311B707" w14:textId="77777777" w:rsidR="00E46D05" w:rsidRPr="00AD7A2B" w:rsidRDefault="00E46D05" w:rsidP="00AD7A2B">
      <w:pPr>
        <w:pStyle w:val="CEABullet-Level2"/>
        <w:ind w:left="1134"/>
      </w:pPr>
      <w:r w:rsidRPr="00AD7A2B">
        <w:t>Article 71 ‘</w:t>
      </w:r>
      <w:r w:rsidRPr="00AD7A2B">
        <w:rPr>
          <w:i/>
        </w:rPr>
        <w:t xml:space="preserve">'6a. For the purposes of </w:t>
      </w:r>
      <w:r w:rsidRPr="00AD7A2B">
        <w:rPr>
          <w:b/>
          <w:i/>
        </w:rPr>
        <w:t>paragraph 1(e)(ii)</w:t>
      </w:r>
      <w:r w:rsidRPr="00AD7A2B">
        <w:rPr>
          <w:i/>
        </w:rPr>
        <w:t xml:space="preserve">, </w:t>
      </w:r>
      <w:r w:rsidRPr="00AD7A2B">
        <w:rPr>
          <w:b/>
          <w:i/>
        </w:rPr>
        <w:t>the provisions</w:t>
      </w:r>
      <w:r w:rsidRPr="00AD7A2B">
        <w:rPr>
          <w:i/>
        </w:rPr>
        <w:t xml:space="preserve"> governing the conversion into basic own-fund items listed in points (a)(i) or (ii) of Article 69 shall provide for all of the following</w:t>
      </w:r>
      <w:r w:rsidRPr="00AD7A2B">
        <w:t>:’</w:t>
      </w:r>
    </w:p>
    <w:p w14:paraId="79A74E7F" w14:textId="77777777" w:rsidR="00E46D05" w:rsidRPr="00AD7A2B" w:rsidRDefault="00E46D05" w:rsidP="00AD7A2B">
      <w:pPr>
        <w:pStyle w:val="CEABullet-Level1"/>
        <w:numPr>
          <w:ilvl w:val="0"/>
          <w:numId w:val="0"/>
        </w:numPr>
        <w:ind w:left="360"/>
        <w:rPr>
          <w:b/>
        </w:rPr>
      </w:pPr>
    </w:p>
    <w:p w14:paraId="5A0AE8FD" w14:textId="7965B53B" w:rsidR="00E46D05" w:rsidRDefault="00E46D05" w:rsidP="00AD7A2B">
      <w:pPr>
        <w:autoSpaceDE w:val="0"/>
        <w:autoSpaceDN w:val="0"/>
        <w:adjustRightInd w:val="0"/>
        <w:rPr>
          <w:sz w:val="20"/>
          <w:szCs w:val="20"/>
        </w:rPr>
      </w:pPr>
    </w:p>
    <w:p w14:paraId="082E75B1" w14:textId="77777777" w:rsidR="00AD7A2B" w:rsidRPr="00AD7A2B" w:rsidRDefault="00AD7A2B" w:rsidP="00AD7A2B">
      <w:pPr>
        <w:autoSpaceDE w:val="0"/>
        <w:autoSpaceDN w:val="0"/>
        <w:adjustRightInd w:val="0"/>
        <w:rPr>
          <w:sz w:val="20"/>
          <w:szCs w:val="20"/>
        </w:rPr>
      </w:pPr>
    </w:p>
    <w:p w14:paraId="6F991AF5" w14:textId="77777777" w:rsidR="00E46D05" w:rsidRPr="00AD7A2B" w:rsidRDefault="00E46D05" w:rsidP="00AD7A2B">
      <w:pPr>
        <w:autoSpaceDE w:val="0"/>
        <w:autoSpaceDN w:val="0"/>
        <w:adjustRightInd w:val="0"/>
        <w:rPr>
          <w:sz w:val="20"/>
          <w:szCs w:val="20"/>
        </w:rPr>
      </w:pPr>
    </w:p>
    <w:p w14:paraId="5FAC1C2B" w14:textId="77777777" w:rsidR="00E46D05" w:rsidRPr="00AD7A2B" w:rsidRDefault="00E46D05" w:rsidP="00AD7A2B">
      <w:pPr>
        <w:autoSpaceDE w:val="0"/>
        <w:autoSpaceDN w:val="0"/>
        <w:adjustRightInd w:val="0"/>
        <w:rPr>
          <w:sz w:val="20"/>
          <w:szCs w:val="20"/>
        </w:rPr>
      </w:pPr>
    </w:p>
    <w:p w14:paraId="68C17E80" w14:textId="77777777" w:rsidR="00E46D05" w:rsidRDefault="00E46D05" w:rsidP="00AD7A2B">
      <w:pPr>
        <w:autoSpaceDE w:val="0"/>
        <w:autoSpaceDN w:val="0"/>
        <w:adjustRightInd w:val="0"/>
        <w:rPr>
          <w:sz w:val="20"/>
          <w:szCs w:val="20"/>
        </w:rPr>
      </w:pPr>
    </w:p>
    <w:p w14:paraId="32D20619" w14:textId="2284F256" w:rsidR="00CE15E8" w:rsidRDefault="00CE15E8" w:rsidP="00AD7A2B">
      <w:pPr>
        <w:autoSpaceDE w:val="0"/>
        <w:autoSpaceDN w:val="0"/>
        <w:adjustRightInd w:val="0"/>
        <w:rPr>
          <w:sz w:val="20"/>
          <w:szCs w:val="20"/>
        </w:rPr>
      </w:pPr>
    </w:p>
    <w:p w14:paraId="58287107" w14:textId="77777777" w:rsidR="00CE15E8" w:rsidRDefault="00CE15E8" w:rsidP="00AD7A2B">
      <w:pPr>
        <w:autoSpaceDE w:val="0"/>
        <w:autoSpaceDN w:val="0"/>
        <w:adjustRightInd w:val="0"/>
        <w:rPr>
          <w:sz w:val="20"/>
          <w:szCs w:val="20"/>
        </w:rPr>
      </w:pPr>
    </w:p>
    <w:p w14:paraId="29EF33BB" w14:textId="77777777" w:rsidR="00CE15E8" w:rsidRPr="00AD7A2B" w:rsidRDefault="00CE15E8" w:rsidP="00AD7A2B">
      <w:pPr>
        <w:autoSpaceDE w:val="0"/>
        <w:autoSpaceDN w:val="0"/>
        <w:adjustRightInd w:val="0"/>
        <w:rPr>
          <w:sz w:val="20"/>
          <w:szCs w:val="20"/>
        </w:rPr>
      </w:pPr>
    </w:p>
    <w:p w14:paraId="621EEF61" w14:textId="77777777" w:rsidR="00E46D05" w:rsidRPr="00AD7A2B" w:rsidRDefault="00E46D05" w:rsidP="00AD7A2B">
      <w:pPr>
        <w:autoSpaceDE w:val="0"/>
        <w:autoSpaceDN w:val="0"/>
        <w:adjustRightInd w:val="0"/>
        <w:rPr>
          <w:sz w:val="20"/>
          <w:szCs w:val="20"/>
        </w:rPr>
      </w:pPr>
    </w:p>
    <w:p w14:paraId="57D2583E" w14:textId="77777777" w:rsidR="00E46D05" w:rsidRDefault="00E46D05" w:rsidP="00AD7A2B">
      <w:pPr>
        <w:autoSpaceDE w:val="0"/>
        <w:autoSpaceDN w:val="0"/>
        <w:adjustRightInd w:val="0"/>
        <w:rPr>
          <w:sz w:val="20"/>
          <w:szCs w:val="20"/>
        </w:rPr>
      </w:pPr>
    </w:p>
    <w:p w14:paraId="0AAE6CFB" w14:textId="77777777" w:rsidR="000357E0" w:rsidRDefault="000357E0" w:rsidP="00AD7A2B">
      <w:pPr>
        <w:autoSpaceDE w:val="0"/>
        <w:autoSpaceDN w:val="0"/>
        <w:adjustRightInd w:val="0"/>
        <w:rPr>
          <w:sz w:val="20"/>
          <w:szCs w:val="20"/>
        </w:rPr>
      </w:pPr>
    </w:p>
    <w:p w14:paraId="63FB75F1" w14:textId="77777777" w:rsidR="000357E0" w:rsidRDefault="000357E0" w:rsidP="00AD7A2B">
      <w:pPr>
        <w:autoSpaceDE w:val="0"/>
        <w:autoSpaceDN w:val="0"/>
        <w:adjustRightInd w:val="0"/>
        <w:rPr>
          <w:sz w:val="20"/>
          <w:szCs w:val="20"/>
        </w:rPr>
      </w:pPr>
    </w:p>
    <w:p w14:paraId="6850B3ED" w14:textId="77777777" w:rsidR="000357E0" w:rsidRDefault="000357E0" w:rsidP="00AD7A2B">
      <w:pPr>
        <w:autoSpaceDE w:val="0"/>
        <w:autoSpaceDN w:val="0"/>
        <w:adjustRightInd w:val="0"/>
        <w:rPr>
          <w:sz w:val="20"/>
          <w:szCs w:val="20"/>
        </w:rPr>
      </w:pPr>
    </w:p>
    <w:p w14:paraId="761D42B2" w14:textId="77777777" w:rsidR="000357E0" w:rsidRDefault="000357E0" w:rsidP="00AD7A2B">
      <w:pPr>
        <w:autoSpaceDE w:val="0"/>
        <w:autoSpaceDN w:val="0"/>
        <w:adjustRightInd w:val="0"/>
        <w:rPr>
          <w:sz w:val="20"/>
          <w:szCs w:val="20"/>
        </w:rPr>
      </w:pPr>
    </w:p>
    <w:p w14:paraId="31E5F7FF" w14:textId="77777777" w:rsidR="000357E0" w:rsidRDefault="000357E0" w:rsidP="00AD7A2B">
      <w:pPr>
        <w:autoSpaceDE w:val="0"/>
        <w:autoSpaceDN w:val="0"/>
        <w:adjustRightInd w:val="0"/>
        <w:rPr>
          <w:sz w:val="20"/>
          <w:szCs w:val="20"/>
        </w:rPr>
      </w:pPr>
    </w:p>
    <w:p w14:paraId="7433A9E1" w14:textId="77777777" w:rsidR="000357E0" w:rsidRPr="00AD7A2B" w:rsidRDefault="000357E0" w:rsidP="00AD7A2B">
      <w:pPr>
        <w:autoSpaceDE w:val="0"/>
        <w:autoSpaceDN w:val="0"/>
        <w:adjustRightInd w:val="0"/>
        <w:rPr>
          <w:sz w:val="20"/>
          <w:szCs w:val="20"/>
        </w:rPr>
      </w:pPr>
    </w:p>
    <w:p w14:paraId="3B9033F7" w14:textId="77777777" w:rsidR="00E46D05" w:rsidRPr="00AD7A2B" w:rsidRDefault="00E46D05" w:rsidP="00AD7A2B">
      <w:pPr>
        <w:autoSpaceDE w:val="0"/>
        <w:autoSpaceDN w:val="0"/>
        <w:adjustRightInd w:val="0"/>
        <w:rPr>
          <w:sz w:val="20"/>
          <w:szCs w:val="20"/>
        </w:rPr>
      </w:pPr>
    </w:p>
    <w:p w14:paraId="5C6B3138" w14:textId="2116C9A8" w:rsidR="00440FEE" w:rsidRPr="00AD7A2B" w:rsidRDefault="00E46D05" w:rsidP="00CE15E8">
      <w:pPr>
        <w:autoSpaceDE w:val="0"/>
        <w:autoSpaceDN w:val="0"/>
        <w:adjustRightInd w:val="0"/>
        <w:rPr>
          <w:i/>
          <w:sz w:val="17"/>
          <w:szCs w:val="17"/>
        </w:rPr>
      </w:pPr>
      <w:r w:rsidRPr="00AD7A2B">
        <w:rPr>
          <w:i/>
          <w:sz w:val="17"/>
          <w:szCs w:val="17"/>
        </w:rPr>
        <w:t>Insurance Europe is the European insurance and reinsurance federation. Through its 35 member bodies — the national insurance associations — Insurance Europe represents all types of insurance and reinsurance undertakings, eg pan-European companies, monoliners, mutuals and SMEs. Insurance Europe, which is based in Brussels, represents undertakings that account for around 95% of total European premium income. Insurance makes a major contribution to Europe’s economic growth and development. European insurers generate premium income of more than €1 200bn, directly employ over 950 000 people and invest over €10 100bn in the economy.</w:t>
      </w:r>
    </w:p>
    <w:sectPr w:rsidR="00440FEE" w:rsidRPr="00AD7A2B" w:rsidSect="001C24A2">
      <w:type w:val="continuous"/>
      <w:pgSz w:w="11907" w:h="16839" w:code="9"/>
      <w:pgMar w:top="2336" w:right="902" w:bottom="1077" w:left="1474" w:header="709" w:footer="238" w:gutter="0"/>
      <w:cols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 w:author="Ecofin" w:date="2018-11-06T11:46:00Z" w:initials="Ecofin">
    <w:p w14:paraId="5299D6CE" w14:textId="77777777" w:rsidR="00E46D05" w:rsidRDefault="00E46D05" w:rsidP="00E46D05">
      <w:pPr>
        <w:pStyle w:val="Textkomentra"/>
      </w:pPr>
      <w:r>
        <w:rPr>
          <w:rStyle w:val="Odkaznakomentr"/>
        </w:rPr>
        <w:annotationRef/>
      </w:r>
      <w:r>
        <w:t>To be further developed in the next iteration</w:t>
      </w:r>
    </w:p>
  </w:comment>
  <w:comment w:id="5" w:author="Ecofin" w:date="2018-11-15T15:09:00Z" w:initials="Ecofin">
    <w:p w14:paraId="72D2795F" w14:textId="77777777" w:rsidR="00E46D05" w:rsidRDefault="00E46D05" w:rsidP="00E46D05">
      <w:pPr>
        <w:pStyle w:val="Textkomentra"/>
      </w:pPr>
      <w:r>
        <w:rPr>
          <w:rStyle w:val="Odkaznakomentr"/>
        </w:rPr>
        <w:annotationRef/>
      </w:r>
      <w:r>
        <w:t>To be developed in next iteration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299D6CE" w15:done="0"/>
  <w15:commentEx w15:paraId="72D2795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299D6CE" w16cid:durableId="1F994BF6"/>
  <w16cid:commentId w16cid:paraId="72D2795F" w16cid:durableId="1F994BF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143F8B" w14:textId="77777777" w:rsidR="00017E2D" w:rsidRDefault="00017E2D">
      <w:pPr>
        <w:spacing w:line="240" w:lineRule="auto"/>
      </w:pPr>
      <w:r>
        <w:separator/>
      </w:r>
    </w:p>
  </w:endnote>
  <w:endnote w:type="continuationSeparator" w:id="0">
    <w:p w14:paraId="5CD67622" w14:textId="77777777" w:rsidR="00017E2D" w:rsidRDefault="00017E2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Verdana">
    <w:altName w:val="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Frutiger LT Std 45 Light">
    <w:altName w:val="Calibri"/>
    <w:panose1 w:val="00000000000000000000"/>
    <w:charset w:val="00"/>
    <w:family w:val="swiss"/>
    <w:notTrueType/>
    <w:pitch w:val="variable"/>
    <w:sig w:usb0="800000AF" w:usb1="4000204A" w:usb2="00000000" w:usb3="00000000" w:csb0="00000001" w:csb1="00000000"/>
  </w:font>
  <w:font w:name="Frutiger LT Std 55 Roman">
    <w:altName w:val="Calibri"/>
    <w:panose1 w:val="00000000000000000000"/>
    <w:charset w:val="00"/>
    <w:family w:val="swiss"/>
    <w:notTrueType/>
    <w:pitch w:val="variable"/>
    <w:sig w:usb0="800000AF" w:usb1="4000204A" w:usb2="00000000" w:usb3="00000000" w:csb0="00000001" w:csb1="00000000"/>
  </w:font>
  <w:font w:name="Frutiger LT Com 45 Light">
    <w:altName w:val="Corbel"/>
    <w:charset w:val="00"/>
    <w:family w:val="swiss"/>
    <w:pitch w:val="variable"/>
    <w:sig w:usb0="00000001" w:usb1="5000204A" w:usb2="00000000" w:usb3="00000000" w:csb0="0000009B" w:csb1="00000000"/>
  </w:font>
  <w:font w:name="Roboto-Black">
    <w:altName w:val="Arial"/>
    <w:panose1 w:val="00000000000000000000"/>
    <w:charset w:val="00"/>
    <w:family w:val="swiss"/>
    <w:notTrueType/>
    <w:pitch w:val="default"/>
    <w:sig w:usb0="00000003" w:usb1="00000000" w:usb2="00000000" w:usb3="00000000" w:csb0="00000001" w:csb1="00000000"/>
  </w:font>
  <w:font w:name="Roboto-Regular">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6B92D6" w14:textId="77777777" w:rsidR="00774ED6" w:rsidRDefault="00152882" w:rsidP="000846C0">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4BED0085" w14:textId="77777777" w:rsidR="00774ED6" w:rsidRDefault="003318D1" w:rsidP="000846C0">
    <w:pPr>
      <w:pStyle w:val="Pt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83C3E6" w14:textId="0BC77D3C" w:rsidR="00A42CBE" w:rsidRPr="00723412" w:rsidRDefault="00152882" w:rsidP="00A42CBE">
    <w:pPr>
      <w:pStyle w:val="Pta"/>
      <w:framePr w:wrap="around" w:vAnchor="page" w:hAnchor="margin" w:xAlign="right" w:y="16161"/>
      <w:rPr>
        <w:rStyle w:val="slostrany"/>
        <w:color w:val="002957"/>
      </w:rPr>
    </w:pPr>
    <w:r>
      <w:rPr>
        <w:rStyle w:val="slostrany"/>
        <w:color w:val="002957"/>
        <w:szCs w:val="17"/>
      </w:rPr>
      <w:fldChar w:fldCharType="begin"/>
    </w:r>
    <w:r>
      <w:rPr>
        <w:rStyle w:val="slostrany"/>
        <w:color w:val="002957"/>
        <w:szCs w:val="17"/>
      </w:rPr>
      <w:instrText xml:space="preserve"> PAGE   \* MERGEFORMAT </w:instrText>
    </w:r>
    <w:r>
      <w:rPr>
        <w:rStyle w:val="slostrany"/>
        <w:color w:val="002957"/>
        <w:szCs w:val="17"/>
      </w:rPr>
      <w:fldChar w:fldCharType="separate"/>
    </w:r>
    <w:r w:rsidR="003318D1">
      <w:rPr>
        <w:rStyle w:val="slostrany"/>
        <w:noProof/>
        <w:color w:val="002957"/>
        <w:szCs w:val="17"/>
      </w:rPr>
      <w:t>2</w:t>
    </w:r>
    <w:r>
      <w:rPr>
        <w:rStyle w:val="slostrany"/>
        <w:color w:val="002957"/>
        <w:szCs w:val="17"/>
      </w:rPr>
      <w:fldChar w:fldCharType="end"/>
    </w:r>
  </w:p>
  <w:p w14:paraId="38FF2D1D" w14:textId="77777777" w:rsidR="00774ED6" w:rsidRPr="0085650F" w:rsidRDefault="003318D1" w:rsidP="0029642B">
    <w:pPr>
      <w:tabs>
        <w:tab w:val="right" w:pos="10260"/>
      </w:tabs>
      <w:autoSpaceDE w:val="0"/>
      <w:autoSpaceDN w:val="0"/>
      <w:adjustRightInd w:val="0"/>
      <w:ind w:right="360"/>
      <w:textAlignment w:val="center"/>
      <w:rPr>
        <w:rFonts w:ascii="Arial" w:hAnsi="Arial"/>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5818B5" w14:textId="77777777" w:rsidR="001A61B6" w:rsidRPr="006A3720" w:rsidRDefault="00152882" w:rsidP="00A42CBE">
    <w:pPr>
      <w:framePr w:w="3958" w:h="1015" w:hRule="exact" w:hSpace="181" w:wrap="around" w:vAnchor="page" w:hAnchor="page" w:x="7259" w:y="15423" w:anchorLock="1"/>
      <w:rPr>
        <w:rFonts w:cs="Tahoma"/>
        <w:color w:val="002957"/>
        <w:sz w:val="14"/>
        <w:szCs w:val="14"/>
      </w:rPr>
    </w:pPr>
    <w:r w:rsidRPr="006A3720">
      <w:rPr>
        <w:rFonts w:cs="Tahoma"/>
        <w:color w:val="002957"/>
        <w:sz w:val="14"/>
        <w:szCs w:val="14"/>
      </w:rPr>
      <w:t xml:space="preserve">© </w:t>
    </w:r>
    <w:r w:rsidRPr="006A3720">
      <w:rPr>
        <w:color w:val="002957"/>
        <w:sz w:val="14"/>
        <w:szCs w:val="14"/>
        <w:lang w:val="en-US"/>
      </w:rPr>
      <w:t>Reproduction in whole or in part of the content of this document and the communication thereof are made with the consent of Insurance Europe, must be clearly attributed to Insurance Europe and must include the date of the Insurance Europe document.</w:t>
    </w:r>
  </w:p>
  <w:p w14:paraId="30B8AD9F" w14:textId="77777777" w:rsidR="00C728C8" w:rsidRDefault="00152882" w:rsidP="00BD3110">
    <w:pPr>
      <w:pStyle w:val="CEAFooterauthorinfo"/>
      <w:ind w:left="567"/>
      <w:jc w:val="left"/>
      <w:rPr>
        <w:b w:val="0"/>
        <w:color w:val="002957"/>
        <w:sz w:val="14"/>
        <w:szCs w:val="14"/>
        <w:lang w:val="pt-PT"/>
      </w:rPr>
    </w:pPr>
    <w:r w:rsidRPr="00A4463C">
      <w:rPr>
        <w:b w:val="0"/>
        <w:color w:val="002957"/>
        <w:sz w:val="14"/>
        <w:szCs w:val="14"/>
        <w:lang w:val="fr-BE"/>
      </w:rPr>
      <w:t>Insurance Europe aisbl</w:t>
    </w:r>
  </w:p>
  <w:p w14:paraId="37E98CBF" w14:textId="77777777" w:rsidR="00774ED6" w:rsidRPr="00A4463C" w:rsidRDefault="00A4463C" w:rsidP="00BD3110">
    <w:pPr>
      <w:pStyle w:val="CEAFooterauthorinfo"/>
      <w:ind w:left="567"/>
      <w:jc w:val="left"/>
      <w:rPr>
        <w:b w:val="0"/>
        <w:color w:val="002957"/>
        <w:sz w:val="14"/>
        <w:szCs w:val="14"/>
        <w:lang w:val="fr-BE"/>
      </w:rPr>
    </w:pPr>
    <w:r w:rsidRPr="00A4463C">
      <w:rPr>
        <w:b w:val="0"/>
        <w:color w:val="002957"/>
        <w:sz w:val="14"/>
        <w:szCs w:val="14"/>
        <w:lang w:val="fr-BE"/>
      </w:rPr>
      <w:t>Rue Montoyer 51, B-1000 Brussels</w:t>
    </w:r>
    <w:r w:rsidR="00BD3110" w:rsidRPr="00A4463C">
      <w:rPr>
        <w:b w:val="0"/>
        <w:color w:val="002957"/>
        <w:sz w:val="14"/>
        <w:szCs w:val="14"/>
        <w:lang w:val="fr-BE"/>
      </w:rPr>
      <w:t xml:space="preserve"> </w:t>
    </w:r>
  </w:p>
  <w:p w14:paraId="15C94904" w14:textId="77777777" w:rsidR="00774ED6" w:rsidRDefault="00152882" w:rsidP="00994483">
    <w:pPr>
      <w:pStyle w:val="CEAFooterauthorinfo"/>
      <w:ind w:left="567"/>
      <w:jc w:val="left"/>
      <w:rPr>
        <w:b w:val="0"/>
        <w:color w:val="002957"/>
        <w:sz w:val="14"/>
        <w:szCs w:val="14"/>
        <w:lang w:val="pt-PT"/>
      </w:rPr>
    </w:pPr>
    <w:r w:rsidRPr="0085650F">
      <w:rPr>
        <w:b w:val="0"/>
        <w:color w:val="002957"/>
        <w:sz w:val="14"/>
        <w:szCs w:val="14"/>
        <w:lang w:val="pt-PT"/>
      </w:rPr>
      <w:t>Tel:</w:t>
    </w:r>
    <w:r w:rsidR="00407B3E">
      <w:rPr>
        <w:b w:val="0"/>
        <w:color w:val="002957"/>
        <w:sz w:val="14"/>
        <w:szCs w:val="14"/>
        <w:lang w:val="pt-PT"/>
      </w:rPr>
      <w:t xml:space="preserve"> +32 2 894 30 00 • Fax: +32 2 894 30 01</w:t>
    </w:r>
  </w:p>
  <w:p w14:paraId="6602D8D2" w14:textId="77777777" w:rsidR="00F96C48" w:rsidRDefault="00A4463C" w:rsidP="00994483">
    <w:pPr>
      <w:pStyle w:val="CEAFooterauthorinfo"/>
      <w:ind w:left="567"/>
      <w:jc w:val="left"/>
      <w:rPr>
        <w:b w:val="0"/>
        <w:color w:val="82C55B"/>
        <w:sz w:val="14"/>
        <w:szCs w:val="14"/>
        <w:lang w:val="pt-PT"/>
      </w:rPr>
    </w:pPr>
    <w:r>
      <w:rPr>
        <w:b w:val="0"/>
        <w:color w:val="002957"/>
        <w:sz w:val="14"/>
        <w:szCs w:val="14"/>
        <w:lang w:val="pt-PT"/>
      </w:rPr>
      <w:t>E-mail : info@insuranceeurope.eu</w:t>
    </w:r>
  </w:p>
  <w:p w14:paraId="1644DD3D" w14:textId="77777777" w:rsidR="00774ED6" w:rsidRPr="0085650F" w:rsidRDefault="00F96C48" w:rsidP="00A4463C">
    <w:pPr>
      <w:pStyle w:val="CEAFooterauthorinfo"/>
      <w:jc w:val="left"/>
      <w:rPr>
        <w:b w:val="0"/>
        <w:color w:val="82C55B"/>
        <w:sz w:val="14"/>
        <w:szCs w:val="14"/>
        <w:lang w:val="pt-PT"/>
      </w:rPr>
    </w:pPr>
    <w:r>
      <w:rPr>
        <w:b w:val="0"/>
        <w:color w:val="82C55B"/>
        <w:sz w:val="14"/>
        <w:szCs w:val="14"/>
        <w:lang w:val="pt-PT"/>
      </w:rPr>
      <w:t xml:space="preserve">           </w:t>
    </w:r>
    <w:r w:rsidRPr="00A4463C">
      <w:rPr>
        <w:b w:val="0"/>
        <w:color w:val="82C55B"/>
        <w:sz w:val="14"/>
        <w:szCs w:val="14"/>
        <w:lang w:val="pt-PT"/>
      </w:rPr>
      <w:t>www.insuranceeurope.eu</w:t>
    </w:r>
  </w:p>
  <w:p w14:paraId="6AE824AE" w14:textId="77777777" w:rsidR="00774ED6" w:rsidRPr="00A4463C" w:rsidRDefault="003318D1">
    <w:pPr>
      <w:pStyle w:val="Pta"/>
      <w:rPr>
        <w:color w:val="002957"/>
        <w:sz w:val="14"/>
        <w:szCs w:val="14"/>
        <w:lang w:val="fr-B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4C26C2" w14:textId="77777777" w:rsidR="00017E2D" w:rsidRDefault="00017E2D">
      <w:pPr>
        <w:spacing w:line="240" w:lineRule="auto"/>
      </w:pPr>
      <w:r>
        <w:separator/>
      </w:r>
    </w:p>
  </w:footnote>
  <w:footnote w:type="continuationSeparator" w:id="0">
    <w:p w14:paraId="5F77AC27" w14:textId="77777777" w:rsidR="00017E2D" w:rsidRDefault="00017E2D">
      <w:pPr>
        <w:spacing w:line="240" w:lineRule="auto"/>
      </w:pPr>
      <w:r>
        <w:continuationSeparator/>
      </w:r>
    </w:p>
  </w:footnote>
  <w:footnote w:id="1">
    <w:p w14:paraId="0F8717DE" w14:textId="77777777" w:rsidR="00E46D05" w:rsidRDefault="00E46D05" w:rsidP="00E46D05">
      <w:pPr>
        <w:pStyle w:val="Textpoznmkypodiarou"/>
        <w:rPr>
          <w:lang w:val="en-US"/>
        </w:rPr>
      </w:pPr>
      <w:r>
        <w:rPr>
          <w:rStyle w:val="Odkaznapoznmkupodiarou"/>
        </w:rPr>
        <w:footnoteRef/>
      </w:r>
      <w:r>
        <w:t xml:space="preserve"> </w:t>
      </w:r>
      <w:r w:rsidRPr="009F6016">
        <w:rPr>
          <w:sz w:val="16"/>
          <w:szCs w:val="16"/>
          <w:lang w:val="en-US"/>
        </w:rPr>
        <w:t xml:space="preserve">See page 72 of </w:t>
      </w:r>
      <w:hyperlink r:id="rId1" w:history="1">
        <w:r w:rsidRPr="009F6016">
          <w:rPr>
            <w:rStyle w:val="Hypertextovprepojenie"/>
            <w:sz w:val="16"/>
            <w:szCs w:val="16"/>
            <w:lang w:val="en-US"/>
          </w:rPr>
          <w:t>https://ec.europa.eu/info/sites/info/files/180131-sustainable-finance-final-report_en.pdf</w:t>
        </w:r>
      </w:hyperlink>
    </w:p>
    <w:p w14:paraId="4CAB57EB" w14:textId="77777777" w:rsidR="00E46D05" w:rsidRPr="009F6016" w:rsidRDefault="00E46D05" w:rsidP="00E46D05">
      <w:pPr>
        <w:pStyle w:val="Textpoznmkypodiarou"/>
        <w:rPr>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740102" w14:textId="77777777" w:rsidR="003318D1" w:rsidRDefault="003318D1">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134108" w14:textId="77777777" w:rsidR="00774ED6" w:rsidRPr="00323E1C" w:rsidRDefault="00152882" w:rsidP="000846C0">
    <w:pPr>
      <w:pStyle w:val="Noparagraphstyle"/>
      <w:jc w:val="right"/>
      <w:rPr>
        <w:rFonts w:ascii="Verdana" w:hAnsi="Verdana"/>
        <w:sz w:val="18"/>
        <w:szCs w:val="18"/>
      </w:rPr>
    </w:pPr>
    <w:r w:rsidRPr="000D41DA">
      <w:rPr>
        <w:rFonts w:ascii="Frutiger LT Com 45 Light" w:hAnsi="Frutiger LT Com 45 Light"/>
        <w:noProof/>
        <w:lang w:val="sk-SK" w:eastAsia="sk-SK"/>
      </w:rPr>
      <w:drawing>
        <wp:anchor distT="0" distB="0" distL="114300" distR="114300" simplePos="0" relativeHeight="251658752" behindDoc="0" locked="0" layoutInCell="1" allowOverlap="1" wp14:anchorId="21275F8D" wp14:editId="7E895CB7">
          <wp:simplePos x="0" y="0"/>
          <wp:positionH relativeFrom="page">
            <wp:posOffset>528955</wp:posOffset>
          </wp:positionH>
          <wp:positionV relativeFrom="page">
            <wp:posOffset>521970</wp:posOffset>
          </wp:positionV>
          <wp:extent cx="1457325" cy="895350"/>
          <wp:effectExtent l="19050" t="0" r="0" b="0"/>
          <wp:wrapSquare wrapText="bothSides"/>
          <wp:docPr id="1" name="Picture 11" descr="CEA+baseline_RVB_200dpi(p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EA+baseline_RVB_200dpi(psd)"/>
                  <pic:cNvPicPr>
                    <a:picLocks noChangeAspect="1" noChangeArrowheads="1"/>
                  </pic:cNvPicPr>
                </pic:nvPicPr>
                <pic:blipFill>
                  <a:blip r:embed="rId1"/>
                  <a:stretch>
                    <a:fillRect/>
                  </a:stretch>
                </pic:blipFill>
                <pic:spPr bwMode="auto">
                  <a:xfrm>
                    <a:off x="0" y="0"/>
                    <a:ext cx="1456193" cy="895350"/>
                  </a:xfrm>
                  <a:prstGeom prst="rect">
                    <a:avLst/>
                  </a:prstGeom>
                  <a:noFill/>
                </pic:spPr>
              </pic:pic>
            </a:graphicData>
          </a:graphic>
        </wp:anchor>
      </w:drawing>
    </w:r>
  </w:p>
  <w:p w14:paraId="05B2918C" w14:textId="77777777" w:rsidR="00774ED6" w:rsidRPr="0085650F" w:rsidRDefault="00152882" w:rsidP="000846C0">
    <w:pPr>
      <w:pStyle w:val="Noparagraphstyle"/>
      <w:jc w:val="right"/>
      <w:rPr>
        <w:rFonts w:ascii="Verdana" w:hAnsi="Verdana" w:cs="Arial"/>
        <w:i/>
        <w:iCs/>
        <w:color w:val="034EA2"/>
      </w:rPr>
    </w:pPr>
    <w:r w:rsidRPr="00323E1C">
      <w:rPr>
        <w:rFonts w:ascii="Verdana" w:hAnsi="Verdana"/>
      </w:rPr>
      <w:tab/>
    </w:r>
  </w:p>
  <w:p w14:paraId="2E865FD5" w14:textId="77777777" w:rsidR="00774ED6" w:rsidRPr="00491802" w:rsidRDefault="003318D1" w:rsidP="000846C0">
    <w:pPr>
      <w:pStyle w:val="Hlavika"/>
      <w:tabs>
        <w:tab w:val="clear" w:pos="4320"/>
        <w:tab w:val="clear" w:pos="8640"/>
        <w:tab w:val="center" w:pos="0"/>
        <w:tab w:val="right" w:pos="10440"/>
      </w:tabs>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B2A407" w14:textId="77777777" w:rsidR="00774ED6" w:rsidRPr="00323E1C" w:rsidRDefault="00152882" w:rsidP="0029642B">
    <w:pPr>
      <w:pStyle w:val="Noparagraphstyle"/>
      <w:jc w:val="right"/>
      <w:rPr>
        <w:rFonts w:ascii="Verdana" w:hAnsi="Verdana"/>
        <w:sz w:val="18"/>
        <w:szCs w:val="18"/>
      </w:rPr>
    </w:pPr>
    <w:r w:rsidRPr="000D41DA">
      <w:rPr>
        <w:rFonts w:ascii="Frutiger LT Com 45 Light" w:hAnsi="Frutiger LT Com 45 Light"/>
        <w:noProof/>
        <w:sz w:val="18"/>
        <w:szCs w:val="18"/>
        <w:lang w:val="sk-SK" w:eastAsia="sk-SK"/>
      </w:rPr>
      <w:drawing>
        <wp:anchor distT="0" distB="0" distL="114300" distR="114300" simplePos="0" relativeHeight="251657216" behindDoc="0" locked="0" layoutInCell="1" allowOverlap="1" wp14:anchorId="7D8FF058" wp14:editId="160468A4">
          <wp:simplePos x="0" y="0"/>
          <wp:positionH relativeFrom="page">
            <wp:posOffset>523875</wp:posOffset>
          </wp:positionH>
          <wp:positionV relativeFrom="page">
            <wp:posOffset>523875</wp:posOffset>
          </wp:positionV>
          <wp:extent cx="1457325" cy="895350"/>
          <wp:effectExtent l="19050" t="0" r="0" b="0"/>
          <wp:wrapSquare wrapText="bothSides"/>
          <wp:docPr id="3" name="Picture 11" descr="CEA+baseline_RVB_200dpi(p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EA+baseline_RVB_200dpi(psd)"/>
                  <pic:cNvPicPr>
                    <a:picLocks noChangeAspect="1" noChangeArrowheads="1"/>
                  </pic:cNvPicPr>
                </pic:nvPicPr>
                <pic:blipFill>
                  <a:blip r:embed="rId1"/>
                  <a:stretch>
                    <a:fillRect/>
                  </a:stretch>
                </pic:blipFill>
                <pic:spPr bwMode="auto">
                  <a:xfrm>
                    <a:off x="0" y="0"/>
                    <a:ext cx="1456193" cy="895350"/>
                  </a:xfrm>
                  <a:prstGeom prst="rect">
                    <a:avLst/>
                  </a:prstGeom>
                  <a:noFill/>
                </pic:spPr>
              </pic:pic>
            </a:graphicData>
          </a:graphic>
        </wp:anchor>
      </w:drawing>
    </w:r>
  </w:p>
  <w:p w14:paraId="7E4B7E20" w14:textId="77777777" w:rsidR="00774ED6" w:rsidRDefault="003318D1">
    <w:pPr>
      <w:pStyle w:val="Hlavika"/>
    </w:pPr>
  </w:p>
  <w:p w14:paraId="31328CCF" w14:textId="77777777" w:rsidR="001C24A2" w:rsidRDefault="003318D1">
    <w:pPr>
      <w:pStyle w:val="Hlavika"/>
    </w:pPr>
  </w:p>
  <w:p w14:paraId="7B50AC59" w14:textId="77777777" w:rsidR="001C24A2" w:rsidRDefault="003318D1">
    <w:pPr>
      <w:pStyle w:val="Hlavika"/>
    </w:pPr>
  </w:p>
  <w:p w14:paraId="60F0D9A7" w14:textId="1D1E0D8A" w:rsidR="00774ED6" w:rsidRPr="009F36CD" w:rsidRDefault="00152882" w:rsidP="00105937">
    <w:pPr>
      <w:jc w:val="right"/>
      <w:rPr>
        <w:rFonts w:cs="Arial"/>
        <w:color w:val="002957"/>
        <w:sz w:val="36"/>
        <w:szCs w:val="36"/>
      </w:rPr>
    </w:pPr>
    <w:r>
      <w:tab/>
    </w:r>
    <w:r>
      <w:tab/>
    </w:r>
    <w:r w:rsidRPr="0085650F">
      <w:rPr>
        <w:rFonts w:cs="Arial"/>
        <w:b/>
        <w:color w:val="034EA2"/>
        <w:sz w:val="40"/>
        <w:szCs w:val="40"/>
      </w:rPr>
      <w:tab/>
    </w:r>
    <w:r w:rsidRPr="0085650F">
      <w:rPr>
        <w:rFonts w:cs="Arial"/>
        <w:b/>
        <w:color w:val="034EA2"/>
        <w:sz w:val="40"/>
        <w:szCs w:val="40"/>
      </w:rPr>
      <w:tab/>
    </w:r>
    <w:r w:rsidRPr="0085650F">
      <w:rPr>
        <w:rFonts w:cs="Arial"/>
        <w:b/>
        <w:color w:val="034EA2"/>
        <w:sz w:val="40"/>
        <w:szCs w:val="40"/>
      </w:rPr>
      <w:tab/>
    </w:r>
    <w:r w:rsidRPr="0085650F">
      <w:rPr>
        <w:rFonts w:cs="Arial"/>
        <w:b/>
        <w:color w:val="034EA2"/>
        <w:sz w:val="40"/>
        <w:szCs w:val="40"/>
      </w:rPr>
      <w:tab/>
    </w:r>
    <w:r w:rsidRPr="0085650F">
      <w:rPr>
        <w:rFonts w:cs="Arial"/>
        <w:b/>
        <w:color w:val="034EA2"/>
        <w:sz w:val="40"/>
        <w:szCs w:val="40"/>
      </w:rPr>
      <w:tab/>
    </w:r>
    <w:r w:rsidRPr="0085650F">
      <w:rPr>
        <w:rFonts w:cs="Arial"/>
        <w:b/>
        <w:sz w:val="40"/>
        <w:szCs w:val="40"/>
      </w:rPr>
      <w:tab/>
    </w:r>
    <w:r w:rsidR="0034036B" w:rsidRPr="0034036B">
      <w:rPr>
        <w:rFonts w:cs="Arial"/>
        <w:b/>
        <w:color w:val="FF0000"/>
        <w:sz w:val="40"/>
        <w:szCs w:val="40"/>
      </w:rPr>
      <w:t xml:space="preserve">1st DRAFT </w:t>
    </w:r>
    <w:r w:rsidR="009F36CD">
      <w:rPr>
        <w:rFonts w:cs="Arial"/>
        <w:color w:val="002957"/>
        <w:sz w:val="36"/>
        <w:szCs w:val="36"/>
      </w:rPr>
      <w:t>Position Paper</w:t>
    </w:r>
  </w:p>
  <w:p w14:paraId="12DAB74F" w14:textId="611A23D0" w:rsidR="0017261F" w:rsidRDefault="0017261F" w:rsidP="0017261F">
    <w:pPr>
      <w:jc w:val="right"/>
      <w:rPr>
        <w:b/>
        <w:i/>
        <w:color w:val="002957"/>
        <w:sz w:val="32"/>
        <w:szCs w:val="32"/>
      </w:rPr>
    </w:pPr>
    <w:bookmarkStart w:id="0" w:name="Draft1st"/>
    <w:bookmarkEnd w:id="0"/>
  </w:p>
  <w:p w14:paraId="6BB70ACB" w14:textId="77777777" w:rsidR="00B21F6A" w:rsidRPr="0034036B" w:rsidRDefault="003318D1" w:rsidP="00E20AAF">
    <w:pPr>
      <w:pStyle w:val="CEADraft"/>
      <w:rPr>
        <w:color w:val="002957"/>
      </w:rPr>
    </w:pPr>
  </w:p>
  <w:p w14:paraId="6825F751" w14:textId="77777777" w:rsidR="00634FC9" w:rsidRPr="0034036B" w:rsidRDefault="003318D1" w:rsidP="009F1297">
    <w:pPr>
      <w:rPr>
        <w:color w:val="002957"/>
      </w:rPr>
    </w:pPr>
  </w:p>
  <w:p w14:paraId="138DDC15" w14:textId="7FC02DE2" w:rsidR="00634FC9" w:rsidRPr="0034036B" w:rsidRDefault="00EA6C94" w:rsidP="001C24A2">
    <w:pPr>
      <w:pStyle w:val="CEAPositionPaperTitle"/>
      <w:ind w:left="567"/>
      <w:rPr>
        <w:b w:val="0"/>
        <w:color w:val="002957"/>
        <w:sz w:val="28"/>
        <w:szCs w:val="28"/>
      </w:rPr>
    </w:pPr>
    <w:bookmarkStart w:id="1" w:name="_GoBack"/>
    <w:r w:rsidRPr="0034036B">
      <w:rPr>
        <w:b w:val="0"/>
        <w:color w:val="002957"/>
        <w:sz w:val="28"/>
        <w:szCs w:val="28"/>
      </w:rPr>
      <w:t xml:space="preserve">Insurance Europe comments on </w:t>
    </w:r>
    <w:r w:rsidR="0034036B" w:rsidRPr="0034036B">
      <w:rPr>
        <w:b w:val="0"/>
        <w:color w:val="002957"/>
        <w:sz w:val="28"/>
        <w:szCs w:val="28"/>
      </w:rPr>
      <w:t xml:space="preserve">amendments </w:t>
    </w:r>
    <w:r w:rsidR="0034036B">
      <w:rPr>
        <w:b w:val="0"/>
        <w:color w:val="002957"/>
        <w:sz w:val="28"/>
        <w:szCs w:val="28"/>
      </w:rPr>
      <w:t>to</w:t>
    </w:r>
    <w:r w:rsidRPr="00EA6C94">
      <w:rPr>
        <w:b w:val="0"/>
        <w:color w:val="002957"/>
        <w:sz w:val="28"/>
        <w:szCs w:val="28"/>
      </w:rPr>
      <w:t xml:space="preserve"> </w:t>
    </w:r>
    <w:r w:rsidR="0034036B">
      <w:rPr>
        <w:b w:val="0"/>
        <w:color w:val="002957"/>
        <w:sz w:val="28"/>
        <w:szCs w:val="28"/>
      </w:rPr>
      <w:t xml:space="preserve">Solvency II </w:t>
    </w:r>
    <w:r w:rsidRPr="00EA6C94">
      <w:rPr>
        <w:b w:val="0"/>
        <w:color w:val="002957"/>
        <w:sz w:val="28"/>
        <w:szCs w:val="28"/>
      </w:rPr>
      <w:t>Delegated Regulation</w:t>
    </w:r>
    <w:bookmarkEnd w:id="1"/>
    <w:r w:rsidRPr="00EA6C94">
      <w:rPr>
        <w:b w:val="0"/>
        <w:color w:val="002957"/>
        <w:sz w:val="28"/>
        <w:szCs w:val="28"/>
      </w:rPr>
      <w:t xml:space="preserve"> </w:t>
    </w:r>
  </w:p>
  <w:p w14:paraId="4829EC0B" w14:textId="77777777" w:rsidR="00EA6C94" w:rsidRPr="0034036B" w:rsidRDefault="00EA6C94" w:rsidP="001C24A2">
    <w:pPr>
      <w:pStyle w:val="CEAPositionPaperTitle"/>
      <w:ind w:left="567"/>
      <w:rPr>
        <w:b w:val="0"/>
        <w:color w:val="002957"/>
        <w:sz w:val="28"/>
        <w:szCs w:val="28"/>
      </w:rPr>
    </w:pPr>
  </w:p>
  <w:p w14:paraId="4440DC8F" w14:textId="77777777" w:rsidR="00634FC9" w:rsidRPr="0034036B" w:rsidRDefault="003318D1" w:rsidP="00E20AAF"/>
  <w:p w14:paraId="075A2601" w14:textId="77777777" w:rsidR="00634FC9" w:rsidRPr="0034036B" w:rsidRDefault="00152882" w:rsidP="00E20AAF">
    <w:r>
      <w:rPr>
        <w:noProof/>
        <w:lang w:val="sk-SK" w:eastAsia="sk-SK"/>
      </w:rPr>
      <mc:AlternateContent>
        <mc:Choice Requires="wps">
          <w:drawing>
            <wp:anchor distT="0" distB="0" distL="114300" distR="114300" simplePos="0" relativeHeight="251698176" behindDoc="1" locked="1" layoutInCell="1" allowOverlap="1" wp14:anchorId="422F1B0B" wp14:editId="6F69F3C7">
              <wp:simplePos x="0" y="0"/>
              <wp:positionH relativeFrom="page">
                <wp:posOffset>810260</wp:posOffset>
              </wp:positionH>
              <wp:positionV relativeFrom="paragraph">
                <wp:posOffset>158750</wp:posOffset>
              </wp:positionV>
              <wp:extent cx="6158230" cy="1828165"/>
              <wp:effectExtent l="0" t="0" r="13970" b="19685"/>
              <wp:wrapNone/>
              <wp:docPr id="2"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8230" cy="1828165"/>
                      </a:xfrm>
                      <a:prstGeom prst="roundRect">
                        <a:avLst>
                          <a:gd name="adj" fmla="val 16667"/>
                        </a:avLst>
                      </a:prstGeom>
                      <a:noFill/>
                      <a:ln w="6350">
                        <a:solidFill>
                          <a:srgbClr val="82C55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4A4640E" id="AutoShape 18" o:spid="_x0000_s1026" style="position:absolute;margin-left:63.8pt;margin-top:12.5pt;width:484.9pt;height:143.95pt;z-index:-2516183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" filled="f" strokecolor="#82c55b" strokeweight=".5pt">
              <w10:wrap anchorx="page"/>
              <w10:anchorlock/>
            </v:roundrect>
          </w:pict>
        </mc:Fallback>
      </mc:AlternateContent>
    </w:r>
  </w:p>
  <w:tbl>
    <w:tblPr>
      <w:tblW w:w="9484" w:type="dxa"/>
      <w:tblInd w:w="675" w:type="dxa"/>
      <w:tblBorders>
        <w:insideH w:val="single" w:sz="4" w:space="0" w:color="82C55B"/>
      </w:tblBorders>
      <w:tblLayout w:type="fixed"/>
      <w:tblLook w:val="0000" w:firstRow="0" w:lastRow="0" w:firstColumn="0" w:lastColumn="0" w:noHBand="0" w:noVBand="0"/>
    </w:tblPr>
    <w:tblGrid>
      <w:gridCol w:w="1392"/>
      <w:gridCol w:w="3552"/>
      <w:gridCol w:w="1567"/>
      <w:gridCol w:w="2973"/>
    </w:tblGrid>
    <w:tr w:rsidR="006D28F1" w:rsidRPr="000D41DA" w14:paraId="5DB2283A" w14:textId="77777777" w:rsidTr="00EA6C94">
      <w:trPr>
        <w:cantSplit/>
        <w:trHeight w:hRule="exact" w:val="574"/>
      </w:trPr>
      <w:tc>
        <w:tcPr>
          <w:tcW w:w="1392" w:type="dxa"/>
          <w:shd w:val="clear" w:color="auto" w:fill="auto"/>
          <w:vAlign w:val="center"/>
        </w:tcPr>
        <w:p w14:paraId="2870B5DA" w14:textId="77777777" w:rsidR="00634FC9" w:rsidRPr="0085650F" w:rsidRDefault="00152882" w:rsidP="00E20AAF">
          <w:pPr>
            <w:pStyle w:val="CEALabel"/>
            <w:rPr>
              <w:b w:val="0"/>
              <w:color w:val="002957"/>
              <w:sz w:val="17"/>
              <w:szCs w:val="17"/>
            </w:rPr>
          </w:pPr>
          <w:r w:rsidRPr="0085650F">
            <w:rPr>
              <w:b w:val="0"/>
              <w:color w:val="002957"/>
              <w:sz w:val="17"/>
              <w:szCs w:val="17"/>
            </w:rPr>
            <w:t xml:space="preserve">Our reference: </w:t>
          </w:r>
        </w:p>
      </w:tc>
      <w:tc>
        <w:tcPr>
          <w:tcW w:w="3552" w:type="dxa"/>
          <w:shd w:val="clear" w:color="auto" w:fill="auto"/>
          <w:vAlign w:val="center"/>
        </w:tcPr>
        <w:p w14:paraId="06FD3C99" w14:textId="30297060" w:rsidR="00634FC9" w:rsidRPr="00585988" w:rsidRDefault="003318D1" w:rsidP="0008034A">
          <w:pPr>
            <w:jc w:val="left"/>
            <w:rPr>
              <w:color w:val="002957"/>
              <w:sz w:val="17"/>
              <w:szCs w:val="17"/>
            </w:rPr>
          </w:pPr>
          <w:sdt>
            <w:sdtPr>
              <w:rPr>
                <w:color w:val="002957"/>
                <w:sz w:val="17"/>
                <w:szCs w:val="17"/>
              </w:rPr>
              <w:alias w:val="Reference"/>
              <w:tag w:val="Reference"/>
              <w:id w:val="-329138674"/>
              <w:placeholder>
                <w:docPart w:val="C599D63AA9CF4AA08BF74B58D808EA35"/>
              </w:placeholder>
              <w:dataBinding w:prefixMappings="xmlns:ns0='http://schemas.microsoft.com/office/2006/metadata/properties' xmlns:ns1='http://www.w3.org/2001/XMLSchema-instance' xmlns:ns2='http://schemas.microsoft.com/office/infopath/2007/PartnerControls' xmlns:ns3='e0da4f5e-37e5-4fce-b2cf-d2352e4e27d6' xmlns:ns4='d113e6c9-68c2-4198-bb3a-f8ecf571e120' " w:xpath="/ns0:properties[1]/documentManagement[1]/ns4:Reference[1]" w:storeItemID="{B35485A1-11AA-442D-8577-727460E39C5A}"/>
              <w:text/>
            </w:sdtPr>
            <w:sdtEndPr/>
            <w:sdtContent>
              <w:r w:rsidR="00EA6C94">
                <w:rPr>
                  <w:color w:val="002957"/>
                  <w:sz w:val="17"/>
                  <w:szCs w:val="17"/>
                </w:rPr>
                <w:t>ECO-SLV-18</w:t>
              </w:r>
            </w:sdtContent>
          </w:sdt>
        </w:p>
      </w:tc>
      <w:tc>
        <w:tcPr>
          <w:tcW w:w="1567" w:type="dxa"/>
          <w:shd w:val="clear" w:color="auto" w:fill="auto"/>
          <w:vAlign w:val="center"/>
        </w:tcPr>
        <w:p w14:paraId="3C0A693D" w14:textId="77777777" w:rsidR="00634FC9" w:rsidRPr="0085650F" w:rsidRDefault="00152882" w:rsidP="00E20AAF">
          <w:pPr>
            <w:pStyle w:val="CEALabel"/>
            <w:rPr>
              <w:b w:val="0"/>
              <w:color w:val="002957"/>
              <w:sz w:val="17"/>
              <w:szCs w:val="17"/>
            </w:rPr>
          </w:pPr>
          <w:r w:rsidRPr="0085650F">
            <w:rPr>
              <w:b w:val="0"/>
              <w:color w:val="002957"/>
              <w:sz w:val="17"/>
              <w:szCs w:val="17"/>
            </w:rPr>
            <w:t>Date:</w:t>
          </w:r>
        </w:p>
      </w:tc>
      <w:tc>
        <w:tcPr>
          <w:tcW w:w="2973" w:type="dxa"/>
          <w:shd w:val="clear" w:color="auto" w:fill="auto"/>
          <w:vAlign w:val="center"/>
        </w:tcPr>
        <w:p w14:paraId="767410B7" w14:textId="1C38D1AA" w:rsidR="00634FC9" w:rsidRPr="00585988" w:rsidRDefault="00EA6C94" w:rsidP="002D768E">
          <w:pPr>
            <w:jc w:val="left"/>
            <w:rPr>
              <w:color w:val="002957"/>
              <w:sz w:val="17"/>
              <w:szCs w:val="17"/>
            </w:rPr>
          </w:pPr>
          <w:r>
            <w:rPr>
              <w:color w:val="002957"/>
              <w:sz w:val="17"/>
              <w:szCs w:val="17"/>
            </w:rPr>
            <w:t>1</w:t>
          </w:r>
          <w:r w:rsidR="003F4995">
            <w:rPr>
              <w:color w:val="002957"/>
              <w:sz w:val="17"/>
              <w:szCs w:val="17"/>
            </w:rPr>
            <w:t>6</w:t>
          </w:r>
          <w:r>
            <w:rPr>
              <w:color w:val="002957"/>
              <w:sz w:val="17"/>
              <w:szCs w:val="17"/>
            </w:rPr>
            <w:t xml:space="preserve"> November 2018</w:t>
          </w:r>
          <w:r w:rsidR="00152882" w:rsidRPr="00585988">
            <w:rPr>
              <w:color w:val="002957"/>
              <w:sz w:val="17"/>
              <w:szCs w:val="17"/>
            </w:rPr>
            <w:t xml:space="preserve"> </w:t>
          </w:r>
        </w:p>
      </w:tc>
    </w:tr>
    <w:tr w:rsidR="00EA6C94" w:rsidRPr="000D41DA" w14:paraId="0614FC4D" w14:textId="77777777" w:rsidTr="00EA6C94">
      <w:trPr>
        <w:cantSplit/>
        <w:trHeight w:hRule="exact" w:val="1143"/>
      </w:trPr>
      <w:tc>
        <w:tcPr>
          <w:tcW w:w="1392" w:type="dxa"/>
          <w:shd w:val="clear" w:color="auto" w:fill="auto"/>
          <w:vAlign w:val="center"/>
        </w:tcPr>
        <w:p w14:paraId="16BE1AB4" w14:textId="77777777" w:rsidR="00EA6C94" w:rsidRPr="0085650F" w:rsidRDefault="00EA6C94" w:rsidP="00E20AAF">
          <w:pPr>
            <w:pStyle w:val="CEALabel"/>
            <w:rPr>
              <w:b w:val="0"/>
              <w:color w:val="002957"/>
              <w:sz w:val="17"/>
              <w:szCs w:val="17"/>
            </w:rPr>
          </w:pPr>
          <w:r w:rsidRPr="0085650F">
            <w:rPr>
              <w:b w:val="0"/>
              <w:color w:val="002957"/>
              <w:sz w:val="17"/>
              <w:szCs w:val="17"/>
            </w:rPr>
            <w:t>Referring to:</w:t>
          </w:r>
        </w:p>
      </w:tc>
      <w:tc>
        <w:tcPr>
          <w:tcW w:w="8092" w:type="dxa"/>
          <w:gridSpan w:val="3"/>
          <w:shd w:val="clear" w:color="auto" w:fill="auto"/>
          <w:vAlign w:val="center"/>
        </w:tcPr>
        <w:p w14:paraId="40643EFC" w14:textId="77777777" w:rsidR="00EA6C94" w:rsidRDefault="00EA6C94" w:rsidP="00EA6C94">
          <w:pPr>
            <w:rPr>
              <w:color w:val="002957"/>
              <w:sz w:val="17"/>
              <w:szCs w:val="17"/>
            </w:rPr>
          </w:pPr>
          <w:bookmarkStart w:id="2" w:name="_Hlk529953789"/>
          <w:r>
            <w:rPr>
              <w:color w:val="002957"/>
              <w:sz w:val="17"/>
              <w:szCs w:val="17"/>
            </w:rPr>
            <w:t>COMMISSION DELEGATED REGULATION (EU) …/... amending Delegated Regulation (EU) 2015/35 supplementing Directive 2009/138/EC of the European Parliament and of the Council on the taking-up and pursuit of the business of Insurance and Reinsurance (Solvency II)</w:t>
          </w:r>
          <w:bookmarkEnd w:id="2"/>
        </w:p>
        <w:p w14:paraId="1FB5373E" w14:textId="2C8333BA" w:rsidR="00EA6C94" w:rsidRPr="00585988" w:rsidRDefault="00EA6C94" w:rsidP="000077F1">
          <w:pPr>
            <w:jc w:val="left"/>
            <w:rPr>
              <w:color w:val="002957"/>
              <w:sz w:val="17"/>
              <w:szCs w:val="17"/>
            </w:rPr>
          </w:pPr>
        </w:p>
      </w:tc>
    </w:tr>
    <w:tr w:rsidR="006D28F1" w:rsidRPr="000D41DA" w14:paraId="237B651B" w14:textId="77777777" w:rsidTr="00EA6C94">
      <w:trPr>
        <w:cantSplit/>
        <w:trHeight w:hRule="exact" w:val="574"/>
      </w:trPr>
      <w:tc>
        <w:tcPr>
          <w:tcW w:w="1392" w:type="dxa"/>
          <w:shd w:val="clear" w:color="auto" w:fill="auto"/>
          <w:vAlign w:val="center"/>
        </w:tcPr>
        <w:p w14:paraId="560CB03E" w14:textId="77777777" w:rsidR="00634FC9" w:rsidRPr="0085650F" w:rsidRDefault="00152882" w:rsidP="00E20AAF">
          <w:pPr>
            <w:pStyle w:val="CEALabel"/>
            <w:rPr>
              <w:b w:val="0"/>
              <w:color w:val="002957"/>
              <w:sz w:val="17"/>
              <w:szCs w:val="17"/>
            </w:rPr>
          </w:pPr>
          <w:r w:rsidRPr="0085650F">
            <w:rPr>
              <w:b w:val="0"/>
              <w:color w:val="002957"/>
              <w:sz w:val="17"/>
              <w:szCs w:val="17"/>
            </w:rPr>
            <w:t>Contact person:</w:t>
          </w:r>
        </w:p>
      </w:tc>
      <w:tc>
        <w:tcPr>
          <w:tcW w:w="3552" w:type="dxa"/>
          <w:shd w:val="clear" w:color="auto" w:fill="auto"/>
          <w:vAlign w:val="center"/>
        </w:tcPr>
        <w:p w14:paraId="3FD22A64" w14:textId="668C79D8" w:rsidR="00634FC9" w:rsidRPr="00585988" w:rsidRDefault="00EA6C94" w:rsidP="00EA6C94">
          <w:pPr>
            <w:jc w:val="left"/>
            <w:rPr>
              <w:color w:val="002957"/>
              <w:sz w:val="17"/>
              <w:szCs w:val="17"/>
            </w:rPr>
          </w:pPr>
          <w:r w:rsidRPr="00EA6C94">
            <w:rPr>
              <w:color w:val="002957"/>
              <w:sz w:val="17"/>
              <w:szCs w:val="17"/>
            </w:rPr>
            <w:t>Insurance Europe’s Economics and Finance</w:t>
          </w:r>
          <w:r>
            <w:rPr>
              <w:color w:val="002957"/>
              <w:sz w:val="17"/>
              <w:szCs w:val="17"/>
            </w:rPr>
            <w:t xml:space="preserve"> </w:t>
          </w:r>
          <w:r w:rsidRPr="00EA6C94">
            <w:rPr>
              <w:color w:val="002957"/>
              <w:sz w:val="17"/>
              <w:szCs w:val="17"/>
            </w:rPr>
            <w:t>department</w:t>
          </w:r>
        </w:p>
      </w:tc>
      <w:tc>
        <w:tcPr>
          <w:tcW w:w="1567" w:type="dxa"/>
          <w:shd w:val="clear" w:color="auto" w:fill="auto"/>
          <w:vAlign w:val="center"/>
        </w:tcPr>
        <w:p w14:paraId="7CB11F6F" w14:textId="77777777" w:rsidR="00634FC9" w:rsidRPr="0085650F" w:rsidRDefault="00152882" w:rsidP="00E20AAF">
          <w:pPr>
            <w:pStyle w:val="CEALabel"/>
            <w:rPr>
              <w:b w:val="0"/>
              <w:color w:val="002957"/>
              <w:sz w:val="17"/>
              <w:szCs w:val="17"/>
            </w:rPr>
          </w:pPr>
          <w:r w:rsidRPr="0085650F">
            <w:rPr>
              <w:b w:val="0"/>
              <w:color w:val="002957"/>
              <w:sz w:val="17"/>
              <w:szCs w:val="17"/>
            </w:rPr>
            <w:t>E-mail:</w:t>
          </w:r>
        </w:p>
      </w:tc>
      <w:tc>
        <w:tcPr>
          <w:tcW w:w="2973" w:type="dxa"/>
          <w:shd w:val="clear" w:color="auto" w:fill="auto"/>
          <w:vAlign w:val="center"/>
        </w:tcPr>
        <w:p w14:paraId="320FCEC0" w14:textId="28105DCB" w:rsidR="00634FC9" w:rsidRPr="00585988" w:rsidRDefault="00EA6C94" w:rsidP="000077F1">
          <w:pPr>
            <w:jc w:val="left"/>
            <w:rPr>
              <w:color w:val="002957"/>
              <w:sz w:val="17"/>
              <w:szCs w:val="17"/>
            </w:rPr>
          </w:pPr>
          <w:r w:rsidRPr="00EA6C94">
            <w:rPr>
              <w:color w:val="002957"/>
              <w:sz w:val="17"/>
              <w:szCs w:val="17"/>
            </w:rPr>
            <w:t>ecofin@insuranceeurope.eu</w:t>
          </w:r>
        </w:p>
      </w:tc>
    </w:tr>
    <w:tr w:rsidR="006D28F1" w:rsidRPr="000D41DA" w14:paraId="6CC33661" w14:textId="77777777" w:rsidTr="00EA6C94">
      <w:trPr>
        <w:cantSplit/>
        <w:trHeight w:hRule="exact" w:val="574"/>
      </w:trPr>
      <w:tc>
        <w:tcPr>
          <w:tcW w:w="1392" w:type="dxa"/>
          <w:shd w:val="clear" w:color="auto" w:fill="auto"/>
          <w:vAlign w:val="center"/>
        </w:tcPr>
        <w:p w14:paraId="4FE28FFA" w14:textId="77777777" w:rsidR="00634FC9" w:rsidRPr="0085650F" w:rsidRDefault="00152882" w:rsidP="00E20AAF">
          <w:pPr>
            <w:pStyle w:val="CEALabel"/>
            <w:rPr>
              <w:b w:val="0"/>
              <w:color w:val="002957"/>
              <w:sz w:val="17"/>
              <w:szCs w:val="17"/>
            </w:rPr>
          </w:pPr>
          <w:r w:rsidRPr="0085650F">
            <w:rPr>
              <w:b w:val="0"/>
              <w:color w:val="002957"/>
              <w:sz w:val="17"/>
              <w:szCs w:val="17"/>
            </w:rPr>
            <w:t xml:space="preserve">Pages: </w:t>
          </w:r>
        </w:p>
      </w:tc>
      <w:tc>
        <w:tcPr>
          <w:tcW w:w="3552" w:type="dxa"/>
          <w:shd w:val="clear" w:color="auto" w:fill="auto"/>
          <w:vAlign w:val="center"/>
        </w:tcPr>
        <w:p w14:paraId="41BA5B7D" w14:textId="273EE92E" w:rsidR="00634FC9" w:rsidRPr="00585988" w:rsidRDefault="00152882" w:rsidP="00E20AAF">
          <w:pPr>
            <w:rPr>
              <w:color w:val="002957"/>
              <w:spacing w:val="-4"/>
              <w:w w:val="90"/>
              <w:sz w:val="17"/>
              <w:szCs w:val="17"/>
            </w:rPr>
          </w:pPr>
          <w:r w:rsidRPr="00585988">
            <w:rPr>
              <w:rStyle w:val="slostrany"/>
              <w:color w:val="002957"/>
              <w:sz w:val="17"/>
              <w:szCs w:val="17"/>
            </w:rPr>
            <w:fldChar w:fldCharType="begin"/>
          </w:r>
          <w:r w:rsidRPr="00585988">
            <w:rPr>
              <w:rStyle w:val="slostrany"/>
              <w:color w:val="002957"/>
              <w:sz w:val="17"/>
              <w:szCs w:val="17"/>
            </w:rPr>
            <w:instrText xml:space="preserve"> NUMPAGES </w:instrText>
          </w:r>
          <w:r w:rsidRPr="00585988">
            <w:rPr>
              <w:rStyle w:val="slostrany"/>
              <w:color w:val="002957"/>
              <w:sz w:val="17"/>
              <w:szCs w:val="17"/>
            </w:rPr>
            <w:fldChar w:fldCharType="separate"/>
          </w:r>
          <w:r w:rsidR="003318D1">
            <w:rPr>
              <w:rStyle w:val="slostrany"/>
              <w:noProof/>
              <w:color w:val="002957"/>
              <w:sz w:val="17"/>
              <w:szCs w:val="17"/>
            </w:rPr>
            <w:t>14</w:t>
          </w:r>
          <w:r w:rsidRPr="00585988">
            <w:rPr>
              <w:rStyle w:val="slostrany"/>
              <w:color w:val="002957"/>
              <w:sz w:val="17"/>
              <w:szCs w:val="17"/>
            </w:rPr>
            <w:fldChar w:fldCharType="end"/>
          </w:r>
        </w:p>
      </w:tc>
      <w:tc>
        <w:tcPr>
          <w:tcW w:w="1567" w:type="dxa"/>
          <w:shd w:val="clear" w:color="auto" w:fill="auto"/>
          <w:vAlign w:val="center"/>
        </w:tcPr>
        <w:p w14:paraId="255492F1" w14:textId="77777777" w:rsidR="00634FC9" w:rsidRPr="00585988" w:rsidRDefault="00974483" w:rsidP="001C24A2">
          <w:pPr>
            <w:ind w:right="-117"/>
            <w:rPr>
              <w:b/>
              <w:color w:val="002957"/>
              <w:sz w:val="17"/>
              <w:szCs w:val="17"/>
            </w:rPr>
          </w:pPr>
          <w:r>
            <w:rPr>
              <w:rFonts w:cs="Arial"/>
              <w:color w:val="002957"/>
              <w:sz w:val="17"/>
              <w:szCs w:val="17"/>
            </w:rPr>
            <w:t xml:space="preserve">Transparency Register </w:t>
          </w:r>
          <w:r w:rsidR="00152882" w:rsidRPr="00585988">
            <w:rPr>
              <w:rFonts w:cs="Arial"/>
              <w:color w:val="002957"/>
              <w:sz w:val="17"/>
              <w:szCs w:val="17"/>
            </w:rPr>
            <w:t>ID no.:</w:t>
          </w:r>
        </w:p>
      </w:tc>
      <w:tc>
        <w:tcPr>
          <w:tcW w:w="2973" w:type="dxa"/>
          <w:shd w:val="clear" w:color="auto" w:fill="auto"/>
          <w:vAlign w:val="center"/>
        </w:tcPr>
        <w:p w14:paraId="3895FACC" w14:textId="77777777" w:rsidR="00634FC9" w:rsidRPr="00585988" w:rsidRDefault="00152882" w:rsidP="00E20AAF">
          <w:pPr>
            <w:rPr>
              <w:color w:val="002957"/>
              <w:sz w:val="17"/>
              <w:szCs w:val="17"/>
            </w:rPr>
          </w:pPr>
          <w:r w:rsidRPr="00585988">
            <w:rPr>
              <w:rFonts w:cs="Tahoma"/>
              <w:color w:val="002957"/>
              <w:sz w:val="17"/>
              <w:szCs w:val="17"/>
            </w:rPr>
            <w:t>33213703459-54</w:t>
          </w:r>
        </w:p>
      </w:tc>
    </w:tr>
  </w:tbl>
  <w:p w14:paraId="180A1204" w14:textId="77777777" w:rsidR="00634FC9" w:rsidRPr="000D41DA" w:rsidRDefault="003318D1" w:rsidP="00634FC9">
    <w:pPr>
      <w:rPr>
        <w:b/>
        <w:sz w:val="22"/>
        <w:szCs w:val="22"/>
      </w:rPr>
    </w:pPr>
  </w:p>
  <w:p w14:paraId="5561D0C9" w14:textId="77777777" w:rsidR="009F1297" w:rsidRPr="000D41DA" w:rsidRDefault="003318D1" w:rsidP="009F129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CEA - Bullets Rounded Squares_BulletLevel1_forMS"/>
      </v:shape>
    </w:pict>
  </w:numPicBullet>
  <w:numPicBullet w:numPicBulletId="1">
    <w:pict>
      <v:shape id="_x0000_i1027" type="#_x0000_t75" style="width:7.5pt;height:7.5pt" o:bullet="t">
        <v:imagedata r:id="rId2" o:title="CEA - Bullets Rounded Squares_BulletLevel2_forMS"/>
      </v:shape>
    </w:pict>
  </w:numPicBullet>
  <w:numPicBullet w:numPicBulletId="2">
    <w:pict>
      <v:shape id="_x0000_i1028" type="#_x0000_t75" style="width:9pt;height:9pt" o:bullet="t">
        <v:imagedata r:id="rId3" o:title="CEA - Bullets Rounded Squares_BulletLevel3_forMS"/>
      </v:shape>
    </w:pict>
  </w:numPicBullet>
  <w:abstractNum w:abstractNumId="0" w15:restartNumberingAfterBreak="0">
    <w:nsid w:val="0E796AE0"/>
    <w:multiLevelType w:val="hybridMultilevel"/>
    <w:tmpl w:val="B4F484D8"/>
    <w:lvl w:ilvl="0" w:tplc="B4325D94">
      <w:start w:val="165"/>
      <w:numFmt w:val="bullet"/>
      <w:pStyle w:val="CEABullet-Level1"/>
      <w:lvlText w:val=""/>
      <w:lvlPicBulletId w:val="0"/>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054071E"/>
    <w:multiLevelType w:val="hybridMultilevel"/>
    <w:tmpl w:val="EBE65710"/>
    <w:lvl w:ilvl="0" w:tplc="A0240652">
      <w:start w:val="165"/>
      <w:numFmt w:val="bullet"/>
      <w:pStyle w:val="CEABullet-Level2"/>
      <w:lvlText w:val=""/>
      <w:lvlPicBulletId w:val="1"/>
      <w:lvlJc w:val="left"/>
      <w:pPr>
        <w:ind w:left="1800" w:hanging="360"/>
      </w:pPr>
      <w:rPr>
        <w:rFonts w:ascii="Symbol" w:hAnsi="Symbol" w:hint="default"/>
        <w:color w:val="auto"/>
      </w:rPr>
    </w:lvl>
    <w:lvl w:ilvl="1" w:tplc="080C0003" w:tentative="1">
      <w:start w:val="1"/>
      <w:numFmt w:val="bullet"/>
      <w:lvlText w:val="o"/>
      <w:lvlJc w:val="left"/>
      <w:pPr>
        <w:ind w:left="2520" w:hanging="360"/>
      </w:pPr>
      <w:rPr>
        <w:rFonts w:ascii="Courier New" w:hAnsi="Courier New" w:cs="Courier New" w:hint="default"/>
      </w:rPr>
    </w:lvl>
    <w:lvl w:ilvl="2" w:tplc="080C0005" w:tentative="1">
      <w:start w:val="1"/>
      <w:numFmt w:val="bullet"/>
      <w:lvlText w:val=""/>
      <w:lvlJc w:val="left"/>
      <w:pPr>
        <w:ind w:left="3240" w:hanging="360"/>
      </w:pPr>
      <w:rPr>
        <w:rFonts w:ascii="Wingdings" w:hAnsi="Wingdings" w:hint="default"/>
      </w:rPr>
    </w:lvl>
    <w:lvl w:ilvl="3" w:tplc="080C0001" w:tentative="1">
      <w:start w:val="1"/>
      <w:numFmt w:val="bullet"/>
      <w:lvlText w:val=""/>
      <w:lvlJc w:val="left"/>
      <w:pPr>
        <w:ind w:left="3960" w:hanging="360"/>
      </w:pPr>
      <w:rPr>
        <w:rFonts w:ascii="Symbol" w:hAnsi="Symbol" w:hint="default"/>
      </w:rPr>
    </w:lvl>
    <w:lvl w:ilvl="4" w:tplc="080C0003" w:tentative="1">
      <w:start w:val="1"/>
      <w:numFmt w:val="bullet"/>
      <w:lvlText w:val="o"/>
      <w:lvlJc w:val="left"/>
      <w:pPr>
        <w:ind w:left="4680" w:hanging="360"/>
      </w:pPr>
      <w:rPr>
        <w:rFonts w:ascii="Courier New" w:hAnsi="Courier New" w:cs="Courier New" w:hint="default"/>
      </w:rPr>
    </w:lvl>
    <w:lvl w:ilvl="5" w:tplc="080C0005" w:tentative="1">
      <w:start w:val="1"/>
      <w:numFmt w:val="bullet"/>
      <w:lvlText w:val=""/>
      <w:lvlJc w:val="left"/>
      <w:pPr>
        <w:ind w:left="5400" w:hanging="360"/>
      </w:pPr>
      <w:rPr>
        <w:rFonts w:ascii="Wingdings" w:hAnsi="Wingdings" w:hint="default"/>
      </w:rPr>
    </w:lvl>
    <w:lvl w:ilvl="6" w:tplc="080C0001" w:tentative="1">
      <w:start w:val="1"/>
      <w:numFmt w:val="bullet"/>
      <w:lvlText w:val=""/>
      <w:lvlJc w:val="left"/>
      <w:pPr>
        <w:ind w:left="6120" w:hanging="360"/>
      </w:pPr>
      <w:rPr>
        <w:rFonts w:ascii="Symbol" w:hAnsi="Symbol" w:hint="default"/>
      </w:rPr>
    </w:lvl>
    <w:lvl w:ilvl="7" w:tplc="080C0003" w:tentative="1">
      <w:start w:val="1"/>
      <w:numFmt w:val="bullet"/>
      <w:lvlText w:val="o"/>
      <w:lvlJc w:val="left"/>
      <w:pPr>
        <w:ind w:left="6840" w:hanging="360"/>
      </w:pPr>
      <w:rPr>
        <w:rFonts w:ascii="Courier New" w:hAnsi="Courier New" w:cs="Courier New" w:hint="default"/>
      </w:rPr>
    </w:lvl>
    <w:lvl w:ilvl="8" w:tplc="080C0005" w:tentative="1">
      <w:start w:val="1"/>
      <w:numFmt w:val="bullet"/>
      <w:lvlText w:val=""/>
      <w:lvlJc w:val="left"/>
      <w:pPr>
        <w:ind w:left="7560" w:hanging="360"/>
      </w:pPr>
      <w:rPr>
        <w:rFonts w:ascii="Wingdings" w:hAnsi="Wingdings" w:hint="default"/>
      </w:rPr>
    </w:lvl>
  </w:abstractNum>
  <w:abstractNum w:abstractNumId="2" w15:restartNumberingAfterBreak="0">
    <w:nsid w:val="3D051889"/>
    <w:multiLevelType w:val="hybridMultilevel"/>
    <w:tmpl w:val="491C4F72"/>
    <w:lvl w:ilvl="0" w:tplc="C980B80C">
      <w:start w:val="1"/>
      <w:numFmt w:val="lowerRoman"/>
      <w:lvlText w:val="(%1)"/>
      <w:lvlJc w:val="left"/>
      <w:pPr>
        <w:ind w:left="1440" w:hanging="720"/>
      </w:pPr>
      <w:rPr>
        <w:rFonts w:hint="default"/>
        <w:i/>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447E4D85"/>
    <w:multiLevelType w:val="hybridMultilevel"/>
    <w:tmpl w:val="36024468"/>
    <w:lvl w:ilvl="0" w:tplc="37180294">
      <w:start w:val="165"/>
      <w:numFmt w:val="bullet"/>
      <w:pStyle w:val="CEABullet-Level3"/>
      <w:lvlText w:val=""/>
      <w:lvlPicBulletId w:val="2"/>
      <w:lvlJc w:val="left"/>
      <w:pPr>
        <w:ind w:left="2673" w:hanging="360"/>
      </w:pPr>
      <w:rPr>
        <w:rFonts w:ascii="Symbol" w:hAnsi="Symbol" w:hint="default"/>
        <w:color w:val="auto"/>
      </w:rPr>
    </w:lvl>
    <w:lvl w:ilvl="1" w:tplc="080C0003" w:tentative="1">
      <w:start w:val="1"/>
      <w:numFmt w:val="bullet"/>
      <w:lvlText w:val="o"/>
      <w:lvlJc w:val="left"/>
      <w:pPr>
        <w:ind w:left="3393" w:hanging="360"/>
      </w:pPr>
      <w:rPr>
        <w:rFonts w:ascii="Courier New" w:hAnsi="Courier New" w:cs="Courier New" w:hint="default"/>
      </w:rPr>
    </w:lvl>
    <w:lvl w:ilvl="2" w:tplc="080C0005" w:tentative="1">
      <w:start w:val="1"/>
      <w:numFmt w:val="bullet"/>
      <w:lvlText w:val=""/>
      <w:lvlJc w:val="left"/>
      <w:pPr>
        <w:ind w:left="4113" w:hanging="360"/>
      </w:pPr>
      <w:rPr>
        <w:rFonts w:ascii="Wingdings" w:hAnsi="Wingdings" w:hint="default"/>
      </w:rPr>
    </w:lvl>
    <w:lvl w:ilvl="3" w:tplc="080C0001" w:tentative="1">
      <w:start w:val="1"/>
      <w:numFmt w:val="bullet"/>
      <w:lvlText w:val=""/>
      <w:lvlJc w:val="left"/>
      <w:pPr>
        <w:ind w:left="4833" w:hanging="360"/>
      </w:pPr>
      <w:rPr>
        <w:rFonts w:ascii="Symbol" w:hAnsi="Symbol" w:hint="default"/>
      </w:rPr>
    </w:lvl>
    <w:lvl w:ilvl="4" w:tplc="080C0003" w:tentative="1">
      <w:start w:val="1"/>
      <w:numFmt w:val="bullet"/>
      <w:lvlText w:val="o"/>
      <w:lvlJc w:val="left"/>
      <w:pPr>
        <w:ind w:left="5553" w:hanging="360"/>
      </w:pPr>
      <w:rPr>
        <w:rFonts w:ascii="Courier New" w:hAnsi="Courier New" w:cs="Courier New" w:hint="default"/>
      </w:rPr>
    </w:lvl>
    <w:lvl w:ilvl="5" w:tplc="080C0005" w:tentative="1">
      <w:start w:val="1"/>
      <w:numFmt w:val="bullet"/>
      <w:lvlText w:val=""/>
      <w:lvlJc w:val="left"/>
      <w:pPr>
        <w:ind w:left="6273" w:hanging="360"/>
      </w:pPr>
      <w:rPr>
        <w:rFonts w:ascii="Wingdings" w:hAnsi="Wingdings" w:hint="default"/>
      </w:rPr>
    </w:lvl>
    <w:lvl w:ilvl="6" w:tplc="080C0001" w:tentative="1">
      <w:start w:val="1"/>
      <w:numFmt w:val="bullet"/>
      <w:lvlText w:val=""/>
      <w:lvlJc w:val="left"/>
      <w:pPr>
        <w:ind w:left="6993" w:hanging="360"/>
      </w:pPr>
      <w:rPr>
        <w:rFonts w:ascii="Symbol" w:hAnsi="Symbol" w:hint="default"/>
      </w:rPr>
    </w:lvl>
    <w:lvl w:ilvl="7" w:tplc="080C0003" w:tentative="1">
      <w:start w:val="1"/>
      <w:numFmt w:val="bullet"/>
      <w:lvlText w:val="o"/>
      <w:lvlJc w:val="left"/>
      <w:pPr>
        <w:ind w:left="7713" w:hanging="360"/>
      </w:pPr>
      <w:rPr>
        <w:rFonts w:ascii="Courier New" w:hAnsi="Courier New" w:cs="Courier New" w:hint="default"/>
      </w:rPr>
    </w:lvl>
    <w:lvl w:ilvl="8" w:tplc="080C0005" w:tentative="1">
      <w:start w:val="1"/>
      <w:numFmt w:val="bullet"/>
      <w:lvlText w:val=""/>
      <w:lvlJc w:val="left"/>
      <w:pPr>
        <w:ind w:left="8433" w:hanging="360"/>
      </w:pPr>
      <w:rPr>
        <w:rFonts w:ascii="Wingdings" w:hAnsi="Wingdings" w:hint="default"/>
      </w:rPr>
    </w:lvl>
  </w:abstractNum>
  <w:abstractNum w:abstractNumId="4" w15:restartNumberingAfterBreak="0">
    <w:nsid w:val="699E2B88"/>
    <w:multiLevelType w:val="hybridMultilevel"/>
    <w:tmpl w:val="D820C03E"/>
    <w:lvl w:ilvl="0" w:tplc="2CF65F2A">
      <w:start w:val="165"/>
      <w:numFmt w:val="bullet"/>
      <w:lvlText w:val=""/>
      <w:lvlPicBulletId w:val="0"/>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3"/>
  </w:num>
  <w:num w:numId="4">
    <w:abstractNumId w:val="2"/>
  </w:num>
  <w:num w:numId="5">
    <w:abstractNumId w:val="4"/>
  </w:num>
  <w:num w:numId="6">
    <w:abstractNumId w:val="4"/>
  </w:num>
  <w:num w:numId="7">
    <w:abstractNumId w:val="4"/>
  </w:num>
  <w:num w:numId="8">
    <w:abstractNumId w:val="4"/>
  </w:num>
  <w:num w:numId="9">
    <w:abstractNumId w:val="4"/>
  </w:num>
  <w:num w:numId="10">
    <w:abstractNumId w:val="4"/>
  </w:num>
  <w:num w:numId="11">
    <w:abstractNumId w:val="4"/>
  </w:num>
  <w:num w:numId="12">
    <w:abstractNumId w:val="4"/>
  </w:num>
  <w:num w:numId="13">
    <w:abstractNumId w:val="4"/>
  </w:num>
  <w:num w:numId="14">
    <w:abstractNumId w:val="4"/>
  </w:num>
  <w:num w:numId="15">
    <w:abstractNumId w:val="4"/>
  </w:num>
  <w:num w:numId="16">
    <w:abstractNumId w:val="4"/>
  </w:num>
  <w:num w:numId="17">
    <w:abstractNumId w:val="4"/>
  </w:num>
  <w:num w:numId="18">
    <w:abstractNumId w:val="4"/>
  </w:num>
  <w:num w:numId="19">
    <w:abstractNumId w:val="4"/>
  </w:num>
  <w:num w:numId="20">
    <w:abstractNumId w:val="4"/>
  </w:num>
  <w:num w:numId="21">
    <w:abstractNumId w:val="4"/>
  </w:num>
  <w:num w:numId="22">
    <w:abstractNumId w:val="4"/>
  </w:num>
  <w:num w:numId="23">
    <w:abstractNumId w:val="4"/>
  </w:num>
  <w:num w:numId="24">
    <w:abstractNumId w:val="4"/>
  </w:num>
  <w:num w:numId="25">
    <w:abstractNumId w:val="4"/>
  </w:num>
  <w:num w:numId="26">
    <w:abstractNumId w:val="4"/>
  </w:num>
  <w:num w:numId="27">
    <w:abstractNumId w:val="4"/>
  </w:num>
  <w:num w:numId="28">
    <w:abstractNumId w:val="4"/>
  </w:num>
  <w:num w:numId="29">
    <w:abstractNumId w:val="4"/>
  </w:num>
  <w:num w:numId="30">
    <w:abstractNumId w:val="4"/>
  </w:num>
  <w:num w:numId="31">
    <w:abstractNumId w:val="4"/>
  </w:num>
  <w:num w:numId="32">
    <w:abstractNumId w:val="4"/>
  </w:num>
  <w:num w:numId="33">
    <w:abstractNumId w:val="4"/>
  </w:num>
  <w:num w:numId="34">
    <w:abstractNumId w:val="4"/>
  </w:num>
  <w:num w:numId="35">
    <w:abstractNumId w:val="4"/>
  </w:num>
  <w:num w:numId="36">
    <w:abstractNumId w:val="4"/>
  </w:num>
  <w:num w:numId="37">
    <w:abstractNumId w:val="4"/>
  </w:num>
  <w:num w:numId="38">
    <w:abstractNumId w:val="4"/>
  </w:num>
  <w:num w:numId="39">
    <w:abstractNumId w:val="4"/>
  </w:num>
  <w:num w:numId="40">
    <w:abstractNumId w:val="4"/>
  </w:num>
  <w:num w:numId="41">
    <w:abstractNumId w:val="4"/>
  </w:num>
  <w:num w:numId="42">
    <w:abstractNumId w:val="4"/>
  </w:num>
  <w:num w:numId="43">
    <w:abstractNumId w:val="0"/>
  </w:num>
  <w:numIdMacAtCleanup w:val="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cofin">
    <w15:presenceInfo w15:providerId="None" w15:userId="Ecof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2882"/>
    <w:rsid w:val="00017E2D"/>
    <w:rsid w:val="00020124"/>
    <w:rsid w:val="000357E0"/>
    <w:rsid w:val="0008034A"/>
    <w:rsid w:val="000D3A9E"/>
    <w:rsid w:val="000D58F0"/>
    <w:rsid w:val="00130C00"/>
    <w:rsid w:val="00152882"/>
    <w:rsid w:val="0017261F"/>
    <w:rsid w:val="00261545"/>
    <w:rsid w:val="003318D1"/>
    <w:rsid w:val="0034036B"/>
    <w:rsid w:val="00346792"/>
    <w:rsid w:val="00394802"/>
    <w:rsid w:val="003C7973"/>
    <w:rsid w:val="003F4995"/>
    <w:rsid w:val="00407B3E"/>
    <w:rsid w:val="00440FEE"/>
    <w:rsid w:val="00490D50"/>
    <w:rsid w:val="004D6D42"/>
    <w:rsid w:val="00595E62"/>
    <w:rsid w:val="006B0DA0"/>
    <w:rsid w:val="00714BD7"/>
    <w:rsid w:val="00752590"/>
    <w:rsid w:val="007D4F2C"/>
    <w:rsid w:val="00825DAE"/>
    <w:rsid w:val="008A2E1B"/>
    <w:rsid w:val="0094610D"/>
    <w:rsid w:val="009728B6"/>
    <w:rsid w:val="00974483"/>
    <w:rsid w:val="00975F1D"/>
    <w:rsid w:val="009F36CD"/>
    <w:rsid w:val="00A4463C"/>
    <w:rsid w:val="00AA0BE2"/>
    <w:rsid w:val="00AD7A2B"/>
    <w:rsid w:val="00B02E37"/>
    <w:rsid w:val="00B07945"/>
    <w:rsid w:val="00BC4E09"/>
    <w:rsid w:val="00BD3110"/>
    <w:rsid w:val="00BF11D2"/>
    <w:rsid w:val="00C3572E"/>
    <w:rsid w:val="00C728C8"/>
    <w:rsid w:val="00CE15E8"/>
    <w:rsid w:val="00D615BB"/>
    <w:rsid w:val="00DA76D2"/>
    <w:rsid w:val="00E10FA5"/>
    <w:rsid w:val="00E37021"/>
    <w:rsid w:val="00E46D05"/>
    <w:rsid w:val="00E55C4F"/>
    <w:rsid w:val="00E66FE2"/>
    <w:rsid w:val="00EA6C94"/>
    <w:rsid w:val="00F778BB"/>
    <w:rsid w:val="00F8705B"/>
    <w:rsid w:val="00F96C48"/>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8D82D1"/>
  <w15:docId w15:val="{CB13D2F6-0065-41E3-9DED-A990241B7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37021"/>
    <w:pPr>
      <w:spacing w:after="0" w:line="288" w:lineRule="auto"/>
      <w:jc w:val="both"/>
    </w:pPr>
    <w:rPr>
      <w:rFonts w:ascii="Verdana" w:eastAsia="Times New Roman" w:hAnsi="Verdana" w:cs="Times New Roman"/>
      <w:sz w:val="18"/>
      <w:szCs w:val="24"/>
      <w:lang w:val="en-GB"/>
    </w:rPr>
  </w:style>
  <w:style w:type="paragraph" w:styleId="Nadpis2">
    <w:name w:val="heading 2"/>
    <w:basedOn w:val="Normlny"/>
    <w:next w:val="Normlny"/>
    <w:link w:val="Nadpis2Char"/>
    <w:uiPriority w:val="9"/>
    <w:unhideWhenUsed/>
    <w:qFormat/>
    <w:rsid w:val="00E46D05"/>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semiHidden/>
    <w:rsid w:val="00152882"/>
    <w:pPr>
      <w:tabs>
        <w:tab w:val="center" w:pos="4320"/>
        <w:tab w:val="right" w:pos="8640"/>
      </w:tabs>
    </w:pPr>
  </w:style>
  <w:style w:type="character" w:customStyle="1" w:styleId="HlavikaChar">
    <w:name w:val="Hlavička Char"/>
    <w:basedOn w:val="Predvolenpsmoodseku"/>
    <w:link w:val="Hlavika"/>
    <w:semiHidden/>
    <w:rsid w:val="00152882"/>
    <w:rPr>
      <w:rFonts w:ascii="Verdana" w:eastAsia="Times New Roman" w:hAnsi="Verdana" w:cs="Times New Roman"/>
      <w:sz w:val="18"/>
      <w:szCs w:val="24"/>
      <w:lang w:val="en-GB"/>
    </w:rPr>
  </w:style>
  <w:style w:type="paragraph" w:styleId="Pta">
    <w:name w:val="footer"/>
    <w:basedOn w:val="Normlny"/>
    <w:link w:val="PtaChar"/>
    <w:semiHidden/>
    <w:rsid w:val="00152882"/>
    <w:pPr>
      <w:tabs>
        <w:tab w:val="center" w:pos="4320"/>
        <w:tab w:val="right" w:pos="8640"/>
      </w:tabs>
    </w:pPr>
  </w:style>
  <w:style w:type="character" w:customStyle="1" w:styleId="PtaChar">
    <w:name w:val="Päta Char"/>
    <w:basedOn w:val="Predvolenpsmoodseku"/>
    <w:link w:val="Pta"/>
    <w:semiHidden/>
    <w:rsid w:val="00152882"/>
    <w:rPr>
      <w:rFonts w:ascii="Verdana" w:eastAsia="Times New Roman" w:hAnsi="Verdana" w:cs="Times New Roman"/>
      <w:sz w:val="18"/>
      <w:szCs w:val="24"/>
      <w:lang w:val="en-GB"/>
    </w:rPr>
  </w:style>
  <w:style w:type="paragraph" w:customStyle="1" w:styleId="Noparagraphstyle">
    <w:name w:val="[No paragraph style]"/>
    <w:semiHidden/>
    <w:rsid w:val="00152882"/>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val="en-GB"/>
    </w:rPr>
  </w:style>
  <w:style w:type="character" w:styleId="slostrany">
    <w:name w:val="page number"/>
    <w:basedOn w:val="Predvolenpsmoodseku"/>
    <w:semiHidden/>
    <w:rsid w:val="00152882"/>
  </w:style>
  <w:style w:type="paragraph" w:customStyle="1" w:styleId="Heading1CEA">
    <w:name w:val="Heading 1 (CEA)"/>
    <w:basedOn w:val="Normlny"/>
    <w:link w:val="Heading1CEAChar"/>
    <w:semiHidden/>
    <w:rsid w:val="00152882"/>
    <w:pPr>
      <w:autoSpaceDE w:val="0"/>
      <w:autoSpaceDN w:val="0"/>
      <w:adjustRightInd w:val="0"/>
    </w:pPr>
    <w:rPr>
      <w:rFonts w:ascii="Arial" w:hAnsi="Arial"/>
      <w:b/>
      <w:color w:val="034EA2"/>
      <w:sz w:val="32"/>
      <w:szCs w:val="32"/>
    </w:rPr>
  </w:style>
  <w:style w:type="character" w:customStyle="1" w:styleId="Heading1CEAChar">
    <w:name w:val="Heading 1 (CEA) Char"/>
    <w:basedOn w:val="Predvolenpsmoodseku"/>
    <w:link w:val="Heading1CEA"/>
    <w:semiHidden/>
    <w:rsid w:val="00152882"/>
    <w:rPr>
      <w:rFonts w:ascii="Arial" w:eastAsia="Times New Roman" w:hAnsi="Arial" w:cs="Times New Roman"/>
      <w:b/>
      <w:color w:val="034EA2"/>
      <w:sz w:val="32"/>
      <w:szCs w:val="32"/>
      <w:lang w:val="en-GB"/>
    </w:rPr>
  </w:style>
  <w:style w:type="paragraph" w:customStyle="1" w:styleId="CEAPositionPaperTitle">
    <w:name w:val="CEA Position Paper Title"/>
    <w:basedOn w:val="Normlny"/>
    <w:semiHidden/>
    <w:qFormat/>
    <w:rsid w:val="00152882"/>
    <w:pPr>
      <w:ind w:left="-27"/>
    </w:pPr>
    <w:rPr>
      <w:b/>
      <w:color w:val="034EA2"/>
      <w:sz w:val="32"/>
      <w:szCs w:val="32"/>
    </w:rPr>
  </w:style>
  <w:style w:type="paragraph" w:customStyle="1" w:styleId="CEADraft">
    <w:name w:val="CEA Draft"/>
    <w:basedOn w:val="Normlny"/>
    <w:semiHidden/>
    <w:qFormat/>
    <w:rsid w:val="00152882"/>
    <w:pPr>
      <w:jc w:val="right"/>
    </w:pPr>
    <w:rPr>
      <w:rFonts w:cs="Arial"/>
      <w:b/>
      <w:i/>
      <w:color w:val="034EA2"/>
      <w:sz w:val="32"/>
      <w:szCs w:val="40"/>
    </w:rPr>
  </w:style>
  <w:style w:type="paragraph" w:customStyle="1" w:styleId="CEAFooterauthorinfo">
    <w:name w:val="CEA Footer (author info)"/>
    <w:basedOn w:val="Normlny"/>
    <w:semiHidden/>
    <w:qFormat/>
    <w:rsid w:val="00152882"/>
    <w:pPr>
      <w:autoSpaceDE w:val="0"/>
      <w:autoSpaceDN w:val="0"/>
      <w:adjustRightInd w:val="0"/>
      <w:textAlignment w:val="center"/>
    </w:pPr>
    <w:rPr>
      <w:rFonts w:cs="Arial"/>
      <w:b/>
      <w:color w:val="034EA2"/>
      <w:sz w:val="16"/>
      <w:szCs w:val="16"/>
    </w:rPr>
  </w:style>
  <w:style w:type="paragraph" w:customStyle="1" w:styleId="CEALabel">
    <w:name w:val="CEA Label"/>
    <w:basedOn w:val="Normlny"/>
    <w:semiHidden/>
    <w:qFormat/>
    <w:rsid w:val="00152882"/>
    <w:rPr>
      <w:rFonts w:cs="Arial"/>
      <w:b/>
      <w:color w:val="034EA2"/>
      <w:szCs w:val="18"/>
    </w:rPr>
  </w:style>
  <w:style w:type="character" w:styleId="Zstupntext">
    <w:name w:val="Placeholder Text"/>
    <w:basedOn w:val="Predvolenpsmoodseku"/>
    <w:uiPriority w:val="99"/>
    <w:semiHidden/>
    <w:rsid w:val="0008034A"/>
    <w:rPr>
      <w:color w:val="808080"/>
    </w:rPr>
  </w:style>
  <w:style w:type="paragraph" w:styleId="Textbubliny">
    <w:name w:val="Balloon Text"/>
    <w:basedOn w:val="Normlny"/>
    <w:link w:val="TextbublinyChar"/>
    <w:uiPriority w:val="99"/>
    <w:semiHidden/>
    <w:unhideWhenUsed/>
    <w:rsid w:val="0008034A"/>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08034A"/>
    <w:rPr>
      <w:rFonts w:ascii="Tahoma" w:eastAsia="Times New Roman" w:hAnsi="Tahoma" w:cs="Tahoma"/>
      <w:sz w:val="16"/>
      <w:szCs w:val="16"/>
      <w:lang w:val="en-GB"/>
    </w:rPr>
  </w:style>
  <w:style w:type="paragraph" w:customStyle="1" w:styleId="CEABullet-Level1">
    <w:name w:val="CEA Bullet - Level 1"/>
    <w:basedOn w:val="Normlny"/>
    <w:uiPriority w:val="99"/>
    <w:qFormat/>
    <w:rsid w:val="00825DAE"/>
    <w:pPr>
      <w:numPr>
        <w:numId w:val="43"/>
      </w:numPr>
      <w:autoSpaceDE w:val="0"/>
      <w:autoSpaceDN w:val="0"/>
      <w:adjustRightInd w:val="0"/>
    </w:pPr>
    <w:rPr>
      <w:rFonts w:cs="Frutiger LT Std 45 Light"/>
      <w:color w:val="000000"/>
      <w:sz w:val="17"/>
      <w:szCs w:val="20"/>
    </w:rPr>
  </w:style>
  <w:style w:type="paragraph" w:customStyle="1" w:styleId="CEABullet-Level2">
    <w:name w:val="CEA Bullet - Level 2"/>
    <w:basedOn w:val="CEABullet-Level1"/>
    <w:next w:val="Normlny"/>
    <w:qFormat/>
    <w:rsid w:val="00825DAE"/>
    <w:pPr>
      <w:numPr>
        <w:numId w:val="2"/>
      </w:numPr>
    </w:pPr>
  </w:style>
  <w:style w:type="paragraph" w:customStyle="1" w:styleId="CEABullet-Level3">
    <w:name w:val="CEA Bullet - Level 3"/>
    <w:basedOn w:val="Normlny"/>
    <w:qFormat/>
    <w:rsid w:val="00825DAE"/>
    <w:pPr>
      <w:numPr>
        <w:numId w:val="3"/>
      </w:numPr>
      <w:autoSpaceDE w:val="0"/>
      <w:autoSpaceDN w:val="0"/>
      <w:adjustRightInd w:val="0"/>
    </w:pPr>
    <w:rPr>
      <w:rFonts w:cs="Frutiger LT Std 45 Light"/>
      <w:color w:val="000000"/>
      <w:sz w:val="17"/>
      <w:szCs w:val="20"/>
    </w:rPr>
  </w:style>
  <w:style w:type="paragraph" w:customStyle="1" w:styleId="CEADirectorGeneral">
    <w:name w:val="CEA Director General"/>
    <w:basedOn w:val="Normlny"/>
    <w:semiHidden/>
    <w:qFormat/>
    <w:rsid w:val="00825DAE"/>
    <w:pPr>
      <w:tabs>
        <w:tab w:val="right" w:pos="360"/>
        <w:tab w:val="left" w:pos="540"/>
      </w:tabs>
      <w:autoSpaceDE w:val="0"/>
      <w:autoSpaceDN w:val="0"/>
      <w:adjustRightInd w:val="0"/>
      <w:textAlignment w:val="center"/>
    </w:pPr>
    <w:rPr>
      <w:sz w:val="22"/>
      <w:szCs w:val="22"/>
    </w:rPr>
  </w:style>
  <w:style w:type="paragraph" w:customStyle="1" w:styleId="CEADocumentType">
    <w:name w:val="CEA Document Type"/>
    <w:basedOn w:val="Normlny"/>
    <w:semiHidden/>
    <w:qFormat/>
    <w:rsid w:val="00825DAE"/>
    <w:pPr>
      <w:jc w:val="right"/>
    </w:pPr>
    <w:rPr>
      <w:rFonts w:cs="Frutiger LT Std 55 Roman"/>
      <w:b/>
      <w:color w:val="0032FF"/>
      <w:sz w:val="40"/>
      <w:szCs w:val="40"/>
    </w:rPr>
  </w:style>
  <w:style w:type="paragraph" w:customStyle="1" w:styleId="CEAFootnote">
    <w:name w:val="CEA Footnote"/>
    <w:basedOn w:val="Normlny"/>
    <w:semiHidden/>
    <w:qFormat/>
    <w:rsid w:val="00825DAE"/>
    <w:pPr>
      <w:spacing w:line="240" w:lineRule="auto"/>
    </w:pPr>
    <w:rPr>
      <w:sz w:val="16"/>
    </w:rPr>
  </w:style>
  <w:style w:type="character" w:customStyle="1" w:styleId="CEAGraphTitle">
    <w:name w:val="CEA Graph Title"/>
    <w:uiPriority w:val="1"/>
    <w:qFormat/>
    <w:rsid w:val="00825DAE"/>
    <w:rPr>
      <w:rFonts w:ascii="Verdana" w:hAnsi="Verdana"/>
      <w:smallCaps w:val="0"/>
      <w:sz w:val="19"/>
      <w:lang w:val="en-GB"/>
    </w:rPr>
  </w:style>
  <w:style w:type="character" w:customStyle="1" w:styleId="CEAGraphX">
    <w:name w:val="CEA Graph X"/>
    <w:uiPriority w:val="1"/>
    <w:qFormat/>
    <w:rsid w:val="00825DAE"/>
    <w:rPr>
      <w:rFonts w:ascii="Verdana" w:hAnsi="Verdana"/>
      <w:smallCaps/>
      <w:sz w:val="19"/>
      <w:lang w:val="en-GB"/>
    </w:rPr>
  </w:style>
  <w:style w:type="paragraph" w:customStyle="1" w:styleId="CEAPressReleaseSubtitle">
    <w:name w:val="CEA Press Release Subtitle"/>
    <w:basedOn w:val="Normlny"/>
    <w:semiHidden/>
    <w:qFormat/>
    <w:rsid w:val="00825DAE"/>
    <w:rPr>
      <w:sz w:val="22"/>
      <w:szCs w:val="22"/>
    </w:rPr>
  </w:style>
  <w:style w:type="paragraph" w:customStyle="1" w:styleId="CEAPressReleaseTitle">
    <w:name w:val="CEA Press Release Title"/>
    <w:basedOn w:val="Normlny"/>
    <w:semiHidden/>
    <w:qFormat/>
    <w:rsid w:val="00825DAE"/>
    <w:pPr>
      <w:autoSpaceDE w:val="0"/>
      <w:autoSpaceDN w:val="0"/>
      <w:adjustRightInd w:val="0"/>
      <w:spacing w:line="240" w:lineRule="auto"/>
    </w:pPr>
    <w:rPr>
      <w:rFonts w:ascii="Frutiger LT Com 45 Light" w:hAnsi="Frutiger LT Com 45 Light"/>
      <w:b/>
      <w:color w:val="034EA2"/>
      <w:sz w:val="36"/>
      <w:szCs w:val="36"/>
    </w:rPr>
  </w:style>
  <w:style w:type="paragraph" w:customStyle="1" w:styleId="CEASubjectLine">
    <w:name w:val="CEA Subject Line"/>
    <w:basedOn w:val="Normlny"/>
    <w:semiHidden/>
    <w:qFormat/>
    <w:rsid w:val="00825DAE"/>
    <w:rPr>
      <w:rFonts w:cs="Frutiger LT Std 55 Roman"/>
      <w:b/>
      <w:sz w:val="17"/>
      <w:szCs w:val="20"/>
    </w:rPr>
  </w:style>
  <w:style w:type="character" w:styleId="Odkaznakomentr">
    <w:name w:val="annotation reference"/>
    <w:basedOn w:val="Predvolenpsmoodseku"/>
    <w:uiPriority w:val="99"/>
    <w:semiHidden/>
    <w:unhideWhenUsed/>
    <w:rsid w:val="00E46D05"/>
    <w:rPr>
      <w:sz w:val="16"/>
      <w:szCs w:val="16"/>
    </w:rPr>
  </w:style>
  <w:style w:type="paragraph" w:styleId="Textkomentra">
    <w:name w:val="annotation text"/>
    <w:basedOn w:val="Normlny"/>
    <w:link w:val="TextkomentraChar"/>
    <w:uiPriority w:val="99"/>
    <w:semiHidden/>
    <w:unhideWhenUsed/>
    <w:rsid w:val="00E46D05"/>
    <w:pPr>
      <w:spacing w:line="240" w:lineRule="auto"/>
    </w:pPr>
    <w:rPr>
      <w:sz w:val="20"/>
      <w:szCs w:val="20"/>
    </w:rPr>
  </w:style>
  <w:style w:type="character" w:customStyle="1" w:styleId="TextkomentraChar">
    <w:name w:val="Text komentára Char"/>
    <w:basedOn w:val="Predvolenpsmoodseku"/>
    <w:link w:val="Textkomentra"/>
    <w:uiPriority w:val="99"/>
    <w:semiHidden/>
    <w:rsid w:val="00E46D05"/>
    <w:rPr>
      <w:rFonts w:ascii="Verdana" w:eastAsia="Times New Roman" w:hAnsi="Verdana" w:cs="Times New Roman"/>
      <w:sz w:val="20"/>
      <w:szCs w:val="20"/>
      <w:lang w:val="en-GB"/>
    </w:rPr>
  </w:style>
  <w:style w:type="character" w:styleId="Intenzvnezvraznenie">
    <w:name w:val="Intense Emphasis"/>
    <w:basedOn w:val="Predvolenpsmoodseku"/>
    <w:uiPriority w:val="21"/>
    <w:qFormat/>
    <w:rsid w:val="00E46D05"/>
    <w:rPr>
      <w:i/>
      <w:iCs/>
      <w:color w:val="4F81BD" w:themeColor="accent1"/>
    </w:rPr>
  </w:style>
  <w:style w:type="paragraph" w:styleId="Odsekzoznamu">
    <w:name w:val="List Paragraph"/>
    <w:basedOn w:val="Normlny"/>
    <w:uiPriority w:val="34"/>
    <w:qFormat/>
    <w:rsid w:val="00E46D05"/>
    <w:pPr>
      <w:ind w:left="720"/>
      <w:contextualSpacing/>
    </w:pPr>
    <w:rPr>
      <w:sz w:val="17"/>
    </w:rPr>
  </w:style>
  <w:style w:type="character" w:customStyle="1" w:styleId="Nadpis2Char">
    <w:name w:val="Nadpis 2 Char"/>
    <w:basedOn w:val="Predvolenpsmoodseku"/>
    <w:link w:val="Nadpis2"/>
    <w:uiPriority w:val="9"/>
    <w:rsid w:val="00E46D05"/>
    <w:rPr>
      <w:rFonts w:asciiTheme="majorHAnsi" w:eastAsiaTheme="majorEastAsia" w:hAnsiTheme="majorHAnsi" w:cstheme="majorBidi"/>
      <w:color w:val="365F91" w:themeColor="accent1" w:themeShade="BF"/>
      <w:sz w:val="26"/>
      <w:szCs w:val="26"/>
      <w:lang w:val="en-GB"/>
    </w:rPr>
  </w:style>
  <w:style w:type="paragraph" w:styleId="Normlnywebov">
    <w:name w:val="Normal (Web)"/>
    <w:basedOn w:val="Normlny"/>
    <w:uiPriority w:val="99"/>
    <w:semiHidden/>
    <w:unhideWhenUsed/>
    <w:rsid w:val="00E46D05"/>
    <w:pPr>
      <w:spacing w:before="100" w:beforeAutospacing="1" w:after="100" w:afterAutospacing="1" w:line="240" w:lineRule="auto"/>
      <w:jc w:val="left"/>
    </w:pPr>
    <w:rPr>
      <w:rFonts w:ascii="Times New Roman" w:hAnsi="Times New Roman"/>
      <w:sz w:val="24"/>
      <w:lang w:val="en-US"/>
    </w:rPr>
  </w:style>
  <w:style w:type="paragraph" w:styleId="Textpoznmkypodiarou">
    <w:name w:val="footnote text"/>
    <w:basedOn w:val="Normlny"/>
    <w:link w:val="TextpoznmkypodiarouChar"/>
    <w:uiPriority w:val="99"/>
    <w:semiHidden/>
    <w:unhideWhenUsed/>
    <w:rsid w:val="00E46D05"/>
    <w:pPr>
      <w:spacing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E46D05"/>
    <w:rPr>
      <w:rFonts w:ascii="Verdana" w:eastAsia="Times New Roman" w:hAnsi="Verdana" w:cs="Times New Roman"/>
      <w:sz w:val="20"/>
      <w:szCs w:val="20"/>
      <w:lang w:val="en-GB"/>
    </w:rPr>
  </w:style>
  <w:style w:type="character" w:styleId="Odkaznapoznmkupodiarou">
    <w:name w:val="footnote reference"/>
    <w:basedOn w:val="Predvolenpsmoodseku"/>
    <w:uiPriority w:val="99"/>
    <w:semiHidden/>
    <w:unhideWhenUsed/>
    <w:rsid w:val="00E46D05"/>
    <w:rPr>
      <w:vertAlign w:val="superscript"/>
    </w:rPr>
  </w:style>
  <w:style w:type="character" w:styleId="Hypertextovprepojenie">
    <w:name w:val="Hyperlink"/>
    <w:basedOn w:val="Predvolenpsmoodseku"/>
    <w:uiPriority w:val="99"/>
    <w:unhideWhenUsed/>
    <w:rsid w:val="00E46D0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7007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comments" Target="comments.xml"/><Relationship Id="rId2" Type="http://schemas.openxmlformats.org/officeDocument/2006/relationships/customXml" Target="../customXml/item2.xml"/><Relationship Id="rId16" Type="http://schemas.openxmlformats.org/officeDocument/2006/relationships/footer" Target="footer3.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23" Type="http://schemas.microsoft.com/office/2016/09/relationships/commentsIds" Target="commentsIds.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ec.europa.eu/info/sites/info/files/180131-sustainable-finance-final-report_en.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599D63AA9CF4AA08BF74B58D808EA35"/>
        <w:category>
          <w:name w:val="General"/>
          <w:gallery w:val="placeholder"/>
        </w:category>
        <w:types>
          <w:type w:val="bbPlcHdr"/>
        </w:types>
        <w:behaviors>
          <w:behavior w:val="content"/>
        </w:behaviors>
        <w:guid w:val="{DF5E50AD-395B-4B40-BEC3-294CECEE326E}"/>
      </w:docPartPr>
      <w:docPartBody>
        <w:p w:rsidR="00AF50EC" w:rsidRDefault="00F36970">
          <w:r w:rsidRPr="00AE0FFA">
            <w:rPr>
              <w:rStyle w:val="Zstupntext"/>
            </w:rPr>
            <w:t>[Reference]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Verdana">
    <w:altName w:val="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Frutiger LT Std 45 Light">
    <w:altName w:val="Calibri"/>
    <w:panose1 w:val="00000000000000000000"/>
    <w:charset w:val="00"/>
    <w:family w:val="swiss"/>
    <w:notTrueType/>
    <w:pitch w:val="variable"/>
    <w:sig w:usb0="800000AF" w:usb1="4000204A" w:usb2="00000000" w:usb3="00000000" w:csb0="00000001" w:csb1="00000000"/>
  </w:font>
  <w:font w:name="Frutiger LT Std 55 Roman">
    <w:altName w:val="Calibri"/>
    <w:panose1 w:val="00000000000000000000"/>
    <w:charset w:val="00"/>
    <w:family w:val="swiss"/>
    <w:notTrueType/>
    <w:pitch w:val="variable"/>
    <w:sig w:usb0="800000AF" w:usb1="4000204A" w:usb2="00000000" w:usb3="00000000" w:csb0="00000001" w:csb1="00000000"/>
  </w:font>
  <w:font w:name="Frutiger LT Com 45 Light">
    <w:altName w:val="Corbel"/>
    <w:charset w:val="00"/>
    <w:family w:val="swiss"/>
    <w:pitch w:val="variable"/>
    <w:sig w:usb0="00000001" w:usb1="5000204A" w:usb2="00000000" w:usb3="00000000" w:csb0="0000009B" w:csb1="00000000"/>
  </w:font>
  <w:font w:name="Roboto-Black">
    <w:altName w:val="Arial"/>
    <w:panose1 w:val="00000000000000000000"/>
    <w:charset w:val="00"/>
    <w:family w:val="swiss"/>
    <w:notTrueType/>
    <w:pitch w:val="default"/>
    <w:sig w:usb0="00000003" w:usb1="00000000" w:usb2="00000000" w:usb3="00000000" w:csb0="00000001" w:csb1="00000000"/>
  </w:font>
  <w:font w:name="Roboto-Regular">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6970"/>
    <w:rsid w:val="00067782"/>
    <w:rsid w:val="000F1CB6"/>
    <w:rsid w:val="0057158E"/>
    <w:rsid w:val="00634188"/>
    <w:rsid w:val="00A307CB"/>
    <w:rsid w:val="00AF50EC"/>
    <w:rsid w:val="00E401F3"/>
    <w:rsid w:val="00F36970"/>
    <w:rsid w:val="00F633AE"/>
    <w:rsid w:val="00F6790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BE" w:eastAsia="fr-B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36970"/>
    <w:rPr>
      <w:rFonts w:cs="Times New Roman"/>
      <w:sz w:val="3276"/>
      <w:szCs w:val="327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sid w:val="00F3697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96ED0052EB2E848B8D9B3847498F708" ma:contentTypeVersion="" ma:contentTypeDescription="Create a new document." ma:contentTypeScope="" ma:versionID="6116810af309f6b487cd7e766183c186">
  <xsd:schema xmlns:xsd="http://www.w3.org/2001/XMLSchema" xmlns:xs="http://www.w3.org/2001/XMLSchema" xmlns:p="http://schemas.microsoft.com/office/2006/metadata/properties" targetNamespace="http://schemas.microsoft.com/office/2006/metadata/properties" ma:root="true" ma:fieldsID="b2384c6cc0088fcedbaf6edaf557def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5485A1-11AA-442D-8577-727460E39C5A}">
  <ds:schemaRefs>
    <ds:schemaRef ds:uri="http://purl.org/dc/elements/1.1/"/>
    <ds:schemaRef ds:uri="http://purl.org/dc/terms/"/>
    <ds:schemaRef ds:uri="http://purl.org/dc/dcmitype/"/>
    <ds:schemaRef ds:uri="http://schemas.microsoft.com/office/infopath/2007/PartnerControls"/>
    <ds:schemaRef ds:uri="http://schemas.microsoft.com/office/2006/documentManagement/types"/>
    <ds:schemaRef ds:uri="http://schemas.microsoft.com/office/2006/metadata/propertie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70E3B804-F7B1-4B6B-8BF8-F2CB6A5415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3827B13-D241-4323-B7A9-75B7AD1AA6EE}">
  <ds:schemaRefs>
    <ds:schemaRef ds:uri="http://schemas.microsoft.com/sharepoint/v3/contenttype/forms"/>
  </ds:schemaRefs>
</ds:datastoreItem>
</file>

<file path=customXml/itemProps4.xml><?xml version="1.0" encoding="utf-8"?>
<ds:datastoreItem xmlns:ds="http://schemas.openxmlformats.org/officeDocument/2006/customXml" ds:itemID="{65DFCFF7-534D-448B-BF5D-E8C8C64D8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6693</Words>
  <Characters>38153</Characters>
  <Application>Microsoft Office Word</Application>
  <DocSecurity>0</DocSecurity>
  <Lines>317</Lines>
  <Paragraphs>89</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Insurance Europe comments on the Solvency II DA</vt:lpstr>
      <vt:lpstr>Insurance Europe comments on the Solvency II DA</vt:lpstr>
    </vt:vector>
  </TitlesOfParts>
  <Company>Insurance Europe</Company>
  <LinksUpToDate>false</LinksUpToDate>
  <CharactersWithSpaces>44757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Insurance Europe comments on the Solvency II DA</dc:title>
  <dc:creator>Insurance Europe</dc:creator>
  <cp:lastModifiedBy>Bachníček Jozef</cp:lastModifiedBy>
  <cp:revision>2</cp:revision>
  <dcterms:created xsi:type="dcterms:W3CDTF">2018-11-19T08:54:00Z</dcterms:created>
  <dcterms:modified xsi:type="dcterms:W3CDTF">2018-11-19T08:54:00Z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0x010100A96ED0052EB2E848B8D9B3847498F708</vt:lpwstr>
  </property>
  <property fmtid="{D5CDD505-2E9C-101B-9397-08002B2CF9AE}" pid="3" name="Can be edited">
    <vt:bool>true</vt:bool>
  </property>
  <property fmtid="{D5CDD505-2E9C-101B-9397-08002B2CF9AE}" pid="4" name="Type of document">
    <vt:lpwstr>Position Paper</vt:lpwstr>
  </property>
  <property fmtid="{D5CDD505-2E9C-101B-9397-08002B2CF9AE}" pid="5" name="isAnnex">
    <vt:lpwstr>True</vt:lpwstr>
  </property>
  <property fmtid="{D5CDD505-2E9C-101B-9397-08002B2CF9AE}" pid="6" name="Validated">
    <vt:bool>false</vt:bool>
  </property>
  <property fmtid="{D5CDD505-2E9C-101B-9397-08002B2CF9AE}" pid="7" name="Display validated documents library button">
    <vt:bool>true</vt:bool>
  </property>
  <property fmtid="{D5CDD505-2E9C-101B-9397-08002B2CF9AE}" pid="8" name="AllowComments">
    <vt:bool>false</vt:bool>
  </property>
  <property fmtid="{D5CDD505-2E9C-101B-9397-08002B2CF9AE}" pid="9" name="Uploads">
    <vt:bool>true</vt:bool>
  </property>
</Properties>
</file>