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A06A" w14:textId="0290DA54" w:rsidR="00440FEE" w:rsidRPr="006F1EBC" w:rsidRDefault="000125CD" w:rsidP="00DB65A5">
      <w:pPr>
        <w:pStyle w:val="Nadpis1"/>
        <w:rPr>
          <w:rFonts w:ascii="Verdana" w:hAnsi="Verdana"/>
          <w:sz w:val="19"/>
          <w:szCs w:val="19"/>
        </w:rPr>
      </w:pPr>
      <w:r w:rsidRPr="006F1EBC">
        <w:rPr>
          <w:rFonts w:ascii="Verdana" w:hAnsi="Verdana"/>
          <w:sz w:val="19"/>
          <w:szCs w:val="19"/>
        </w:rPr>
        <w:t xml:space="preserve">Industry </w:t>
      </w:r>
      <w:r w:rsidR="00842EB9" w:rsidRPr="006F1EBC">
        <w:rPr>
          <w:rFonts w:ascii="Verdana" w:hAnsi="Verdana"/>
          <w:sz w:val="19"/>
          <w:szCs w:val="19"/>
        </w:rPr>
        <w:t xml:space="preserve">priorities </w:t>
      </w:r>
      <w:r w:rsidR="006B1FF8" w:rsidRPr="006F1EBC">
        <w:rPr>
          <w:rFonts w:ascii="Verdana" w:hAnsi="Verdana"/>
          <w:sz w:val="19"/>
          <w:szCs w:val="19"/>
        </w:rPr>
        <w:t xml:space="preserve">for changes to the </w:t>
      </w:r>
      <w:r w:rsidR="008D39B2" w:rsidRPr="006F1EBC">
        <w:rPr>
          <w:rFonts w:ascii="Verdana" w:hAnsi="Verdana"/>
          <w:sz w:val="19"/>
          <w:szCs w:val="19"/>
        </w:rPr>
        <w:t xml:space="preserve">first draft of the </w:t>
      </w:r>
      <w:r w:rsidR="00E31091" w:rsidRPr="006F1EBC">
        <w:rPr>
          <w:rFonts w:ascii="Verdana" w:hAnsi="Verdana"/>
          <w:sz w:val="19"/>
          <w:szCs w:val="19"/>
        </w:rPr>
        <w:t>Fr</w:t>
      </w:r>
      <w:r w:rsidR="00842EB9" w:rsidRPr="006F1EBC">
        <w:rPr>
          <w:rFonts w:ascii="Verdana" w:hAnsi="Verdana"/>
          <w:sz w:val="19"/>
          <w:szCs w:val="19"/>
        </w:rPr>
        <w:t>ench</w:t>
      </w:r>
      <w:r w:rsidR="00E31091" w:rsidRPr="006F1EBC">
        <w:rPr>
          <w:rFonts w:ascii="Verdana" w:hAnsi="Verdana"/>
          <w:sz w:val="19"/>
          <w:szCs w:val="19"/>
        </w:rPr>
        <w:t xml:space="preserve"> Pr</w:t>
      </w:r>
      <w:r w:rsidR="00842EB9" w:rsidRPr="006F1EBC">
        <w:rPr>
          <w:rFonts w:ascii="Verdana" w:hAnsi="Verdana"/>
          <w:sz w:val="19"/>
          <w:szCs w:val="19"/>
        </w:rPr>
        <w:t>esidency</w:t>
      </w:r>
      <w:r w:rsidR="00E31091" w:rsidRPr="006F1EBC">
        <w:rPr>
          <w:rFonts w:ascii="Verdana" w:hAnsi="Verdana"/>
          <w:sz w:val="19"/>
          <w:szCs w:val="19"/>
        </w:rPr>
        <w:t xml:space="preserve"> </w:t>
      </w:r>
      <w:r w:rsidR="00A75E11" w:rsidRPr="006F1EBC">
        <w:rPr>
          <w:rFonts w:ascii="Verdana" w:hAnsi="Verdana"/>
          <w:sz w:val="19"/>
          <w:szCs w:val="19"/>
        </w:rPr>
        <w:t xml:space="preserve">overall compromise approach </w:t>
      </w:r>
    </w:p>
    <w:p w14:paraId="77ECC0FD" w14:textId="50B4B234" w:rsidR="00E31091" w:rsidRPr="006F1EBC" w:rsidRDefault="00E31091" w:rsidP="00E31091">
      <w:pPr>
        <w:rPr>
          <w:sz w:val="19"/>
          <w:szCs w:val="19"/>
        </w:rPr>
      </w:pPr>
    </w:p>
    <w:p w14:paraId="3F255E51" w14:textId="16C9256A" w:rsidR="00E31091" w:rsidRPr="006F1EBC" w:rsidRDefault="00CB48FD" w:rsidP="00516578">
      <w:pPr>
        <w:pStyle w:val="Nadpis2"/>
        <w:rPr>
          <w:rFonts w:ascii="Verdana" w:hAnsi="Verdana"/>
          <w:sz w:val="19"/>
          <w:szCs w:val="19"/>
        </w:rPr>
      </w:pPr>
      <w:r w:rsidRPr="006F1EBC">
        <w:rPr>
          <w:rFonts w:ascii="Verdana" w:hAnsi="Verdana"/>
          <w:sz w:val="19"/>
          <w:szCs w:val="19"/>
        </w:rPr>
        <w:t>Summary</w:t>
      </w:r>
    </w:p>
    <w:p w14:paraId="27A2E9BC" w14:textId="5F311361" w:rsidR="00416105" w:rsidRDefault="009B1D4B" w:rsidP="00516578">
      <w:r>
        <w:t>T</w:t>
      </w:r>
      <w:r w:rsidR="0012452F">
        <w:t xml:space="preserve">he </w:t>
      </w:r>
      <w:r>
        <w:t xml:space="preserve">French </w:t>
      </w:r>
      <w:r w:rsidR="0012452F">
        <w:t xml:space="preserve">Presidency </w:t>
      </w:r>
      <w:r>
        <w:t xml:space="preserve">aims to finalise the Council </w:t>
      </w:r>
      <w:r w:rsidR="0086293E">
        <w:t xml:space="preserve">general </w:t>
      </w:r>
      <w:r w:rsidR="001121FA">
        <w:t xml:space="preserve">approach </w:t>
      </w:r>
      <w:r w:rsidR="00A2418E">
        <w:t xml:space="preserve">(GA) </w:t>
      </w:r>
      <w:r w:rsidR="001121FA">
        <w:t xml:space="preserve">before the end </w:t>
      </w:r>
      <w:r w:rsidR="00977904">
        <w:t xml:space="preserve">of June. </w:t>
      </w:r>
      <w:r w:rsidR="00BF2CB8">
        <w:t xml:space="preserve">As it </w:t>
      </w:r>
      <w:r w:rsidR="0012452F">
        <w:t xml:space="preserve">is now entering the </w:t>
      </w:r>
      <w:r w:rsidR="00872EB2">
        <w:t xml:space="preserve">final </w:t>
      </w:r>
      <w:r w:rsidR="0012452F">
        <w:t>negotiation stage</w:t>
      </w:r>
      <w:r w:rsidR="00872EB2">
        <w:t>s</w:t>
      </w:r>
      <w:r w:rsidR="0012452F">
        <w:t xml:space="preserve"> with member states</w:t>
      </w:r>
      <w:r w:rsidR="00DC0824">
        <w:t xml:space="preserve">, </w:t>
      </w:r>
      <w:r w:rsidR="00F22D1C">
        <w:t xml:space="preserve">Insurance Europe has </w:t>
      </w:r>
      <w:r w:rsidR="00DC0824">
        <w:t xml:space="preserve">identified the following </w:t>
      </w:r>
      <w:r w:rsidR="00462A53">
        <w:t xml:space="preserve">lobbying </w:t>
      </w:r>
      <w:r w:rsidR="00F95105">
        <w:t xml:space="preserve">priorities </w:t>
      </w:r>
      <w:r w:rsidR="00834F22">
        <w:t>for Council members</w:t>
      </w:r>
      <w:r w:rsidR="006B3BB0">
        <w:t xml:space="preserve"> to try to improve the </w:t>
      </w:r>
      <w:r w:rsidR="00972ED0">
        <w:t>Council GA</w:t>
      </w:r>
      <w:r w:rsidR="0069172D">
        <w:t xml:space="preserve"> in these final discussions</w:t>
      </w:r>
      <w:r w:rsidR="00834F22">
        <w:t xml:space="preserve">. </w:t>
      </w:r>
    </w:p>
    <w:p w14:paraId="70E55796" w14:textId="77777777" w:rsidR="00DC0824" w:rsidRDefault="00DC0824" w:rsidP="00516578"/>
    <w:p w14:paraId="467448F5" w14:textId="01D3A7B7" w:rsidR="00A24548" w:rsidRDefault="00C042E1" w:rsidP="00416105">
      <w:pPr>
        <w:pStyle w:val="CEABullet-Level1"/>
      </w:pPr>
      <w:r>
        <w:t xml:space="preserve">Impact of </w:t>
      </w:r>
      <w:r w:rsidR="00A24548">
        <w:t>Level 1/Level 2</w:t>
      </w:r>
    </w:p>
    <w:p w14:paraId="48586B0E" w14:textId="7A967D48" w:rsidR="00416105" w:rsidRDefault="00416105" w:rsidP="00416105">
      <w:pPr>
        <w:pStyle w:val="CEABullet-Level1"/>
      </w:pPr>
      <w:r>
        <w:t>Cross border supervision</w:t>
      </w:r>
    </w:p>
    <w:p w14:paraId="418FD844" w14:textId="74B1E50A" w:rsidR="00416105" w:rsidRDefault="00416105" w:rsidP="00416105">
      <w:pPr>
        <w:pStyle w:val="CEABullet-Level1"/>
      </w:pPr>
      <w:r>
        <w:t>Proportionality</w:t>
      </w:r>
    </w:p>
    <w:p w14:paraId="66BE16D9" w14:textId="60BD0E6D" w:rsidR="00416105" w:rsidRDefault="00A24548" w:rsidP="00416105">
      <w:pPr>
        <w:pStyle w:val="CEABullet-Level1"/>
      </w:pPr>
      <w:r>
        <w:t>Group Supervision</w:t>
      </w:r>
    </w:p>
    <w:p w14:paraId="17960811" w14:textId="44AA46DD" w:rsidR="00516578" w:rsidRDefault="00516578" w:rsidP="00516578"/>
    <w:p w14:paraId="79F729E5" w14:textId="7FD1223B" w:rsidR="00344269" w:rsidRPr="00674CC9" w:rsidRDefault="00FA5B89" w:rsidP="00344269">
      <w:pPr>
        <w:rPr>
          <w:b/>
        </w:rPr>
      </w:pPr>
      <w:r w:rsidRPr="00674CC9">
        <w:rPr>
          <w:b/>
        </w:rPr>
        <w:t xml:space="preserve">Members are requested to reach out to their Council representatives ahead of the </w:t>
      </w:r>
      <w:r w:rsidR="00804603" w:rsidRPr="00674CC9">
        <w:rPr>
          <w:b/>
        </w:rPr>
        <w:t xml:space="preserve">next Council working group </w:t>
      </w:r>
      <w:r w:rsidR="00957F3C" w:rsidRPr="00674CC9">
        <w:rPr>
          <w:b/>
        </w:rPr>
        <w:t>on 11 M</w:t>
      </w:r>
      <w:r w:rsidR="006710A2" w:rsidRPr="00674CC9">
        <w:rPr>
          <w:b/>
        </w:rPr>
        <w:t xml:space="preserve">ay to </w:t>
      </w:r>
      <w:r w:rsidR="00F03AB7" w:rsidRPr="00674CC9">
        <w:rPr>
          <w:b/>
        </w:rPr>
        <w:t>share these messages.</w:t>
      </w:r>
    </w:p>
    <w:p w14:paraId="3F283BE8" w14:textId="77777777" w:rsidR="00171676" w:rsidRPr="00344269" w:rsidRDefault="00171676" w:rsidP="00344269"/>
    <w:p w14:paraId="69668350" w14:textId="0E9705D9" w:rsidR="00642843" w:rsidRPr="00965309" w:rsidRDefault="00642843" w:rsidP="00873526">
      <w:pPr>
        <w:pStyle w:val="Nadpis2"/>
        <w:rPr>
          <w:rFonts w:ascii="Verdana" w:hAnsi="Verdana"/>
          <w:sz w:val="19"/>
          <w:szCs w:val="19"/>
        </w:rPr>
      </w:pPr>
      <w:r w:rsidRPr="00965309">
        <w:rPr>
          <w:rFonts w:ascii="Verdana" w:hAnsi="Verdana"/>
          <w:sz w:val="19"/>
          <w:szCs w:val="19"/>
        </w:rPr>
        <w:t>Level 1/Level 2</w:t>
      </w:r>
    </w:p>
    <w:p w14:paraId="64743A58" w14:textId="21962A98" w:rsidR="00712FA0" w:rsidRDefault="00B56705" w:rsidP="00712FA0">
      <w:pPr>
        <w:pStyle w:val="CEABullet-Level1"/>
      </w:pPr>
      <w:r>
        <w:t>Many</w:t>
      </w:r>
      <w:r w:rsidR="00874512" w:rsidDel="00B56705">
        <w:t xml:space="preserve"> </w:t>
      </w:r>
      <w:r w:rsidR="00874512">
        <w:t>important aspect</w:t>
      </w:r>
      <w:r>
        <w:t>s</w:t>
      </w:r>
      <w:r w:rsidR="00874512">
        <w:t xml:space="preserve"> of the review</w:t>
      </w:r>
      <w:r w:rsidR="00286086">
        <w:t xml:space="preserve">, in particular those which will </w:t>
      </w:r>
      <w:r w:rsidR="00E0398F">
        <w:t>impact</w:t>
      </w:r>
      <w:r w:rsidR="00874512" w:rsidDel="00BF35FF">
        <w:t xml:space="preserve"> </w:t>
      </w:r>
      <w:r w:rsidR="00B536A0">
        <w:t xml:space="preserve">insurer’s capital requirements and </w:t>
      </w:r>
      <w:proofErr w:type="gramStart"/>
      <w:r w:rsidR="00B536A0">
        <w:t>therefore</w:t>
      </w:r>
      <w:proofErr w:type="gramEnd"/>
      <w:r w:rsidR="00B536A0">
        <w:t xml:space="preserve"> the </w:t>
      </w:r>
      <w:r w:rsidR="00874512">
        <w:t>industry’s investment capacity</w:t>
      </w:r>
      <w:r w:rsidR="00693054">
        <w:t>, are currently in the</w:t>
      </w:r>
      <w:r w:rsidR="00073463">
        <w:t xml:space="preserve"> Level 2</w:t>
      </w:r>
      <w:r w:rsidR="00693054">
        <w:t xml:space="preserve"> Delegated Regulation</w:t>
      </w:r>
      <w:r w:rsidR="00A74766">
        <w:t xml:space="preserve">. </w:t>
      </w:r>
    </w:p>
    <w:p w14:paraId="22564001" w14:textId="508494A7" w:rsidR="00A87367" w:rsidRDefault="00A74766" w:rsidP="00674CC9">
      <w:pPr>
        <w:pStyle w:val="CEABullet-Level1"/>
      </w:pPr>
      <w:r>
        <w:t>I</w:t>
      </w:r>
      <w:r w:rsidR="00874512">
        <w:t xml:space="preserve">t is crucial that </w:t>
      </w:r>
      <w:r>
        <w:t>these</w:t>
      </w:r>
      <w:r w:rsidR="00874512">
        <w:t xml:space="preserve"> fundamental topics remain part of the political discussion with Parliament and Council </w:t>
      </w:r>
      <w:r w:rsidR="0043001E">
        <w:t xml:space="preserve">when assessing the changes to the level 1 texts. </w:t>
      </w:r>
    </w:p>
    <w:p w14:paraId="627B2671" w14:textId="67C8BC8B" w:rsidR="00642843" w:rsidRDefault="00554618" w:rsidP="00674CC9">
      <w:pPr>
        <w:pStyle w:val="CEABullet-Level1"/>
      </w:pPr>
      <w:r>
        <w:t>In particular, d</w:t>
      </w:r>
      <w:r w:rsidR="00874512">
        <w:t xml:space="preserve">etails on the </w:t>
      </w:r>
      <w:r w:rsidR="00392394">
        <w:t xml:space="preserve">following </w:t>
      </w:r>
      <w:r w:rsidR="00874512">
        <w:t xml:space="preserve">6 areas of Level 2 texts </w:t>
      </w:r>
      <w:r w:rsidR="00E97E4B">
        <w:t>should be</w:t>
      </w:r>
      <w:r w:rsidR="00874512">
        <w:t xml:space="preserve"> </w:t>
      </w:r>
      <w:r w:rsidR="00874512" w:rsidRPr="00E97E4B">
        <w:rPr>
          <w:u w:val="single"/>
        </w:rPr>
        <w:t xml:space="preserve">known and </w:t>
      </w:r>
      <w:r w:rsidR="003A1326">
        <w:rPr>
          <w:u w:val="single"/>
        </w:rPr>
        <w:t xml:space="preserve">agreed </w:t>
      </w:r>
      <w:r w:rsidR="00874512">
        <w:t xml:space="preserve">by EP and Council </w:t>
      </w:r>
      <w:r w:rsidR="003A1326">
        <w:t xml:space="preserve">as part of the discussion on the Directive, </w:t>
      </w:r>
      <w:r w:rsidR="00874512">
        <w:t>before they reach agreement ahead of the Trialogues</w:t>
      </w:r>
      <w:r w:rsidR="00E97E4B">
        <w:t>:</w:t>
      </w:r>
    </w:p>
    <w:p w14:paraId="19B5996B" w14:textId="6A801C2D" w:rsidR="006306B6" w:rsidRDefault="00E97E4B" w:rsidP="00674CC9">
      <w:pPr>
        <w:pStyle w:val="CEABullet-Level2"/>
      </w:pPr>
      <w:r>
        <w:t>Extrapolation RFR</w:t>
      </w:r>
      <w:r w:rsidR="006306B6">
        <w:t xml:space="preserve"> </w:t>
      </w:r>
      <w:r w:rsidR="0005616D">
        <w:t xml:space="preserve">- </w:t>
      </w:r>
      <w:r w:rsidR="00B1293A">
        <w:t xml:space="preserve">calibration of the </w:t>
      </w:r>
      <w:r w:rsidR="006306B6">
        <w:t>convergence parameter</w:t>
      </w:r>
    </w:p>
    <w:p w14:paraId="699B2AEA" w14:textId="772E501B" w:rsidR="00E97E4B" w:rsidRDefault="00D8471B" w:rsidP="00674CC9">
      <w:pPr>
        <w:pStyle w:val="CEABullet-Level2"/>
      </w:pPr>
      <w:r>
        <w:t>Volatility Adjustment</w:t>
      </w:r>
      <w:r w:rsidR="006306B6">
        <w:t xml:space="preserve"> </w:t>
      </w:r>
      <w:r w:rsidR="0005616D">
        <w:t xml:space="preserve">- </w:t>
      </w:r>
      <w:r w:rsidR="004F538A">
        <w:t xml:space="preserve">design and calibration of the </w:t>
      </w:r>
      <w:r w:rsidR="006306B6">
        <w:t>risk correction</w:t>
      </w:r>
    </w:p>
    <w:p w14:paraId="0DAF5E11" w14:textId="6C879001" w:rsidR="00D8471B" w:rsidRDefault="00D8471B" w:rsidP="00674CC9">
      <w:pPr>
        <w:pStyle w:val="CEABullet-Level2"/>
      </w:pPr>
      <w:r>
        <w:t>Risk Margin</w:t>
      </w:r>
      <w:r w:rsidR="006306B6">
        <w:t xml:space="preserve"> </w:t>
      </w:r>
      <w:r w:rsidR="0005616D">
        <w:t xml:space="preserve">- </w:t>
      </w:r>
      <w:r w:rsidR="004F5015">
        <w:t>cost of capital/l</w:t>
      </w:r>
      <w:r w:rsidR="006306B6">
        <w:t>ambda</w:t>
      </w:r>
      <w:r w:rsidR="004F5015">
        <w:t xml:space="preserve"> parameter/floor</w:t>
      </w:r>
    </w:p>
    <w:p w14:paraId="1C0E9539" w14:textId="17206EA6" w:rsidR="00D8471B" w:rsidRDefault="00D8471B" w:rsidP="00674CC9">
      <w:pPr>
        <w:pStyle w:val="CEABullet-Level2"/>
      </w:pPr>
      <w:r>
        <w:t xml:space="preserve">SCR Interest rate </w:t>
      </w:r>
      <w:r w:rsidR="00B43597">
        <w:t xml:space="preserve">risk </w:t>
      </w:r>
      <w:r w:rsidR="0005616D">
        <w:t xml:space="preserve">– ensuring the </w:t>
      </w:r>
      <w:r w:rsidR="004001D1">
        <w:t>extrapolation of stress</w:t>
      </w:r>
      <w:r w:rsidR="0005616D">
        <w:t>ed</w:t>
      </w:r>
      <w:r w:rsidR="004001D1">
        <w:t xml:space="preserve"> curve</w:t>
      </w:r>
    </w:p>
    <w:p w14:paraId="7E5E3EDF" w14:textId="3A045029" w:rsidR="00D8471B" w:rsidRDefault="00D8471B" w:rsidP="00674CC9">
      <w:pPr>
        <w:pStyle w:val="CEABullet-Level2"/>
      </w:pPr>
      <w:r>
        <w:t>Long Term Equity SCR</w:t>
      </w:r>
      <w:r w:rsidR="004001D1">
        <w:t xml:space="preserve"> </w:t>
      </w:r>
      <w:r w:rsidR="0005616D">
        <w:t xml:space="preserve">– </w:t>
      </w:r>
      <w:r w:rsidR="00DD125E">
        <w:t xml:space="preserve">the definition of the </w:t>
      </w:r>
      <w:r w:rsidR="004001D1">
        <w:t>criteria</w:t>
      </w:r>
    </w:p>
    <w:p w14:paraId="51C52DAA" w14:textId="2FC8AD60" w:rsidR="00D8471B" w:rsidRDefault="006306B6" w:rsidP="00674CC9">
      <w:pPr>
        <w:pStyle w:val="CEABullet-Level2"/>
      </w:pPr>
      <w:r>
        <w:t xml:space="preserve">Correlations </w:t>
      </w:r>
      <w:r w:rsidR="00DD125E">
        <w:t xml:space="preserve">– calibration of the </w:t>
      </w:r>
      <w:r w:rsidR="004001D1">
        <w:t>spread/interest rate risk</w:t>
      </w:r>
      <w:r w:rsidR="001C3CD9">
        <w:t xml:space="preserve"> correlation</w:t>
      </w:r>
    </w:p>
    <w:p w14:paraId="3E68FE6A" w14:textId="5B9D0F45" w:rsidR="00E26C27" w:rsidRDefault="00E26C27" w:rsidP="00E26C27">
      <w:pPr>
        <w:pStyle w:val="CEABullet-Level3"/>
        <w:numPr>
          <w:ilvl w:val="0"/>
          <w:numId w:val="0"/>
        </w:numPr>
        <w:ind w:left="1416"/>
      </w:pPr>
    </w:p>
    <w:p w14:paraId="72E84AD1" w14:textId="7C207D38" w:rsidR="00E26C27" w:rsidRPr="00656D79" w:rsidRDefault="00433419" w:rsidP="00E26C27">
      <w:pPr>
        <w:pStyle w:val="CEABullet-Level1"/>
        <w:numPr>
          <w:ilvl w:val="0"/>
          <w:numId w:val="0"/>
        </w:numPr>
        <w:rPr>
          <w:rFonts w:eastAsiaTheme="majorEastAsia" w:cstheme="majorBidi"/>
          <w:color w:val="365F91" w:themeColor="accent1" w:themeShade="BF"/>
          <w:sz w:val="19"/>
          <w:szCs w:val="19"/>
        </w:rPr>
      </w:pPr>
      <w:r w:rsidRPr="00656D79">
        <w:rPr>
          <w:rFonts w:eastAsiaTheme="majorEastAsia" w:cstheme="majorBidi"/>
          <w:color w:val="365F91" w:themeColor="accent1" w:themeShade="BF"/>
          <w:sz w:val="19"/>
          <w:szCs w:val="19"/>
        </w:rPr>
        <w:t>Volatility adjustment: Quality overshooting ratio</w:t>
      </w:r>
    </w:p>
    <w:p w14:paraId="31A1FD13" w14:textId="5FB67114" w:rsidR="00433419" w:rsidRDefault="00433419" w:rsidP="00433419">
      <w:pPr>
        <w:pStyle w:val="CEABullet-Level1"/>
      </w:pPr>
      <w:r>
        <w:t>Industry does not support the inclusion of</w:t>
      </w:r>
      <w:r w:rsidR="009F335E">
        <w:t xml:space="preserve"> a quality overshooting ratio.</w:t>
      </w:r>
    </w:p>
    <w:p w14:paraId="722CFA89" w14:textId="5D3D5B38" w:rsidR="009F335E" w:rsidRDefault="009B5721" w:rsidP="00BE67B4">
      <w:pPr>
        <w:pStyle w:val="CEABullet-Level1"/>
      </w:pPr>
      <w:r>
        <w:t xml:space="preserve">The introduction of a quality overshooting ratio would result in </w:t>
      </w:r>
      <w:r w:rsidR="00F5436C">
        <w:t xml:space="preserve">significantly </w:t>
      </w:r>
      <w:r>
        <w:t>increased complexity</w:t>
      </w:r>
      <w:r w:rsidR="005C01AA">
        <w:t xml:space="preserve"> and</w:t>
      </w:r>
      <w:r w:rsidR="00626913">
        <w:t xml:space="preserve"> it</w:t>
      </w:r>
      <w:r w:rsidR="005C01AA">
        <w:t xml:space="preserve"> is very difficult </w:t>
      </w:r>
      <w:r w:rsidR="006E197D">
        <w:t>to assess the benefit of this measure</w:t>
      </w:r>
      <w:r w:rsidR="005C01AA">
        <w:t xml:space="preserve">. </w:t>
      </w:r>
    </w:p>
    <w:p w14:paraId="38864081" w14:textId="77777777" w:rsidR="009B2BAC" w:rsidRDefault="006E197D" w:rsidP="00433419">
      <w:pPr>
        <w:pStyle w:val="CEABullet-Level1"/>
      </w:pPr>
      <w:r>
        <w:t xml:space="preserve">No </w:t>
      </w:r>
      <w:r w:rsidR="00626913">
        <w:t>proposals on important measures such as the VA</w:t>
      </w:r>
      <w:r w:rsidR="000737CD">
        <w:t xml:space="preserve"> should be included in the Solvency II review without being </w:t>
      </w:r>
      <w:r w:rsidR="00C80AE4">
        <w:t xml:space="preserve">fully </w:t>
      </w:r>
      <w:r w:rsidR="00927B25">
        <w:t>back tested</w:t>
      </w:r>
      <w:r w:rsidR="00C80AE4">
        <w:t xml:space="preserve"> to ensure they d</w:t>
      </w:r>
      <w:r w:rsidR="00927B25">
        <w:t>o</w:t>
      </w:r>
      <w:r w:rsidR="00C80AE4">
        <w:t xml:space="preserve"> not cause </w:t>
      </w:r>
      <w:r w:rsidR="00927B25">
        <w:t>unintended consequences and actually work in all market conditions</w:t>
      </w:r>
      <w:r w:rsidR="000737CD">
        <w:t xml:space="preserve">, including during the </w:t>
      </w:r>
      <w:r w:rsidR="009B2BAC">
        <w:t>2007-2009 global financial crisis</w:t>
      </w:r>
      <w:r w:rsidR="00927B25">
        <w:t>.</w:t>
      </w:r>
    </w:p>
    <w:p w14:paraId="1EA96041" w14:textId="58C4B3D8" w:rsidR="00436525" w:rsidRDefault="009B2BAC" w:rsidP="00656D79">
      <w:pPr>
        <w:pStyle w:val="CEABullet-Level1"/>
      </w:pPr>
      <w:r>
        <w:t xml:space="preserve">The </w:t>
      </w:r>
      <w:r w:rsidR="00384BD0">
        <w:t>industry understands the proposal is based on concerns</w:t>
      </w:r>
      <w:r w:rsidR="00927B25">
        <w:t xml:space="preserve"> </w:t>
      </w:r>
      <w:r w:rsidR="00384BD0">
        <w:t xml:space="preserve">raised by one member state. Solvency II already contains </w:t>
      </w:r>
      <w:r w:rsidR="00B762B8">
        <w:t>measures which would allow the supervisors to address these issues i</w:t>
      </w:r>
      <w:r w:rsidR="002D7602">
        <w:t>ncluding the ORSA and capital add-ons.</w:t>
      </w:r>
    </w:p>
    <w:p w14:paraId="231A2C06" w14:textId="77777777" w:rsidR="00433419" w:rsidRDefault="00433419" w:rsidP="00E26C27">
      <w:pPr>
        <w:pStyle w:val="CEABullet-Level1"/>
        <w:numPr>
          <w:ilvl w:val="0"/>
          <w:numId w:val="0"/>
        </w:numPr>
      </w:pPr>
    </w:p>
    <w:p w14:paraId="1987A555" w14:textId="47978505" w:rsidR="00E26C27" w:rsidRPr="00FE529C" w:rsidRDefault="00E26C27" w:rsidP="00E26C27">
      <w:pPr>
        <w:pStyle w:val="CEABullet-Level1"/>
        <w:numPr>
          <w:ilvl w:val="0"/>
          <w:numId w:val="0"/>
        </w:numPr>
      </w:pPr>
      <w:r w:rsidRPr="00281AD5">
        <w:t>Insurance Europe supports the following changes to the French Presidency’s first draft compromise proposals</w:t>
      </w:r>
      <w:r>
        <w:t xml:space="preserve"> on the </w:t>
      </w:r>
      <w:r w:rsidR="00E878A4">
        <w:t xml:space="preserve">following </w:t>
      </w:r>
      <w:r>
        <w:t>topic</w:t>
      </w:r>
      <w:r w:rsidR="00E878A4">
        <w:t>s</w:t>
      </w:r>
      <w:r w:rsidR="00EB4718">
        <w:t>:</w:t>
      </w:r>
    </w:p>
    <w:p w14:paraId="0B348E01" w14:textId="77777777" w:rsidR="004001D1" w:rsidRPr="00E97E4B" w:rsidRDefault="004001D1" w:rsidP="00674CC9">
      <w:pPr>
        <w:pStyle w:val="CEABullet-Level3"/>
        <w:numPr>
          <w:ilvl w:val="0"/>
          <w:numId w:val="0"/>
        </w:numPr>
      </w:pPr>
    </w:p>
    <w:p w14:paraId="31F321C8" w14:textId="7072A8BB" w:rsidR="00821AEC" w:rsidRPr="00965309" w:rsidRDefault="003A38D9" w:rsidP="00873526">
      <w:pPr>
        <w:pStyle w:val="Nadpis2"/>
        <w:rPr>
          <w:rFonts w:ascii="Verdana" w:hAnsi="Verdana"/>
          <w:sz w:val="19"/>
          <w:szCs w:val="19"/>
        </w:rPr>
      </w:pPr>
      <w:r w:rsidRPr="00965309">
        <w:rPr>
          <w:rFonts w:ascii="Verdana" w:hAnsi="Verdana"/>
          <w:sz w:val="19"/>
          <w:szCs w:val="19"/>
        </w:rPr>
        <w:t>Cross border S</w:t>
      </w:r>
      <w:r w:rsidR="00821AEC" w:rsidRPr="00965309">
        <w:rPr>
          <w:rFonts w:ascii="Verdana" w:hAnsi="Verdana"/>
          <w:sz w:val="19"/>
          <w:szCs w:val="19"/>
        </w:rPr>
        <w:t>upervision</w:t>
      </w:r>
      <w:r w:rsidR="00973F11" w:rsidRPr="00965309">
        <w:rPr>
          <w:rFonts w:ascii="Verdana" w:hAnsi="Verdana"/>
          <w:sz w:val="19"/>
          <w:szCs w:val="19"/>
        </w:rPr>
        <w:t xml:space="preserve"> </w:t>
      </w:r>
    </w:p>
    <w:p w14:paraId="14630245" w14:textId="77777777" w:rsidR="00141529" w:rsidRDefault="00141529" w:rsidP="00674CC9">
      <w:pPr>
        <w:pStyle w:val="CEABullet-Level1"/>
      </w:pPr>
      <w:r>
        <w:t>Enhanced sharing of existing (</w:t>
      </w:r>
      <w:proofErr w:type="spellStart"/>
      <w:proofErr w:type="gramStart"/>
      <w:r>
        <w:t>ie</w:t>
      </w:r>
      <w:proofErr w:type="spellEnd"/>
      <w:proofErr w:type="gramEnd"/>
      <w:r>
        <w:t xml:space="preserve"> QRT) information between home and host NSAs is needed.</w:t>
      </w:r>
    </w:p>
    <w:p w14:paraId="355ADFAB" w14:textId="332DC6B0" w:rsidR="00141529" w:rsidRDefault="00141529" w:rsidP="00141529">
      <w:pPr>
        <w:pStyle w:val="CEABullet-Level2"/>
      </w:pPr>
      <w:r>
        <w:t>Host NSAs should have access to all the standardised reporting and data (</w:t>
      </w:r>
      <w:proofErr w:type="spellStart"/>
      <w:proofErr w:type="gramStart"/>
      <w:r>
        <w:t>eg</w:t>
      </w:r>
      <w:proofErr w:type="spellEnd"/>
      <w:proofErr w:type="gramEnd"/>
      <w:r>
        <w:t xml:space="preserve"> QRTs) of the insurer who wishes to pursue (or is pursuing) any business under </w:t>
      </w:r>
      <w:proofErr w:type="spellStart"/>
      <w:r>
        <w:t>FoS</w:t>
      </w:r>
      <w:proofErr w:type="spellEnd"/>
      <w:r>
        <w:t xml:space="preserve"> or </w:t>
      </w:r>
      <w:proofErr w:type="spellStart"/>
      <w:r>
        <w:t>FoE</w:t>
      </w:r>
      <w:proofErr w:type="spellEnd"/>
      <w:r>
        <w:t>.</w:t>
      </w:r>
    </w:p>
    <w:p w14:paraId="41B9F0CB" w14:textId="50AB0927" w:rsidR="00141529" w:rsidRDefault="00141529" w:rsidP="00141529">
      <w:pPr>
        <w:pStyle w:val="CEABullet-Level2"/>
      </w:pPr>
      <w:r>
        <w:t xml:space="preserve">This information will allow the host supervisor to monitor the solvency of companies selling insurance in its country, monitor levels and rate of growth in sales and if there are concerns </w:t>
      </w:r>
      <w:r>
        <w:lastRenderedPageBreak/>
        <w:t>to contact the home supervisor.</w:t>
      </w:r>
      <w:r w:rsidR="00477755">
        <w:t xml:space="preserve"> </w:t>
      </w:r>
      <w:r w:rsidR="000C0FFA">
        <w:t xml:space="preserve">It </w:t>
      </w:r>
      <w:r w:rsidR="0009524B">
        <w:t>can also</w:t>
      </w:r>
      <w:r w:rsidR="00CF4BC1">
        <w:t xml:space="preserve"> reduce the </w:t>
      </w:r>
      <w:r w:rsidR="00AC009C">
        <w:t xml:space="preserve">frequency and need </w:t>
      </w:r>
      <w:r w:rsidR="00CF4BC1">
        <w:t xml:space="preserve">for </w:t>
      </w:r>
      <w:r w:rsidR="00AC009C">
        <w:t xml:space="preserve">the host Member State to make information requests </w:t>
      </w:r>
    </w:p>
    <w:p w14:paraId="55B17F66" w14:textId="789FEBFA" w:rsidR="00141529" w:rsidRDefault="005B0634" w:rsidP="00141529">
      <w:pPr>
        <w:pStyle w:val="CEABullet-Level2"/>
      </w:pPr>
      <w:r>
        <w:t xml:space="preserve">This requirement can be included </w:t>
      </w:r>
      <w:r w:rsidR="00154DA1">
        <w:t>by changes to Art.</w:t>
      </w:r>
      <w:r w:rsidR="0022709E">
        <w:t xml:space="preserve"> 146 (</w:t>
      </w:r>
      <w:proofErr w:type="spellStart"/>
      <w:r w:rsidR="0022709E">
        <w:t>FoE</w:t>
      </w:r>
      <w:proofErr w:type="spellEnd"/>
      <w:r w:rsidR="0022709E">
        <w:t>) and Art. 148 (</w:t>
      </w:r>
      <w:proofErr w:type="spellStart"/>
      <w:r w:rsidR="0022709E">
        <w:t>FoS</w:t>
      </w:r>
      <w:proofErr w:type="spellEnd"/>
      <w:r w:rsidR="0022709E">
        <w:t>)</w:t>
      </w:r>
    </w:p>
    <w:p w14:paraId="31727547" w14:textId="77777777" w:rsidR="003F31D6" w:rsidRDefault="00592104" w:rsidP="0022709E">
      <w:pPr>
        <w:pStyle w:val="CEABullet-Level1"/>
      </w:pPr>
      <w:r>
        <w:t xml:space="preserve">The criteria for identifying </w:t>
      </w:r>
      <w:r w:rsidR="00115452">
        <w:t>“significant cross bo</w:t>
      </w:r>
      <w:r w:rsidR="002164DE">
        <w:t xml:space="preserve">rder activities” </w:t>
      </w:r>
    </w:p>
    <w:p w14:paraId="36598AF1" w14:textId="56D1DC69" w:rsidR="00141529" w:rsidRPr="00674CC9" w:rsidRDefault="002164DE">
      <w:pPr>
        <w:pStyle w:val="CEABullet-Level2"/>
        <w:rPr>
          <w:i/>
        </w:rPr>
      </w:pPr>
      <w:r>
        <w:t>Art</w:t>
      </w:r>
      <w:r w:rsidR="00EA6B5B">
        <w:t>. 33</w:t>
      </w:r>
      <w:r w:rsidR="003F31D6">
        <w:t>a</w:t>
      </w:r>
      <w:r w:rsidR="00EA6B5B">
        <w:t xml:space="preserve"> should be </w:t>
      </w:r>
      <w:r w:rsidR="00961D27" w:rsidRPr="00674CC9">
        <w:rPr>
          <w:u w:val="single"/>
        </w:rPr>
        <w:t>based solely</w:t>
      </w:r>
      <w:r w:rsidR="00961D27">
        <w:t xml:space="preserve"> on </w:t>
      </w:r>
      <w:r w:rsidR="00114C7B">
        <w:t>criteri</w:t>
      </w:r>
      <w:r w:rsidR="0087168A">
        <w:t>on</w:t>
      </w:r>
      <w:r w:rsidR="00114C7B">
        <w:t xml:space="preserve"> </w:t>
      </w:r>
      <w:r w:rsidR="001A1E30">
        <w:t>(</w:t>
      </w:r>
      <w:r w:rsidR="00114C7B">
        <w:t>b</w:t>
      </w:r>
      <w:r w:rsidR="001A1E30">
        <w:t>)</w:t>
      </w:r>
      <w:r w:rsidR="00114C7B">
        <w:t xml:space="preserve"> proposed by the French Presidency</w:t>
      </w:r>
      <w:r w:rsidR="001A1E30">
        <w:t xml:space="preserve"> </w:t>
      </w:r>
      <w:proofErr w:type="spellStart"/>
      <w:r w:rsidR="001A1E30">
        <w:t>ie</w:t>
      </w:r>
      <w:proofErr w:type="spellEnd"/>
      <w:r w:rsidR="001A1E30">
        <w:t>.</w:t>
      </w:r>
      <w:r w:rsidR="00550598">
        <w:t xml:space="preserve"> </w:t>
      </w:r>
      <w:r w:rsidR="001A1E30" w:rsidRPr="00674CC9">
        <w:rPr>
          <w:i/>
        </w:rPr>
        <w:t>the activities carried out under the right of establishment or under the freedom to provide services are of relevance to the local market of the host Member State, in particular when the activities are considered as relevant by the supervisory authority of the Host Member State.</w:t>
      </w:r>
    </w:p>
    <w:p w14:paraId="7B4F1F0F" w14:textId="2F29F4E2" w:rsidR="00141529" w:rsidRDefault="001A1E30" w:rsidP="00141529">
      <w:pPr>
        <w:pStyle w:val="CEABullet-Level2"/>
      </w:pPr>
      <w:r>
        <w:t>The French Presidency’s proposed c</w:t>
      </w:r>
      <w:r w:rsidR="006317E5">
        <w:t>riteri</w:t>
      </w:r>
      <w:r w:rsidR="0087168A">
        <w:t>on</w:t>
      </w:r>
      <w:r w:rsidR="006317E5">
        <w:t xml:space="preserve"> (a) </w:t>
      </w:r>
      <w:r w:rsidR="00A55F2E">
        <w:t xml:space="preserve">which determines </w:t>
      </w:r>
      <w:r w:rsidR="0043482E">
        <w:t xml:space="preserve">significant cross border activities based on an absolute threshold of €15m is not risk </w:t>
      </w:r>
      <w:r w:rsidR="0076036A">
        <w:t xml:space="preserve">based and should be deleted. </w:t>
      </w:r>
    </w:p>
    <w:p w14:paraId="5D65B247" w14:textId="127AB5D4" w:rsidR="00FD7E3F" w:rsidRDefault="00770C8E" w:rsidP="001D5387">
      <w:pPr>
        <w:pStyle w:val="CEABullet-Level1"/>
      </w:pPr>
      <w:r>
        <w:t xml:space="preserve">The additional requirements related to significant cross-border </w:t>
      </w:r>
      <w:r w:rsidR="00EE2862">
        <w:t>activities (Art 159a) can be r</w:t>
      </w:r>
      <w:r w:rsidR="00FD7E3F">
        <w:t>educed if the changes above are implemented.</w:t>
      </w:r>
    </w:p>
    <w:p w14:paraId="61D8C5D8" w14:textId="77777777" w:rsidR="00B7681D" w:rsidRDefault="00811BC8" w:rsidP="00FD7E3F">
      <w:pPr>
        <w:pStyle w:val="CEABullet-Level2"/>
      </w:pPr>
      <w:r>
        <w:t xml:space="preserve">Paragraph 1 of Art 159a can be deleted </w:t>
      </w:r>
      <w:r w:rsidR="001017F5">
        <w:t>as</w:t>
      </w:r>
      <w:r w:rsidR="00F53076">
        <w:t xml:space="preserve"> this information would already be </w:t>
      </w:r>
      <w:r w:rsidR="009D6D67">
        <w:t xml:space="preserve">shared </w:t>
      </w:r>
      <w:r w:rsidR="00AF5D88">
        <w:t>as part of Art</w:t>
      </w:r>
      <w:r w:rsidR="00B7681D">
        <w:t>. 146 or Art. 148.</w:t>
      </w:r>
    </w:p>
    <w:p w14:paraId="2ECEC294" w14:textId="0BB76F94" w:rsidR="00D85D8D" w:rsidRPr="00ED3FBB" w:rsidRDefault="0030523A" w:rsidP="00674CC9">
      <w:pPr>
        <w:pStyle w:val="CEABullet-Level2"/>
      </w:pPr>
      <w:r>
        <w:t xml:space="preserve">The definition of significant cross border activities should also be </w:t>
      </w:r>
      <w:r w:rsidR="002C19C9">
        <w:t xml:space="preserve">strictly </w:t>
      </w:r>
      <w:r>
        <w:t>aligned to Art.33</w:t>
      </w:r>
      <w:r w:rsidR="002C19C9">
        <w:t>a</w:t>
      </w:r>
      <w:r>
        <w:t xml:space="preserve"> (either by direct reference or exact wording) to avoid any ambiguity.</w:t>
      </w:r>
    </w:p>
    <w:p w14:paraId="2EFE299E" w14:textId="64FC4A7E" w:rsidR="00E22EA1" w:rsidRDefault="00D21E5C" w:rsidP="0030523A">
      <w:pPr>
        <w:pStyle w:val="CEABullet-Level1"/>
      </w:pPr>
      <w:r w:rsidRPr="002E13EF">
        <w:t xml:space="preserve">Direct </w:t>
      </w:r>
      <w:r w:rsidR="003C5103" w:rsidRPr="00674CC9">
        <w:t xml:space="preserve">requests </w:t>
      </w:r>
      <w:r w:rsidRPr="002E13EF">
        <w:t>from h</w:t>
      </w:r>
      <w:r w:rsidR="00110469" w:rsidRPr="002E13EF">
        <w:t>ost supervisor</w:t>
      </w:r>
      <w:r w:rsidR="003C5103" w:rsidRPr="00674CC9">
        <w:t>s</w:t>
      </w:r>
      <w:r w:rsidR="00110469" w:rsidRPr="002E13EF">
        <w:t xml:space="preserve"> to </w:t>
      </w:r>
      <w:r w:rsidR="007F3E92" w:rsidRPr="002E13EF">
        <w:t>insurers</w:t>
      </w:r>
      <w:r w:rsidR="007F3E92">
        <w:t xml:space="preserve"> </w:t>
      </w:r>
      <w:r w:rsidR="003C5103">
        <w:t xml:space="preserve">who </w:t>
      </w:r>
      <w:r w:rsidR="008821E4">
        <w:t xml:space="preserve">operate </w:t>
      </w:r>
      <w:r w:rsidR="007F3E92">
        <w:t>cross border</w:t>
      </w:r>
      <w:r w:rsidR="008821E4">
        <w:t xml:space="preserve"> activities </w:t>
      </w:r>
      <w:r w:rsidR="00E433A9">
        <w:t>should only be possible if the</w:t>
      </w:r>
      <w:r w:rsidR="00295E1C">
        <w:t xml:space="preserve"> home supervisor does not provide the information within a reasonable timeframe </w:t>
      </w:r>
      <w:proofErr w:type="spellStart"/>
      <w:proofErr w:type="gramStart"/>
      <w:r w:rsidR="00295E1C">
        <w:t>eg</w:t>
      </w:r>
      <w:proofErr w:type="spellEnd"/>
      <w:proofErr w:type="gramEnd"/>
      <w:r w:rsidR="00295E1C">
        <w:t xml:space="preserve"> 2 months. </w:t>
      </w:r>
      <w:r w:rsidR="007F3E92">
        <w:t xml:space="preserve"> </w:t>
      </w:r>
    </w:p>
    <w:p w14:paraId="38CB825F" w14:textId="77777777" w:rsidR="009820BB" w:rsidRPr="009820BB" w:rsidRDefault="009820BB" w:rsidP="00A535D6"/>
    <w:p w14:paraId="4E8501D2" w14:textId="33A5DF28" w:rsidR="00207FC4" w:rsidRPr="00965309" w:rsidRDefault="00821AEC" w:rsidP="00674CC9">
      <w:pPr>
        <w:pStyle w:val="Nadpis2"/>
        <w:rPr>
          <w:rFonts w:ascii="Verdana" w:hAnsi="Verdana"/>
          <w:sz w:val="19"/>
          <w:szCs w:val="19"/>
        </w:rPr>
      </w:pPr>
      <w:r w:rsidRPr="00965309">
        <w:rPr>
          <w:rFonts w:ascii="Verdana" w:hAnsi="Verdana"/>
          <w:sz w:val="19"/>
          <w:szCs w:val="19"/>
        </w:rPr>
        <w:t>Proportionality</w:t>
      </w:r>
    </w:p>
    <w:p w14:paraId="3BBD84EB" w14:textId="081B9295" w:rsidR="009A793B" w:rsidRDefault="00E53076" w:rsidP="005A01F0">
      <w:pPr>
        <w:pStyle w:val="CEABullet-Level1"/>
      </w:pPr>
      <w:r>
        <w:t>The previous terminology</w:t>
      </w:r>
      <w:r w:rsidR="003B16BE">
        <w:t xml:space="preserve"> </w:t>
      </w:r>
      <w:r w:rsidR="0012445B">
        <w:t xml:space="preserve">- </w:t>
      </w:r>
      <w:r>
        <w:t xml:space="preserve">Low Risk </w:t>
      </w:r>
      <w:r w:rsidR="0016422A">
        <w:t>Profile</w:t>
      </w:r>
      <w:r w:rsidR="003B16BE">
        <w:t xml:space="preserve"> Undertaking</w:t>
      </w:r>
      <w:r w:rsidR="0012445B">
        <w:t xml:space="preserve"> -</w:t>
      </w:r>
      <w:r w:rsidR="003B16BE">
        <w:t xml:space="preserve"> is more appropriate than one that focuses on the size of the u</w:t>
      </w:r>
      <w:r>
        <w:t xml:space="preserve">ndertaking </w:t>
      </w:r>
    </w:p>
    <w:p w14:paraId="6A7ED7E3" w14:textId="43970594" w:rsidR="006E514D" w:rsidRDefault="006E514D" w:rsidP="005A01F0">
      <w:pPr>
        <w:pStyle w:val="CEABullet-Level1"/>
      </w:pPr>
      <w:r>
        <w:t xml:space="preserve">The criteria for </w:t>
      </w:r>
      <w:r w:rsidR="00E53076">
        <w:t>Low</w:t>
      </w:r>
      <w:r w:rsidR="009A793B">
        <w:t xml:space="preserve"> Risk Profile Undertaking need improving to avoid unnecessarily limiting the companies that can qualify and </w:t>
      </w:r>
      <w:r w:rsidR="00D10DEB">
        <w:t xml:space="preserve">to </w:t>
      </w:r>
      <w:r w:rsidR="009A793B">
        <w:t xml:space="preserve">ensure that it works well across all </w:t>
      </w:r>
      <w:r w:rsidR="005F0A2E">
        <w:t>member states</w:t>
      </w:r>
      <w:r w:rsidR="00D85F06">
        <w:t>:</w:t>
      </w:r>
      <w:r w:rsidR="00E53076">
        <w:t xml:space="preserve"> </w:t>
      </w:r>
    </w:p>
    <w:p w14:paraId="1B8CEF11" w14:textId="3B814D4A" w:rsidR="00807917" w:rsidRPr="00207FC4" w:rsidRDefault="00E64EC1" w:rsidP="00674CC9">
      <w:pPr>
        <w:pStyle w:val="CEABullet-Level1"/>
        <w:ind w:left="1068"/>
      </w:pPr>
      <w:r w:rsidRPr="00207FC4">
        <w:t>In</w:t>
      </w:r>
      <w:r w:rsidR="005D6E35" w:rsidRPr="00207FC4">
        <w:t>crease of the size criterion</w:t>
      </w:r>
    </w:p>
    <w:p w14:paraId="4F5BEBA2" w14:textId="5F4B4CC5" w:rsidR="005D6E35" w:rsidRDefault="005D6E35" w:rsidP="00674CC9">
      <w:pPr>
        <w:pStyle w:val="CEABullet-Level2"/>
        <w:ind w:left="1416"/>
        <w:rPr>
          <w:szCs w:val="17"/>
        </w:rPr>
      </w:pPr>
      <w:r>
        <w:rPr>
          <w:szCs w:val="17"/>
        </w:rPr>
        <w:t xml:space="preserve">The size criterion needs to </w:t>
      </w:r>
      <w:r w:rsidR="00211D46">
        <w:rPr>
          <w:szCs w:val="17"/>
        </w:rPr>
        <w:t>be chang</w:t>
      </w:r>
      <w:r>
        <w:rPr>
          <w:szCs w:val="17"/>
        </w:rPr>
        <w:t xml:space="preserve">ed </w:t>
      </w:r>
      <w:r w:rsidR="00211D46">
        <w:rPr>
          <w:szCs w:val="17"/>
        </w:rPr>
        <w:t>to make it work for markets of all sizes.</w:t>
      </w:r>
      <w:r w:rsidR="00266379">
        <w:rPr>
          <w:szCs w:val="17"/>
        </w:rPr>
        <w:t xml:space="preserve"> </w:t>
      </w:r>
      <w:r w:rsidR="004363C7">
        <w:rPr>
          <w:szCs w:val="17"/>
        </w:rPr>
        <w:t xml:space="preserve">Therefore, it is proposed to </w:t>
      </w:r>
      <w:r w:rsidR="00122153">
        <w:rPr>
          <w:szCs w:val="17"/>
        </w:rPr>
        <w:t xml:space="preserve">give member states the option to </w:t>
      </w:r>
      <w:r w:rsidR="004363C7">
        <w:rPr>
          <w:szCs w:val="17"/>
        </w:rPr>
        <w:t xml:space="preserve">increase </w:t>
      </w:r>
      <w:r w:rsidR="00FB22BC">
        <w:rPr>
          <w:szCs w:val="17"/>
        </w:rPr>
        <w:t xml:space="preserve">the </w:t>
      </w:r>
      <w:r w:rsidR="00E05162">
        <w:rPr>
          <w:szCs w:val="17"/>
        </w:rPr>
        <w:t>d</w:t>
      </w:r>
      <w:r w:rsidR="004363C7">
        <w:t xml:space="preserve">efault size criteria of €1bn and €100 </w:t>
      </w:r>
      <w:r w:rsidR="005A01F0">
        <w:t>million</w:t>
      </w:r>
      <w:r w:rsidR="00122153">
        <w:t xml:space="preserve">. </w:t>
      </w:r>
      <w:r w:rsidR="001E0532">
        <w:t>Memb</w:t>
      </w:r>
      <w:r w:rsidR="00514249">
        <w:t xml:space="preserve">er states </w:t>
      </w:r>
      <w:r w:rsidR="001E0532">
        <w:t xml:space="preserve">would have </w:t>
      </w:r>
      <w:r w:rsidR="00695CF8">
        <w:t>the option to increase</w:t>
      </w:r>
      <w:r w:rsidR="004363C7">
        <w:t xml:space="preserve"> </w:t>
      </w:r>
      <w:r w:rsidR="001E0532">
        <w:t xml:space="preserve">technical provisions </w:t>
      </w:r>
      <w:r w:rsidR="004363C7">
        <w:t xml:space="preserve">from €1bn to max €5bn and </w:t>
      </w:r>
      <w:r w:rsidR="001E0532">
        <w:t xml:space="preserve">gross written premium </w:t>
      </w:r>
      <w:r w:rsidR="004363C7">
        <w:t>from €100m to €500m, as long as this does not exceed 20% of market (optionally by number or market share).</w:t>
      </w:r>
    </w:p>
    <w:p w14:paraId="24BC8B9E" w14:textId="6A465449" w:rsidR="003B2E2E" w:rsidRDefault="003B2E2E" w:rsidP="00674CC9">
      <w:pPr>
        <w:ind w:left="348"/>
        <w:rPr>
          <w:b/>
          <w:bCs/>
          <w:u w:val="single"/>
        </w:rPr>
      </w:pPr>
    </w:p>
    <w:p w14:paraId="271C5F12" w14:textId="387B11A7" w:rsidR="003B2E2E" w:rsidRPr="00207FC4" w:rsidRDefault="003B2E2E" w:rsidP="00674CC9">
      <w:pPr>
        <w:pStyle w:val="CEABullet-Level1"/>
        <w:ind w:left="1068"/>
      </w:pPr>
      <w:r w:rsidRPr="00207FC4">
        <w:t>Modification of cross border criterion</w:t>
      </w:r>
    </w:p>
    <w:p w14:paraId="0EDAA7F6" w14:textId="56942E11" w:rsidR="00981A53" w:rsidRPr="00DC04F2" w:rsidRDefault="00207FC4" w:rsidP="00674CC9">
      <w:pPr>
        <w:pStyle w:val="CEABullet-Level2"/>
        <w:ind w:left="1416"/>
        <w:rPr>
          <w:lang w:val="en-US"/>
        </w:rPr>
      </w:pPr>
      <w:r>
        <w:rPr>
          <w:lang w:val="en-US"/>
        </w:rPr>
        <w:t xml:space="preserve">The </w:t>
      </w:r>
      <w:r w:rsidRPr="00207FC4">
        <w:rPr>
          <w:lang w:val="en-US"/>
        </w:rPr>
        <w:t>limit</w:t>
      </w:r>
      <w:r w:rsidR="00E123C1">
        <w:rPr>
          <w:lang w:val="en-US"/>
        </w:rPr>
        <w:t>s proposed</w:t>
      </w:r>
      <w:r w:rsidRPr="00207FC4">
        <w:rPr>
          <w:lang w:val="en-US"/>
        </w:rPr>
        <w:t xml:space="preserve"> for cross border activity</w:t>
      </w:r>
      <w:r w:rsidR="002C1761">
        <w:rPr>
          <w:lang w:val="en-US"/>
        </w:rPr>
        <w:t xml:space="preserve">, </w:t>
      </w:r>
      <w:proofErr w:type="spellStart"/>
      <w:proofErr w:type="gramStart"/>
      <w:r w:rsidR="002C1761">
        <w:rPr>
          <w:lang w:val="en-US"/>
        </w:rPr>
        <w:t>ie</w:t>
      </w:r>
      <w:proofErr w:type="spellEnd"/>
      <w:proofErr w:type="gramEnd"/>
      <w:r w:rsidR="002C1761">
        <w:rPr>
          <w:lang w:val="en-US"/>
        </w:rPr>
        <w:t xml:space="preserve"> the lower of either 15 Mio or 5% of</w:t>
      </w:r>
      <w:r w:rsidR="00D13F81">
        <w:rPr>
          <w:lang w:val="en-US"/>
        </w:rPr>
        <w:t xml:space="preserve"> total annual gross written premium </w:t>
      </w:r>
      <w:r w:rsidR="00E9169D">
        <w:rPr>
          <w:lang w:val="en-US"/>
        </w:rPr>
        <w:t xml:space="preserve">is unnecessarily </w:t>
      </w:r>
      <w:r w:rsidR="00E860C0">
        <w:rPr>
          <w:lang w:val="en-US"/>
        </w:rPr>
        <w:t>restrictive</w:t>
      </w:r>
      <w:r w:rsidR="00391956">
        <w:rPr>
          <w:lang w:val="en-US"/>
        </w:rPr>
        <w:t xml:space="preserve"> and needs to be altered. </w:t>
      </w:r>
    </w:p>
    <w:p w14:paraId="3952E2E8" w14:textId="7A41414B" w:rsidR="00391956" w:rsidRDefault="00A1215D" w:rsidP="00674CC9">
      <w:pPr>
        <w:pStyle w:val="CEABullet-Level2"/>
        <w:ind w:left="1416"/>
        <w:rPr>
          <w:lang w:val="en-US"/>
        </w:rPr>
      </w:pPr>
      <w:r>
        <w:rPr>
          <w:lang w:val="en-US"/>
        </w:rPr>
        <w:t xml:space="preserve">The limit </w:t>
      </w:r>
      <w:r w:rsidR="00B931CF">
        <w:rPr>
          <w:lang w:val="en-US"/>
        </w:rPr>
        <w:t xml:space="preserve">proposed, </w:t>
      </w:r>
      <w:proofErr w:type="spellStart"/>
      <w:proofErr w:type="gramStart"/>
      <w:r w:rsidR="008408C6">
        <w:rPr>
          <w:lang w:val="en-US"/>
        </w:rPr>
        <w:t>ie</w:t>
      </w:r>
      <w:proofErr w:type="spellEnd"/>
      <w:proofErr w:type="gramEnd"/>
      <w:r w:rsidR="008408C6">
        <w:rPr>
          <w:lang w:val="en-US"/>
        </w:rPr>
        <w:t xml:space="preserve"> the lower of either 15 Mio or 5% of total annual gross written premium</w:t>
      </w:r>
      <w:r w:rsidR="00B931CF">
        <w:rPr>
          <w:lang w:val="en-US"/>
        </w:rPr>
        <w:t>,</w:t>
      </w:r>
      <w:r w:rsidR="008408C6">
        <w:rPr>
          <w:lang w:val="en-US"/>
        </w:rPr>
        <w:t xml:space="preserve"> </w:t>
      </w:r>
      <w:r>
        <w:rPr>
          <w:lang w:val="en-US"/>
        </w:rPr>
        <w:t xml:space="preserve">should </w:t>
      </w:r>
      <w:r w:rsidR="00391956" w:rsidRPr="00207FC4">
        <w:rPr>
          <w:lang w:val="en-US"/>
        </w:rPr>
        <w:t xml:space="preserve">only </w:t>
      </w:r>
      <w:r>
        <w:rPr>
          <w:lang w:val="en-US"/>
        </w:rPr>
        <w:t xml:space="preserve">apply </w:t>
      </w:r>
      <w:r w:rsidR="00391956" w:rsidRPr="00207FC4">
        <w:rPr>
          <w:lang w:val="en-US"/>
        </w:rPr>
        <w:t>where a member state makes use of the</w:t>
      </w:r>
      <w:r>
        <w:rPr>
          <w:lang w:val="en-US"/>
        </w:rPr>
        <w:t xml:space="preserve"> </w:t>
      </w:r>
      <w:r w:rsidR="00391956" w:rsidRPr="00207FC4">
        <w:rPr>
          <w:lang w:val="en-US"/>
        </w:rPr>
        <w:t xml:space="preserve">option to apply a threshold above €1bn </w:t>
      </w:r>
      <w:r w:rsidR="00487E6C">
        <w:rPr>
          <w:lang w:val="en-US"/>
        </w:rPr>
        <w:t xml:space="preserve">technical </w:t>
      </w:r>
      <w:r w:rsidR="00274961">
        <w:rPr>
          <w:lang w:val="en-US"/>
        </w:rPr>
        <w:t xml:space="preserve">provisions </w:t>
      </w:r>
      <w:r w:rsidR="00391956" w:rsidRPr="00207FC4">
        <w:rPr>
          <w:lang w:val="en-US"/>
        </w:rPr>
        <w:t>an</w:t>
      </w:r>
      <w:r w:rsidR="00274961">
        <w:rPr>
          <w:lang w:val="en-US"/>
        </w:rPr>
        <w:t>d/or</w:t>
      </w:r>
      <w:r w:rsidR="00391956" w:rsidRPr="00207FC4">
        <w:rPr>
          <w:lang w:val="en-US"/>
        </w:rPr>
        <w:t xml:space="preserve"> €100m</w:t>
      </w:r>
      <w:r w:rsidR="00274961">
        <w:rPr>
          <w:lang w:val="en-US"/>
        </w:rPr>
        <w:t xml:space="preserve"> </w:t>
      </w:r>
      <w:r w:rsidR="009E197D">
        <w:rPr>
          <w:lang w:val="en-US"/>
        </w:rPr>
        <w:t>annual gross written premium.</w:t>
      </w:r>
      <w:r w:rsidR="00391956" w:rsidRPr="00207FC4">
        <w:rPr>
          <w:lang w:val="en-US"/>
        </w:rPr>
        <w:t xml:space="preserve"> This will ensure a level-playing field.</w:t>
      </w:r>
    </w:p>
    <w:p w14:paraId="39B1C8B1" w14:textId="77777777" w:rsidR="00E562FB" w:rsidRDefault="00E562FB" w:rsidP="00674CC9">
      <w:pPr>
        <w:spacing w:line="240" w:lineRule="auto"/>
        <w:ind w:left="348"/>
        <w:rPr>
          <w:szCs w:val="17"/>
        </w:rPr>
      </w:pPr>
    </w:p>
    <w:p w14:paraId="35E47725" w14:textId="4EA82C69" w:rsidR="00807917" w:rsidRPr="00207FC4" w:rsidRDefault="00807917" w:rsidP="00674CC9">
      <w:pPr>
        <w:pStyle w:val="CEABullet-Level1"/>
        <w:ind w:left="1068"/>
      </w:pPr>
      <w:r w:rsidRPr="00207FC4">
        <w:t>Removal of non-traditional investments criterion</w:t>
      </w:r>
    </w:p>
    <w:p w14:paraId="094E5FC5" w14:textId="2F7006A8" w:rsidR="00367C26" w:rsidRDefault="00463748" w:rsidP="00674CC9">
      <w:pPr>
        <w:pStyle w:val="CEABullet-Level2"/>
        <w:ind w:left="1416"/>
        <w:rPr>
          <w:szCs w:val="17"/>
        </w:rPr>
      </w:pPr>
      <w:r>
        <w:rPr>
          <w:szCs w:val="17"/>
        </w:rPr>
        <w:t xml:space="preserve">This requirement </w:t>
      </w:r>
      <w:r w:rsidR="00F55588">
        <w:rPr>
          <w:szCs w:val="17"/>
        </w:rPr>
        <w:t xml:space="preserve">unnecessarily </w:t>
      </w:r>
      <w:r w:rsidR="00FB4FFC">
        <w:rPr>
          <w:szCs w:val="17"/>
        </w:rPr>
        <w:t>reduces the scope by excluding companies</w:t>
      </w:r>
      <w:r w:rsidR="009C2560">
        <w:rPr>
          <w:szCs w:val="17"/>
        </w:rPr>
        <w:t xml:space="preserve">.  </w:t>
      </w:r>
      <w:r w:rsidR="0045137D">
        <w:rPr>
          <w:szCs w:val="17"/>
        </w:rPr>
        <w:t xml:space="preserve">Capital and other </w:t>
      </w:r>
      <w:r w:rsidR="009135C5">
        <w:rPr>
          <w:szCs w:val="17"/>
        </w:rPr>
        <w:t xml:space="preserve">(Pillar 2 and 3) </w:t>
      </w:r>
      <w:r w:rsidR="0045137D">
        <w:rPr>
          <w:szCs w:val="17"/>
        </w:rPr>
        <w:t xml:space="preserve">requirements </w:t>
      </w:r>
      <w:r w:rsidR="002924BB">
        <w:rPr>
          <w:szCs w:val="17"/>
        </w:rPr>
        <w:t xml:space="preserve">ensure </w:t>
      </w:r>
      <w:r w:rsidR="009135C5">
        <w:rPr>
          <w:szCs w:val="17"/>
        </w:rPr>
        <w:t xml:space="preserve">investment risk </w:t>
      </w:r>
      <w:r w:rsidR="002924BB">
        <w:rPr>
          <w:szCs w:val="17"/>
        </w:rPr>
        <w:t>is adequately managed across all companies</w:t>
      </w:r>
      <w:r w:rsidR="00D85F06">
        <w:rPr>
          <w:szCs w:val="17"/>
        </w:rPr>
        <w:t xml:space="preserve"> and </w:t>
      </w:r>
      <w:r w:rsidR="00E37FBA">
        <w:rPr>
          <w:szCs w:val="17"/>
        </w:rPr>
        <w:t xml:space="preserve">therefore there is no need for </w:t>
      </w:r>
      <w:r w:rsidR="00AA23EF">
        <w:rPr>
          <w:szCs w:val="17"/>
        </w:rPr>
        <w:t>it</w:t>
      </w:r>
      <w:r w:rsidR="00D85F06">
        <w:rPr>
          <w:szCs w:val="17"/>
        </w:rPr>
        <w:t xml:space="preserve"> to be a </w:t>
      </w:r>
      <w:r w:rsidR="00B63C81">
        <w:rPr>
          <w:szCs w:val="17"/>
        </w:rPr>
        <w:t>criteri</w:t>
      </w:r>
      <w:r w:rsidR="00831F6D">
        <w:rPr>
          <w:szCs w:val="17"/>
        </w:rPr>
        <w:t>on</w:t>
      </w:r>
      <w:r w:rsidR="00D85F06">
        <w:rPr>
          <w:szCs w:val="17"/>
        </w:rPr>
        <w:t xml:space="preserve"> for </w:t>
      </w:r>
      <w:r w:rsidR="00B63C81">
        <w:rPr>
          <w:szCs w:val="17"/>
        </w:rPr>
        <w:t>automatic proportionality measures</w:t>
      </w:r>
      <w:r w:rsidR="009135C5">
        <w:rPr>
          <w:szCs w:val="17"/>
        </w:rPr>
        <w:t xml:space="preserve">. </w:t>
      </w:r>
      <w:r w:rsidR="002E08A2">
        <w:rPr>
          <w:szCs w:val="17"/>
        </w:rPr>
        <w:t xml:space="preserve"> </w:t>
      </w:r>
    </w:p>
    <w:p w14:paraId="3BAF6282" w14:textId="73B099F8" w:rsidR="00AB7027" w:rsidRPr="00DC04F2" w:rsidRDefault="000B6346" w:rsidP="00674CC9">
      <w:pPr>
        <w:pStyle w:val="CEABullet-Level2"/>
        <w:ind w:left="1416"/>
        <w:rPr>
          <w:lang w:val="en-US"/>
        </w:rPr>
      </w:pPr>
      <w:r>
        <w:rPr>
          <w:lang w:val="en-US"/>
        </w:rPr>
        <w:t>The industry proposes to remove</w:t>
      </w:r>
      <w:r w:rsidR="00AB7027" w:rsidRPr="00DC04F2">
        <w:rPr>
          <w:lang w:val="en-US"/>
        </w:rPr>
        <w:t xml:space="preserve"> the </w:t>
      </w:r>
      <w:r w:rsidRPr="00DC04F2">
        <w:rPr>
          <w:lang w:val="en-US"/>
        </w:rPr>
        <w:t xml:space="preserve">(non-)traditional investments </w:t>
      </w:r>
      <w:r w:rsidR="00AB7027" w:rsidRPr="00DC04F2">
        <w:rPr>
          <w:lang w:val="en-US"/>
        </w:rPr>
        <w:t xml:space="preserve">criterion.   </w:t>
      </w:r>
    </w:p>
    <w:p w14:paraId="29835D57" w14:textId="2FA0AED8" w:rsidR="00807917" w:rsidRDefault="00807917" w:rsidP="00807917">
      <w:pPr>
        <w:spacing w:line="240" w:lineRule="auto"/>
        <w:rPr>
          <w:b/>
          <w:bCs/>
          <w:szCs w:val="17"/>
        </w:rPr>
      </w:pPr>
    </w:p>
    <w:p w14:paraId="53620629" w14:textId="77777777" w:rsidR="006E41F6" w:rsidRPr="00E64EC1" w:rsidRDefault="006E41F6" w:rsidP="006E41F6">
      <w:pPr>
        <w:pStyle w:val="Default"/>
        <w:ind w:left="360"/>
        <w:rPr>
          <w:rFonts w:ascii="Verdana" w:hAnsi="Verdana"/>
          <w:strike/>
          <w:sz w:val="17"/>
          <w:szCs w:val="17"/>
          <w:lang w:val="en-US"/>
        </w:rPr>
      </w:pPr>
    </w:p>
    <w:p w14:paraId="0E0FE70D" w14:textId="2931C7CF" w:rsidR="00821AEC" w:rsidRPr="00965309" w:rsidRDefault="0013157E" w:rsidP="00674CC9">
      <w:pPr>
        <w:pStyle w:val="Nadpis2"/>
        <w:rPr>
          <w:rFonts w:ascii="Verdana" w:hAnsi="Verdana"/>
          <w:sz w:val="19"/>
          <w:szCs w:val="19"/>
        </w:rPr>
      </w:pPr>
      <w:r w:rsidRPr="00965309">
        <w:rPr>
          <w:rFonts w:ascii="Verdana" w:hAnsi="Verdana"/>
          <w:sz w:val="19"/>
          <w:szCs w:val="19"/>
        </w:rPr>
        <w:t>Group</w:t>
      </w:r>
      <w:r w:rsidR="00821AEC" w:rsidRPr="00965309">
        <w:rPr>
          <w:rFonts w:ascii="Verdana" w:hAnsi="Verdana"/>
          <w:sz w:val="19"/>
          <w:szCs w:val="19"/>
        </w:rPr>
        <w:t xml:space="preserve"> Supervision</w:t>
      </w:r>
    </w:p>
    <w:p w14:paraId="1A2FE333" w14:textId="75F30221" w:rsidR="009041E7" w:rsidRPr="00AD742E" w:rsidRDefault="00EA1DBB" w:rsidP="009637E8">
      <w:pPr>
        <w:pStyle w:val="CEABullet-Level1"/>
      </w:pPr>
      <w:r w:rsidRPr="00AD742E">
        <w:t xml:space="preserve">Double counting </w:t>
      </w:r>
    </w:p>
    <w:p w14:paraId="782C28AD" w14:textId="6FD642B2" w:rsidR="00873526" w:rsidRDefault="009637E8" w:rsidP="009637E8">
      <w:pPr>
        <w:pStyle w:val="CEABullet-Level2"/>
      </w:pPr>
      <w:r>
        <w:lastRenderedPageBreak/>
        <w:t xml:space="preserve">The </w:t>
      </w:r>
      <w:r w:rsidR="00B759BC">
        <w:t xml:space="preserve">French presidency’s first draft </w:t>
      </w:r>
      <w:r w:rsidR="003B2072">
        <w:t>general approach (GA)</w:t>
      </w:r>
      <w:r w:rsidR="00B759BC">
        <w:t xml:space="preserve"> p</w:t>
      </w:r>
      <w:r w:rsidR="00373D11" w:rsidRPr="00373D11">
        <w:t xml:space="preserve">roposal includes holding companies of third country (re)insurance undertakings in the scope notional MCR, </w:t>
      </w:r>
      <w:r w:rsidR="00B759BC">
        <w:t>which</w:t>
      </w:r>
      <w:r w:rsidR="00373D11" w:rsidRPr="00373D11">
        <w:t xml:space="preserve"> leads to double counting</w:t>
      </w:r>
      <w:r w:rsidR="00373D11">
        <w:t xml:space="preserve">. </w:t>
      </w:r>
      <w:r w:rsidR="00B759BC">
        <w:t>At the same time, t</w:t>
      </w:r>
      <w:r w:rsidR="00301F29" w:rsidRPr="00301F29">
        <w:t>he solution proposed in the GA</w:t>
      </w:r>
      <w:r w:rsidR="00D229AE">
        <w:t xml:space="preserve"> to address the double counting</w:t>
      </w:r>
      <w:r w:rsidR="00301F29" w:rsidRPr="00301F29">
        <w:t xml:space="preserve">, </w:t>
      </w:r>
      <w:r w:rsidR="00E937D7">
        <w:t>namely,</w:t>
      </w:r>
      <w:r w:rsidR="00301F29" w:rsidRPr="00301F29">
        <w:t xml:space="preserve"> to reduce the value of the notional MCR from 35% to 25%</w:t>
      </w:r>
      <w:r w:rsidR="00D229AE">
        <w:t>,</w:t>
      </w:r>
      <w:r w:rsidR="00301F29" w:rsidRPr="00301F29">
        <w:t xml:space="preserve"> is not addressing the concerns of the double counting of risks</w:t>
      </w:r>
      <w:r w:rsidR="00D77B48">
        <w:t>.</w:t>
      </w:r>
    </w:p>
    <w:p w14:paraId="17C78806" w14:textId="4257BAC2" w:rsidR="00EA75F1" w:rsidRPr="00CD0C8F" w:rsidRDefault="00D229AE" w:rsidP="00295E1C">
      <w:pPr>
        <w:pStyle w:val="CEABullet-Level2"/>
      </w:pPr>
      <w:r>
        <w:t>A possible solution could be to inc</w:t>
      </w:r>
      <w:r w:rsidR="00EA1DBB">
        <w:t xml:space="preserve">lude a recital </w:t>
      </w:r>
      <w:r>
        <w:t>stating that a</w:t>
      </w:r>
      <w:r w:rsidR="00F9185F">
        <w:t>ny</w:t>
      </w:r>
      <w:r w:rsidR="00F9185F" w:rsidRPr="00F9185F">
        <w:t xml:space="preserve"> double counting should be avoided when summing the MCR</w:t>
      </w:r>
      <w:r w:rsidR="00F86E5D">
        <w:t>s</w:t>
      </w:r>
    </w:p>
    <w:p w14:paraId="07C00DA2" w14:textId="77777777" w:rsidR="00922EEB" w:rsidRPr="009A6BF9" w:rsidRDefault="00922EEB" w:rsidP="009A6BF9"/>
    <w:p w14:paraId="2D4287E7" w14:textId="77777777" w:rsidR="00D3477D" w:rsidRDefault="00D3477D" w:rsidP="009A6BF9">
      <w:pPr>
        <w:pStyle w:val="CEABullet-Level1"/>
        <w:rPr>
          <w:lang w:val="en-US"/>
        </w:rPr>
      </w:pPr>
      <w:r w:rsidRPr="00565F23">
        <w:t>Two</w:t>
      </w:r>
      <w:r>
        <w:rPr>
          <w:lang w:val="en-US"/>
        </w:rPr>
        <w:t xml:space="preserve"> minima continue to exist next to each other</w:t>
      </w:r>
    </w:p>
    <w:p w14:paraId="63FC808C" w14:textId="77777777" w:rsidR="00D3477D" w:rsidRDefault="00D3477D" w:rsidP="00565F23">
      <w:pPr>
        <w:pStyle w:val="CEABullet-Level2"/>
        <w:rPr>
          <w:lang w:val="en-US"/>
        </w:rPr>
      </w:pPr>
      <w:r>
        <w:rPr>
          <w:lang w:val="en-US"/>
        </w:rPr>
        <w:t>Issue</w:t>
      </w:r>
    </w:p>
    <w:p w14:paraId="68DC6A47" w14:textId="77777777" w:rsidR="00D3477D" w:rsidRDefault="00D3477D" w:rsidP="00565F23">
      <w:pPr>
        <w:ind w:left="1080"/>
      </w:pPr>
      <w:r>
        <w:t xml:space="preserve">Following the amendments to address trigger inversion, the changed wording of the new paragraphs 2 and 3 of Article 230 in the proposal would imply that the previous minimum should continue to exist, in addition to the new one. </w:t>
      </w:r>
    </w:p>
    <w:p w14:paraId="6AE60373" w14:textId="77777777" w:rsidR="00D3477D" w:rsidRDefault="00D3477D" w:rsidP="00D3477D"/>
    <w:p w14:paraId="151F54EE" w14:textId="77777777" w:rsidR="00D3477D" w:rsidRPr="00437819" w:rsidRDefault="00D3477D" w:rsidP="00565F23">
      <w:pPr>
        <w:pStyle w:val="CEABullet-Level2"/>
        <w:rPr>
          <w:lang w:val="en-US"/>
        </w:rPr>
      </w:pPr>
      <w:r w:rsidRPr="00437819">
        <w:rPr>
          <w:lang w:val="en-US"/>
        </w:rPr>
        <w:t>Solution</w:t>
      </w:r>
    </w:p>
    <w:p w14:paraId="6E09F591" w14:textId="37C2EDCD" w:rsidR="00D3477D" w:rsidRDefault="00D3477D" w:rsidP="00565F23">
      <w:pPr>
        <w:ind w:left="1080"/>
      </w:pPr>
      <w:r>
        <w:t>To address this, the second subparagraph of paragraph 2 of Article 230 could be adjusted as follows</w:t>
      </w:r>
      <w:r w:rsidR="000623F1">
        <w:t>, as previously proposed in the IE Better Regulation consultation response</w:t>
      </w:r>
      <w:r w:rsidR="000716A7">
        <w:t xml:space="preserve"> (</w:t>
      </w:r>
      <w:r w:rsidR="000716A7" w:rsidRPr="00474215">
        <w:t>ECO-SLV-22-</w:t>
      </w:r>
      <w:r w:rsidR="00A12A8E">
        <w:t>015</w:t>
      </w:r>
      <w:r w:rsidR="000716A7">
        <w:t>)</w:t>
      </w:r>
      <w:r>
        <w:t>:</w:t>
      </w:r>
    </w:p>
    <w:p w14:paraId="0ED7B372" w14:textId="77777777" w:rsidR="006147AA" w:rsidRDefault="006147AA" w:rsidP="00565F23">
      <w:pPr>
        <w:ind w:left="1080"/>
      </w:pPr>
    </w:p>
    <w:p w14:paraId="0F1EA3FB" w14:textId="1B3A04C1" w:rsidR="00D3477D" w:rsidRDefault="00D3477D" w:rsidP="006147AA">
      <w:pPr>
        <w:ind w:left="1080"/>
      </w:pPr>
      <w:r>
        <w:t>Article 230</w:t>
      </w:r>
    </w:p>
    <w:p w14:paraId="258581AB" w14:textId="77777777" w:rsidR="00D3477D" w:rsidRDefault="00D3477D" w:rsidP="009A6BF9">
      <w:pPr>
        <w:ind w:left="1080"/>
      </w:pPr>
    </w:p>
    <w:p w14:paraId="0DCC3A6A" w14:textId="77AC605E" w:rsidR="00D3477D" w:rsidRDefault="00D3477D" w:rsidP="009A6BF9">
      <w:pPr>
        <w:ind w:left="1080"/>
      </w:pPr>
      <w:r>
        <w:t xml:space="preserve">2. The Solvency Capital Requirement at group level based on consolidated data (consolidated group Solvency Capital Requirement) shall be calculated on the basis of either the standard formula or an approved internal model, in a manner consistent with the general principles contained in Title I, Chapter VI, Section 4, Subsections 1 and 2 and Title I, Chapter VI, Section 4, Subsections 1 and 3, respectively. </w:t>
      </w:r>
      <w:r w:rsidRPr="006147AA">
        <w:rPr>
          <w:color w:val="00B050"/>
        </w:rPr>
        <w:t>For the purpose of the calculation referred to in paragraph 3, point (b), of this Article</w:t>
      </w:r>
      <w:r w:rsidRPr="006147AA">
        <w:rPr>
          <w:strike/>
          <w:color w:val="00B050"/>
        </w:rPr>
        <w:t xml:space="preserve">, </w:t>
      </w:r>
      <w:r w:rsidRPr="006A6FDE">
        <w:rPr>
          <w:strike/>
          <w:color w:val="00B050"/>
        </w:rPr>
        <w:t xml:space="preserve">the consolidated group Solvency Capital Requirement shall have as a minimum </w:t>
      </w:r>
      <w:r>
        <w:t>the sum of the following item</w:t>
      </w:r>
      <w:r w:rsidR="006147AA">
        <w:t>s</w:t>
      </w:r>
      <w:r>
        <w:t xml:space="preserve"> </w:t>
      </w:r>
      <w:r w:rsidRPr="006147AA">
        <w:rPr>
          <w:color w:val="00B050"/>
        </w:rPr>
        <w:t>shall be used</w:t>
      </w:r>
      <w:r>
        <w:t xml:space="preserve">: </w:t>
      </w:r>
    </w:p>
    <w:p w14:paraId="6EE9BE4F" w14:textId="77777777" w:rsidR="00D3477D" w:rsidRDefault="00D3477D" w:rsidP="009A6BF9">
      <w:pPr>
        <w:ind w:left="1080"/>
      </w:pPr>
      <w:r>
        <w:t xml:space="preserve">(a) the Minimum Capital Requirement as referred to in Article 129 of the participating insurance or reinsurance undertaking; </w:t>
      </w:r>
    </w:p>
    <w:p w14:paraId="1836D9AF" w14:textId="77777777" w:rsidR="00D3477D" w:rsidRDefault="00D3477D" w:rsidP="009A6BF9">
      <w:pPr>
        <w:ind w:left="1080"/>
      </w:pPr>
      <w:r>
        <w:t>(b) the proportional share of the Minimum Capital Requirement of the related insurance and reinsurance undertakings;</w:t>
      </w:r>
    </w:p>
    <w:p w14:paraId="5896259F" w14:textId="77777777" w:rsidR="00552670" w:rsidRDefault="00552670" w:rsidP="00FB1BA1">
      <w:pPr>
        <w:autoSpaceDE w:val="0"/>
        <w:autoSpaceDN w:val="0"/>
        <w:adjustRightInd w:val="0"/>
        <w:spacing w:line="240" w:lineRule="auto"/>
        <w:jc w:val="left"/>
        <w:rPr>
          <w:color w:val="00B050"/>
          <w:szCs w:val="17"/>
        </w:rPr>
      </w:pPr>
    </w:p>
    <w:p w14:paraId="5884839C" w14:textId="1E8BFE9E" w:rsidR="004D50F8" w:rsidRDefault="004D50F8" w:rsidP="004D50F8">
      <w:pPr>
        <w:pStyle w:val="CEABullet-Level1"/>
        <w:rPr>
          <w:lang w:val="en-US"/>
        </w:rPr>
      </w:pPr>
      <w:r>
        <w:t>Cooperative networks</w:t>
      </w:r>
    </w:p>
    <w:p w14:paraId="561A6480" w14:textId="77777777" w:rsidR="004D50F8" w:rsidRPr="00C95D8B" w:rsidRDefault="004D50F8" w:rsidP="00FB1BA1">
      <w:pPr>
        <w:autoSpaceDE w:val="0"/>
        <w:autoSpaceDN w:val="0"/>
        <w:adjustRightInd w:val="0"/>
        <w:spacing w:line="240" w:lineRule="auto"/>
        <w:jc w:val="left"/>
        <w:rPr>
          <w:color w:val="00B050"/>
          <w:szCs w:val="17"/>
          <w:lang w:val="en-US"/>
        </w:rPr>
      </w:pPr>
    </w:p>
    <w:p w14:paraId="5C5E4FC0" w14:textId="77777777" w:rsidR="004D50F8" w:rsidRPr="00F9172C" w:rsidRDefault="004D50F8" w:rsidP="00C95D8B">
      <w:pPr>
        <w:pStyle w:val="CEABullet-Level2"/>
      </w:pPr>
      <w:r w:rsidRPr="00F9172C">
        <w:t>Issue</w:t>
      </w:r>
    </w:p>
    <w:p w14:paraId="2926500B" w14:textId="77777777" w:rsidR="004D50F8" w:rsidRPr="003E4F0F" w:rsidRDefault="004D50F8" w:rsidP="004759F5">
      <w:pPr>
        <w:ind w:left="1068"/>
      </w:pPr>
      <w:r w:rsidRPr="003E4F0F">
        <w:t xml:space="preserve">It is proposed that the definition of an insurance group in Solvency II Directive is amended in respect of insurance groups headed by mixed financial holding companies within the meaning of the </w:t>
      </w:r>
      <w:proofErr w:type="spellStart"/>
      <w:r w:rsidRPr="003E4F0F">
        <w:t>Ficod</w:t>
      </w:r>
      <w:proofErr w:type="spellEnd"/>
      <w:r w:rsidRPr="003E4F0F">
        <w:t xml:space="preserve"> Directive (87/2002/EC). Such groups are currently subject to multiple reporting and supervision due to the fact that the current definition of insurance group covers financial conglomerates, including their banking sub-groups. The resulting additional administrative burden is becoming even more disproportionate, as insurance group supervision is now expanding to new areas already such as resolution planning.</w:t>
      </w:r>
    </w:p>
    <w:p w14:paraId="3DD980ED" w14:textId="77777777" w:rsidR="004D50F8" w:rsidRDefault="004D50F8" w:rsidP="004759F5">
      <w:pPr>
        <w:ind w:left="1068"/>
      </w:pPr>
      <w:r w:rsidRPr="003E4F0F">
        <w:t>In such groups it would be adequate to limit the definition of an insurance group to subgroups, which consist of insurance and reinsurance undertakings</w:t>
      </w:r>
      <w:r w:rsidRPr="003E4F0F">
        <w:footnoteReference w:id="2"/>
      </w:r>
      <w:r w:rsidRPr="003E4F0F">
        <w:t xml:space="preserve"> and the mixed financial holding company as their parent undertaking or, if an insurance subgroup is headed by an intermediate insurance holding company, that holding company. </w:t>
      </w:r>
    </w:p>
    <w:p w14:paraId="5C33D026" w14:textId="77777777" w:rsidR="004D50F8" w:rsidRPr="003E4F0F" w:rsidRDefault="004D50F8" w:rsidP="004D50F8"/>
    <w:p w14:paraId="4AC529A8" w14:textId="77777777" w:rsidR="004D50F8" w:rsidRDefault="004D50F8" w:rsidP="00C95D8B">
      <w:pPr>
        <w:pStyle w:val="CEABullet-Level2"/>
      </w:pPr>
      <w:r w:rsidRPr="00F77BF0">
        <w:t>Solution</w:t>
      </w:r>
    </w:p>
    <w:p w14:paraId="08DBE26F" w14:textId="77777777" w:rsidR="004D50F8" w:rsidRDefault="004D50F8" w:rsidP="004D50F8">
      <w:pPr>
        <w:spacing w:line="240" w:lineRule="auto"/>
        <w:rPr>
          <w:rFonts w:eastAsia="Arial" w:cstheme="minorHAnsi"/>
          <w:color w:val="00B050"/>
          <w:sz w:val="18"/>
          <w:szCs w:val="20"/>
          <w:lang w:val="en-US"/>
        </w:rPr>
      </w:pPr>
    </w:p>
    <w:p w14:paraId="768A6BFA" w14:textId="6936D42C" w:rsidR="004D50F8" w:rsidRPr="00F4155A" w:rsidRDefault="004D50F8" w:rsidP="00C95D8B">
      <w:pPr>
        <w:pStyle w:val="CEABullet-Level3"/>
        <w:rPr>
          <w:rFonts w:asciiTheme="minorHAnsi" w:eastAsia="Arial" w:hAnsiTheme="minorHAnsi"/>
          <w:lang w:val="en-US"/>
        </w:rPr>
      </w:pPr>
      <w:r w:rsidRPr="00F4155A">
        <w:rPr>
          <w:rFonts w:eastAsia="Arial"/>
          <w:lang w:val="en-US"/>
        </w:rPr>
        <w:lastRenderedPageBreak/>
        <w:t>The following new Article 213a is proposed to be added to the Directive</w:t>
      </w:r>
      <w:r w:rsidR="000623F1">
        <w:rPr>
          <w:rFonts w:eastAsia="Arial"/>
          <w:lang w:val="en-US"/>
        </w:rPr>
        <w:t>, a</w:t>
      </w:r>
      <w:proofErr w:type="spellStart"/>
      <w:r w:rsidR="000623F1">
        <w:t>s</w:t>
      </w:r>
      <w:proofErr w:type="spellEnd"/>
      <w:r w:rsidR="000623F1">
        <w:t xml:space="preserve"> previously proposed in the IE Better Regulation consultation response</w:t>
      </w:r>
      <w:r w:rsidR="000716A7">
        <w:t xml:space="preserve"> (</w:t>
      </w:r>
      <w:r w:rsidR="000716A7" w:rsidRPr="00474215">
        <w:t>ECO-SLV-22-</w:t>
      </w:r>
      <w:r w:rsidR="00A12A8E">
        <w:t>015</w:t>
      </w:r>
      <w:r w:rsidR="000716A7">
        <w:t>):</w:t>
      </w:r>
    </w:p>
    <w:p w14:paraId="375D43BE" w14:textId="77777777" w:rsidR="004D50F8" w:rsidRPr="00F52EAB" w:rsidRDefault="004D50F8" w:rsidP="004D50F8">
      <w:pPr>
        <w:spacing w:line="240" w:lineRule="auto"/>
        <w:ind w:left="720"/>
        <w:rPr>
          <w:rFonts w:eastAsia="Arial" w:cstheme="minorHAnsi"/>
          <w:color w:val="00B050"/>
          <w:sz w:val="18"/>
          <w:szCs w:val="20"/>
          <w:lang w:val="en-US"/>
        </w:rPr>
      </w:pPr>
    </w:p>
    <w:p w14:paraId="0FFC957C" w14:textId="77777777" w:rsidR="004D50F8" w:rsidRPr="008F29AB" w:rsidRDefault="004D50F8" w:rsidP="00C95D8B">
      <w:pPr>
        <w:spacing w:line="240" w:lineRule="auto"/>
        <w:ind w:left="2124"/>
        <w:jc w:val="center"/>
        <w:rPr>
          <w:rFonts w:eastAsia="Arial" w:cstheme="minorHAnsi"/>
          <w:i/>
          <w:iCs/>
          <w:color w:val="00B050"/>
          <w:szCs w:val="17"/>
          <w:lang w:val="en-US"/>
        </w:rPr>
      </w:pPr>
      <w:r w:rsidRPr="008F29AB">
        <w:rPr>
          <w:rFonts w:eastAsia="Arial" w:cstheme="minorHAnsi"/>
          <w:i/>
          <w:iCs/>
          <w:color w:val="00B050"/>
          <w:szCs w:val="17"/>
          <w:lang w:val="en-US"/>
        </w:rPr>
        <w:t>Article 213a</w:t>
      </w:r>
    </w:p>
    <w:p w14:paraId="67FF7822" w14:textId="77777777" w:rsidR="004D50F8" w:rsidRPr="008F29AB" w:rsidRDefault="004D50F8" w:rsidP="00C95D8B">
      <w:pPr>
        <w:spacing w:line="240" w:lineRule="auto"/>
        <w:ind w:left="2124"/>
        <w:jc w:val="center"/>
        <w:rPr>
          <w:rFonts w:eastAsia="Arial" w:cstheme="minorHAnsi"/>
          <w:i/>
          <w:iCs/>
          <w:color w:val="00B050"/>
          <w:szCs w:val="17"/>
          <w:lang w:val="en-US"/>
        </w:rPr>
      </w:pPr>
      <w:r w:rsidRPr="008F29AB">
        <w:rPr>
          <w:rFonts w:eastAsia="Arial" w:cstheme="minorHAnsi"/>
          <w:i/>
          <w:iCs/>
          <w:color w:val="00B050"/>
          <w:szCs w:val="17"/>
          <w:lang w:val="en-US"/>
        </w:rPr>
        <w:t>Groups headed by a mixed financial holding company</w:t>
      </w:r>
    </w:p>
    <w:p w14:paraId="4EB09222" w14:textId="77777777" w:rsidR="004D50F8" w:rsidRPr="008F29AB" w:rsidRDefault="004D50F8" w:rsidP="00C95D8B">
      <w:pPr>
        <w:spacing w:line="240" w:lineRule="auto"/>
        <w:ind w:left="2124"/>
        <w:jc w:val="center"/>
        <w:rPr>
          <w:rFonts w:eastAsia="Arial" w:cstheme="minorHAnsi"/>
          <w:i/>
          <w:iCs/>
          <w:color w:val="00B050"/>
          <w:szCs w:val="17"/>
          <w:lang w:val="en-US"/>
        </w:rPr>
      </w:pPr>
    </w:p>
    <w:p w14:paraId="66E2FDC3" w14:textId="77777777" w:rsidR="004D50F8" w:rsidRPr="00870868" w:rsidRDefault="004D50F8" w:rsidP="00C95D8B">
      <w:pPr>
        <w:spacing w:line="240" w:lineRule="auto"/>
        <w:ind w:left="1404"/>
        <w:rPr>
          <w:rFonts w:eastAsia="Arial" w:cstheme="minorHAnsi"/>
          <w:color w:val="00B050"/>
          <w:szCs w:val="17"/>
          <w:lang w:val="en-US"/>
        </w:rPr>
      </w:pPr>
      <w:r w:rsidRPr="00870868">
        <w:rPr>
          <w:rFonts w:eastAsia="Arial" w:cstheme="minorHAnsi"/>
          <w:color w:val="00B050"/>
          <w:szCs w:val="17"/>
          <w:lang w:val="en-US"/>
        </w:rPr>
        <w:t xml:space="preserve">1. Where the parent undertaking of a group is a mixed financial holding company, a group shall mean for the purpose of this Title, the part of a group within the meaning of Article 212 (1) (c), which consists of the mixed financial holding company, </w:t>
      </w:r>
      <w:bookmarkStart w:id="0" w:name="_Hlk93656084"/>
      <w:r w:rsidRPr="00870868">
        <w:rPr>
          <w:rFonts w:eastAsia="Arial" w:cstheme="minorHAnsi"/>
          <w:color w:val="00B050"/>
          <w:szCs w:val="17"/>
          <w:lang w:val="en-US"/>
        </w:rPr>
        <w:t xml:space="preserve">and its subsidiaries and participations, which are insurance undertakings or reinsurance undertakings. </w:t>
      </w:r>
    </w:p>
    <w:bookmarkEnd w:id="0"/>
    <w:p w14:paraId="2D2E12C2" w14:textId="77777777" w:rsidR="004D50F8" w:rsidRPr="00870868" w:rsidRDefault="004D50F8" w:rsidP="00C95D8B">
      <w:pPr>
        <w:spacing w:line="240" w:lineRule="auto"/>
        <w:ind w:left="1404"/>
        <w:rPr>
          <w:rFonts w:eastAsia="Arial" w:cstheme="minorHAnsi"/>
          <w:color w:val="00B050"/>
          <w:szCs w:val="17"/>
          <w:lang w:val="en-US"/>
        </w:rPr>
      </w:pPr>
    </w:p>
    <w:p w14:paraId="5B926C0D" w14:textId="77777777" w:rsidR="004D50F8" w:rsidRPr="00870868" w:rsidRDefault="004D50F8" w:rsidP="00C95D8B">
      <w:pPr>
        <w:spacing w:line="240" w:lineRule="auto"/>
        <w:ind w:left="1404"/>
        <w:rPr>
          <w:rFonts w:eastAsia="Arial" w:cstheme="minorHAnsi"/>
          <w:color w:val="00B050"/>
          <w:szCs w:val="17"/>
          <w:lang w:val="en-US"/>
        </w:rPr>
      </w:pPr>
      <w:r w:rsidRPr="00870868">
        <w:rPr>
          <w:rFonts w:eastAsia="Arial" w:cstheme="minorHAnsi"/>
          <w:color w:val="00B050"/>
          <w:szCs w:val="17"/>
          <w:lang w:val="en-US"/>
        </w:rPr>
        <w:t>2. By derogation of the first paragraph, a group shall mean, for the purpose of this Title, the part of the group</w:t>
      </w:r>
      <w:r w:rsidRPr="00870868">
        <w:rPr>
          <w:rFonts w:cstheme="minorHAnsi"/>
          <w:color w:val="00B050"/>
          <w:szCs w:val="17"/>
          <w:lang w:val="en-US"/>
        </w:rPr>
        <w:t xml:space="preserve"> </w:t>
      </w:r>
      <w:r w:rsidRPr="00870868">
        <w:rPr>
          <w:rFonts w:eastAsia="Arial" w:cstheme="minorHAnsi"/>
          <w:color w:val="00B050"/>
          <w:szCs w:val="17"/>
          <w:lang w:val="en-US"/>
        </w:rPr>
        <w:t>within the meaning of Article 212 (1) (c), which consists of an insurance holding company and</w:t>
      </w:r>
      <w:r w:rsidRPr="00870868">
        <w:rPr>
          <w:rFonts w:cstheme="minorHAnsi"/>
          <w:color w:val="00B050"/>
          <w:szCs w:val="17"/>
          <w:lang w:val="en-US"/>
        </w:rPr>
        <w:t xml:space="preserve"> </w:t>
      </w:r>
      <w:r w:rsidRPr="00870868">
        <w:rPr>
          <w:rFonts w:eastAsia="Arial" w:cstheme="minorHAnsi"/>
          <w:color w:val="00B050"/>
          <w:szCs w:val="17"/>
          <w:lang w:val="en-US"/>
        </w:rPr>
        <w:t>its subsidiaries and participations, which are insurance undertakings or reinsurance undertakings, if all of the following conditions are met:</w:t>
      </w:r>
    </w:p>
    <w:p w14:paraId="1B4804D1" w14:textId="77777777" w:rsidR="004D50F8" w:rsidRPr="00870868" w:rsidRDefault="004D50F8" w:rsidP="00C95D8B">
      <w:pPr>
        <w:pStyle w:val="Odsekzoznamu"/>
        <w:numPr>
          <w:ilvl w:val="0"/>
          <w:numId w:val="14"/>
        </w:numPr>
        <w:spacing w:line="240" w:lineRule="auto"/>
        <w:ind w:left="2124"/>
        <w:jc w:val="left"/>
        <w:rPr>
          <w:rFonts w:eastAsia="Arial" w:cstheme="minorHAnsi"/>
          <w:color w:val="00B050"/>
          <w:szCs w:val="17"/>
          <w:lang w:val="en-US"/>
        </w:rPr>
      </w:pPr>
      <w:r w:rsidRPr="00870868">
        <w:rPr>
          <w:rFonts w:eastAsia="Arial" w:cstheme="minorHAnsi"/>
          <w:color w:val="00B050"/>
          <w:szCs w:val="17"/>
          <w:lang w:val="en-US"/>
        </w:rPr>
        <w:t>the insurance holding company is a fully owned subsidiary of the mixed financial holding company;</w:t>
      </w:r>
    </w:p>
    <w:p w14:paraId="34ED9474" w14:textId="77777777" w:rsidR="004D50F8" w:rsidRPr="00870868" w:rsidRDefault="004D50F8" w:rsidP="00C95D8B">
      <w:pPr>
        <w:pStyle w:val="Odsekzoznamu"/>
        <w:numPr>
          <w:ilvl w:val="0"/>
          <w:numId w:val="14"/>
        </w:numPr>
        <w:spacing w:after="160" w:line="256" w:lineRule="auto"/>
        <w:ind w:left="2124"/>
        <w:jc w:val="left"/>
        <w:rPr>
          <w:rFonts w:eastAsia="Arial" w:cstheme="minorHAnsi"/>
          <w:color w:val="00B050"/>
          <w:szCs w:val="17"/>
          <w:lang w:val="en-US"/>
        </w:rPr>
      </w:pPr>
      <w:r w:rsidRPr="00870868">
        <w:rPr>
          <w:rFonts w:eastAsia="Arial" w:cstheme="minorHAnsi"/>
          <w:color w:val="00B050"/>
          <w:szCs w:val="17"/>
          <w:lang w:val="en-US"/>
        </w:rPr>
        <w:t>the insurance holding company has its head office within the Community;</w:t>
      </w:r>
    </w:p>
    <w:p w14:paraId="1964E768" w14:textId="77777777" w:rsidR="004D50F8" w:rsidRPr="00870868" w:rsidRDefault="004D50F8" w:rsidP="00C95D8B">
      <w:pPr>
        <w:pStyle w:val="Odsekzoznamu"/>
        <w:numPr>
          <w:ilvl w:val="0"/>
          <w:numId w:val="14"/>
        </w:numPr>
        <w:spacing w:line="240" w:lineRule="auto"/>
        <w:ind w:left="2124"/>
        <w:jc w:val="left"/>
        <w:rPr>
          <w:rFonts w:eastAsia="Arial" w:cstheme="minorHAnsi"/>
          <w:color w:val="00B050"/>
          <w:szCs w:val="17"/>
          <w:lang w:val="en-US"/>
        </w:rPr>
      </w:pPr>
      <w:r w:rsidRPr="00870868">
        <w:rPr>
          <w:rFonts w:eastAsia="Arial" w:cstheme="minorHAnsi"/>
          <w:color w:val="00B050"/>
          <w:szCs w:val="17"/>
          <w:lang w:val="en-US"/>
        </w:rPr>
        <w:t>all subsidiaries and participations in the group within the meaning of Article 212 (1) (c), which are insurance companies or reinsurance companies, are subsidiaries or participations of the insurance holding company.</w:t>
      </w:r>
    </w:p>
    <w:p w14:paraId="4F0E3C46" w14:textId="77777777" w:rsidR="004D50F8" w:rsidRPr="00870868" w:rsidRDefault="004D50F8" w:rsidP="00C95D8B">
      <w:pPr>
        <w:pStyle w:val="Odsekzoznamu"/>
        <w:spacing w:line="240" w:lineRule="auto"/>
        <w:ind w:left="2124"/>
        <w:rPr>
          <w:rFonts w:eastAsia="Arial" w:cstheme="minorHAnsi"/>
          <w:color w:val="00B050"/>
          <w:szCs w:val="17"/>
          <w:lang w:val="en-US"/>
        </w:rPr>
      </w:pPr>
    </w:p>
    <w:p w14:paraId="702B2BCF" w14:textId="77777777" w:rsidR="004D50F8" w:rsidRPr="00870868" w:rsidRDefault="004D50F8" w:rsidP="00C95D8B">
      <w:pPr>
        <w:ind w:left="1393"/>
        <w:rPr>
          <w:rFonts w:eastAsia="Arial" w:cstheme="minorHAnsi"/>
          <w:color w:val="00B050"/>
          <w:szCs w:val="17"/>
          <w:lang w:val="en-US"/>
        </w:rPr>
      </w:pPr>
      <w:r w:rsidRPr="00870868">
        <w:rPr>
          <w:rFonts w:eastAsia="Arial" w:cstheme="minorHAnsi"/>
          <w:color w:val="00B050"/>
          <w:szCs w:val="17"/>
          <w:lang w:val="en-US"/>
        </w:rPr>
        <w:t>3. By derogation from this Section, the Group solvency shall be calculated in accordance with the Directive 2002/87/EC for insurance groups, where the parent undertaking of a group is a mixed financial holding company.</w:t>
      </w:r>
    </w:p>
    <w:p w14:paraId="433C90FF" w14:textId="77777777" w:rsidR="004D50F8" w:rsidRPr="008F29AB" w:rsidRDefault="004D50F8" w:rsidP="00C95D8B">
      <w:pPr>
        <w:spacing w:line="240" w:lineRule="auto"/>
        <w:ind w:left="1404"/>
        <w:rPr>
          <w:rFonts w:eastAsia="Arial" w:cstheme="minorHAnsi"/>
          <w:color w:val="00B050"/>
          <w:szCs w:val="17"/>
          <w:lang w:val="en-US"/>
        </w:rPr>
      </w:pPr>
      <w:r w:rsidRPr="00870868">
        <w:rPr>
          <w:rFonts w:eastAsia="Arial" w:cstheme="minorHAnsi"/>
          <w:color w:val="00B050"/>
          <w:szCs w:val="17"/>
          <w:lang w:val="en-US"/>
        </w:rPr>
        <w:t>4. The competent authorities may decide not to apply this Article to the reporting of intra-group transactions pursuant to Article 245.</w:t>
      </w:r>
    </w:p>
    <w:p w14:paraId="05935697" w14:textId="77777777" w:rsidR="004D50F8" w:rsidRDefault="004D50F8" w:rsidP="00C95D8B">
      <w:pPr>
        <w:spacing w:line="240" w:lineRule="auto"/>
        <w:ind w:left="696"/>
        <w:rPr>
          <w:rFonts w:eastAsia="Arial" w:cstheme="minorHAnsi"/>
          <w:b/>
          <w:bCs/>
          <w:color w:val="00B050"/>
          <w:sz w:val="18"/>
          <w:szCs w:val="20"/>
          <w:u w:val="single"/>
          <w:lang w:val="en-US"/>
        </w:rPr>
      </w:pPr>
    </w:p>
    <w:p w14:paraId="006D8B11" w14:textId="77777777" w:rsidR="004D50F8" w:rsidRPr="00F52EAB" w:rsidRDefault="004D50F8" w:rsidP="00C95D8B">
      <w:pPr>
        <w:spacing w:line="240" w:lineRule="auto"/>
        <w:ind w:left="696"/>
        <w:rPr>
          <w:rFonts w:eastAsia="Arial" w:cstheme="minorHAnsi"/>
          <w:b/>
          <w:bCs/>
          <w:color w:val="00B050"/>
          <w:sz w:val="18"/>
          <w:szCs w:val="20"/>
          <w:u w:val="single"/>
          <w:lang w:val="en-US"/>
        </w:rPr>
      </w:pPr>
    </w:p>
    <w:p w14:paraId="057CC519" w14:textId="77777777" w:rsidR="004D50F8" w:rsidRPr="00F52EAB" w:rsidRDefault="004D50F8" w:rsidP="00C95D8B">
      <w:pPr>
        <w:spacing w:line="240" w:lineRule="auto"/>
        <w:ind w:left="696"/>
        <w:rPr>
          <w:rFonts w:eastAsia="Arial" w:cstheme="minorHAnsi"/>
          <w:color w:val="00B050"/>
          <w:sz w:val="18"/>
          <w:szCs w:val="20"/>
          <w:lang w:val="en-US"/>
        </w:rPr>
      </w:pPr>
    </w:p>
    <w:p w14:paraId="1EA21339" w14:textId="77777777" w:rsidR="004D50F8" w:rsidRPr="00740DB9" w:rsidRDefault="004D50F8" w:rsidP="00C95D8B">
      <w:pPr>
        <w:pStyle w:val="CEABullet-Level3"/>
        <w:rPr>
          <w:rFonts w:eastAsia="Arial"/>
          <w:lang w:val="en-US"/>
        </w:rPr>
      </w:pPr>
      <w:r w:rsidRPr="00740DB9">
        <w:rPr>
          <w:rFonts w:eastAsia="Arial"/>
          <w:lang w:val="en-US"/>
        </w:rPr>
        <w:t>Paragraphs 3 and 4 of Article 213 are deleted to ensure that the Directive remains consistent after the inclusion of the proposed Art. 213a</w:t>
      </w:r>
    </w:p>
    <w:p w14:paraId="1A1641E4" w14:textId="7D5F6C9C" w:rsidR="004D50F8" w:rsidRPr="00740DB9" w:rsidRDefault="004D50F8" w:rsidP="004D50F8">
      <w:pPr>
        <w:pStyle w:val="Odsekzoznamu"/>
        <w:spacing w:line="240" w:lineRule="auto"/>
        <w:ind w:left="360"/>
        <w:rPr>
          <w:rFonts w:eastAsia="Arial" w:cstheme="minorHAnsi"/>
          <w:strike/>
          <w:szCs w:val="17"/>
        </w:rPr>
      </w:pPr>
    </w:p>
    <w:p w14:paraId="62EA759C" w14:textId="77777777" w:rsidR="004D50F8" w:rsidRPr="00740DB9" w:rsidRDefault="004D50F8" w:rsidP="004D50F8">
      <w:pPr>
        <w:spacing w:line="240" w:lineRule="auto"/>
        <w:rPr>
          <w:rFonts w:eastAsia="Arial" w:cstheme="minorHAnsi"/>
          <w:strike/>
          <w:szCs w:val="17"/>
        </w:rPr>
      </w:pPr>
    </w:p>
    <w:p w14:paraId="57AEBAD6" w14:textId="77777777" w:rsidR="004D50F8" w:rsidRPr="008E7C6C" w:rsidRDefault="004D50F8" w:rsidP="00C95D8B">
      <w:pPr>
        <w:pStyle w:val="CEABullet-Level3"/>
        <w:rPr>
          <w:rFonts w:eastAsia="Arial"/>
          <w:lang w:val="en-US"/>
        </w:rPr>
      </w:pPr>
      <w:r w:rsidRPr="008E7C6C">
        <w:rPr>
          <w:rFonts w:eastAsia="Arial"/>
          <w:lang w:val="en-US"/>
        </w:rPr>
        <w:t>Alternatively, the following paragraph is proposed to be added to Article 212, if the new Art. 213a proposed above is not accepted.</w:t>
      </w:r>
    </w:p>
    <w:p w14:paraId="6542836C" w14:textId="77777777" w:rsidR="004D50F8" w:rsidRPr="00F52EAB" w:rsidRDefault="004D50F8" w:rsidP="004D50F8">
      <w:pPr>
        <w:spacing w:line="240" w:lineRule="auto"/>
        <w:jc w:val="center"/>
        <w:rPr>
          <w:rFonts w:eastAsia="Arial" w:cstheme="minorHAnsi"/>
          <w:i/>
          <w:iCs/>
          <w:color w:val="00B050"/>
          <w:sz w:val="18"/>
          <w:szCs w:val="20"/>
          <w:lang w:val="en-US"/>
        </w:rPr>
      </w:pPr>
    </w:p>
    <w:p w14:paraId="43B8C4B7" w14:textId="77777777" w:rsidR="004D50F8" w:rsidRPr="00F52EAB" w:rsidRDefault="004D50F8" w:rsidP="00C95D8B">
      <w:pPr>
        <w:spacing w:line="240" w:lineRule="auto"/>
        <w:ind w:left="1416"/>
        <w:jc w:val="center"/>
        <w:rPr>
          <w:rFonts w:eastAsia="Arial" w:cstheme="minorHAnsi"/>
          <w:i/>
          <w:iCs/>
          <w:color w:val="00B050"/>
          <w:sz w:val="18"/>
          <w:szCs w:val="20"/>
          <w:lang w:val="en-US"/>
        </w:rPr>
      </w:pPr>
      <w:r w:rsidRPr="00F52EAB">
        <w:rPr>
          <w:rFonts w:eastAsia="Arial" w:cstheme="minorHAnsi"/>
          <w:i/>
          <w:iCs/>
          <w:color w:val="00B050"/>
          <w:sz w:val="18"/>
          <w:szCs w:val="20"/>
          <w:lang w:val="en-US"/>
        </w:rPr>
        <w:t>Article 212</w:t>
      </w:r>
    </w:p>
    <w:p w14:paraId="225F6B56" w14:textId="77777777" w:rsidR="004D50F8" w:rsidRPr="00F52EAB" w:rsidRDefault="004D50F8" w:rsidP="00C95D8B">
      <w:pPr>
        <w:spacing w:line="240" w:lineRule="auto"/>
        <w:ind w:left="1416"/>
        <w:jc w:val="center"/>
        <w:rPr>
          <w:rFonts w:eastAsia="Arial" w:cstheme="minorHAnsi"/>
          <w:i/>
          <w:iCs/>
          <w:color w:val="00B050"/>
          <w:sz w:val="18"/>
          <w:szCs w:val="20"/>
          <w:lang w:val="en-US"/>
        </w:rPr>
      </w:pPr>
      <w:r w:rsidRPr="00F52EAB">
        <w:rPr>
          <w:rFonts w:eastAsia="Arial" w:cstheme="minorHAnsi"/>
          <w:i/>
          <w:iCs/>
          <w:color w:val="00B050"/>
          <w:sz w:val="18"/>
          <w:szCs w:val="20"/>
          <w:lang w:val="en-US"/>
        </w:rPr>
        <w:t>Definitions</w:t>
      </w:r>
    </w:p>
    <w:p w14:paraId="41A58754" w14:textId="77777777" w:rsidR="004D50F8" w:rsidRPr="00F52EAB" w:rsidRDefault="004D50F8" w:rsidP="00C95D8B">
      <w:pPr>
        <w:spacing w:line="240" w:lineRule="auto"/>
        <w:ind w:left="1416"/>
        <w:rPr>
          <w:rFonts w:eastAsia="Arial" w:cstheme="minorHAnsi"/>
          <w:color w:val="00B050"/>
          <w:sz w:val="18"/>
          <w:szCs w:val="20"/>
          <w:lang w:val="en-US"/>
        </w:rPr>
      </w:pPr>
      <w:r w:rsidRPr="00F52EAB">
        <w:rPr>
          <w:rFonts w:eastAsia="Arial" w:cstheme="minorHAnsi"/>
          <w:color w:val="00B050"/>
          <w:sz w:val="18"/>
          <w:szCs w:val="20"/>
          <w:lang w:val="en-US"/>
        </w:rPr>
        <w:t>- - -</w:t>
      </w:r>
    </w:p>
    <w:p w14:paraId="06456721" w14:textId="77777777" w:rsidR="004D50F8" w:rsidRPr="008F29AB" w:rsidRDefault="004D50F8" w:rsidP="00C95D8B">
      <w:pPr>
        <w:spacing w:line="240" w:lineRule="auto"/>
        <w:ind w:left="1416"/>
        <w:rPr>
          <w:rFonts w:eastAsia="Arial" w:cstheme="minorHAnsi"/>
          <w:color w:val="00B050"/>
          <w:szCs w:val="17"/>
          <w:lang w:val="en-US"/>
        </w:rPr>
      </w:pPr>
      <w:r w:rsidRPr="008F29AB">
        <w:rPr>
          <w:rFonts w:eastAsia="Arial" w:cstheme="minorHAnsi"/>
          <w:color w:val="00B050"/>
          <w:szCs w:val="17"/>
          <w:lang w:val="en-US"/>
        </w:rPr>
        <w:t>3. Where a central body within the meaning of Article 10 of the Regulation (EU) N:o 575/2013 is a mixed financial company at the head of a group, the central body and credit institutions affiliated to it shall not be considered to be related to each other within the meaning of this Article.</w:t>
      </w:r>
    </w:p>
    <w:p w14:paraId="6570ECA1" w14:textId="5DC1F5FB" w:rsidR="00552670" w:rsidRPr="00565F23" w:rsidRDefault="00552670" w:rsidP="00FB1BA1">
      <w:pPr>
        <w:autoSpaceDE w:val="0"/>
        <w:autoSpaceDN w:val="0"/>
        <w:adjustRightInd w:val="0"/>
        <w:spacing w:line="240" w:lineRule="auto"/>
        <w:jc w:val="left"/>
        <w:rPr>
          <w:color w:val="00B050"/>
          <w:szCs w:val="17"/>
        </w:rPr>
      </w:pPr>
    </w:p>
    <w:sectPr w:rsidR="00552670" w:rsidRPr="00565F23" w:rsidSect="009176FF">
      <w:headerReference w:type="default" r:id="rId10"/>
      <w:footerReference w:type="default" r:id="rId11"/>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BADD" w14:textId="77777777" w:rsidR="00D65D65" w:rsidRDefault="00D65D65">
      <w:pPr>
        <w:spacing w:line="240" w:lineRule="auto"/>
      </w:pPr>
      <w:r>
        <w:separator/>
      </w:r>
    </w:p>
  </w:endnote>
  <w:endnote w:type="continuationSeparator" w:id="0">
    <w:p w14:paraId="671BDD5B" w14:textId="77777777" w:rsidR="00D65D65" w:rsidRDefault="00D65D65">
      <w:pPr>
        <w:spacing w:line="240" w:lineRule="auto"/>
      </w:pPr>
      <w:r>
        <w:continuationSeparator/>
      </w:r>
    </w:p>
  </w:endnote>
  <w:endnote w:type="continuationNotice" w:id="1">
    <w:p w14:paraId="4E6AA144" w14:textId="77777777" w:rsidR="00D65D65" w:rsidRDefault="00D65D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utiger LT Std 45 Light">
    <w:altName w:val="Leelawadee UI Semilight"/>
    <w:charset w:val="00"/>
    <w:family w:val="swiss"/>
    <w:pitch w:val="variable"/>
    <w:sig w:usb0="800000AF" w:usb1="4000204A" w:usb2="00000000" w:usb3="00000000" w:csb0="00000001" w:csb1="00000000"/>
  </w:font>
  <w:font w:name="Frutiger LT Std 55 Roman">
    <w:altName w:val="Calibri"/>
    <w:charset w:val="00"/>
    <w:family w:val="swiss"/>
    <w:pitch w:val="variable"/>
    <w:sig w:usb0="800000AF" w:usb1="4000204A"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OP Chevin Pro Light">
    <w:altName w:val="Calibri Light"/>
    <w:panose1 w:val="00000000000000000000"/>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061480"/>
      <w:docPartObj>
        <w:docPartGallery w:val="Page Numbers (Bottom of Page)"/>
        <w:docPartUnique/>
      </w:docPartObj>
    </w:sdtPr>
    <w:sdtEndPr>
      <w:rPr>
        <w:noProof/>
      </w:rPr>
    </w:sdtEndPr>
    <w:sdtContent>
      <w:p w14:paraId="1D1890DD" w14:textId="36001E63" w:rsidR="00F11784" w:rsidRDefault="00F11784">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5535A072" w14:textId="77777777" w:rsidR="00295E1C" w:rsidRPr="00CD51F6" w:rsidRDefault="00295E1C" w:rsidP="00295E1C">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91D8" w14:textId="77777777" w:rsidR="00D65D65" w:rsidRDefault="00D65D65">
      <w:pPr>
        <w:spacing w:line="240" w:lineRule="auto"/>
      </w:pPr>
      <w:r>
        <w:separator/>
      </w:r>
    </w:p>
  </w:footnote>
  <w:footnote w:type="continuationSeparator" w:id="0">
    <w:p w14:paraId="797907FB" w14:textId="77777777" w:rsidR="00D65D65" w:rsidRDefault="00D65D65">
      <w:pPr>
        <w:spacing w:line="240" w:lineRule="auto"/>
      </w:pPr>
      <w:r>
        <w:continuationSeparator/>
      </w:r>
    </w:p>
  </w:footnote>
  <w:footnote w:type="continuationNotice" w:id="1">
    <w:p w14:paraId="73B9073A" w14:textId="77777777" w:rsidR="00D65D65" w:rsidRDefault="00D65D65">
      <w:pPr>
        <w:spacing w:line="240" w:lineRule="auto"/>
      </w:pPr>
    </w:p>
  </w:footnote>
  <w:footnote w:id="2">
    <w:p w14:paraId="2F9206A6" w14:textId="78B1667F" w:rsidR="004D50F8" w:rsidRDefault="004D50F8" w:rsidP="004D50F8">
      <w:pPr>
        <w:pStyle w:val="Textpoznmkypodiarou"/>
        <w:rPr>
          <w:rFonts w:asciiTheme="minorHAnsi" w:hAnsiTheme="minorHAnsi" w:cstheme="minorHAnsi"/>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A06F" w14:textId="77777777" w:rsidR="00295E1C" w:rsidRPr="000846C0" w:rsidRDefault="00295E1C" w:rsidP="00295E1C">
    <w:pPr>
      <w:pStyle w:val="Noparagraphstyle"/>
      <w:jc w:val="right"/>
      <w:rPr>
        <w:sz w:val="18"/>
        <w:szCs w:val="18"/>
      </w:rPr>
    </w:pPr>
  </w:p>
  <w:p w14:paraId="5535A070" w14:textId="77777777" w:rsidR="00295E1C" w:rsidRPr="00CD51F6" w:rsidRDefault="009176FF" w:rsidP="00295E1C">
    <w:pPr>
      <w:pStyle w:val="Noparagraphstyle"/>
      <w:jc w:val="right"/>
      <w:rPr>
        <w:rFonts w:ascii="Arial" w:hAnsi="Arial" w:cs="Arial"/>
        <w:i/>
        <w:iCs/>
        <w:color w:val="034EA2"/>
      </w:rPr>
    </w:pPr>
    <w:r>
      <w:tab/>
    </w:r>
  </w:p>
  <w:p w14:paraId="5535A071" w14:textId="77777777" w:rsidR="00295E1C" w:rsidRPr="007349E1" w:rsidRDefault="009176FF" w:rsidP="00295E1C">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5535A073" wp14:editId="5535A074">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8.5pt;height:8.5pt" o:bullet="t">
        <v:imagedata r:id="rId3" o:title="CEA - Bullets Rounded Squares_BulletLevel3_forMS"/>
      </v:shape>
    </w:pict>
  </w:numPicBullet>
  <w:abstractNum w:abstractNumId="0" w15:restartNumberingAfterBreak="0">
    <w:nsid w:val="0A5B7ECA"/>
    <w:multiLevelType w:val="hybridMultilevel"/>
    <w:tmpl w:val="70000CAE"/>
    <w:lvl w:ilvl="0" w:tplc="20000001">
      <w:start w:val="1"/>
      <w:numFmt w:val="bullet"/>
      <w:lvlText w:val=""/>
      <w:lvlJc w:val="left"/>
      <w:pPr>
        <w:ind w:left="765" w:hanging="360"/>
      </w:pPr>
      <w:rPr>
        <w:rFonts w:ascii="Symbol" w:hAnsi="Symbol" w:hint="default"/>
      </w:rPr>
    </w:lvl>
    <w:lvl w:ilvl="1" w:tplc="20000003">
      <w:start w:val="1"/>
      <w:numFmt w:val="bullet"/>
      <w:lvlText w:val="o"/>
      <w:lvlJc w:val="left"/>
      <w:pPr>
        <w:ind w:left="1485" w:hanging="360"/>
      </w:pPr>
      <w:rPr>
        <w:rFonts w:ascii="Courier New" w:hAnsi="Courier New" w:cs="Courier New" w:hint="default"/>
      </w:rPr>
    </w:lvl>
    <w:lvl w:ilvl="2" w:tplc="20000005">
      <w:start w:val="1"/>
      <w:numFmt w:val="bullet"/>
      <w:lvlText w:val=""/>
      <w:lvlJc w:val="left"/>
      <w:pPr>
        <w:ind w:left="2205" w:hanging="360"/>
      </w:pPr>
      <w:rPr>
        <w:rFonts w:ascii="Wingdings" w:hAnsi="Wingdings" w:hint="default"/>
      </w:rPr>
    </w:lvl>
    <w:lvl w:ilvl="3" w:tplc="20000001">
      <w:start w:val="1"/>
      <w:numFmt w:val="bullet"/>
      <w:lvlText w:val=""/>
      <w:lvlJc w:val="left"/>
      <w:pPr>
        <w:ind w:left="2925" w:hanging="360"/>
      </w:pPr>
      <w:rPr>
        <w:rFonts w:ascii="Symbol" w:hAnsi="Symbol" w:hint="default"/>
      </w:rPr>
    </w:lvl>
    <w:lvl w:ilvl="4" w:tplc="20000003">
      <w:start w:val="1"/>
      <w:numFmt w:val="bullet"/>
      <w:lvlText w:val="o"/>
      <w:lvlJc w:val="left"/>
      <w:pPr>
        <w:ind w:left="3645" w:hanging="360"/>
      </w:pPr>
      <w:rPr>
        <w:rFonts w:ascii="Courier New" w:hAnsi="Courier New" w:cs="Courier New" w:hint="default"/>
      </w:rPr>
    </w:lvl>
    <w:lvl w:ilvl="5" w:tplc="20000005">
      <w:start w:val="1"/>
      <w:numFmt w:val="bullet"/>
      <w:lvlText w:val=""/>
      <w:lvlJc w:val="left"/>
      <w:pPr>
        <w:ind w:left="4365" w:hanging="360"/>
      </w:pPr>
      <w:rPr>
        <w:rFonts w:ascii="Wingdings" w:hAnsi="Wingdings" w:hint="default"/>
      </w:rPr>
    </w:lvl>
    <w:lvl w:ilvl="6" w:tplc="20000001">
      <w:start w:val="1"/>
      <w:numFmt w:val="bullet"/>
      <w:lvlText w:val=""/>
      <w:lvlJc w:val="left"/>
      <w:pPr>
        <w:ind w:left="5085" w:hanging="360"/>
      </w:pPr>
      <w:rPr>
        <w:rFonts w:ascii="Symbol" w:hAnsi="Symbol" w:hint="default"/>
      </w:rPr>
    </w:lvl>
    <w:lvl w:ilvl="7" w:tplc="20000003">
      <w:start w:val="1"/>
      <w:numFmt w:val="bullet"/>
      <w:lvlText w:val="o"/>
      <w:lvlJc w:val="left"/>
      <w:pPr>
        <w:ind w:left="5805" w:hanging="360"/>
      </w:pPr>
      <w:rPr>
        <w:rFonts w:ascii="Courier New" w:hAnsi="Courier New" w:cs="Courier New" w:hint="default"/>
      </w:rPr>
    </w:lvl>
    <w:lvl w:ilvl="8" w:tplc="20000005">
      <w:start w:val="1"/>
      <w:numFmt w:val="bullet"/>
      <w:lvlText w:val=""/>
      <w:lvlJc w:val="left"/>
      <w:pPr>
        <w:ind w:left="6525" w:hanging="360"/>
      </w:pPr>
      <w:rPr>
        <w:rFonts w:ascii="Wingdings" w:hAnsi="Wingdings" w:hint="default"/>
      </w:rPr>
    </w:lvl>
  </w:abstractNum>
  <w:abstractNum w:abstractNumId="1" w15:restartNumberingAfterBreak="0">
    <w:nsid w:val="0AF57BB1"/>
    <w:multiLevelType w:val="hybridMultilevel"/>
    <w:tmpl w:val="1F4CE896"/>
    <w:lvl w:ilvl="0" w:tplc="4D2858C0">
      <w:start w:val="1"/>
      <w:numFmt w:val="decimal"/>
      <w:lvlText w:val="%1."/>
      <w:lvlJc w:val="left"/>
      <w:pPr>
        <w:ind w:left="36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1E597EC2"/>
    <w:multiLevelType w:val="hybridMultilevel"/>
    <w:tmpl w:val="E03050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DB077B6"/>
    <w:multiLevelType w:val="hybridMultilevel"/>
    <w:tmpl w:val="324CF106"/>
    <w:lvl w:ilvl="0" w:tplc="112635EC">
      <w:start w:val="1"/>
      <w:numFmt w:val="decimal"/>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6" w15:restartNumberingAfterBreak="0">
    <w:nsid w:val="5CB67F45"/>
    <w:multiLevelType w:val="hybridMultilevel"/>
    <w:tmpl w:val="A058C3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EBF1B7A"/>
    <w:multiLevelType w:val="hybridMultilevel"/>
    <w:tmpl w:val="4DB23D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2436E93"/>
    <w:multiLevelType w:val="hybridMultilevel"/>
    <w:tmpl w:val="781680D4"/>
    <w:lvl w:ilvl="0" w:tplc="040B001B">
      <w:start w:val="1"/>
      <w:numFmt w:val="lowerRoman"/>
      <w:lvlText w:val="%1."/>
      <w:lvlJc w:val="right"/>
      <w:pPr>
        <w:ind w:left="1440" w:hanging="360"/>
      </w:pPr>
    </w:lvl>
    <w:lvl w:ilvl="1" w:tplc="040B0019">
      <w:start w:val="1"/>
      <w:numFmt w:val="lowerLetter"/>
      <w:lvlText w:val="%2."/>
      <w:lvlJc w:val="left"/>
      <w:pPr>
        <w:ind w:left="2160" w:hanging="360"/>
      </w:pPr>
    </w:lvl>
    <w:lvl w:ilvl="2" w:tplc="040B001B">
      <w:start w:val="1"/>
      <w:numFmt w:val="lowerRoman"/>
      <w:lvlText w:val="%3."/>
      <w:lvlJc w:val="right"/>
      <w:pPr>
        <w:ind w:left="2880" w:hanging="180"/>
      </w:pPr>
    </w:lvl>
    <w:lvl w:ilvl="3" w:tplc="040B000F">
      <w:start w:val="1"/>
      <w:numFmt w:val="decimal"/>
      <w:lvlText w:val="%4."/>
      <w:lvlJc w:val="left"/>
      <w:pPr>
        <w:ind w:left="3600" w:hanging="360"/>
      </w:pPr>
    </w:lvl>
    <w:lvl w:ilvl="4" w:tplc="040B0019">
      <w:start w:val="1"/>
      <w:numFmt w:val="lowerLetter"/>
      <w:lvlText w:val="%5."/>
      <w:lvlJc w:val="left"/>
      <w:pPr>
        <w:ind w:left="4320" w:hanging="360"/>
      </w:pPr>
    </w:lvl>
    <w:lvl w:ilvl="5" w:tplc="040B001B">
      <w:start w:val="1"/>
      <w:numFmt w:val="lowerRoman"/>
      <w:lvlText w:val="%6."/>
      <w:lvlJc w:val="right"/>
      <w:pPr>
        <w:ind w:left="5040" w:hanging="180"/>
      </w:pPr>
    </w:lvl>
    <w:lvl w:ilvl="6" w:tplc="040B000F">
      <w:start w:val="1"/>
      <w:numFmt w:val="decimal"/>
      <w:lvlText w:val="%7."/>
      <w:lvlJc w:val="left"/>
      <w:pPr>
        <w:ind w:left="5760" w:hanging="360"/>
      </w:pPr>
    </w:lvl>
    <w:lvl w:ilvl="7" w:tplc="040B0019">
      <w:start w:val="1"/>
      <w:numFmt w:val="lowerLetter"/>
      <w:lvlText w:val="%8."/>
      <w:lvlJc w:val="left"/>
      <w:pPr>
        <w:ind w:left="6480" w:hanging="360"/>
      </w:pPr>
    </w:lvl>
    <w:lvl w:ilvl="8" w:tplc="040B001B">
      <w:start w:val="1"/>
      <w:numFmt w:val="lowerRoman"/>
      <w:lvlText w:val="%9."/>
      <w:lvlJc w:val="right"/>
      <w:pPr>
        <w:ind w:left="7200" w:hanging="180"/>
      </w:pPr>
    </w:lvl>
  </w:abstractNum>
  <w:abstractNum w:abstractNumId="9" w15:restartNumberingAfterBreak="0">
    <w:nsid w:val="699950B3"/>
    <w:multiLevelType w:val="hybridMultilevel"/>
    <w:tmpl w:val="9684CC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4715789"/>
    <w:multiLevelType w:val="hybridMultilevel"/>
    <w:tmpl w:val="E93665E6"/>
    <w:lvl w:ilvl="0" w:tplc="4D0C52EA">
      <w:start w:val="1"/>
      <w:numFmt w:val="decimal"/>
      <w:lvlText w:val="%1."/>
      <w:lvlJc w:val="left"/>
      <w:pPr>
        <w:ind w:left="360" w:hanging="360"/>
      </w:pPr>
      <w:rPr>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7C424FD4"/>
    <w:multiLevelType w:val="hybridMultilevel"/>
    <w:tmpl w:val="CCF8FF72"/>
    <w:lvl w:ilvl="0" w:tplc="4D0C52EA">
      <w:start w:val="1"/>
      <w:numFmt w:val="decimal"/>
      <w:lvlText w:val="%1."/>
      <w:lvlJc w:val="left"/>
      <w:pPr>
        <w:ind w:left="360" w:hanging="360"/>
      </w:pPr>
      <w:rPr>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895823697">
    <w:abstractNumId w:val="10"/>
  </w:num>
  <w:num w:numId="2" w16cid:durableId="84619379">
    <w:abstractNumId w:val="2"/>
  </w:num>
  <w:num w:numId="3" w16cid:durableId="1866819875">
    <w:abstractNumId w:val="5"/>
  </w:num>
  <w:num w:numId="4" w16cid:durableId="1513648696">
    <w:abstractNumId w:val="7"/>
  </w:num>
  <w:num w:numId="5" w16cid:durableId="307364789">
    <w:abstractNumId w:val="9"/>
  </w:num>
  <w:num w:numId="6" w16cid:durableId="257834870">
    <w:abstractNumId w:val="6"/>
  </w:num>
  <w:num w:numId="7" w16cid:durableId="1028602195">
    <w:abstractNumId w:val="0"/>
  </w:num>
  <w:num w:numId="8" w16cid:durableId="1916284761">
    <w:abstractNumId w:val="3"/>
  </w:num>
  <w:num w:numId="9" w16cid:durableId="1588726565">
    <w:abstractNumId w:val="0"/>
  </w:num>
  <w:num w:numId="10" w16cid:durableId="527063496">
    <w:abstractNumId w:val="12"/>
  </w:num>
  <w:num w:numId="11" w16cid:durableId="2029333950">
    <w:abstractNumId w:val="1"/>
  </w:num>
  <w:num w:numId="12" w16cid:durableId="1105467866">
    <w:abstractNumId w:val="11"/>
  </w:num>
  <w:num w:numId="13" w16cid:durableId="305672177">
    <w:abstractNumId w:val="4"/>
  </w:num>
  <w:num w:numId="14" w16cid:durableId="290214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614250">
    <w:abstractNumId w:val="10"/>
  </w:num>
  <w:num w:numId="16" w16cid:durableId="1159152631">
    <w:abstractNumId w:val="2"/>
  </w:num>
  <w:num w:numId="17" w16cid:durableId="93524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042D"/>
    <w:rsid w:val="00001455"/>
    <w:rsid w:val="0000468C"/>
    <w:rsid w:val="00005DB7"/>
    <w:rsid w:val="00006069"/>
    <w:rsid w:val="000125CD"/>
    <w:rsid w:val="000360CE"/>
    <w:rsid w:val="00041C4A"/>
    <w:rsid w:val="00050830"/>
    <w:rsid w:val="0005616D"/>
    <w:rsid w:val="00057C82"/>
    <w:rsid w:val="000623F1"/>
    <w:rsid w:val="00064936"/>
    <w:rsid w:val="000716A7"/>
    <w:rsid w:val="00073463"/>
    <w:rsid w:val="000737CD"/>
    <w:rsid w:val="00080101"/>
    <w:rsid w:val="000869B4"/>
    <w:rsid w:val="0009524B"/>
    <w:rsid w:val="000969A6"/>
    <w:rsid w:val="000A4129"/>
    <w:rsid w:val="000B02CB"/>
    <w:rsid w:val="000B6346"/>
    <w:rsid w:val="000C0FFA"/>
    <w:rsid w:val="000D43EA"/>
    <w:rsid w:val="000D7342"/>
    <w:rsid w:val="000F341D"/>
    <w:rsid w:val="000F7147"/>
    <w:rsid w:val="000F7B83"/>
    <w:rsid w:val="000F7BDE"/>
    <w:rsid w:val="001017F5"/>
    <w:rsid w:val="00101D88"/>
    <w:rsid w:val="00104194"/>
    <w:rsid w:val="00110469"/>
    <w:rsid w:val="001121FA"/>
    <w:rsid w:val="001126A0"/>
    <w:rsid w:val="00114C7B"/>
    <w:rsid w:val="00115452"/>
    <w:rsid w:val="00122153"/>
    <w:rsid w:val="0012445B"/>
    <w:rsid w:val="0012452F"/>
    <w:rsid w:val="00130527"/>
    <w:rsid w:val="0013092D"/>
    <w:rsid w:val="0013157E"/>
    <w:rsid w:val="00135286"/>
    <w:rsid w:val="00141529"/>
    <w:rsid w:val="00154DA1"/>
    <w:rsid w:val="0015541B"/>
    <w:rsid w:val="00162F5A"/>
    <w:rsid w:val="0016422A"/>
    <w:rsid w:val="001679D5"/>
    <w:rsid w:val="00171676"/>
    <w:rsid w:val="00173D5C"/>
    <w:rsid w:val="00176F9B"/>
    <w:rsid w:val="00177000"/>
    <w:rsid w:val="00182974"/>
    <w:rsid w:val="00192DDD"/>
    <w:rsid w:val="0019772A"/>
    <w:rsid w:val="00197CD2"/>
    <w:rsid w:val="001A1E30"/>
    <w:rsid w:val="001A450F"/>
    <w:rsid w:val="001B128C"/>
    <w:rsid w:val="001B7C6B"/>
    <w:rsid w:val="001C3CD9"/>
    <w:rsid w:val="001D5387"/>
    <w:rsid w:val="001E0532"/>
    <w:rsid w:val="001E2136"/>
    <w:rsid w:val="001F635E"/>
    <w:rsid w:val="001F7D8B"/>
    <w:rsid w:val="0020339D"/>
    <w:rsid w:val="00207FC4"/>
    <w:rsid w:val="00210842"/>
    <w:rsid w:val="002108DA"/>
    <w:rsid w:val="00211D46"/>
    <w:rsid w:val="002164CC"/>
    <w:rsid w:val="002164DE"/>
    <w:rsid w:val="00216A5B"/>
    <w:rsid w:val="0022709E"/>
    <w:rsid w:val="00237B91"/>
    <w:rsid w:val="002552FB"/>
    <w:rsid w:val="00260FBB"/>
    <w:rsid w:val="00263FD3"/>
    <w:rsid w:val="00266379"/>
    <w:rsid w:val="00274961"/>
    <w:rsid w:val="00275F68"/>
    <w:rsid w:val="002802AB"/>
    <w:rsid w:val="00286086"/>
    <w:rsid w:val="002924BB"/>
    <w:rsid w:val="00295E1C"/>
    <w:rsid w:val="002B30E4"/>
    <w:rsid w:val="002B66EE"/>
    <w:rsid w:val="002C1761"/>
    <w:rsid w:val="002C19C9"/>
    <w:rsid w:val="002D7602"/>
    <w:rsid w:val="002E08A2"/>
    <w:rsid w:val="002E13EF"/>
    <w:rsid w:val="002F6622"/>
    <w:rsid w:val="00301F29"/>
    <w:rsid w:val="00303528"/>
    <w:rsid w:val="00303AE7"/>
    <w:rsid w:val="0030523A"/>
    <w:rsid w:val="00315BDD"/>
    <w:rsid w:val="0032342D"/>
    <w:rsid w:val="00340068"/>
    <w:rsid w:val="00344269"/>
    <w:rsid w:val="00361A68"/>
    <w:rsid w:val="00367C26"/>
    <w:rsid w:val="00373D11"/>
    <w:rsid w:val="003807E3"/>
    <w:rsid w:val="00384BD0"/>
    <w:rsid w:val="00391956"/>
    <w:rsid w:val="00392394"/>
    <w:rsid w:val="003A02DE"/>
    <w:rsid w:val="003A0F71"/>
    <w:rsid w:val="003A1326"/>
    <w:rsid w:val="003A163B"/>
    <w:rsid w:val="003A38D9"/>
    <w:rsid w:val="003A4671"/>
    <w:rsid w:val="003A7C95"/>
    <w:rsid w:val="003B16BE"/>
    <w:rsid w:val="003B2072"/>
    <w:rsid w:val="003B2E2E"/>
    <w:rsid w:val="003B3409"/>
    <w:rsid w:val="003C149D"/>
    <w:rsid w:val="003C5103"/>
    <w:rsid w:val="003D7337"/>
    <w:rsid w:val="003E3C0B"/>
    <w:rsid w:val="003E4F0F"/>
    <w:rsid w:val="003F31D6"/>
    <w:rsid w:val="004001D1"/>
    <w:rsid w:val="00402AFF"/>
    <w:rsid w:val="00416105"/>
    <w:rsid w:val="0043001E"/>
    <w:rsid w:val="00433419"/>
    <w:rsid w:val="0043482E"/>
    <w:rsid w:val="004363C7"/>
    <w:rsid w:val="00436525"/>
    <w:rsid w:val="00437819"/>
    <w:rsid w:val="00440FEE"/>
    <w:rsid w:val="00450295"/>
    <w:rsid w:val="0045137D"/>
    <w:rsid w:val="004515DE"/>
    <w:rsid w:val="00462A53"/>
    <w:rsid w:val="00463748"/>
    <w:rsid w:val="004674BB"/>
    <w:rsid w:val="00474215"/>
    <w:rsid w:val="004759F5"/>
    <w:rsid w:val="00477168"/>
    <w:rsid w:val="00477755"/>
    <w:rsid w:val="00487E6C"/>
    <w:rsid w:val="00490B29"/>
    <w:rsid w:val="00495A49"/>
    <w:rsid w:val="004A175C"/>
    <w:rsid w:val="004B634E"/>
    <w:rsid w:val="004C5300"/>
    <w:rsid w:val="004C57A5"/>
    <w:rsid w:val="004D347B"/>
    <w:rsid w:val="004D50F8"/>
    <w:rsid w:val="004E7499"/>
    <w:rsid w:val="004F5015"/>
    <w:rsid w:val="004F538A"/>
    <w:rsid w:val="00506048"/>
    <w:rsid w:val="00514249"/>
    <w:rsid w:val="00515232"/>
    <w:rsid w:val="00516578"/>
    <w:rsid w:val="00525209"/>
    <w:rsid w:val="00537286"/>
    <w:rsid w:val="0054230A"/>
    <w:rsid w:val="00544042"/>
    <w:rsid w:val="00550598"/>
    <w:rsid w:val="00552670"/>
    <w:rsid w:val="005527A8"/>
    <w:rsid w:val="00554618"/>
    <w:rsid w:val="00564C81"/>
    <w:rsid w:val="00565F23"/>
    <w:rsid w:val="005876DB"/>
    <w:rsid w:val="00592104"/>
    <w:rsid w:val="00592A49"/>
    <w:rsid w:val="005A01F0"/>
    <w:rsid w:val="005B0634"/>
    <w:rsid w:val="005B1B53"/>
    <w:rsid w:val="005B4775"/>
    <w:rsid w:val="005C01AA"/>
    <w:rsid w:val="005C7156"/>
    <w:rsid w:val="005D6E35"/>
    <w:rsid w:val="005F0A2E"/>
    <w:rsid w:val="006147AA"/>
    <w:rsid w:val="00620C92"/>
    <w:rsid w:val="00626913"/>
    <w:rsid w:val="006303CD"/>
    <w:rsid w:val="006306B6"/>
    <w:rsid w:val="006317E5"/>
    <w:rsid w:val="006367F4"/>
    <w:rsid w:val="00642843"/>
    <w:rsid w:val="006527A2"/>
    <w:rsid w:val="00656D79"/>
    <w:rsid w:val="0067024F"/>
    <w:rsid w:val="00670366"/>
    <w:rsid w:val="006710A2"/>
    <w:rsid w:val="00674CC9"/>
    <w:rsid w:val="00674E15"/>
    <w:rsid w:val="00676D6C"/>
    <w:rsid w:val="0069038E"/>
    <w:rsid w:val="0069172D"/>
    <w:rsid w:val="00693054"/>
    <w:rsid w:val="00695CF8"/>
    <w:rsid w:val="00697678"/>
    <w:rsid w:val="006A0A54"/>
    <w:rsid w:val="006A6FDE"/>
    <w:rsid w:val="006B1FF8"/>
    <w:rsid w:val="006B3669"/>
    <w:rsid w:val="006B3BB0"/>
    <w:rsid w:val="006B56A1"/>
    <w:rsid w:val="006C16E2"/>
    <w:rsid w:val="006C4327"/>
    <w:rsid w:val="006E197D"/>
    <w:rsid w:val="006E3941"/>
    <w:rsid w:val="006E41F6"/>
    <w:rsid w:val="006E514D"/>
    <w:rsid w:val="006F1EBC"/>
    <w:rsid w:val="006F37EA"/>
    <w:rsid w:val="006F68FD"/>
    <w:rsid w:val="0070544A"/>
    <w:rsid w:val="00712FA0"/>
    <w:rsid w:val="00722D2D"/>
    <w:rsid w:val="00725543"/>
    <w:rsid w:val="007345D1"/>
    <w:rsid w:val="00735998"/>
    <w:rsid w:val="00735FD1"/>
    <w:rsid w:val="00740DB9"/>
    <w:rsid w:val="00747D5B"/>
    <w:rsid w:val="0076036A"/>
    <w:rsid w:val="00764497"/>
    <w:rsid w:val="00770C8E"/>
    <w:rsid w:val="007931F8"/>
    <w:rsid w:val="007A34E7"/>
    <w:rsid w:val="007C03D3"/>
    <w:rsid w:val="007C61CE"/>
    <w:rsid w:val="007D0794"/>
    <w:rsid w:val="007E6486"/>
    <w:rsid w:val="007F3E92"/>
    <w:rsid w:val="007F5379"/>
    <w:rsid w:val="00801886"/>
    <w:rsid w:val="00801CD2"/>
    <w:rsid w:val="00804603"/>
    <w:rsid w:val="00805F07"/>
    <w:rsid w:val="00807917"/>
    <w:rsid w:val="00811BC8"/>
    <w:rsid w:val="008201AB"/>
    <w:rsid w:val="00821AEC"/>
    <w:rsid w:val="00831F6D"/>
    <w:rsid w:val="00834F22"/>
    <w:rsid w:val="008408C6"/>
    <w:rsid w:val="00841FD2"/>
    <w:rsid w:val="00842EB9"/>
    <w:rsid w:val="00843984"/>
    <w:rsid w:val="0084623B"/>
    <w:rsid w:val="00847D49"/>
    <w:rsid w:val="00847FAB"/>
    <w:rsid w:val="0086293E"/>
    <w:rsid w:val="00863267"/>
    <w:rsid w:val="008707A1"/>
    <w:rsid w:val="00870868"/>
    <w:rsid w:val="0087168A"/>
    <w:rsid w:val="00872EB2"/>
    <w:rsid w:val="00873526"/>
    <w:rsid w:val="00874512"/>
    <w:rsid w:val="00874EB4"/>
    <w:rsid w:val="008821E4"/>
    <w:rsid w:val="00891F7D"/>
    <w:rsid w:val="00892EBE"/>
    <w:rsid w:val="00893BF9"/>
    <w:rsid w:val="008A294A"/>
    <w:rsid w:val="008B12DB"/>
    <w:rsid w:val="008C0822"/>
    <w:rsid w:val="008C683F"/>
    <w:rsid w:val="008D236A"/>
    <w:rsid w:val="008D39B2"/>
    <w:rsid w:val="008D6104"/>
    <w:rsid w:val="008E7550"/>
    <w:rsid w:val="008E7C6C"/>
    <w:rsid w:val="008F29AB"/>
    <w:rsid w:val="008F37A2"/>
    <w:rsid w:val="00901F61"/>
    <w:rsid w:val="009041E7"/>
    <w:rsid w:val="009135C5"/>
    <w:rsid w:val="00915237"/>
    <w:rsid w:val="009176FF"/>
    <w:rsid w:val="00920F2D"/>
    <w:rsid w:val="00922EEB"/>
    <w:rsid w:val="00923341"/>
    <w:rsid w:val="00927B25"/>
    <w:rsid w:val="00957B8B"/>
    <w:rsid w:val="00957F3C"/>
    <w:rsid w:val="0096103F"/>
    <w:rsid w:val="00961D27"/>
    <w:rsid w:val="009637E8"/>
    <w:rsid w:val="00965309"/>
    <w:rsid w:val="0096745A"/>
    <w:rsid w:val="00972ED0"/>
    <w:rsid w:val="00973F11"/>
    <w:rsid w:val="009764CA"/>
    <w:rsid w:val="00977904"/>
    <w:rsid w:val="00981A53"/>
    <w:rsid w:val="009820BB"/>
    <w:rsid w:val="009A3AE5"/>
    <w:rsid w:val="009A6BF9"/>
    <w:rsid w:val="009A793B"/>
    <w:rsid w:val="009B1D4B"/>
    <w:rsid w:val="009B2BAC"/>
    <w:rsid w:val="009B5721"/>
    <w:rsid w:val="009C2560"/>
    <w:rsid w:val="009C61CD"/>
    <w:rsid w:val="009D6D67"/>
    <w:rsid w:val="009E197D"/>
    <w:rsid w:val="009E73BB"/>
    <w:rsid w:val="009F335E"/>
    <w:rsid w:val="009F697E"/>
    <w:rsid w:val="00A03639"/>
    <w:rsid w:val="00A1215D"/>
    <w:rsid w:val="00A12A8E"/>
    <w:rsid w:val="00A175CA"/>
    <w:rsid w:val="00A2418E"/>
    <w:rsid w:val="00A24548"/>
    <w:rsid w:val="00A24FC4"/>
    <w:rsid w:val="00A264BB"/>
    <w:rsid w:val="00A432E2"/>
    <w:rsid w:val="00A535D6"/>
    <w:rsid w:val="00A54D17"/>
    <w:rsid w:val="00A55F2E"/>
    <w:rsid w:val="00A74766"/>
    <w:rsid w:val="00A74953"/>
    <w:rsid w:val="00A75E11"/>
    <w:rsid w:val="00A7739F"/>
    <w:rsid w:val="00A87367"/>
    <w:rsid w:val="00AA23EF"/>
    <w:rsid w:val="00AB7027"/>
    <w:rsid w:val="00AC009C"/>
    <w:rsid w:val="00AD64C5"/>
    <w:rsid w:val="00AD742E"/>
    <w:rsid w:val="00AE2604"/>
    <w:rsid w:val="00AF5D88"/>
    <w:rsid w:val="00AF5EA5"/>
    <w:rsid w:val="00AF6F27"/>
    <w:rsid w:val="00B040FF"/>
    <w:rsid w:val="00B11F3B"/>
    <w:rsid w:val="00B1293A"/>
    <w:rsid w:val="00B26BFB"/>
    <w:rsid w:val="00B316FB"/>
    <w:rsid w:val="00B43597"/>
    <w:rsid w:val="00B536A0"/>
    <w:rsid w:val="00B56705"/>
    <w:rsid w:val="00B60FC7"/>
    <w:rsid w:val="00B63C81"/>
    <w:rsid w:val="00B75100"/>
    <w:rsid w:val="00B759BC"/>
    <w:rsid w:val="00B762B8"/>
    <w:rsid w:val="00B7681D"/>
    <w:rsid w:val="00B8131B"/>
    <w:rsid w:val="00B85BEB"/>
    <w:rsid w:val="00B91D63"/>
    <w:rsid w:val="00B931CF"/>
    <w:rsid w:val="00B95605"/>
    <w:rsid w:val="00B96BD4"/>
    <w:rsid w:val="00BC1740"/>
    <w:rsid w:val="00BC3E4E"/>
    <w:rsid w:val="00BD752D"/>
    <w:rsid w:val="00BF2CB8"/>
    <w:rsid w:val="00BF35FF"/>
    <w:rsid w:val="00C042E1"/>
    <w:rsid w:val="00C10293"/>
    <w:rsid w:val="00C14B8C"/>
    <w:rsid w:val="00C16F39"/>
    <w:rsid w:val="00C36748"/>
    <w:rsid w:val="00C467A4"/>
    <w:rsid w:val="00C50ED6"/>
    <w:rsid w:val="00C616CC"/>
    <w:rsid w:val="00C80AE4"/>
    <w:rsid w:val="00C86213"/>
    <w:rsid w:val="00C95D8B"/>
    <w:rsid w:val="00C97C2D"/>
    <w:rsid w:val="00CA3614"/>
    <w:rsid w:val="00CA55EC"/>
    <w:rsid w:val="00CA7C4D"/>
    <w:rsid w:val="00CB09C8"/>
    <w:rsid w:val="00CB48FD"/>
    <w:rsid w:val="00CB684E"/>
    <w:rsid w:val="00CB73DC"/>
    <w:rsid w:val="00CB7CDC"/>
    <w:rsid w:val="00CD0820"/>
    <w:rsid w:val="00CD0C8F"/>
    <w:rsid w:val="00CD0D10"/>
    <w:rsid w:val="00CD4F51"/>
    <w:rsid w:val="00CE6189"/>
    <w:rsid w:val="00CF4BC1"/>
    <w:rsid w:val="00CF71CD"/>
    <w:rsid w:val="00D0150A"/>
    <w:rsid w:val="00D02FCB"/>
    <w:rsid w:val="00D038CD"/>
    <w:rsid w:val="00D1026B"/>
    <w:rsid w:val="00D10DEB"/>
    <w:rsid w:val="00D12895"/>
    <w:rsid w:val="00D13F81"/>
    <w:rsid w:val="00D21E5C"/>
    <w:rsid w:val="00D229AE"/>
    <w:rsid w:val="00D3477D"/>
    <w:rsid w:val="00D365DA"/>
    <w:rsid w:val="00D46094"/>
    <w:rsid w:val="00D567C3"/>
    <w:rsid w:val="00D610D0"/>
    <w:rsid w:val="00D637D4"/>
    <w:rsid w:val="00D653DD"/>
    <w:rsid w:val="00D65D65"/>
    <w:rsid w:val="00D66501"/>
    <w:rsid w:val="00D70D84"/>
    <w:rsid w:val="00D7375F"/>
    <w:rsid w:val="00D77B48"/>
    <w:rsid w:val="00D81B52"/>
    <w:rsid w:val="00D83131"/>
    <w:rsid w:val="00D8471B"/>
    <w:rsid w:val="00D85D8D"/>
    <w:rsid w:val="00D85F06"/>
    <w:rsid w:val="00D97AEA"/>
    <w:rsid w:val="00DA6DA7"/>
    <w:rsid w:val="00DB4478"/>
    <w:rsid w:val="00DB59DF"/>
    <w:rsid w:val="00DB65A5"/>
    <w:rsid w:val="00DB7A50"/>
    <w:rsid w:val="00DC04F2"/>
    <w:rsid w:val="00DC0824"/>
    <w:rsid w:val="00DC6550"/>
    <w:rsid w:val="00DD103F"/>
    <w:rsid w:val="00DD125E"/>
    <w:rsid w:val="00DD2A25"/>
    <w:rsid w:val="00DD4E4A"/>
    <w:rsid w:val="00DE012E"/>
    <w:rsid w:val="00DE5CA3"/>
    <w:rsid w:val="00E03057"/>
    <w:rsid w:val="00E0398F"/>
    <w:rsid w:val="00E05162"/>
    <w:rsid w:val="00E052A3"/>
    <w:rsid w:val="00E11D0B"/>
    <w:rsid w:val="00E123C1"/>
    <w:rsid w:val="00E22EA1"/>
    <w:rsid w:val="00E26C27"/>
    <w:rsid w:val="00E31091"/>
    <w:rsid w:val="00E32D88"/>
    <w:rsid w:val="00E33872"/>
    <w:rsid w:val="00E33EBD"/>
    <w:rsid w:val="00E34E6F"/>
    <w:rsid w:val="00E37FBA"/>
    <w:rsid w:val="00E433A9"/>
    <w:rsid w:val="00E43B0F"/>
    <w:rsid w:val="00E45426"/>
    <w:rsid w:val="00E51119"/>
    <w:rsid w:val="00E53076"/>
    <w:rsid w:val="00E55A4A"/>
    <w:rsid w:val="00E562FB"/>
    <w:rsid w:val="00E64EC1"/>
    <w:rsid w:val="00E82A96"/>
    <w:rsid w:val="00E82AB9"/>
    <w:rsid w:val="00E83A3A"/>
    <w:rsid w:val="00E860C0"/>
    <w:rsid w:val="00E878A4"/>
    <w:rsid w:val="00E9169D"/>
    <w:rsid w:val="00E937D7"/>
    <w:rsid w:val="00E965E1"/>
    <w:rsid w:val="00E97E4B"/>
    <w:rsid w:val="00EA1DBB"/>
    <w:rsid w:val="00EA6B5B"/>
    <w:rsid w:val="00EA75F1"/>
    <w:rsid w:val="00EB4718"/>
    <w:rsid w:val="00EB6AA3"/>
    <w:rsid w:val="00EC64E4"/>
    <w:rsid w:val="00ED3E65"/>
    <w:rsid w:val="00ED3FBB"/>
    <w:rsid w:val="00EE2862"/>
    <w:rsid w:val="00F019FE"/>
    <w:rsid w:val="00F03AB7"/>
    <w:rsid w:val="00F10A7C"/>
    <w:rsid w:val="00F10BA7"/>
    <w:rsid w:val="00F11784"/>
    <w:rsid w:val="00F20EBF"/>
    <w:rsid w:val="00F22D1C"/>
    <w:rsid w:val="00F27144"/>
    <w:rsid w:val="00F361CD"/>
    <w:rsid w:val="00F37922"/>
    <w:rsid w:val="00F4155A"/>
    <w:rsid w:val="00F42847"/>
    <w:rsid w:val="00F4671B"/>
    <w:rsid w:val="00F50A8C"/>
    <w:rsid w:val="00F5234B"/>
    <w:rsid w:val="00F52EAB"/>
    <w:rsid w:val="00F53076"/>
    <w:rsid w:val="00F5436C"/>
    <w:rsid w:val="00F55588"/>
    <w:rsid w:val="00F55A10"/>
    <w:rsid w:val="00F5710E"/>
    <w:rsid w:val="00F77463"/>
    <w:rsid w:val="00F77BF0"/>
    <w:rsid w:val="00F86E5D"/>
    <w:rsid w:val="00F8705B"/>
    <w:rsid w:val="00F874A8"/>
    <w:rsid w:val="00F9172C"/>
    <w:rsid w:val="00F9185F"/>
    <w:rsid w:val="00F95105"/>
    <w:rsid w:val="00F96BBA"/>
    <w:rsid w:val="00FA4DAB"/>
    <w:rsid w:val="00FA5B89"/>
    <w:rsid w:val="00FB1BA1"/>
    <w:rsid w:val="00FB1ECE"/>
    <w:rsid w:val="00FB22BC"/>
    <w:rsid w:val="00FB4FFC"/>
    <w:rsid w:val="00FC7319"/>
    <w:rsid w:val="00FD7E3F"/>
    <w:rsid w:val="00FE529C"/>
    <w:rsid w:val="00FF1C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35A069"/>
  <w15:docId w15:val="{AFB14E50-8E3C-4AD8-AFD5-87BAB7B6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paragraph" w:styleId="Nadpis1">
    <w:name w:val="heading 1"/>
    <w:basedOn w:val="Normlny"/>
    <w:next w:val="Normlny"/>
    <w:link w:val="Nadpis1Char"/>
    <w:uiPriority w:val="9"/>
    <w:qFormat/>
    <w:rsid w:val="00DB65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310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E3109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F96BBA"/>
    <w:pPr>
      <w:numPr>
        <w:numId w:val="15"/>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F96BBA"/>
    <w:pPr>
      <w:numPr>
        <w:numId w:val="16"/>
      </w:numPr>
    </w:pPr>
  </w:style>
  <w:style w:type="paragraph" w:customStyle="1" w:styleId="CEABullet-Level3">
    <w:name w:val="CEA Bullet - Level 3"/>
    <w:basedOn w:val="Normlny"/>
    <w:qFormat/>
    <w:rsid w:val="00F96BBA"/>
    <w:pPr>
      <w:numPr>
        <w:numId w:val="17"/>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character" w:customStyle="1" w:styleId="Nadpis1Char">
    <w:name w:val="Nadpis 1 Char"/>
    <w:basedOn w:val="Predvolenpsmoodseku"/>
    <w:link w:val="Nadpis1"/>
    <w:uiPriority w:val="9"/>
    <w:rsid w:val="00DB65A5"/>
    <w:rPr>
      <w:rFonts w:asciiTheme="majorHAnsi" w:eastAsiaTheme="majorEastAsia" w:hAnsiTheme="majorHAnsi" w:cstheme="majorBidi"/>
      <w:color w:val="365F91" w:themeColor="accent1" w:themeShade="BF"/>
      <w:sz w:val="32"/>
      <w:szCs w:val="32"/>
      <w:lang w:val="en-GB"/>
    </w:rPr>
  </w:style>
  <w:style w:type="character" w:customStyle="1" w:styleId="Nadpis2Char">
    <w:name w:val="Nadpis 2 Char"/>
    <w:basedOn w:val="Predvolenpsmoodseku"/>
    <w:link w:val="Nadpis2"/>
    <w:uiPriority w:val="9"/>
    <w:rsid w:val="00E31091"/>
    <w:rPr>
      <w:rFonts w:asciiTheme="majorHAnsi" w:eastAsiaTheme="majorEastAsia" w:hAnsiTheme="majorHAnsi" w:cstheme="majorBidi"/>
      <w:color w:val="365F91" w:themeColor="accent1" w:themeShade="BF"/>
      <w:sz w:val="26"/>
      <w:szCs w:val="26"/>
      <w:lang w:val="en-GB"/>
    </w:rPr>
  </w:style>
  <w:style w:type="character" w:customStyle="1" w:styleId="Nadpis3Char">
    <w:name w:val="Nadpis 3 Char"/>
    <w:basedOn w:val="Predvolenpsmoodseku"/>
    <w:link w:val="Nadpis3"/>
    <w:uiPriority w:val="9"/>
    <w:rsid w:val="00E31091"/>
    <w:rPr>
      <w:rFonts w:asciiTheme="majorHAnsi" w:eastAsiaTheme="majorEastAsia" w:hAnsiTheme="majorHAnsi" w:cstheme="majorBidi"/>
      <w:color w:val="243F60" w:themeColor="accent1" w:themeShade="7F"/>
      <w:sz w:val="24"/>
      <w:szCs w:val="24"/>
      <w:lang w:val="en-GB"/>
    </w:rPr>
  </w:style>
  <w:style w:type="paragraph" w:styleId="Odsekzoznamu">
    <w:name w:val="List Paragraph"/>
    <w:basedOn w:val="Normlny"/>
    <w:uiPriority w:val="34"/>
    <w:qFormat/>
    <w:rsid w:val="00301F29"/>
    <w:pPr>
      <w:ind w:left="720"/>
      <w:contextualSpacing/>
    </w:pPr>
  </w:style>
  <w:style w:type="paragraph" w:customStyle="1" w:styleId="Default">
    <w:name w:val="Default"/>
    <w:rsid w:val="0015541B"/>
    <w:pPr>
      <w:autoSpaceDE w:val="0"/>
      <w:autoSpaceDN w:val="0"/>
      <w:adjustRightInd w:val="0"/>
      <w:spacing w:after="0" w:line="240" w:lineRule="auto"/>
    </w:pPr>
    <w:rPr>
      <w:rFonts w:ascii="TimesNewRomanPS-ItalicMT" w:hAnsi="TimesNewRomanPS-ItalicMT" w:cs="TimesNewRomanPS-ItalicMT"/>
      <w:color w:val="000000"/>
      <w:sz w:val="24"/>
      <w:szCs w:val="24"/>
    </w:rPr>
  </w:style>
  <w:style w:type="character" w:styleId="Odkaznakomentr">
    <w:name w:val="annotation reference"/>
    <w:basedOn w:val="Predvolenpsmoodseku"/>
    <w:uiPriority w:val="99"/>
    <w:semiHidden/>
    <w:unhideWhenUsed/>
    <w:rsid w:val="00847FAB"/>
    <w:rPr>
      <w:sz w:val="16"/>
      <w:szCs w:val="16"/>
    </w:rPr>
  </w:style>
  <w:style w:type="paragraph" w:styleId="Textkomentra">
    <w:name w:val="annotation text"/>
    <w:basedOn w:val="Normlny"/>
    <w:link w:val="TextkomentraChar"/>
    <w:uiPriority w:val="99"/>
    <w:semiHidden/>
    <w:unhideWhenUsed/>
    <w:rsid w:val="00847FAB"/>
    <w:pPr>
      <w:spacing w:line="240" w:lineRule="auto"/>
    </w:pPr>
    <w:rPr>
      <w:sz w:val="20"/>
      <w:szCs w:val="20"/>
    </w:rPr>
  </w:style>
  <w:style w:type="character" w:customStyle="1" w:styleId="TextkomentraChar">
    <w:name w:val="Text komentára Char"/>
    <w:basedOn w:val="Predvolenpsmoodseku"/>
    <w:link w:val="Textkomentra"/>
    <w:uiPriority w:val="99"/>
    <w:semiHidden/>
    <w:rsid w:val="00847FAB"/>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847FAB"/>
    <w:rPr>
      <w:b/>
      <w:bCs/>
    </w:rPr>
  </w:style>
  <w:style w:type="character" w:customStyle="1" w:styleId="PredmetkomentraChar">
    <w:name w:val="Predmet komentára Char"/>
    <w:basedOn w:val="TextkomentraChar"/>
    <w:link w:val="Predmetkomentra"/>
    <w:uiPriority w:val="99"/>
    <w:semiHidden/>
    <w:rsid w:val="00847FAB"/>
    <w:rPr>
      <w:rFonts w:ascii="Verdana" w:eastAsia="Times New Roman" w:hAnsi="Verdana" w:cs="Times New Roman"/>
      <w:b/>
      <w:bCs/>
      <w:sz w:val="20"/>
      <w:szCs w:val="20"/>
      <w:lang w:val="en-GB"/>
    </w:rPr>
  </w:style>
  <w:style w:type="paragraph" w:styleId="Textpoznmkypodiarou">
    <w:name w:val="footnote text"/>
    <w:basedOn w:val="Normlny"/>
    <w:link w:val="TextpoznmkypodiarouChar"/>
    <w:uiPriority w:val="99"/>
    <w:semiHidden/>
    <w:unhideWhenUsed/>
    <w:rsid w:val="00F9172C"/>
    <w:pPr>
      <w:spacing w:line="240" w:lineRule="auto"/>
      <w:jc w:val="left"/>
    </w:pPr>
    <w:rPr>
      <w:rFonts w:ascii="OP Chevin Pro Light" w:eastAsiaTheme="minorHAnsi" w:hAnsi="OP Chevin Pro Light" w:cs="Arial"/>
      <w:sz w:val="20"/>
      <w:szCs w:val="20"/>
      <w:lang w:val="fi-FI"/>
    </w:rPr>
  </w:style>
  <w:style w:type="character" w:customStyle="1" w:styleId="TextpoznmkypodiarouChar">
    <w:name w:val="Text poznámky pod čiarou Char"/>
    <w:basedOn w:val="Predvolenpsmoodseku"/>
    <w:link w:val="Textpoznmkypodiarou"/>
    <w:uiPriority w:val="99"/>
    <w:semiHidden/>
    <w:rsid w:val="00F9172C"/>
    <w:rPr>
      <w:rFonts w:ascii="OP Chevin Pro Light" w:hAnsi="OP Chevin Pro Light" w:cs="Arial"/>
      <w:sz w:val="20"/>
      <w:szCs w:val="20"/>
      <w:lang w:val="fi-FI"/>
    </w:rPr>
  </w:style>
  <w:style w:type="character" w:styleId="Odkaznapoznmkupodiarou">
    <w:name w:val="footnote reference"/>
    <w:basedOn w:val="Predvolenpsmoodseku"/>
    <w:uiPriority w:val="99"/>
    <w:semiHidden/>
    <w:unhideWhenUsed/>
    <w:rsid w:val="00F91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16402">
      <w:bodyDiv w:val="1"/>
      <w:marLeft w:val="0"/>
      <w:marRight w:val="0"/>
      <w:marTop w:val="0"/>
      <w:marBottom w:val="0"/>
      <w:divBdr>
        <w:top w:val="none" w:sz="0" w:space="0" w:color="auto"/>
        <w:left w:val="none" w:sz="0" w:space="0" w:color="auto"/>
        <w:bottom w:val="none" w:sz="0" w:space="0" w:color="auto"/>
        <w:right w:val="none" w:sz="0" w:space="0" w:color="auto"/>
      </w:divBdr>
    </w:div>
    <w:div w:id="994069560">
      <w:bodyDiv w:val="1"/>
      <w:marLeft w:val="0"/>
      <w:marRight w:val="0"/>
      <w:marTop w:val="0"/>
      <w:marBottom w:val="0"/>
      <w:divBdr>
        <w:top w:val="none" w:sz="0" w:space="0" w:color="auto"/>
        <w:left w:val="none" w:sz="0" w:space="0" w:color="auto"/>
        <w:bottom w:val="none" w:sz="0" w:space="0" w:color="auto"/>
        <w:right w:val="none" w:sz="0" w:space="0" w:color="auto"/>
      </w:divBdr>
    </w:div>
    <w:div w:id="1198008059">
      <w:bodyDiv w:val="1"/>
      <w:marLeft w:val="0"/>
      <w:marRight w:val="0"/>
      <w:marTop w:val="0"/>
      <w:marBottom w:val="0"/>
      <w:divBdr>
        <w:top w:val="none" w:sz="0" w:space="0" w:color="auto"/>
        <w:left w:val="none" w:sz="0" w:space="0" w:color="auto"/>
        <w:bottom w:val="none" w:sz="0" w:space="0" w:color="auto"/>
        <w:right w:val="none" w:sz="0" w:space="0" w:color="auto"/>
      </w:divBdr>
    </w:div>
    <w:div w:id="1305085514">
      <w:bodyDiv w:val="1"/>
      <w:marLeft w:val="0"/>
      <w:marRight w:val="0"/>
      <w:marTop w:val="0"/>
      <w:marBottom w:val="0"/>
      <w:divBdr>
        <w:top w:val="none" w:sz="0" w:space="0" w:color="auto"/>
        <w:left w:val="none" w:sz="0" w:space="0" w:color="auto"/>
        <w:bottom w:val="none" w:sz="0" w:space="0" w:color="auto"/>
        <w:right w:val="none" w:sz="0" w:space="0" w:color="auto"/>
      </w:divBdr>
    </w:div>
    <w:div w:id="17728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2" ma:contentTypeDescription="Published Documents Content types for Insurance Europe" ma:contentTypeScope="" ma:versionID="684735056240bbc18f54e74bba908b1f">
  <xsd:schema xmlns:xsd="http://www.w3.org/2001/XMLSchema" xmlns:xs="http://www.w3.org/2001/XMLSchema" xmlns:p="http://schemas.microsoft.com/office/2006/metadata/properties" xmlns:ns2="d352728d-c7aa-455d-bd83-40fe44122be8" targetNamespace="http://schemas.microsoft.com/office/2006/metadata/properties" ma:root="true" ma:fieldsID="7318338eec0ffa23ad0f6e13c74328bf"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7A0EA-14CF-4487-AFCD-561CDD8E319F}">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352728d-c7aa-455d-bd83-40fe44122be8"/>
    <ds:schemaRef ds:uri="http://www.w3.org/XML/1998/namespace"/>
    <ds:schemaRef ds:uri="http://purl.org/dc/elements/1.1/"/>
  </ds:schemaRefs>
</ds:datastoreItem>
</file>

<file path=customXml/itemProps2.xml><?xml version="1.0" encoding="utf-8"?>
<ds:datastoreItem xmlns:ds="http://schemas.openxmlformats.org/officeDocument/2006/customXml" ds:itemID="{E77ED9D9-C4A0-45F8-96B1-11A166152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E8496-0FDC-4718-A413-EA00469A5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1701</Words>
  <Characters>9701</Characters>
  <Application>Microsoft Office Word</Application>
  <DocSecurity>4</DocSecurity>
  <Lines>80</Lines>
  <Paragraphs>22</Paragraphs>
  <ScaleCrop>false</ScaleCrop>
  <Company>Insurance Europe</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priorities for changes to the first draft of the French Presidency overall compromise approach</dc:title>
  <dc:subject/>
  <dc:creator>Insurance Europe</dc:creator>
  <cp:keywords/>
  <cp:lastModifiedBy>jozef.bachnicek</cp:lastModifiedBy>
  <cp:revision>2</cp:revision>
  <dcterms:created xsi:type="dcterms:W3CDTF">2022-05-02T07:51:00Z</dcterms:created>
  <dcterms:modified xsi:type="dcterms:W3CDTF">2022-05-02T07:51:00Z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ies>
</file>