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35" w:rsidRPr="00EF629C" w:rsidRDefault="00CE7735" w:rsidP="00CE7735">
      <w:pPr>
        <w:spacing w:before="60" w:after="60" w:line="240" w:lineRule="auto"/>
        <w:jc w:val="center"/>
        <w:rPr>
          <w:b/>
          <w:szCs w:val="17"/>
        </w:rPr>
      </w:pPr>
      <w:r w:rsidRPr="00EF629C">
        <w:rPr>
          <w:b/>
          <w:szCs w:val="17"/>
        </w:rPr>
        <w:t>Insurance Europe’s comments on</w:t>
      </w:r>
    </w:p>
    <w:p w:rsidR="00CE7735" w:rsidRPr="00EF629C" w:rsidRDefault="00CE7735" w:rsidP="00CE7735">
      <w:pPr>
        <w:spacing w:before="60" w:after="60" w:line="240" w:lineRule="auto"/>
        <w:jc w:val="center"/>
        <w:rPr>
          <w:szCs w:val="17"/>
        </w:rPr>
      </w:pPr>
      <w:proofErr w:type="gramStart"/>
      <w:r w:rsidRPr="00EF629C">
        <w:rPr>
          <w:szCs w:val="17"/>
        </w:rPr>
        <w:t>the</w:t>
      </w:r>
      <w:proofErr w:type="gramEnd"/>
      <w:r w:rsidRPr="00EF629C">
        <w:rPr>
          <w:szCs w:val="17"/>
        </w:rPr>
        <w:t xml:space="preserve"> amendments (</w:t>
      </w:r>
      <w:r w:rsidR="004140EB">
        <w:rPr>
          <w:szCs w:val="17"/>
        </w:rPr>
        <w:t>v</w:t>
      </w:r>
      <w:r w:rsidRPr="00EF629C">
        <w:rPr>
          <w:szCs w:val="17"/>
        </w:rPr>
        <w:t>ersion</w:t>
      </w:r>
      <w:r w:rsidR="00316E19" w:rsidRPr="00EF629C">
        <w:rPr>
          <w:szCs w:val="17"/>
        </w:rPr>
        <w:t xml:space="preserve"> </w:t>
      </w:r>
      <w:r w:rsidR="008928BB" w:rsidRPr="00EF629C">
        <w:rPr>
          <w:szCs w:val="17"/>
        </w:rPr>
        <w:t xml:space="preserve">of </w:t>
      </w:r>
      <w:r w:rsidR="00F923DA">
        <w:rPr>
          <w:szCs w:val="17"/>
        </w:rPr>
        <w:t>3</w:t>
      </w:r>
      <w:r w:rsidR="00022DFF">
        <w:rPr>
          <w:szCs w:val="17"/>
        </w:rPr>
        <w:t>1</w:t>
      </w:r>
      <w:r w:rsidR="008928BB" w:rsidRPr="00EF629C">
        <w:rPr>
          <w:szCs w:val="17"/>
        </w:rPr>
        <w:t xml:space="preserve"> January 2013</w:t>
      </w:r>
      <w:r w:rsidRPr="00EF629C">
        <w:rPr>
          <w:szCs w:val="17"/>
        </w:rPr>
        <w:t xml:space="preserve">) to </w:t>
      </w:r>
      <w:r w:rsidR="00316E19" w:rsidRPr="00EF629C">
        <w:rPr>
          <w:szCs w:val="17"/>
        </w:rPr>
        <w:t xml:space="preserve">the </w:t>
      </w:r>
      <w:r w:rsidR="00022DFF">
        <w:rPr>
          <w:szCs w:val="17"/>
        </w:rPr>
        <w:t>European Parliament</w:t>
      </w:r>
      <w:r w:rsidR="00316E19" w:rsidRPr="00EF629C">
        <w:rPr>
          <w:szCs w:val="17"/>
        </w:rPr>
        <w:t xml:space="preserve"> </w:t>
      </w:r>
      <w:r w:rsidR="00F923DA">
        <w:rPr>
          <w:szCs w:val="17"/>
        </w:rPr>
        <w:t xml:space="preserve">IMCO </w:t>
      </w:r>
      <w:r w:rsidR="00316E19" w:rsidRPr="00EF629C">
        <w:rPr>
          <w:szCs w:val="17"/>
        </w:rPr>
        <w:t>Committee’s</w:t>
      </w:r>
      <w:r w:rsidRPr="00EF629C">
        <w:rPr>
          <w:szCs w:val="17"/>
        </w:rPr>
        <w:t xml:space="preserve"> draft </w:t>
      </w:r>
      <w:r w:rsidR="00F923DA">
        <w:rPr>
          <w:szCs w:val="17"/>
        </w:rPr>
        <w:t>opinion</w:t>
      </w:r>
      <w:r w:rsidRPr="00EF629C">
        <w:rPr>
          <w:szCs w:val="17"/>
        </w:rPr>
        <w:t xml:space="preserve"> </w:t>
      </w:r>
    </w:p>
    <w:p w:rsidR="00CE7735" w:rsidRPr="00EF629C" w:rsidRDefault="00CE7735" w:rsidP="00CE7735">
      <w:pPr>
        <w:spacing w:before="60" w:after="60" w:line="240" w:lineRule="auto"/>
        <w:jc w:val="center"/>
        <w:rPr>
          <w:szCs w:val="17"/>
        </w:rPr>
      </w:pPr>
      <w:proofErr w:type="gramStart"/>
      <w:r w:rsidRPr="00EF629C">
        <w:rPr>
          <w:b/>
          <w:szCs w:val="17"/>
        </w:rPr>
        <w:t>on</w:t>
      </w:r>
      <w:proofErr w:type="gramEnd"/>
      <w:r w:rsidRPr="00EF629C">
        <w:rPr>
          <w:b/>
          <w:szCs w:val="17"/>
        </w:rPr>
        <w:t xml:space="preserve"> </w:t>
      </w:r>
      <w:r w:rsidR="00F923DA">
        <w:rPr>
          <w:b/>
          <w:szCs w:val="17"/>
        </w:rPr>
        <w:t xml:space="preserve">the proposal for a </w:t>
      </w:r>
      <w:r w:rsidR="00022DFF">
        <w:rPr>
          <w:b/>
          <w:szCs w:val="17"/>
        </w:rPr>
        <w:t>regulation of the European Parliament and of the Council on key information documents for investment products</w:t>
      </w:r>
    </w:p>
    <w:p w:rsidR="00CE7735" w:rsidRPr="00EF629C" w:rsidRDefault="00CE7735" w:rsidP="00CE7735">
      <w:pPr>
        <w:spacing w:before="60" w:after="120" w:line="240" w:lineRule="auto"/>
        <w:jc w:val="center"/>
        <w:rPr>
          <w:i/>
          <w:szCs w:val="17"/>
        </w:rPr>
      </w:pPr>
      <w:proofErr w:type="spellStart"/>
      <w:r w:rsidRPr="00EF629C">
        <w:rPr>
          <w:i/>
          <w:szCs w:val="17"/>
        </w:rPr>
        <w:t>Rapporteur</w:t>
      </w:r>
      <w:proofErr w:type="spellEnd"/>
      <w:r w:rsidRPr="00EF629C">
        <w:rPr>
          <w:i/>
          <w:szCs w:val="17"/>
        </w:rPr>
        <w:t xml:space="preserve">: </w:t>
      </w:r>
      <w:r w:rsidR="00022DFF">
        <w:rPr>
          <w:i/>
          <w:szCs w:val="17"/>
        </w:rPr>
        <w:t xml:space="preserve">Pier Antonio </w:t>
      </w:r>
      <w:proofErr w:type="spellStart"/>
      <w:r w:rsidR="00022DFF">
        <w:rPr>
          <w:i/>
          <w:szCs w:val="17"/>
        </w:rPr>
        <w:t>Panzeri</w:t>
      </w:r>
      <w:proofErr w:type="spellEnd"/>
    </w:p>
    <w:p w:rsidR="00CE7735" w:rsidRPr="00EF629C" w:rsidRDefault="00CE7735" w:rsidP="00CE7735">
      <w:pPr>
        <w:spacing w:before="60" w:after="120" w:line="240" w:lineRule="auto"/>
        <w:jc w:val="center"/>
        <w:rPr>
          <w:i/>
          <w:szCs w:val="17"/>
        </w:rPr>
      </w:pPr>
    </w:p>
    <w:tbl>
      <w:tblPr>
        <w:tblW w:w="16020" w:type="dxa"/>
        <w:tblInd w:w="-1877" w:type="dxa"/>
        <w:tblBorders>
          <w:top w:val="dotDash" w:sz="4" w:space="0" w:color="BFBFBF"/>
          <w:left w:val="dotDash" w:sz="4" w:space="0" w:color="BFBFBF"/>
          <w:bottom w:val="dotDash" w:sz="4" w:space="0" w:color="BFBFBF"/>
          <w:right w:val="dotDash" w:sz="4" w:space="0" w:color="BFBFBF"/>
        </w:tblBorders>
        <w:tblLayout w:type="fixed"/>
        <w:tblLook w:val="04A0"/>
      </w:tblPr>
      <w:tblGrid>
        <w:gridCol w:w="1701"/>
        <w:gridCol w:w="1560"/>
        <w:gridCol w:w="2552"/>
        <w:gridCol w:w="10207"/>
      </w:tblGrid>
      <w:tr w:rsidR="00CE7735" w:rsidRPr="00EF629C" w:rsidTr="006E3FB7">
        <w:trPr>
          <w:cantSplit/>
          <w:trHeight w:val="936"/>
          <w:tblHeader/>
        </w:trPr>
        <w:tc>
          <w:tcPr>
            <w:tcW w:w="170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8928BB" w:rsidP="007D6220">
            <w:pPr>
              <w:spacing w:before="60" w:after="60"/>
              <w:jc w:val="center"/>
              <w:rPr>
                <w:b/>
                <w:i/>
                <w:szCs w:val="17"/>
              </w:rPr>
            </w:pPr>
            <w:r w:rsidRPr="00EF629C">
              <w:rPr>
                <w:b/>
                <w:i/>
                <w:szCs w:val="17"/>
              </w:rPr>
              <w:t>Amendments</w:t>
            </w:r>
          </w:p>
        </w:tc>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CE7735" w:rsidP="007D6220">
            <w:pPr>
              <w:spacing w:before="60" w:after="60"/>
              <w:jc w:val="center"/>
              <w:rPr>
                <w:b/>
                <w:i/>
                <w:szCs w:val="17"/>
              </w:rPr>
            </w:pPr>
            <w:r w:rsidRPr="00EF629C">
              <w:rPr>
                <w:b/>
                <w:i/>
                <w:szCs w:val="17"/>
              </w:rPr>
              <w:t>Covering</w:t>
            </w:r>
          </w:p>
        </w:tc>
        <w:tc>
          <w:tcPr>
            <w:tcW w:w="255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CE7735" w:rsidP="007D6220">
            <w:pPr>
              <w:spacing w:before="60" w:after="60"/>
              <w:jc w:val="center"/>
              <w:rPr>
                <w:b/>
                <w:i/>
                <w:szCs w:val="17"/>
              </w:rPr>
            </w:pPr>
            <w:r w:rsidRPr="00EF629C">
              <w:rPr>
                <w:b/>
                <w:i/>
                <w:szCs w:val="17"/>
              </w:rPr>
              <w:t>Author</w:t>
            </w:r>
          </w:p>
        </w:tc>
        <w:tc>
          <w:tcPr>
            <w:tcW w:w="1020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CE7735" w:rsidP="007D6220">
            <w:pPr>
              <w:spacing w:before="60" w:after="60"/>
              <w:jc w:val="center"/>
              <w:rPr>
                <w:b/>
                <w:i/>
                <w:szCs w:val="17"/>
              </w:rPr>
            </w:pPr>
            <w:r w:rsidRPr="00EF629C">
              <w:rPr>
                <w:b/>
                <w:i/>
                <w:szCs w:val="17"/>
              </w:rPr>
              <w:t>Insurance Europe’s comments</w:t>
            </w:r>
          </w:p>
        </w:tc>
      </w:tr>
      <w:tr w:rsidR="00FB6631" w:rsidRPr="00EF629C" w:rsidTr="00022DF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FB6631" w:rsidRPr="00022DFF" w:rsidRDefault="000D47D8" w:rsidP="00E74FAE">
            <w:pPr>
              <w:spacing w:before="60" w:after="60"/>
              <w:jc w:val="center"/>
              <w:rPr>
                <w:b/>
                <w:szCs w:val="17"/>
                <w:lang w:val="nl-BE"/>
              </w:rPr>
            </w:pPr>
            <w:r>
              <w:rPr>
                <w:b/>
                <w:szCs w:val="17"/>
                <w:lang w:val="nl-BE"/>
              </w:rPr>
              <w:t>AMT27-29</w:t>
            </w:r>
            <w:r w:rsidR="00022DFF">
              <w:rPr>
                <w:b/>
                <w:szCs w:val="17"/>
                <w:lang w:val="nl-BE"/>
              </w:rPr>
              <w:t>, AMT44</w:t>
            </w:r>
            <w:r w:rsidR="00BB5CF1">
              <w:rPr>
                <w:b/>
                <w:szCs w:val="17"/>
                <w:lang w:val="nl-BE"/>
              </w:rPr>
              <w:t>-45</w:t>
            </w:r>
          </w:p>
        </w:tc>
        <w:tc>
          <w:tcPr>
            <w:tcW w:w="1560" w:type="dxa"/>
            <w:tcBorders>
              <w:top w:val="single" w:sz="4" w:space="0" w:color="auto"/>
              <w:left w:val="single" w:sz="4" w:space="0" w:color="auto"/>
              <w:bottom w:val="single" w:sz="4" w:space="0" w:color="auto"/>
              <w:right w:val="single" w:sz="4" w:space="0" w:color="auto"/>
            </w:tcBorders>
            <w:vAlign w:val="center"/>
          </w:tcPr>
          <w:p w:rsidR="00FB6631" w:rsidRPr="00BB5CF1" w:rsidRDefault="00022DFF" w:rsidP="00E74FAE">
            <w:pPr>
              <w:spacing w:before="60" w:after="60"/>
              <w:jc w:val="center"/>
              <w:rPr>
                <w:lang w:val="fr-FR"/>
              </w:rPr>
            </w:pPr>
            <w:r w:rsidRPr="00BB5CF1">
              <w:rPr>
                <w:lang w:val="fr-FR"/>
              </w:rPr>
              <w:t xml:space="preserve">Recital 6, Recital 7, Article 2-para.2,  </w:t>
            </w:r>
            <w:r w:rsidR="00BB5CF1" w:rsidRPr="00BB5CF1">
              <w:rPr>
                <w:lang w:val="fr-FR"/>
              </w:rPr>
              <w:t>Article 2-para.2-point f</w:t>
            </w:r>
          </w:p>
        </w:tc>
        <w:tc>
          <w:tcPr>
            <w:tcW w:w="2552" w:type="dxa"/>
            <w:tcBorders>
              <w:top w:val="single" w:sz="4" w:space="0" w:color="auto"/>
              <w:left w:val="single" w:sz="4" w:space="0" w:color="auto"/>
              <w:bottom w:val="single" w:sz="4" w:space="0" w:color="auto"/>
              <w:right w:val="single" w:sz="4" w:space="0" w:color="auto"/>
            </w:tcBorders>
            <w:vAlign w:val="center"/>
          </w:tcPr>
          <w:p w:rsidR="00FB6631" w:rsidRPr="006D1113" w:rsidRDefault="006D1113" w:rsidP="00E74FAE">
            <w:pPr>
              <w:spacing w:before="60" w:after="60"/>
              <w:jc w:val="center"/>
              <w:rPr>
                <w:i/>
                <w:szCs w:val="17"/>
                <w:lang w:val="nl-BE"/>
              </w:rPr>
            </w:pPr>
            <w:r w:rsidRPr="006D1113">
              <w:rPr>
                <w:i/>
                <w:szCs w:val="17"/>
                <w:lang w:val="nl-BE"/>
              </w:rPr>
              <w:t>Thomas Händel, Pier Antonio Panzeri</w:t>
            </w:r>
            <w:r>
              <w:rPr>
                <w:i/>
                <w:szCs w:val="17"/>
                <w:lang w:val="nl-BE"/>
              </w:rPr>
              <w:t>, Olle Schmidt</w:t>
            </w:r>
          </w:p>
          <w:p w:rsidR="000D47D8" w:rsidRPr="006D1113" w:rsidRDefault="000D47D8" w:rsidP="00E74FAE">
            <w:pPr>
              <w:spacing w:before="60" w:after="60"/>
              <w:jc w:val="center"/>
              <w:rPr>
                <w:i/>
                <w:szCs w:val="17"/>
                <w:lang w:val="nl-BE"/>
              </w:rPr>
            </w:pPr>
          </w:p>
        </w:tc>
        <w:tc>
          <w:tcPr>
            <w:tcW w:w="10207" w:type="dxa"/>
            <w:tcBorders>
              <w:top w:val="single" w:sz="4" w:space="0" w:color="auto"/>
              <w:left w:val="single" w:sz="4" w:space="0" w:color="auto"/>
              <w:bottom w:val="single" w:sz="4" w:space="0" w:color="auto"/>
              <w:right w:val="single" w:sz="4" w:space="0" w:color="auto"/>
            </w:tcBorders>
          </w:tcPr>
          <w:p w:rsidR="00AE544A" w:rsidRDefault="00022DFF" w:rsidP="00645068">
            <w:pPr>
              <w:pStyle w:val="CEABullet-Level1"/>
              <w:numPr>
                <w:ilvl w:val="0"/>
                <w:numId w:val="0"/>
              </w:numPr>
              <w:rPr>
                <w:lang w:val="en-GB"/>
              </w:rPr>
            </w:pPr>
            <w:r w:rsidRPr="000D47D8">
              <w:rPr>
                <w:lang w:val="en-GB"/>
              </w:rPr>
              <w:t xml:space="preserve">Insurance Europe opposes </w:t>
            </w:r>
            <w:r w:rsidR="006461E4" w:rsidRPr="000D47D8">
              <w:rPr>
                <w:lang w:val="en-GB"/>
              </w:rPr>
              <w:t xml:space="preserve">amendments </w:t>
            </w:r>
            <w:r w:rsidR="007C4C35">
              <w:rPr>
                <w:lang w:val="en-GB"/>
              </w:rPr>
              <w:t xml:space="preserve">to expand </w:t>
            </w:r>
            <w:r w:rsidR="006461E4" w:rsidRPr="000D47D8">
              <w:rPr>
                <w:lang w:val="en-GB"/>
              </w:rPr>
              <w:t>the scope of the PRIPs regula</w:t>
            </w:r>
            <w:r w:rsidR="000D47D8" w:rsidRPr="000D47D8">
              <w:rPr>
                <w:lang w:val="en-GB"/>
              </w:rPr>
              <w:t xml:space="preserve">tion. </w:t>
            </w:r>
            <w:r w:rsidR="007C4C35">
              <w:rPr>
                <w:lang w:val="en-GB"/>
              </w:rPr>
              <w:t>Expanding</w:t>
            </w:r>
            <w:r w:rsidR="000D47D8" w:rsidRPr="000D47D8">
              <w:rPr>
                <w:lang w:val="en-GB"/>
              </w:rPr>
              <w:t xml:space="preserve"> the scope </w:t>
            </w:r>
            <w:r w:rsidR="007C4C35">
              <w:rPr>
                <w:lang w:val="en-GB"/>
              </w:rPr>
              <w:t>will only reduce the ability to develop a meaningful, useful and comparable</w:t>
            </w:r>
            <w:r w:rsidR="000D47D8" w:rsidRPr="000D47D8">
              <w:rPr>
                <w:lang w:val="en-GB"/>
              </w:rPr>
              <w:t xml:space="preserve"> information document for consumers. This regulation </w:t>
            </w:r>
            <w:r w:rsidR="007C4C35">
              <w:rPr>
                <w:lang w:val="en-GB"/>
              </w:rPr>
              <w:t>needs to focus on</w:t>
            </w:r>
            <w:r w:rsidR="000D47D8" w:rsidRPr="000D47D8">
              <w:rPr>
                <w:lang w:val="en-GB"/>
              </w:rPr>
              <w:t xml:space="preserve"> packaged retail products</w:t>
            </w:r>
            <w:r w:rsidR="007C4C35">
              <w:rPr>
                <w:lang w:val="en-GB"/>
              </w:rPr>
              <w:t xml:space="preserve"> and </w:t>
            </w:r>
            <w:r w:rsidR="000D47D8" w:rsidRPr="000D47D8">
              <w:rPr>
                <w:lang w:val="en-GB"/>
              </w:rPr>
              <w:t>other products</w:t>
            </w:r>
            <w:r w:rsidR="007C4C35">
              <w:rPr>
                <w:lang w:val="en-GB"/>
              </w:rPr>
              <w:t>, such as certain life insurance products and pensions,</w:t>
            </w:r>
            <w:r w:rsidR="000D47D8" w:rsidRPr="000D47D8">
              <w:rPr>
                <w:lang w:val="en-GB"/>
              </w:rPr>
              <w:t xml:space="preserve"> should not be forced within the untailored scope of PRIPs. </w:t>
            </w:r>
            <w:r w:rsidR="00E77E2F">
              <w:rPr>
                <w:lang w:val="en-GB"/>
              </w:rPr>
              <w:t>For life insurance products where the policyholder does not bear the investment risk (</w:t>
            </w:r>
            <w:proofErr w:type="spellStart"/>
            <w:r w:rsidR="00E77E2F">
              <w:rPr>
                <w:lang w:val="en-GB"/>
              </w:rPr>
              <w:t>ie</w:t>
            </w:r>
            <w:proofErr w:type="spellEnd"/>
            <w:r w:rsidR="00E77E2F">
              <w:rPr>
                <w:lang w:val="en-GB"/>
              </w:rPr>
              <w:t xml:space="preserve"> products limited to profit sharing and/or a minimum guarantee), there is no real investment and/or packaging element. Pension products are not comparable with investment products because, unlike PRIPs, (</w:t>
            </w:r>
            <w:proofErr w:type="spellStart"/>
            <w:r w:rsidR="00E77E2F">
              <w:rPr>
                <w:lang w:val="en-GB"/>
              </w:rPr>
              <w:t>i</w:t>
            </w:r>
            <w:proofErr w:type="spellEnd"/>
            <w:r w:rsidR="00E77E2F">
              <w:rPr>
                <w:lang w:val="en-GB"/>
              </w:rPr>
              <w:t xml:space="preserve">) </w:t>
            </w:r>
            <w:r w:rsidR="006D1113">
              <w:rPr>
                <w:lang w:val="en-GB"/>
              </w:rPr>
              <w:t xml:space="preserve">they </w:t>
            </w:r>
            <w:r w:rsidR="00E77E2F">
              <w:rPr>
                <w:lang w:val="en-GB"/>
              </w:rPr>
              <w:t xml:space="preserve">are a type of savings product which must provide an income for retirement, and (ii) </w:t>
            </w:r>
            <w:r w:rsidR="006D1113">
              <w:rPr>
                <w:lang w:val="en-GB"/>
              </w:rPr>
              <w:t xml:space="preserve">they </w:t>
            </w:r>
            <w:r w:rsidR="00E77E2F">
              <w:rPr>
                <w:lang w:val="en-GB"/>
              </w:rPr>
              <w:t xml:space="preserve">offer limited or no access to these savings during the accumulation phase. </w:t>
            </w:r>
            <w:r w:rsidR="00E02734">
              <w:rPr>
                <w:lang w:val="en-GB"/>
              </w:rPr>
              <w:t xml:space="preserve">Furthermore, </w:t>
            </w:r>
            <w:r w:rsidR="00CB3C87" w:rsidRPr="00CB3C87">
              <w:rPr>
                <w:highlight w:val="yellow"/>
                <w:lang w:val="en-GB"/>
              </w:rPr>
              <w:t xml:space="preserve">occupational pension </w:t>
            </w:r>
            <w:proofErr w:type="gramStart"/>
            <w:r w:rsidR="00CB3C87" w:rsidRPr="00CB3C87">
              <w:rPr>
                <w:highlight w:val="yellow"/>
                <w:lang w:val="en-GB"/>
              </w:rPr>
              <w:t>products</w:t>
            </w:r>
            <w:r w:rsidR="00E02734">
              <w:rPr>
                <w:lang w:val="en-GB"/>
              </w:rPr>
              <w:t>,</w:t>
            </w:r>
            <w:proofErr w:type="gramEnd"/>
            <w:r w:rsidR="00E02734">
              <w:rPr>
                <w:lang w:val="en-GB"/>
              </w:rPr>
              <w:t xml:space="preserve"> relate to member states’ social and labour law and cannot be regarded as investment products</w:t>
            </w:r>
            <w:r w:rsidR="00CB3C87">
              <w:rPr>
                <w:lang w:val="en-GB"/>
              </w:rPr>
              <w:t xml:space="preserve">. </w:t>
            </w:r>
            <w:r w:rsidR="00CB3C87" w:rsidRPr="00CB3C87">
              <w:rPr>
                <w:highlight w:val="yellow"/>
                <w:lang w:val="en-GB"/>
              </w:rPr>
              <w:t>This is particularly the case where national law requires a contribution from the employer or where employers offer pension promises to their employees.</w:t>
            </w:r>
            <w:r w:rsidR="00CB3C87">
              <w:rPr>
                <w:lang w:val="en-GB"/>
              </w:rPr>
              <w:t xml:space="preserve"> </w:t>
            </w:r>
            <w:r w:rsidR="001B5C13">
              <w:rPr>
                <w:lang w:val="en-GB"/>
              </w:rPr>
              <w:t>Insurance Europe is especially concerned about AMT45 given schemes where the contribution is mandatory by national law</w:t>
            </w:r>
            <w:r w:rsidR="006D1113">
              <w:rPr>
                <w:lang w:val="en-GB"/>
              </w:rPr>
              <w:t>,</w:t>
            </w:r>
            <w:r w:rsidR="001B5C13">
              <w:rPr>
                <w:lang w:val="en-GB"/>
              </w:rPr>
              <w:t xml:space="preserve"> would no longer be excluded from the scope of PRIPs. </w:t>
            </w:r>
            <w:r w:rsidR="00E02734">
              <w:rPr>
                <w:lang w:val="en-GB"/>
              </w:rPr>
              <w:t xml:space="preserve"> </w:t>
            </w:r>
          </w:p>
          <w:p w:rsidR="00AE544A" w:rsidRDefault="00AE544A" w:rsidP="00645068">
            <w:pPr>
              <w:pStyle w:val="CEABullet-Level1"/>
              <w:numPr>
                <w:ilvl w:val="0"/>
                <w:numId w:val="0"/>
              </w:numPr>
              <w:rPr>
                <w:lang w:val="en-GB"/>
              </w:rPr>
            </w:pPr>
          </w:p>
          <w:p w:rsidR="000D47D8" w:rsidRPr="000D47D8" w:rsidRDefault="001B5C13" w:rsidP="00AE544A">
            <w:pPr>
              <w:pStyle w:val="CEABullet-Level1"/>
              <w:rPr>
                <w:lang w:val="en-GB"/>
              </w:rPr>
            </w:pPr>
            <w:r>
              <w:rPr>
                <w:lang w:val="en-GB"/>
              </w:rPr>
              <w:t xml:space="preserve"> </w:t>
            </w:r>
            <w:r w:rsidR="000D47D8" w:rsidRPr="000D47D8">
              <w:rPr>
                <w:lang w:val="en-GB"/>
              </w:rPr>
              <w:t>Insurance Europe opposes AMT27-29</w:t>
            </w:r>
            <w:r w:rsidR="00BB5CF1">
              <w:rPr>
                <w:lang w:val="en-GB"/>
              </w:rPr>
              <w:t xml:space="preserve"> and AMT44-45.</w:t>
            </w:r>
          </w:p>
        </w:tc>
      </w:tr>
      <w:tr w:rsidR="00DA529D" w:rsidRPr="007016EB" w:rsidTr="000E3B44">
        <w:trPr>
          <w:cantSplit/>
          <w:trHeight w:val="1199"/>
        </w:trPr>
        <w:tc>
          <w:tcPr>
            <w:tcW w:w="1701" w:type="dxa"/>
            <w:tcBorders>
              <w:top w:val="single" w:sz="4" w:space="0" w:color="auto"/>
              <w:left w:val="single" w:sz="4" w:space="0" w:color="auto"/>
              <w:bottom w:val="single" w:sz="4" w:space="0" w:color="auto"/>
              <w:right w:val="single" w:sz="4" w:space="0" w:color="auto"/>
            </w:tcBorders>
            <w:vAlign w:val="center"/>
          </w:tcPr>
          <w:p w:rsidR="00DA529D" w:rsidRDefault="00DA529D" w:rsidP="00BB5CF1">
            <w:pPr>
              <w:spacing w:before="60" w:after="60"/>
              <w:jc w:val="center"/>
              <w:rPr>
                <w:b/>
                <w:szCs w:val="17"/>
              </w:rPr>
            </w:pPr>
            <w:r>
              <w:rPr>
                <w:b/>
                <w:szCs w:val="17"/>
              </w:rPr>
              <w:t>AMT 30</w:t>
            </w:r>
            <w:r w:rsidR="004516AC">
              <w:rPr>
                <w:b/>
                <w:szCs w:val="17"/>
              </w:rPr>
              <w:t>, AMT49</w:t>
            </w:r>
          </w:p>
        </w:tc>
        <w:tc>
          <w:tcPr>
            <w:tcW w:w="1560" w:type="dxa"/>
            <w:tcBorders>
              <w:top w:val="single" w:sz="4" w:space="0" w:color="auto"/>
              <w:left w:val="single" w:sz="4" w:space="0" w:color="auto"/>
              <w:bottom w:val="single" w:sz="4" w:space="0" w:color="auto"/>
              <w:right w:val="single" w:sz="4" w:space="0" w:color="auto"/>
            </w:tcBorders>
            <w:vAlign w:val="center"/>
          </w:tcPr>
          <w:p w:rsidR="00DA529D" w:rsidRDefault="00DA529D" w:rsidP="00D110E1">
            <w:pPr>
              <w:spacing w:before="60" w:after="60"/>
              <w:jc w:val="center"/>
            </w:pPr>
            <w:r>
              <w:t>Recital 9</w:t>
            </w:r>
            <w:r w:rsidR="004516AC">
              <w:t>, Article 5-para.1</w:t>
            </w:r>
          </w:p>
        </w:tc>
        <w:tc>
          <w:tcPr>
            <w:tcW w:w="2552" w:type="dxa"/>
            <w:tcBorders>
              <w:top w:val="single" w:sz="4" w:space="0" w:color="auto"/>
              <w:left w:val="single" w:sz="4" w:space="0" w:color="auto"/>
              <w:bottom w:val="single" w:sz="4" w:space="0" w:color="auto"/>
              <w:right w:val="single" w:sz="4" w:space="0" w:color="auto"/>
            </w:tcBorders>
            <w:vAlign w:val="center"/>
          </w:tcPr>
          <w:p w:rsidR="00DA529D" w:rsidRPr="00BB5CF1" w:rsidRDefault="00DA529D" w:rsidP="00AE544A">
            <w:pPr>
              <w:spacing w:before="60" w:after="60"/>
              <w:jc w:val="center"/>
              <w:rPr>
                <w:i/>
                <w:szCs w:val="17"/>
              </w:rPr>
            </w:pPr>
            <w:r>
              <w:rPr>
                <w:i/>
                <w:szCs w:val="17"/>
              </w:rPr>
              <w:t xml:space="preserve">Thomas </w:t>
            </w:r>
            <w:proofErr w:type="spellStart"/>
            <w:r>
              <w:rPr>
                <w:i/>
                <w:szCs w:val="17"/>
              </w:rPr>
              <w:t>Händel</w:t>
            </w:r>
            <w:proofErr w:type="spellEnd"/>
            <w:r>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DA529D" w:rsidRDefault="004516AC" w:rsidP="006D79BF">
            <w:pPr>
              <w:pStyle w:val="CEABullet-Level1"/>
              <w:numPr>
                <w:ilvl w:val="0"/>
                <w:numId w:val="0"/>
              </w:numPr>
              <w:rPr>
                <w:lang w:val="en-GB"/>
              </w:rPr>
            </w:pPr>
            <w:r>
              <w:rPr>
                <w:lang w:val="en-GB"/>
              </w:rPr>
              <w:t>Insurance Europe opposes making KIDs available on the ECB website. Insurance Europe is concerned about the administrative burden</w:t>
            </w:r>
            <w:r w:rsidR="00B72EEB">
              <w:rPr>
                <w:lang w:val="en-GB"/>
              </w:rPr>
              <w:t>. Moreover, the information</w:t>
            </w:r>
            <w:r>
              <w:rPr>
                <w:lang w:val="en-GB"/>
              </w:rPr>
              <w:t xml:space="preserve"> for insurance products would be disclosed on a banking authority’s website </w:t>
            </w:r>
            <w:r w:rsidR="00B72EEB">
              <w:rPr>
                <w:lang w:val="en-GB"/>
              </w:rPr>
              <w:t>which does not seem most appropriate for these products</w:t>
            </w:r>
            <w:r>
              <w:rPr>
                <w:lang w:val="en-GB"/>
              </w:rPr>
              <w:t>.</w:t>
            </w:r>
          </w:p>
          <w:p w:rsidR="004516AC" w:rsidRDefault="004516AC" w:rsidP="006D79BF">
            <w:pPr>
              <w:pStyle w:val="CEABullet-Level1"/>
              <w:numPr>
                <w:ilvl w:val="0"/>
                <w:numId w:val="0"/>
              </w:numPr>
              <w:rPr>
                <w:lang w:val="en-GB"/>
              </w:rPr>
            </w:pPr>
          </w:p>
          <w:p w:rsidR="004516AC" w:rsidRPr="007016EB" w:rsidRDefault="004516AC" w:rsidP="004516AC">
            <w:pPr>
              <w:pStyle w:val="CEABullet-Level1"/>
              <w:rPr>
                <w:lang w:val="en-GB"/>
              </w:rPr>
            </w:pPr>
            <w:r>
              <w:rPr>
                <w:lang w:val="en-GB"/>
              </w:rPr>
              <w:t>Insurance Europe opposes AMT30 and AMT49.</w:t>
            </w:r>
          </w:p>
        </w:tc>
      </w:tr>
      <w:tr w:rsidR="00CD68AB" w:rsidRPr="006D1113" w:rsidTr="000E3B44">
        <w:trPr>
          <w:cantSplit/>
          <w:trHeight w:val="1368"/>
        </w:trPr>
        <w:tc>
          <w:tcPr>
            <w:tcW w:w="1701"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CD68AB">
            <w:pPr>
              <w:spacing w:before="60" w:after="60"/>
              <w:jc w:val="center"/>
              <w:rPr>
                <w:b/>
                <w:szCs w:val="17"/>
              </w:rPr>
            </w:pPr>
            <w:r>
              <w:rPr>
                <w:b/>
                <w:szCs w:val="17"/>
              </w:rPr>
              <w:t>AMT33, AMT50-51</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9C61A3">
            <w:pPr>
              <w:spacing w:before="60" w:after="60"/>
              <w:jc w:val="center"/>
            </w:pPr>
            <w:r>
              <w:t>Recital 12, Article 6-para.1</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6D1113" w:rsidRDefault="006D1113" w:rsidP="006D1113">
            <w:pPr>
              <w:spacing w:before="60" w:after="60"/>
              <w:jc w:val="center"/>
              <w:rPr>
                <w:i/>
                <w:szCs w:val="17"/>
                <w:lang w:val="nl-BE"/>
              </w:rPr>
            </w:pPr>
            <w:r w:rsidRPr="006D1113">
              <w:rPr>
                <w:i/>
                <w:szCs w:val="17"/>
                <w:lang w:val="nl-BE"/>
              </w:rPr>
              <w:t>Mitro Repo</w:t>
            </w:r>
            <w:r w:rsidR="00CD68AB" w:rsidRPr="006D1113">
              <w:rPr>
                <w:i/>
                <w:szCs w:val="17"/>
                <w:lang w:val="nl-BE"/>
              </w:rPr>
              <w:t xml:space="preserve">, Olle Schmidt </w:t>
            </w:r>
          </w:p>
        </w:tc>
        <w:tc>
          <w:tcPr>
            <w:tcW w:w="10207" w:type="dxa"/>
            <w:tcBorders>
              <w:top w:val="single" w:sz="4" w:space="0" w:color="auto"/>
              <w:left w:val="single" w:sz="4" w:space="0" w:color="auto"/>
              <w:bottom w:val="single" w:sz="4" w:space="0" w:color="auto"/>
              <w:right w:val="single" w:sz="4" w:space="0" w:color="auto"/>
            </w:tcBorders>
            <w:vAlign w:val="center"/>
          </w:tcPr>
          <w:p w:rsidR="00CD68AB" w:rsidRDefault="00CD68AB" w:rsidP="009C61A3">
            <w:pPr>
              <w:pStyle w:val="CEABullet-Level1"/>
              <w:numPr>
                <w:ilvl w:val="0"/>
                <w:numId w:val="0"/>
              </w:numPr>
              <w:rPr>
                <w:lang w:val="en-GB"/>
              </w:rPr>
            </w:pPr>
            <w:r>
              <w:rPr>
                <w:lang w:val="en-GB"/>
              </w:rPr>
              <w:t xml:space="preserve">Insurance Europe welcomes the clarification that the KID constitutes pre-contractual information for consumers before taking a purchase decision.  This creates legal certainty about the status of the KID and is also aligned with </w:t>
            </w:r>
            <w:r w:rsidR="006D1113">
              <w:rPr>
                <w:lang w:val="en-GB"/>
              </w:rPr>
              <w:t xml:space="preserve">the </w:t>
            </w:r>
            <w:r>
              <w:rPr>
                <w:lang w:val="en-GB"/>
              </w:rPr>
              <w:t>UCITS</w:t>
            </w:r>
            <w:r w:rsidR="006D1113">
              <w:rPr>
                <w:lang w:val="en-GB"/>
              </w:rPr>
              <w:t xml:space="preserve"> Directive</w:t>
            </w:r>
            <w:r>
              <w:rPr>
                <w:lang w:val="en-GB"/>
              </w:rPr>
              <w:t xml:space="preserve">. </w:t>
            </w:r>
          </w:p>
          <w:p w:rsidR="00CD68AB" w:rsidRDefault="00CD68AB" w:rsidP="009C61A3">
            <w:pPr>
              <w:pStyle w:val="CEABullet-Level1"/>
              <w:numPr>
                <w:ilvl w:val="0"/>
                <w:numId w:val="0"/>
              </w:numPr>
              <w:rPr>
                <w:lang w:val="en-GB"/>
              </w:rPr>
            </w:pPr>
          </w:p>
          <w:p w:rsidR="00CD68AB" w:rsidRPr="006D1113" w:rsidRDefault="00CD68AB" w:rsidP="009C61A3">
            <w:pPr>
              <w:pStyle w:val="CEABullet-Level1"/>
              <w:rPr>
                <w:lang w:val="fr-FR"/>
              </w:rPr>
            </w:pPr>
            <w:r w:rsidRPr="006D1113">
              <w:rPr>
                <w:lang w:val="fr-FR"/>
              </w:rPr>
              <w:t>Insurance Europe supports AMT33 AMT</w:t>
            </w:r>
            <w:r>
              <w:rPr>
                <w:lang w:val="fr-FR"/>
              </w:rPr>
              <w:t>50-</w:t>
            </w:r>
            <w:r w:rsidRPr="006D1113">
              <w:rPr>
                <w:lang w:val="fr-FR"/>
              </w:rPr>
              <w:t>51.</w:t>
            </w:r>
          </w:p>
        </w:tc>
      </w:tr>
      <w:tr w:rsidR="00CD68AB" w:rsidRPr="007016EB" w:rsidTr="00B72EEB">
        <w:trPr>
          <w:cantSplit/>
          <w:trHeight w:val="1536"/>
        </w:trPr>
        <w:tc>
          <w:tcPr>
            <w:tcW w:w="1701" w:type="dxa"/>
            <w:tcBorders>
              <w:top w:val="single" w:sz="4" w:space="0" w:color="auto"/>
              <w:left w:val="single" w:sz="4" w:space="0" w:color="auto"/>
              <w:bottom w:val="single" w:sz="4" w:space="0" w:color="auto"/>
              <w:right w:val="single" w:sz="4" w:space="0" w:color="auto"/>
            </w:tcBorders>
            <w:vAlign w:val="center"/>
          </w:tcPr>
          <w:p w:rsidR="00CD68AB" w:rsidRPr="00022DFF" w:rsidRDefault="00CD68AB" w:rsidP="00BB5CF1">
            <w:pPr>
              <w:spacing w:before="60" w:after="60"/>
              <w:jc w:val="center"/>
              <w:rPr>
                <w:b/>
                <w:szCs w:val="17"/>
              </w:rPr>
            </w:pPr>
            <w:r>
              <w:rPr>
                <w:b/>
                <w:szCs w:val="17"/>
              </w:rPr>
              <w:lastRenderedPageBreak/>
              <w:t>AMT35, AMT96-97</w:t>
            </w:r>
            <w:r w:rsidR="006D1113">
              <w:rPr>
                <w:b/>
                <w:szCs w:val="17"/>
              </w:rPr>
              <w:t xml:space="preserve">, </w:t>
            </w:r>
            <w:r>
              <w:rPr>
                <w:b/>
                <w:szCs w:val="17"/>
              </w:rPr>
              <w:t>99</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EF629C" w:rsidRDefault="00CD68AB" w:rsidP="00D110E1">
            <w:pPr>
              <w:spacing w:before="60" w:after="60"/>
              <w:jc w:val="center"/>
            </w:pPr>
            <w:r>
              <w:t>Recital 17, Article 11-para.2</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BB5CF1" w:rsidRDefault="006D1113" w:rsidP="00366851">
            <w:pPr>
              <w:spacing w:before="60" w:after="60"/>
              <w:jc w:val="center"/>
              <w:rPr>
                <w:i/>
                <w:szCs w:val="17"/>
              </w:rPr>
            </w:pPr>
            <w:r>
              <w:rPr>
                <w:i/>
                <w:szCs w:val="17"/>
              </w:rPr>
              <w:t xml:space="preserve">Thomas </w:t>
            </w:r>
            <w:proofErr w:type="spellStart"/>
            <w:r>
              <w:rPr>
                <w:i/>
                <w:szCs w:val="17"/>
              </w:rPr>
              <w:t>Händel</w:t>
            </w:r>
            <w:proofErr w:type="spellEnd"/>
            <w:r>
              <w:rPr>
                <w:i/>
                <w:szCs w:val="17"/>
              </w:rPr>
              <w:t xml:space="preserve">, </w:t>
            </w:r>
            <w:proofErr w:type="spellStart"/>
            <w:r>
              <w:rPr>
                <w:i/>
                <w:szCs w:val="17"/>
              </w:rPr>
              <w:t>Olle</w:t>
            </w:r>
            <w:proofErr w:type="spellEnd"/>
            <w:r>
              <w:rPr>
                <w:i/>
                <w:szCs w:val="17"/>
              </w:rPr>
              <w:t xml:space="preserve"> Schmidt, Pier Antonio </w:t>
            </w:r>
            <w:proofErr w:type="spellStart"/>
            <w:r>
              <w:rPr>
                <w:i/>
                <w:szCs w:val="17"/>
              </w:rPr>
              <w:t>Panzeri</w:t>
            </w:r>
            <w:proofErr w:type="spellEnd"/>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D79BF">
            <w:pPr>
              <w:pStyle w:val="CEABullet-Level1"/>
              <w:numPr>
                <w:ilvl w:val="0"/>
                <w:numId w:val="0"/>
              </w:numPr>
              <w:rPr>
                <w:lang w:val="en-GB"/>
              </w:rPr>
            </w:pPr>
            <w:r w:rsidRPr="007016EB">
              <w:rPr>
                <w:lang w:val="en-GB"/>
              </w:rPr>
              <w:t xml:space="preserve">Insurance Europe welcomes the amendments </w:t>
            </w:r>
            <w:r>
              <w:rPr>
                <w:lang w:val="en-GB"/>
              </w:rPr>
              <w:t>introducing limited liability</w:t>
            </w:r>
            <w:r w:rsidRPr="007016EB">
              <w:rPr>
                <w:lang w:val="en-GB"/>
              </w:rPr>
              <w:t xml:space="preserve">, especially the </w:t>
            </w:r>
            <w:r>
              <w:rPr>
                <w:lang w:val="en-GB"/>
              </w:rPr>
              <w:t>proposed</w:t>
            </w:r>
            <w:r w:rsidRPr="007016EB">
              <w:rPr>
                <w:lang w:val="en-GB"/>
              </w:rPr>
              <w:t xml:space="preserve"> a</w:t>
            </w:r>
            <w:r>
              <w:rPr>
                <w:lang w:val="en-GB"/>
              </w:rPr>
              <w:t xml:space="preserve">lignment with the UCITS regime. Strict liability is inappropriate for a standardised document serving as a first contact with the consumer who may require further, especially personalised information, before taking a decision. On this basis, Insurance Europe also opposes the amendments strengthening the reversal of the burden of proof. </w:t>
            </w:r>
          </w:p>
          <w:p w:rsidR="00CD68AB" w:rsidRDefault="00CD68AB" w:rsidP="006D79BF">
            <w:pPr>
              <w:pStyle w:val="CEABullet-Level1"/>
              <w:numPr>
                <w:ilvl w:val="0"/>
                <w:numId w:val="0"/>
              </w:numPr>
              <w:rPr>
                <w:lang w:val="en-GB"/>
              </w:rPr>
            </w:pPr>
          </w:p>
          <w:p w:rsidR="00CD68AB" w:rsidRPr="00B72EEB" w:rsidRDefault="00CD68AB" w:rsidP="00B72EEB">
            <w:pPr>
              <w:pStyle w:val="CEABullet-Level1"/>
              <w:rPr>
                <w:lang w:val="en-GB"/>
              </w:rPr>
            </w:pPr>
            <w:r>
              <w:rPr>
                <w:lang w:val="en-GB"/>
              </w:rPr>
              <w:t>Insurance Europe supports AMT96 and AMT99 but opposes AMT35 and AMT97.</w:t>
            </w:r>
          </w:p>
        </w:tc>
      </w:tr>
      <w:tr w:rsidR="00CD68AB" w:rsidRPr="006D1113" w:rsidTr="00FA5B89">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1071E9">
            <w:pPr>
              <w:spacing w:before="60" w:after="60"/>
              <w:jc w:val="center"/>
              <w:rPr>
                <w:b/>
                <w:szCs w:val="17"/>
                <w:lang w:val="nl-BE"/>
              </w:rPr>
            </w:pPr>
            <w:r w:rsidRPr="00D66DB0">
              <w:rPr>
                <w:b/>
                <w:szCs w:val="17"/>
                <w:lang w:val="nl-BE"/>
              </w:rPr>
              <w:t>AMT36, AMT38, AMT102</w:t>
            </w:r>
            <w:r>
              <w:rPr>
                <w:b/>
                <w:szCs w:val="17"/>
                <w:lang w:val="nl-BE"/>
              </w:rPr>
              <w:t>-104</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Default="00CD68AB" w:rsidP="00AD550E">
            <w:pPr>
              <w:spacing w:before="60" w:after="60"/>
              <w:jc w:val="center"/>
              <w:rPr>
                <w:lang w:val="fr-FR"/>
              </w:rPr>
            </w:pPr>
            <w:r>
              <w:rPr>
                <w:lang w:val="fr-FR"/>
              </w:rPr>
              <w:t>Recital 19, Article 12-para.2, Article 12-para. 2a(new)</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FA5B89" w:rsidRDefault="006D1113" w:rsidP="001071E9">
            <w:pPr>
              <w:spacing w:before="60" w:after="60"/>
              <w:jc w:val="center"/>
              <w:rPr>
                <w:i/>
                <w:szCs w:val="17"/>
              </w:rPr>
            </w:pPr>
            <w:r>
              <w:rPr>
                <w:i/>
                <w:szCs w:val="17"/>
              </w:rPr>
              <w:t xml:space="preserve">Thomas </w:t>
            </w:r>
            <w:proofErr w:type="spellStart"/>
            <w:r>
              <w:rPr>
                <w:i/>
                <w:szCs w:val="17"/>
              </w:rPr>
              <w:t>Händel</w:t>
            </w:r>
            <w:proofErr w:type="spellEnd"/>
            <w:r w:rsidR="00CD68AB" w:rsidRPr="00504092">
              <w:rPr>
                <w:i/>
                <w:szCs w:val="17"/>
              </w:rPr>
              <w:t>,</w:t>
            </w:r>
            <w:r>
              <w:rPr>
                <w:i/>
                <w:szCs w:val="17"/>
              </w:rPr>
              <w:t xml:space="preserve"> </w:t>
            </w:r>
            <w:proofErr w:type="spellStart"/>
            <w:r>
              <w:rPr>
                <w:i/>
                <w:szCs w:val="17"/>
              </w:rPr>
              <w:t>Cristian</w:t>
            </w:r>
            <w:proofErr w:type="spellEnd"/>
            <w:r>
              <w:rPr>
                <w:i/>
                <w:szCs w:val="17"/>
              </w:rPr>
              <w:t xml:space="preserve"> </w:t>
            </w:r>
            <w:proofErr w:type="spellStart"/>
            <w:r>
              <w:rPr>
                <w:i/>
                <w:szCs w:val="17"/>
              </w:rPr>
              <w:t>Silviu</w:t>
            </w:r>
            <w:proofErr w:type="spellEnd"/>
            <w:r>
              <w:rPr>
                <w:i/>
                <w:szCs w:val="17"/>
              </w:rPr>
              <w:t xml:space="preserve"> </w:t>
            </w:r>
            <w:proofErr w:type="spellStart"/>
            <w:r>
              <w:rPr>
                <w:i/>
                <w:szCs w:val="17"/>
              </w:rPr>
              <w:t>Bușoi</w:t>
            </w:r>
            <w:proofErr w:type="spellEnd"/>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D79BF">
            <w:pPr>
              <w:pStyle w:val="CEABullet-Level3"/>
              <w:numPr>
                <w:ilvl w:val="0"/>
                <w:numId w:val="0"/>
              </w:numPr>
              <w:spacing w:before="60" w:after="60"/>
              <w:rPr>
                <w:szCs w:val="17"/>
                <w:lang w:val="en-GB"/>
              </w:rPr>
            </w:pPr>
            <w:r>
              <w:rPr>
                <w:szCs w:val="17"/>
                <w:lang w:val="en-GB"/>
              </w:rPr>
              <w:t xml:space="preserve">Insurance Europe opposes the exclusion to provide the KID post transaction. Firstly, the PRIPs regulation addresses standard pre-contractual product information provided to consumers to assist them with an investment decision before a purchase is made. </w:t>
            </w:r>
            <w:r w:rsidR="006D1113">
              <w:rPr>
                <w:szCs w:val="17"/>
                <w:lang w:val="en-GB"/>
              </w:rPr>
              <w:t>The PRIPs regulation</w:t>
            </w:r>
            <w:r>
              <w:rPr>
                <w:szCs w:val="17"/>
                <w:lang w:val="en-GB"/>
              </w:rPr>
              <w:t xml:space="preserve"> does not address sales rules. Any provision preventing non-advised sales should therefore be removed. Secondly, such exclusion infringes Article </w:t>
            </w:r>
            <w:r w:rsidR="006D1113">
              <w:rPr>
                <w:szCs w:val="17"/>
                <w:lang w:val="en-GB"/>
              </w:rPr>
              <w:t>5.2 of d</w:t>
            </w:r>
            <w:r>
              <w:rPr>
                <w:szCs w:val="17"/>
                <w:lang w:val="en-GB"/>
              </w:rPr>
              <w:t>irective 2002/65/EC regarding distance marketing of consumer financial services. The directive indeed allows providing pre-contractual information immediately after contract conclusion if it cannot be provided in good time before.</w:t>
            </w:r>
          </w:p>
          <w:p w:rsidR="00CD68AB" w:rsidRDefault="00CD68AB" w:rsidP="006D79BF">
            <w:pPr>
              <w:pStyle w:val="CEABullet-Level3"/>
              <w:numPr>
                <w:ilvl w:val="0"/>
                <w:numId w:val="0"/>
              </w:numPr>
              <w:spacing w:before="60" w:after="60"/>
              <w:rPr>
                <w:szCs w:val="17"/>
                <w:lang w:val="en-GB"/>
              </w:rPr>
            </w:pPr>
            <w:r>
              <w:rPr>
                <w:szCs w:val="17"/>
                <w:lang w:val="en-GB"/>
              </w:rPr>
              <w:t xml:space="preserve"> </w:t>
            </w:r>
          </w:p>
          <w:p w:rsidR="00CD68AB" w:rsidRDefault="00CD68AB" w:rsidP="006D79BF">
            <w:pPr>
              <w:pStyle w:val="CEABullet-Level1"/>
            </w:pPr>
            <w:r>
              <w:t>Insurance Europe opposes AMT36, AMT38, AMT102-104.</w:t>
            </w:r>
          </w:p>
        </w:tc>
      </w:tr>
      <w:tr w:rsidR="00CD68AB" w:rsidRPr="00A334BA" w:rsidTr="00FA5B89">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1071E9">
            <w:pPr>
              <w:spacing w:before="60" w:after="60"/>
              <w:jc w:val="center"/>
              <w:rPr>
                <w:b/>
                <w:szCs w:val="17"/>
                <w:lang w:val="nl-BE"/>
              </w:rPr>
            </w:pPr>
            <w:r>
              <w:rPr>
                <w:b/>
                <w:szCs w:val="17"/>
                <w:lang w:val="nl-BE"/>
              </w:rPr>
              <w:t>AMT43, AMT151</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AE544A" w:rsidRDefault="00CD68AB" w:rsidP="00AD550E">
            <w:pPr>
              <w:spacing w:before="60" w:after="60"/>
              <w:jc w:val="center"/>
            </w:pPr>
            <w:r>
              <w:t>Recital 30, Article 26-para.2</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B72EEB" w:rsidRDefault="00CD68AB" w:rsidP="007D7B52">
            <w:pPr>
              <w:spacing w:before="60" w:after="60"/>
              <w:jc w:val="center"/>
              <w:rPr>
                <w:i/>
                <w:szCs w:val="17"/>
              </w:rPr>
            </w:pPr>
            <w:r w:rsidRPr="00B72EEB">
              <w:rPr>
                <w:i/>
              </w:rPr>
              <w:t xml:space="preserve">Thomas </w:t>
            </w:r>
            <w:proofErr w:type="spellStart"/>
            <w:r w:rsidRPr="00B72EEB">
              <w:rPr>
                <w:i/>
              </w:rPr>
              <w:t>Händel</w:t>
            </w:r>
            <w:proofErr w:type="spellEnd"/>
            <w:r w:rsidRPr="00B72EEB">
              <w:rPr>
                <w:i/>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D79BF">
            <w:pPr>
              <w:pStyle w:val="CEABullet-Level3"/>
              <w:numPr>
                <w:ilvl w:val="0"/>
                <w:numId w:val="0"/>
              </w:numPr>
              <w:spacing w:before="60" w:after="60"/>
              <w:rPr>
                <w:szCs w:val="17"/>
                <w:lang w:val="en-GB"/>
              </w:rPr>
            </w:pPr>
            <w:r>
              <w:rPr>
                <w:szCs w:val="17"/>
                <w:lang w:val="en-GB"/>
              </w:rPr>
              <w:t xml:space="preserve">Insurance Europe opposes shortening the implementation period. Given the significant work still required at level two, the implementation period of two years is already very short and should therefore not be shortened even further. </w:t>
            </w:r>
          </w:p>
          <w:p w:rsidR="00CD68AB" w:rsidRDefault="00CD68AB" w:rsidP="00A334BA">
            <w:pPr>
              <w:pStyle w:val="CEABullet-Level1"/>
            </w:pPr>
            <w:r>
              <w:t>Insurance Europe opposes AMT43 and AMT151.</w:t>
            </w:r>
          </w:p>
        </w:tc>
      </w:tr>
      <w:tr w:rsidR="00CD68AB" w:rsidTr="009C61A3">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Default="00CD68AB" w:rsidP="009C61A3">
            <w:pPr>
              <w:spacing w:before="60" w:after="60"/>
              <w:jc w:val="center"/>
              <w:rPr>
                <w:b/>
                <w:szCs w:val="17"/>
              </w:rPr>
            </w:pPr>
            <w:r>
              <w:rPr>
                <w:b/>
                <w:szCs w:val="17"/>
              </w:rPr>
              <w:lastRenderedPageBreak/>
              <w:t>AMT40, AMT116-119, AMT122-138</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Default="00CD68AB" w:rsidP="009C61A3">
            <w:pPr>
              <w:spacing w:before="60" w:after="60"/>
              <w:jc w:val="center"/>
            </w:pPr>
            <w:r>
              <w:t>Recital 40,</w:t>
            </w:r>
            <w:r w:rsidRPr="002B4237">
              <w:t xml:space="preserve"> Article 14-paragraph 1 a (new), Article 15, Article 15 a (new), Article 15 b (new), Article 15-para.1-introductory part, Article 15-para.1 point a-f, Article 15 – para.1 a (new), Article 15-para</w:t>
            </w:r>
            <w:r>
              <w:t>.2 a (new), Article 15-para.3 a (new)</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FA5B89" w:rsidRDefault="006D1113" w:rsidP="006D1113">
            <w:pPr>
              <w:spacing w:before="60" w:after="60"/>
              <w:jc w:val="center"/>
              <w:rPr>
                <w:i/>
                <w:szCs w:val="17"/>
              </w:rPr>
            </w:pPr>
            <w:r>
              <w:rPr>
                <w:i/>
                <w:szCs w:val="17"/>
              </w:rPr>
              <w:t xml:space="preserve">Pier Antonio </w:t>
            </w:r>
            <w:proofErr w:type="spellStart"/>
            <w:r>
              <w:rPr>
                <w:i/>
                <w:szCs w:val="17"/>
              </w:rPr>
              <w:t>Panzeri</w:t>
            </w:r>
            <w:proofErr w:type="spellEnd"/>
            <w:r w:rsidR="00CD68AB">
              <w:rPr>
                <w:i/>
                <w:szCs w:val="17"/>
              </w:rPr>
              <w:t xml:space="preserve">, </w:t>
            </w:r>
            <w:proofErr w:type="spellStart"/>
            <w:r>
              <w:rPr>
                <w:i/>
                <w:szCs w:val="17"/>
              </w:rPr>
              <w:t>Cristian</w:t>
            </w:r>
            <w:proofErr w:type="spellEnd"/>
            <w:r>
              <w:rPr>
                <w:i/>
                <w:szCs w:val="17"/>
              </w:rPr>
              <w:t xml:space="preserve"> </w:t>
            </w:r>
            <w:proofErr w:type="spellStart"/>
            <w:r>
              <w:rPr>
                <w:i/>
                <w:szCs w:val="17"/>
              </w:rPr>
              <w:t>Silviu</w:t>
            </w:r>
            <w:proofErr w:type="spellEnd"/>
            <w:r>
              <w:rPr>
                <w:i/>
                <w:szCs w:val="17"/>
              </w:rPr>
              <w:t xml:space="preserve"> </w:t>
            </w:r>
            <w:proofErr w:type="spellStart"/>
            <w:r>
              <w:rPr>
                <w:i/>
                <w:szCs w:val="17"/>
              </w:rPr>
              <w:t>Bușoi</w:t>
            </w:r>
            <w:proofErr w:type="spellEnd"/>
            <w:r>
              <w:rPr>
                <w:i/>
                <w:szCs w:val="17"/>
              </w:rPr>
              <w:t xml:space="preserve">, </w:t>
            </w:r>
            <w:proofErr w:type="spellStart"/>
            <w:r>
              <w:rPr>
                <w:i/>
                <w:szCs w:val="17"/>
              </w:rPr>
              <w:t>Olle</w:t>
            </w:r>
            <w:proofErr w:type="spellEnd"/>
            <w:r>
              <w:rPr>
                <w:i/>
                <w:szCs w:val="17"/>
              </w:rPr>
              <w:t xml:space="preserve"> Schmidt</w:t>
            </w:r>
            <w:r w:rsidR="00CD68AB">
              <w:rPr>
                <w:i/>
                <w:szCs w:val="17"/>
              </w:rPr>
              <w:t xml:space="preserve">, </w:t>
            </w:r>
            <w:proofErr w:type="spellStart"/>
            <w:r w:rsidR="00CD68AB" w:rsidRPr="009F0E4D">
              <w:rPr>
                <w:i/>
                <w:szCs w:val="17"/>
              </w:rPr>
              <w:t>Sirpa</w:t>
            </w:r>
            <w:proofErr w:type="spellEnd"/>
            <w:r w:rsidR="00CD68AB" w:rsidRPr="009F0E4D">
              <w:rPr>
                <w:i/>
                <w:szCs w:val="17"/>
              </w:rPr>
              <w:t xml:space="preserve"> </w:t>
            </w:r>
            <w:proofErr w:type="spellStart"/>
            <w:r w:rsidR="00CD68AB" w:rsidRPr="009F0E4D">
              <w:rPr>
                <w:i/>
                <w:szCs w:val="17"/>
              </w:rPr>
              <w:t>Pietikäinen</w:t>
            </w:r>
            <w:proofErr w:type="spellEnd"/>
            <w:r w:rsidR="00CD68AB" w:rsidRPr="009F0E4D">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9C61A3">
            <w:pPr>
              <w:pStyle w:val="CEABullet-Level3"/>
              <w:numPr>
                <w:ilvl w:val="0"/>
                <w:numId w:val="0"/>
              </w:numPr>
              <w:spacing w:before="60" w:after="60"/>
              <w:rPr>
                <w:szCs w:val="17"/>
                <w:lang w:val="en-GB"/>
              </w:rPr>
            </w:pPr>
            <w:r w:rsidRPr="0038578F">
              <w:rPr>
                <w:szCs w:val="17"/>
                <w:lang w:val="en-GB"/>
              </w:rPr>
              <w:t xml:space="preserve">Insurance Europe supports that alternative dispute resolution </w:t>
            </w:r>
            <w:r>
              <w:rPr>
                <w:szCs w:val="17"/>
                <w:lang w:val="en-GB"/>
              </w:rPr>
              <w:t>(ADR) is</w:t>
            </w:r>
            <w:r w:rsidRPr="0038578F">
              <w:rPr>
                <w:szCs w:val="17"/>
                <w:lang w:val="en-GB"/>
              </w:rPr>
              <w:t xml:space="preserve"> not </w:t>
            </w:r>
            <w:r>
              <w:rPr>
                <w:szCs w:val="17"/>
                <w:lang w:val="en-GB"/>
              </w:rPr>
              <w:t>specifically regulated</w:t>
            </w:r>
            <w:r w:rsidRPr="0038578F">
              <w:rPr>
                <w:szCs w:val="17"/>
                <w:lang w:val="en-GB"/>
              </w:rPr>
              <w:t xml:space="preserve"> in the PRIPs regulation</w:t>
            </w:r>
            <w:r>
              <w:rPr>
                <w:szCs w:val="17"/>
                <w:lang w:val="en-GB"/>
              </w:rPr>
              <w:t xml:space="preserve"> given it may conflict with the recently a</w:t>
            </w:r>
            <w:r w:rsidR="006D1113">
              <w:rPr>
                <w:szCs w:val="17"/>
                <w:lang w:val="en-GB"/>
              </w:rPr>
              <w:t>dopted ADR directive mandating member s</w:t>
            </w:r>
            <w:r>
              <w:rPr>
                <w:szCs w:val="17"/>
                <w:lang w:val="en-GB"/>
              </w:rPr>
              <w:t>tates to</w:t>
            </w:r>
            <w:r w:rsidRPr="00C423FE">
              <w:rPr>
                <w:szCs w:val="17"/>
                <w:lang w:val="en-GB"/>
              </w:rPr>
              <w:t xml:space="preserve"> set up an ADR scheme and </w:t>
            </w:r>
            <w:r>
              <w:rPr>
                <w:szCs w:val="17"/>
                <w:lang w:val="en-GB"/>
              </w:rPr>
              <w:t xml:space="preserve">providing </w:t>
            </w:r>
            <w:r w:rsidRPr="00C423FE">
              <w:rPr>
                <w:szCs w:val="17"/>
                <w:lang w:val="en-GB"/>
              </w:rPr>
              <w:t xml:space="preserve">the </w:t>
            </w:r>
            <w:r>
              <w:rPr>
                <w:szCs w:val="17"/>
                <w:lang w:val="en-GB"/>
              </w:rPr>
              <w:t xml:space="preserve">detailed </w:t>
            </w:r>
            <w:r w:rsidRPr="00C423FE">
              <w:rPr>
                <w:szCs w:val="17"/>
                <w:lang w:val="en-GB"/>
              </w:rPr>
              <w:t>requirements for such a scheme.</w:t>
            </w:r>
            <w:r>
              <w:rPr>
                <w:szCs w:val="17"/>
                <w:lang w:val="en-GB"/>
              </w:rPr>
              <w:t xml:space="preserve"> Insurance Europe believes the ADR directive is the appropriate channel to deal with the relevant conditions applicable to such procedures and therefore supports the amendments referring to the ADR directive and opposes amendments introducing further ADR requirements. </w:t>
            </w:r>
          </w:p>
          <w:p w:rsidR="00CD68AB" w:rsidRDefault="00CD68AB" w:rsidP="009C61A3">
            <w:pPr>
              <w:pStyle w:val="CEABullet-Level3"/>
              <w:numPr>
                <w:ilvl w:val="0"/>
                <w:numId w:val="0"/>
              </w:numPr>
              <w:spacing w:before="60" w:after="60"/>
              <w:jc w:val="left"/>
              <w:rPr>
                <w:szCs w:val="17"/>
                <w:lang w:val="en-GB"/>
              </w:rPr>
            </w:pPr>
          </w:p>
          <w:p w:rsidR="00CD68AB" w:rsidRDefault="00CD68AB" w:rsidP="00AE544A">
            <w:pPr>
              <w:pStyle w:val="CEABullet-Level1"/>
              <w:rPr>
                <w:lang w:val="en-GB"/>
              </w:rPr>
            </w:pPr>
            <w:r w:rsidRPr="00BB6F39">
              <w:rPr>
                <w:lang w:val="en-GB"/>
              </w:rPr>
              <w:t>Insurance Europe supports AMT116-117, AMT122</w:t>
            </w:r>
            <w:r>
              <w:rPr>
                <w:lang w:val="en-GB"/>
              </w:rPr>
              <w:t>-123</w:t>
            </w:r>
            <w:r w:rsidRPr="00BB6F39">
              <w:rPr>
                <w:lang w:val="en-GB"/>
              </w:rPr>
              <w:t>, AMT125-128, AMT130-131, AMT133-135 but opposes AMT40, AMT118-119, AMT124, AMT129, AMT132, AMT136-138</w:t>
            </w:r>
          </w:p>
          <w:p w:rsidR="00CD68AB" w:rsidRDefault="00CD68AB" w:rsidP="009C61A3">
            <w:pPr>
              <w:pStyle w:val="CEABullet-Level1"/>
              <w:numPr>
                <w:ilvl w:val="0"/>
                <w:numId w:val="0"/>
              </w:numPr>
              <w:jc w:val="left"/>
              <w:rPr>
                <w:lang w:val="en-GB"/>
              </w:rPr>
            </w:pPr>
          </w:p>
          <w:p w:rsidR="00CD68AB" w:rsidRDefault="00CD68AB" w:rsidP="009C61A3">
            <w:pPr>
              <w:pStyle w:val="CEABullet-Level1"/>
              <w:numPr>
                <w:ilvl w:val="0"/>
                <w:numId w:val="0"/>
              </w:numPr>
              <w:jc w:val="left"/>
              <w:rPr>
                <w:lang w:val="en-GB"/>
              </w:rPr>
            </w:pPr>
          </w:p>
        </w:tc>
      </w:tr>
      <w:tr w:rsidR="00CD68AB" w:rsidRPr="002A10D8" w:rsidTr="00FA5B89">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FA5B89" w:rsidRDefault="00CD68AB" w:rsidP="001071E9">
            <w:pPr>
              <w:spacing w:before="60" w:after="60"/>
              <w:jc w:val="center"/>
              <w:rPr>
                <w:b/>
                <w:szCs w:val="17"/>
              </w:rPr>
            </w:pPr>
            <w:r>
              <w:rPr>
                <w:b/>
                <w:szCs w:val="17"/>
              </w:rPr>
              <w:t>AMT46</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FA5B89" w:rsidRDefault="00CD68AB" w:rsidP="00AD550E">
            <w:pPr>
              <w:spacing w:before="60" w:after="60"/>
              <w:jc w:val="center"/>
            </w:pPr>
            <w:r>
              <w:t>Article 3 – para.2</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6D1113">
            <w:pPr>
              <w:spacing w:before="60" w:after="60"/>
              <w:jc w:val="center"/>
              <w:rPr>
                <w:i/>
                <w:szCs w:val="17"/>
                <w:lang w:val="fr-FR"/>
              </w:rPr>
            </w:pPr>
            <w:r w:rsidRPr="00200F6E">
              <w:rPr>
                <w:i/>
                <w:szCs w:val="17"/>
                <w:lang w:val="fr-FR"/>
              </w:rPr>
              <w:t xml:space="preserve">Cristian </w:t>
            </w:r>
            <w:r w:rsidRPr="00D66DB0">
              <w:rPr>
                <w:i/>
                <w:szCs w:val="17"/>
                <w:lang w:val="fr-FR"/>
              </w:rPr>
              <w:t xml:space="preserve">Silviu Bușoi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2A10D8">
            <w:pPr>
              <w:pStyle w:val="CEABullet-Level1"/>
              <w:numPr>
                <w:ilvl w:val="0"/>
                <w:numId w:val="0"/>
              </w:numPr>
              <w:rPr>
                <w:lang w:val="en-GB"/>
              </w:rPr>
            </w:pPr>
            <w:r w:rsidRPr="002A10D8">
              <w:rPr>
                <w:lang w:val="en-GB"/>
              </w:rPr>
              <w:t xml:space="preserve">Insurance Europe supports </w:t>
            </w:r>
            <w:r>
              <w:rPr>
                <w:lang w:val="en-GB"/>
              </w:rPr>
              <w:t xml:space="preserve">that equivalent Solvency II disclosures are met by the PRIPs KID. This prevents overloading consumers with comparable information and creates legal certainty for insurance undertakings. </w:t>
            </w:r>
          </w:p>
          <w:p w:rsidR="00CD68AB" w:rsidRDefault="00CD68AB" w:rsidP="00FA5B89">
            <w:pPr>
              <w:pStyle w:val="CEABullet-Level1"/>
              <w:numPr>
                <w:ilvl w:val="0"/>
                <w:numId w:val="0"/>
              </w:numPr>
              <w:jc w:val="left"/>
              <w:rPr>
                <w:lang w:val="en-GB"/>
              </w:rPr>
            </w:pPr>
          </w:p>
          <w:p w:rsidR="00CD68AB" w:rsidRPr="002A10D8" w:rsidRDefault="00CD68AB" w:rsidP="005674AA">
            <w:pPr>
              <w:pStyle w:val="CEABullet-Level1"/>
              <w:rPr>
                <w:lang w:val="en-GB"/>
              </w:rPr>
            </w:pPr>
            <w:r>
              <w:rPr>
                <w:lang w:val="en-GB"/>
              </w:rPr>
              <w:t xml:space="preserve"> Insurance Europe supports AMT46. </w:t>
            </w:r>
          </w:p>
        </w:tc>
      </w:tr>
      <w:tr w:rsidR="00CD68AB" w:rsidRPr="00D66DB0" w:rsidTr="002A10D8">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CA431B">
            <w:pPr>
              <w:spacing w:before="60" w:after="60"/>
              <w:jc w:val="center"/>
              <w:rPr>
                <w:b/>
                <w:szCs w:val="17"/>
              </w:rPr>
            </w:pPr>
            <w:r>
              <w:rPr>
                <w:b/>
                <w:szCs w:val="17"/>
              </w:rPr>
              <w:t>AMT55, AMT57</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D66DB0" w:rsidRDefault="00CD68AB" w:rsidP="00CA431B">
            <w:pPr>
              <w:spacing w:before="60" w:after="60"/>
              <w:jc w:val="center"/>
            </w:pPr>
            <w:r>
              <w:t>Article 6-para.3 – introductory part</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DB340A" w:rsidRDefault="00DB340A" w:rsidP="007D7B52">
            <w:pPr>
              <w:spacing w:before="60" w:after="60"/>
              <w:jc w:val="center"/>
              <w:rPr>
                <w:i/>
                <w:szCs w:val="17"/>
                <w:lang w:val="nl-BE"/>
              </w:rPr>
            </w:pPr>
            <w:r w:rsidRPr="00DB340A">
              <w:rPr>
                <w:i/>
                <w:szCs w:val="17"/>
                <w:lang w:val="nl-BE"/>
              </w:rPr>
              <w:t>Thomas Händel</w:t>
            </w:r>
            <w:r w:rsidR="007D7B52">
              <w:rPr>
                <w:i/>
                <w:szCs w:val="17"/>
                <w:lang w:val="nl-BE"/>
              </w:rPr>
              <w:t xml:space="preserve">, </w:t>
            </w:r>
            <w:r w:rsidR="00CD68AB" w:rsidRPr="00DB340A">
              <w:rPr>
                <w:i/>
                <w:szCs w:val="17"/>
                <w:lang w:val="nl-BE"/>
              </w:rPr>
              <w:t xml:space="preserve">Sirpa Pietikäinen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AA1E0B">
            <w:pPr>
              <w:pStyle w:val="CEABullet-Level1"/>
              <w:numPr>
                <w:ilvl w:val="0"/>
                <w:numId w:val="0"/>
              </w:numPr>
              <w:rPr>
                <w:lang w:val="en-GB"/>
              </w:rPr>
            </w:pPr>
            <w:r w:rsidRPr="00DB340A">
              <w:rPr>
                <w:lang w:val="en-GB"/>
              </w:rPr>
              <w:t>Insurance Europe opposes the inclusion of a page limit in the regulation itself</w:t>
            </w:r>
            <w:r>
              <w:rPr>
                <w:lang w:val="en-GB"/>
              </w:rPr>
              <w:t xml:space="preserve"> because the regulation refers many issues regarding the KID’s presentation and content to level two implementing measures. Moreover, the length of the document will also depend on the language used. Imposing a page limit within the regulation is therefore inappropriate. </w:t>
            </w:r>
          </w:p>
          <w:p w:rsidR="00CD68AB" w:rsidRDefault="00CD68AB" w:rsidP="00AA1E0B">
            <w:pPr>
              <w:pStyle w:val="CEABullet-Level1"/>
              <w:numPr>
                <w:ilvl w:val="0"/>
                <w:numId w:val="0"/>
              </w:numPr>
              <w:rPr>
                <w:lang w:val="en-GB"/>
              </w:rPr>
            </w:pPr>
          </w:p>
          <w:p w:rsidR="00CD68AB" w:rsidRPr="00D66DB0" w:rsidRDefault="00CD68AB" w:rsidP="00AA1E0B">
            <w:pPr>
              <w:pStyle w:val="CEABullet-Level1"/>
              <w:rPr>
                <w:lang w:val="en-GB"/>
              </w:rPr>
            </w:pPr>
            <w:r>
              <w:rPr>
                <w:lang w:val="en-GB"/>
              </w:rPr>
              <w:t>Insurance Europe opposes AMT55 and AMT57.</w:t>
            </w:r>
          </w:p>
        </w:tc>
      </w:tr>
      <w:tr w:rsidR="00CD68AB" w:rsidRPr="00662632" w:rsidTr="00404394">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A714ED" w:rsidRDefault="00CD68AB" w:rsidP="003E3EFB">
            <w:pPr>
              <w:spacing w:before="60" w:after="60"/>
              <w:jc w:val="center"/>
              <w:rPr>
                <w:b/>
                <w:szCs w:val="17"/>
                <w:lang w:val="nl-BE"/>
              </w:rPr>
            </w:pPr>
            <w:r w:rsidRPr="00A714ED">
              <w:rPr>
                <w:b/>
                <w:szCs w:val="17"/>
                <w:lang w:val="nl-BE"/>
              </w:rPr>
              <w:lastRenderedPageBreak/>
              <w:t>AMT63</w:t>
            </w:r>
            <w:r>
              <w:rPr>
                <w:b/>
                <w:szCs w:val="17"/>
                <w:lang w:val="nl-BE"/>
              </w:rPr>
              <w:t>-64</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A714ED" w:rsidRDefault="00CD68AB" w:rsidP="0087230E">
            <w:pPr>
              <w:spacing w:before="60" w:after="60"/>
              <w:jc w:val="center"/>
              <w:rPr>
                <w:lang w:val="nl-BE"/>
              </w:rPr>
            </w:pPr>
            <w:r w:rsidRPr="00A714ED">
              <w:rPr>
                <w:lang w:val="nl-BE"/>
              </w:rPr>
              <w:t>Article 8-para.1</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200F6E" w:rsidRDefault="00CD68AB" w:rsidP="00DB340A">
            <w:pPr>
              <w:spacing w:before="60" w:after="60"/>
              <w:jc w:val="center"/>
              <w:rPr>
                <w:i/>
                <w:szCs w:val="17"/>
                <w:lang w:val="fr-FR"/>
              </w:rPr>
            </w:pPr>
            <w:r w:rsidRPr="00200F6E">
              <w:rPr>
                <w:i/>
                <w:szCs w:val="17"/>
                <w:lang w:val="fr-FR"/>
              </w:rPr>
              <w:t>Cristian Silviu Bușoi</w:t>
            </w:r>
            <w:r w:rsidR="00DB340A">
              <w:rPr>
                <w:i/>
                <w:szCs w:val="17"/>
                <w:lang w:val="fr-FR"/>
              </w:rPr>
              <w:t xml:space="preserve">, Sirpa </w:t>
            </w:r>
            <w:proofErr w:type="spellStart"/>
            <w:r w:rsidR="00DB340A" w:rsidRPr="00504092">
              <w:rPr>
                <w:i/>
                <w:szCs w:val="17"/>
              </w:rPr>
              <w:t>Pietikäinen</w:t>
            </w:r>
            <w:proofErr w:type="spellEnd"/>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45068">
            <w:pPr>
              <w:pStyle w:val="CEABullet-Level1"/>
              <w:numPr>
                <w:ilvl w:val="0"/>
                <w:numId w:val="0"/>
              </w:numPr>
              <w:rPr>
                <w:lang w:val="en-GB"/>
              </w:rPr>
            </w:pPr>
            <w:r>
              <w:rPr>
                <w:lang w:val="en-GB"/>
              </w:rPr>
              <w:t>Insurance Europe welcomes the amendments recognising that the KID in itself is insufficient to take a purchase decision. Consumers will indeed require further, especially personalised information, before taking a decision.</w:t>
            </w:r>
          </w:p>
          <w:p w:rsidR="00CD68AB" w:rsidRDefault="00CD68AB" w:rsidP="00404394">
            <w:pPr>
              <w:pStyle w:val="CEABullet-Level1"/>
              <w:numPr>
                <w:ilvl w:val="0"/>
                <w:numId w:val="0"/>
              </w:numPr>
              <w:jc w:val="left"/>
              <w:rPr>
                <w:lang w:val="en-GB"/>
              </w:rPr>
            </w:pPr>
          </w:p>
          <w:p w:rsidR="00CD68AB" w:rsidRPr="00662632" w:rsidRDefault="00CD68AB" w:rsidP="00CC6B3E">
            <w:pPr>
              <w:pStyle w:val="CEABullet-Level1"/>
              <w:rPr>
                <w:lang w:val="en-GB"/>
              </w:rPr>
            </w:pPr>
            <w:r w:rsidRPr="003E3EFB">
              <w:rPr>
                <w:lang w:val="en-GB"/>
              </w:rPr>
              <w:t>Insurance Europe supports AMT63</w:t>
            </w:r>
            <w:r>
              <w:rPr>
                <w:lang w:val="en-GB"/>
              </w:rPr>
              <w:t xml:space="preserve"> and, in the alternative, AMT64</w:t>
            </w:r>
            <w:r w:rsidRPr="003E3EFB">
              <w:rPr>
                <w:lang w:val="en-GB"/>
              </w:rPr>
              <w:t xml:space="preserve">. </w:t>
            </w:r>
          </w:p>
        </w:tc>
      </w:tr>
      <w:tr w:rsidR="00CD68AB" w:rsidRPr="00F530F7" w:rsidTr="002D25F9">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3E3EFB" w:rsidRDefault="00CD68AB" w:rsidP="00CA431B">
            <w:pPr>
              <w:spacing w:before="60" w:after="60"/>
              <w:jc w:val="center"/>
              <w:rPr>
                <w:b/>
                <w:szCs w:val="17"/>
              </w:rPr>
            </w:pPr>
            <w:r w:rsidRPr="003E3EFB">
              <w:rPr>
                <w:b/>
                <w:szCs w:val="17"/>
              </w:rPr>
              <w:t>AMT62, AMT74, AMT76-77, AMT84</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A714ED" w:rsidRDefault="00CD68AB" w:rsidP="00645068">
            <w:pPr>
              <w:spacing w:before="60" w:after="60"/>
              <w:jc w:val="center"/>
              <w:rPr>
                <w:lang w:val="fr-FR"/>
              </w:rPr>
            </w:pPr>
            <w:r w:rsidRPr="00200F6E">
              <w:rPr>
                <w:lang w:val="fr-FR"/>
              </w:rPr>
              <w:t>Article 8-para.1, Article 8-para.2-point f, Article 8-para.2-point f a (new), Article 8-para.2-</w:t>
            </w:r>
            <w:r>
              <w:rPr>
                <w:lang w:val="fr-FR"/>
              </w:rPr>
              <w:t>point h a (new)</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DB340A" w:rsidRDefault="00DB340A" w:rsidP="00DB340A">
            <w:pPr>
              <w:spacing w:before="60" w:after="60"/>
              <w:jc w:val="center"/>
              <w:rPr>
                <w:i/>
                <w:szCs w:val="17"/>
              </w:rPr>
            </w:pPr>
            <w:r w:rsidRPr="00DB340A">
              <w:rPr>
                <w:i/>
                <w:szCs w:val="17"/>
              </w:rPr>
              <w:t xml:space="preserve">Thomas </w:t>
            </w:r>
            <w:proofErr w:type="spellStart"/>
            <w:r w:rsidRPr="00DB340A">
              <w:rPr>
                <w:i/>
                <w:szCs w:val="17"/>
              </w:rPr>
              <w:t>Händel</w:t>
            </w:r>
            <w:proofErr w:type="spellEnd"/>
            <w:r w:rsidRPr="00DB340A">
              <w:rPr>
                <w:i/>
                <w:szCs w:val="17"/>
              </w:rPr>
              <w:t xml:space="preserve">, </w:t>
            </w:r>
            <w:proofErr w:type="spellStart"/>
            <w:r w:rsidRPr="00DB340A">
              <w:rPr>
                <w:i/>
                <w:szCs w:val="17"/>
              </w:rPr>
              <w:t>Sirpa</w:t>
            </w:r>
            <w:proofErr w:type="spellEnd"/>
            <w:r w:rsidRPr="00DB340A">
              <w:rPr>
                <w:i/>
                <w:szCs w:val="17"/>
              </w:rPr>
              <w:t xml:space="preserve"> </w:t>
            </w:r>
            <w:proofErr w:type="spellStart"/>
            <w:r w:rsidRPr="00DB340A">
              <w:rPr>
                <w:i/>
                <w:szCs w:val="17"/>
              </w:rPr>
              <w:t>Pietikäinen</w:t>
            </w:r>
            <w:proofErr w:type="spellEnd"/>
            <w:r>
              <w:rPr>
                <w:i/>
                <w:szCs w:val="17"/>
              </w:rPr>
              <w:t xml:space="preserve">, </w:t>
            </w:r>
            <w:proofErr w:type="spellStart"/>
            <w:r>
              <w:rPr>
                <w:i/>
                <w:szCs w:val="17"/>
              </w:rPr>
              <w:t>Mitro</w:t>
            </w:r>
            <w:proofErr w:type="spellEnd"/>
            <w:r>
              <w:rPr>
                <w:i/>
                <w:szCs w:val="17"/>
              </w:rPr>
              <w:t xml:space="preserve">  Repo</w:t>
            </w:r>
            <w:r w:rsidR="00CD68AB" w:rsidRPr="00DB340A">
              <w:rPr>
                <w:i/>
                <w:szCs w:val="17"/>
              </w:rPr>
              <w:t xml:space="preserve">, </w:t>
            </w:r>
            <w:proofErr w:type="spellStart"/>
            <w:r w:rsidR="00CD68AB" w:rsidRPr="00DB340A">
              <w:rPr>
                <w:i/>
                <w:szCs w:val="17"/>
              </w:rPr>
              <w:t>Cristian</w:t>
            </w:r>
            <w:proofErr w:type="spellEnd"/>
            <w:r w:rsidR="00CD68AB" w:rsidRPr="00DB340A">
              <w:rPr>
                <w:i/>
                <w:szCs w:val="17"/>
              </w:rPr>
              <w:t xml:space="preserve"> </w:t>
            </w:r>
            <w:proofErr w:type="spellStart"/>
            <w:r w:rsidR="00CD68AB" w:rsidRPr="00DB340A">
              <w:rPr>
                <w:i/>
                <w:szCs w:val="17"/>
              </w:rPr>
              <w:t>Silviu</w:t>
            </w:r>
            <w:proofErr w:type="spellEnd"/>
            <w:r w:rsidR="00CD68AB" w:rsidRPr="00DB340A">
              <w:rPr>
                <w:i/>
                <w:szCs w:val="17"/>
              </w:rPr>
              <w:t xml:space="preserve"> </w:t>
            </w:r>
            <w:proofErr w:type="spellStart"/>
            <w:r w:rsidR="00CD68AB" w:rsidRPr="00DB340A">
              <w:rPr>
                <w:i/>
                <w:szCs w:val="17"/>
              </w:rPr>
              <w:t>Bușoi</w:t>
            </w:r>
            <w:proofErr w:type="spellEnd"/>
            <w:r w:rsidR="00CD68AB" w:rsidRPr="00DB340A">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0C1AD6">
            <w:pPr>
              <w:pStyle w:val="CEABullet-Level1"/>
              <w:numPr>
                <w:ilvl w:val="0"/>
                <w:numId w:val="0"/>
              </w:numPr>
              <w:rPr>
                <w:lang w:val="en-GB"/>
              </w:rPr>
            </w:pPr>
            <w:r>
              <w:rPr>
                <w:lang w:val="en-GB"/>
              </w:rPr>
              <w:t xml:space="preserve">Insurance Europe opposes </w:t>
            </w:r>
            <w:r w:rsidR="00FC0533">
              <w:rPr>
                <w:lang w:val="en-GB"/>
              </w:rPr>
              <w:t xml:space="preserve">amendments which seek to include information </w:t>
            </w:r>
            <w:r>
              <w:rPr>
                <w:lang w:val="en-GB"/>
              </w:rPr>
              <w:t xml:space="preserve">on </w:t>
            </w:r>
            <w:r w:rsidR="00FC0533" w:rsidRPr="00FC0533">
              <w:rPr>
                <w:highlight w:val="yellow"/>
                <w:lang w:val="en-GB"/>
              </w:rPr>
              <w:t xml:space="preserve">costs, charges </w:t>
            </w:r>
            <w:r w:rsidRPr="00FC0533">
              <w:rPr>
                <w:highlight w:val="yellow"/>
                <w:lang w:val="en-GB"/>
              </w:rPr>
              <w:t>and</w:t>
            </w:r>
            <w:r w:rsidR="00FC0533" w:rsidRPr="00FC0533">
              <w:rPr>
                <w:highlight w:val="yellow"/>
                <w:lang w:val="en-GB"/>
              </w:rPr>
              <w:t xml:space="preserve"> detailed information on</w:t>
            </w:r>
            <w:r w:rsidRPr="00FC0533">
              <w:rPr>
                <w:highlight w:val="yellow"/>
                <w:lang w:val="en-GB"/>
              </w:rPr>
              <w:t xml:space="preserve"> tax</w:t>
            </w:r>
            <w:r>
              <w:rPr>
                <w:lang w:val="en-GB"/>
              </w:rPr>
              <w:t xml:space="preserve">. </w:t>
            </w:r>
          </w:p>
          <w:p w:rsidR="00CD68AB" w:rsidRDefault="00CD68AB" w:rsidP="000C1AD6">
            <w:pPr>
              <w:pStyle w:val="CEABullet-Level1"/>
              <w:numPr>
                <w:ilvl w:val="0"/>
                <w:numId w:val="0"/>
              </w:numPr>
              <w:rPr>
                <w:lang w:val="en-GB"/>
              </w:rPr>
            </w:pPr>
          </w:p>
          <w:p w:rsidR="00CD68AB" w:rsidRDefault="00CD68AB" w:rsidP="000C1AD6">
            <w:pPr>
              <w:pStyle w:val="CEABullet-Level1"/>
              <w:numPr>
                <w:ilvl w:val="0"/>
                <w:numId w:val="0"/>
              </w:numPr>
              <w:rPr>
                <w:lang w:val="en-GB"/>
              </w:rPr>
            </w:pPr>
            <w:r>
              <w:rPr>
                <w:lang w:val="en-GB"/>
              </w:rPr>
              <w:t xml:space="preserve">Information on </w:t>
            </w:r>
            <w:r w:rsidR="00DB340A">
              <w:rPr>
                <w:lang w:val="en-GB"/>
              </w:rPr>
              <w:t xml:space="preserve">these </w:t>
            </w:r>
            <w:proofErr w:type="gramStart"/>
            <w:r w:rsidR="00DB340A">
              <w:rPr>
                <w:lang w:val="en-GB"/>
              </w:rPr>
              <w:t>type</w:t>
            </w:r>
            <w:proofErr w:type="gramEnd"/>
            <w:r w:rsidR="00DB340A">
              <w:rPr>
                <w:lang w:val="en-GB"/>
              </w:rPr>
              <w:t xml:space="preserve"> of costs and charges</w:t>
            </w:r>
            <w:r>
              <w:rPr>
                <w:lang w:val="en-GB"/>
              </w:rPr>
              <w:t xml:space="preserve"> is personal and sales related which does not fit in a standard document providing pre-contractual product information. Any requirements relating to distribution information should and are already dealt with via the IMD 2 and </w:t>
            </w:r>
            <w:proofErr w:type="spellStart"/>
            <w:r>
              <w:rPr>
                <w:lang w:val="en-GB"/>
              </w:rPr>
              <w:t>MiFID</w:t>
            </w:r>
            <w:proofErr w:type="spellEnd"/>
            <w:r>
              <w:rPr>
                <w:lang w:val="en-GB"/>
              </w:rPr>
              <w:t xml:space="preserve"> 2 sales rules. Furthermore, requiring the intermediary to include details on fees raises questions of causality and proof regarding the liability for producing the KID. </w:t>
            </w:r>
          </w:p>
          <w:p w:rsidR="00CD68AB" w:rsidRDefault="00CD68AB" w:rsidP="000C1AD6">
            <w:pPr>
              <w:pStyle w:val="CEABullet-Level1"/>
              <w:numPr>
                <w:ilvl w:val="0"/>
                <w:numId w:val="0"/>
              </w:numPr>
              <w:rPr>
                <w:lang w:val="en-GB"/>
              </w:rPr>
            </w:pPr>
          </w:p>
          <w:p w:rsidR="00CD68AB" w:rsidRDefault="00CD68AB" w:rsidP="000C1AD6">
            <w:pPr>
              <w:pStyle w:val="CEABullet-Level1"/>
              <w:numPr>
                <w:ilvl w:val="0"/>
                <w:numId w:val="0"/>
              </w:numPr>
              <w:rPr>
                <w:lang w:val="en-GB"/>
              </w:rPr>
            </w:pPr>
            <w:r>
              <w:rPr>
                <w:lang w:val="en-GB"/>
              </w:rPr>
              <w:t xml:space="preserve">Detailed tax information, going beyond a general statement (as in UCITS) that national tax legislation may have an impact on the consumer’s personal tax position, would not be possible in a standard pre-contractual information document. An analysis of the impact of tax on an individual consumer is not possible in a non-personalised pre-contractual information document. </w:t>
            </w:r>
          </w:p>
          <w:p w:rsidR="00CD68AB" w:rsidRDefault="00CD68AB" w:rsidP="000C1AD6">
            <w:pPr>
              <w:pStyle w:val="CEABullet-Level1"/>
              <w:numPr>
                <w:ilvl w:val="0"/>
                <w:numId w:val="0"/>
              </w:numPr>
              <w:rPr>
                <w:lang w:val="en-GB"/>
              </w:rPr>
            </w:pPr>
          </w:p>
          <w:p w:rsidR="00CD68AB" w:rsidRPr="00F530F7" w:rsidRDefault="00CD68AB" w:rsidP="00F530F7">
            <w:pPr>
              <w:pStyle w:val="CEABullet-Level1"/>
              <w:rPr>
                <w:lang w:val="fr-FR"/>
              </w:rPr>
            </w:pPr>
            <w:r w:rsidRPr="00F530F7">
              <w:rPr>
                <w:lang w:val="fr-FR"/>
              </w:rPr>
              <w:t xml:space="preserve">Insurance Europe </w:t>
            </w:r>
            <w:r>
              <w:rPr>
                <w:lang w:val="fr-FR"/>
              </w:rPr>
              <w:t xml:space="preserve">opposes </w:t>
            </w:r>
            <w:r w:rsidRPr="00F530F7">
              <w:rPr>
                <w:lang w:val="fr-FR"/>
              </w:rPr>
              <w:t xml:space="preserve">AMT62, </w:t>
            </w:r>
            <w:r>
              <w:rPr>
                <w:lang w:val="fr-FR"/>
              </w:rPr>
              <w:t xml:space="preserve">AMT74, </w:t>
            </w:r>
            <w:r w:rsidRPr="00F530F7">
              <w:rPr>
                <w:lang w:val="fr-FR"/>
              </w:rPr>
              <w:t>AMT76</w:t>
            </w:r>
            <w:r w:rsidR="00FC0533">
              <w:rPr>
                <w:lang w:val="fr-FR"/>
              </w:rPr>
              <w:t>-77</w:t>
            </w:r>
            <w:r w:rsidRPr="00F530F7">
              <w:rPr>
                <w:lang w:val="fr-FR"/>
              </w:rPr>
              <w:t xml:space="preserve"> and AMT84.</w:t>
            </w:r>
          </w:p>
        </w:tc>
      </w:tr>
      <w:tr w:rsidR="00CD68AB" w:rsidRPr="00F530F7" w:rsidTr="0038578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rPr>
                <w:b/>
                <w:szCs w:val="17"/>
              </w:rPr>
            </w:pPr>
            <w:r>
              <w:rPr>
                <w:b/>
                <w:szCs w:val="17"/>
              </w:rPr>
              <w:t>AMT65</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AE544A" w:rsidRDefault="00CD68AB" w:rsidP="00DF6F09">
            <w:pPr>
              <w:spacing w:before="60" w:after="60"/>
              <w:jc w:val="center"/>
              <w:rPr>
                <w:lang w:val="fr-FR"/>
              </w:rPr>
            </w:pPr>
            <w:r w:rsidRPr="00AE544A">
              <w:rPr>
                <w:lang w:val="fr-FR"/>
              </w:rPr>
              <w:t>Article8-para.2-point</w:t>
            </w:r>
            <w:r>
              <w:rPr>
                <w:lang w:val="fr-FR"/>
              </w:rPr>
              <w:t xml:space="preserve"> </w:t>
            </w:r>
            <w:r w:rsidRPr="00AE544A">
              <w:rPr>
                <w:lang w:val="fr-FR"/>
              </w:rPr>
              <w:t>b-point iv a (new)</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AE544A" w:rsidRDefault="00CD68AB" w:rsidP="007D7B52">
            <w:pPr>
              <w:spacing w:before="60" w:after="60"/>
              <w:jc w:val="center"/>
              <w:rPr>
                <w:i/>
                <w:szCs w:val="17"/>
                <w:lang w:val="fr-FR"/>
              </w:rPr>
            </w:pPr>
            <w:r>
              <w:rPr>
                <w:i/>
                <w:szCs w:val="17"/>
                <w:lang w:val="fr-FR"/>
              </w:rPr>
              <w:t xml:space="preserve">Heide Rühle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38578F">
            <w:pPr>
              <w:pStyle w:val="CEABullet-Level3"/>
              <w:numPr>
                <w:ilvl w:val="0"/>
                <w:numId w:val="0"/>
              </w:numPr>
              <w:spacing w:before="60" w:after="60"/>
              <w:jc w:val="left"/>
              <w:rPr>
                <w:szCs w:val="17"/>
                <w:lang w:val="en-GB"/>
              </w:rPr>
            </w:pPr>
            <w:r w:rsidRPr="00AE544A">
              <w:rPr>
                <w:szCs w:val="17"/>
                <w:lang w:val="en-GB"/>
              </w:rPr>
              <w:t xml:space="preserve">The PRIPs regulation addresses standard pre-contractual information, not information throughout the life of the contract. </w:t>
            </w:r>
            <w:r>
              <w:rPr>
                <w:szCs w:val="17"/>
                <w:lang w:val="en-GB"/>
              </w:rPr>
              <w:t xml:space="preserve">Furthermore, for insurance products, according to Solvency II the policyholder is informed annually about the state of the bonuses. </w:t>
            </w:r>
          </w:p>
          <w:p w:rsidR="00CD68AB" w:rsidRPr="00F530F7" w:rsidRDefault="00CD68AB" w:rsidP="00E02734">
            <w:pPr>
              <w:pStyle w:val="CEABullet-Level1"/>
            </w:pPr>
            <w:r>
              <w:t>Insurance Europe opposes AMT65.</w:t>
            </w:r>
          </w:p>
        </w:tc>
      </w:tr>
      <w:tr w:rsidR="00CD68AB" w:rsidRPr="007F3C74" w:rsidTr="0038578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rPr>
                <w:b/>
                <w:szCs w:val="17"/>
              </w:rPr>
            </w:pPr>
            <w:r>
              <w:rPr>
                <w:b/>
                <w:szCs w:val="17"/>
              </w:rPr>
              <w:t>AMT73-74</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pPr>
            <w:r>
              <w:t>Article 8-para.2-point f</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7D7B52" w:rsidRDefault="00CD68AB" w:rsidP="007D7B52">
            <w:pPr>
              <w:spacing w:before="60" w:after="60"/>
              <w:jc w:val="center"/>
              <w:rPr>
                <w:i/>
                <w:szCs w:val="17"/>
                <w:lang w:val="nl-BE"/>
              </w:rPr>
            </w:pPr>
            <w:r w:rsidRPr="007D7B52">
              <w:rPr>
                <w:i/>
                <w:szCs w:val="17"/>
                <w:lang w:val="nl-BE"/>
              </w:rPr>
              <w:t xml:space="preserve">Olle Schmidt, Sirpa Pietikäinen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38578F">
            <w:pPr>
              <w:pStyle w:val="CEABullet-Level3"/>
              <w:numPr>
                <w:ilvl w:val="0"/>
                <w:numId w:val="0"/>
              </w:numPr>
              <w:spacing w:before="60" w:after="60"/>
              <w:jc w:val="left"/>
              <w:rPr>
                <w:szCs w:val="17"/>
                <w:lang w:val="en-GB"/>
              </w:rPr>
            </w:pPr>
            <w:r w:rsidRPr="00AE544A">
              <w:rPr>
                <w:szCs w:val="17"/>
                <w:lang w:val="en-GB"/>
              </w:rPr>
              <w:t xml:space="preserve">Insurance Europe opposes </w:t>
            </w:r>
            <w:r>
              <w:rPr>
                <w:szCs w:val="17"/>
                <w:lang w:val="en-GB"/>
              </w:rPr>
              <w:t>including</w:t>
            </w:r>
            <w:r w:rsidRPr="00AE544A">
              <w:rPr>
                <w:szCs w:val="17"/>
                <w:lang w:val="en-GB"/>
              </w:rPr>
              <w:t xml:space="preserve"> two summary figures for the costs in the KID. </w:t>
            </w:r>
            <w:r>
              <w:rPr>
                <w:szCs w:val="17"/>
                <w:lang w:val="en-GB"/>
              </w:rPr>
              <w:t xml:space="preserve">Insurance Europe believes this will contradict the KID’s shortness and comparability. The investment products falling within the PRIPs scope have very different structures so it will be extremely challenging to define an appropriate common cost indicator. Moreover, it is doubtful whether monetary terms are more understandable for consumers than percentages. Defining a summary cost indicator requires further discussion and testing. </w:t>
            </w:r>
          </w:p>
          <w:p w:rsidR="00CD68AB" w:rsidRDefault="00CD68AB" w:rsidP="0038578F">
            <w:pPr>
              <w:pStyle w:val="CEABullet-Level3"/>
              <w:numPr>
                <w:ilvl w:val="0"/>
                <w:numId w:val="0"/>
              </w:numPr>
              <w:spacing w:before="60" w:after="60"/>
              <w:jc w:val="left"/>
              <w:rPr>
                <w:szCs w:val="17"/>
                <w:lang w:val="en-GB"/>
              </w:rPr>
            </w:pPr>
          </w:p>
          <w:p w:rsidR="00CD68AB" w:rsidRPr="007F3C74" w:rsidRDefault="00CD68AB" w:rsidP="00E02734">
            <w:pPr>
              <w:pStyle w:val="CEABullet-Level1"/>
            </w:pPr>
            <w:r>
              <w:t>Insurance Europe opposes AMT73-74.</w:t>
            </w:r>
          </w:p>
        </w:tc>
      </w:tr>
      <w:tr w:rsidR="00CD68AB" w:rsidRPr="00200F6E" w:rsidTr="0038578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2D25F9" w:rsidRDefault="00CD68AB" w:rsidP="00DF6F09">
            <w:pPr>
              <w:spacing w:before="60" w:after="60"/>
              <w:jc w:val="center"/>
              <w:rPr>
                <w:b/>
                <w:szCs w:val="17"/>
              </w:rPr>
            </w:pPr>
            <w:r>
              <w:rPr>
                <w:b/>
                <w:szCs w:val="17"/>
              </w:rPr>
              <w:lastRenderedPageBreak/>
              <w:t>AMT79-80</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2D25F9" w:rsidRDefault="00CD68AB" w:rsidP="00DF6F09">
            <w:pPr>
              <w:spacing w:before="60" w:after="60"/>
              <w:jc w:val="center"/>
            </w:pPr>
            <w:r>
              <w:t>Article 8-para.2-point g</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2D25F9" w:rsidRDefault="007D7B52" w:rsidP="00AE544A">
            <w:pPr>
              <w:spacing w:before="60" w:after="60"/>
              <w:jc w:val="center"/>
              <w:rPr>
                <w:i/>
                <w:szCs w:val="17"/>
              </w:rPr>
            </w:pPr>
            <w:r>
              <w:rPr>
                <w:i/>
                <w:szCs w:val="17"/>
              </w:rPr>
              <w:t xml:space="preserve">Thomas </w:t>
            </w:r>
            <w:proofErr w:type="spellStart"/>
            <w:r>
              <w:rPr>
                <w:i/>
                <w:szCs w:val="17"/>
              </w:rPr>
              <w:t>Händel</w:t>
            </w:r>
            <w:proofErr w:type="spellEnd"/>
            <w:r>
              <w:rPr>
                <w:i/>
                <w:szCs w:val="17"/>
              </w:rPr>
              <w:t xml:space="preserve">, </w:t>
            </w:r>
            <w:proofErr w:type="spellStart"/>
            <w:r w:rsidR="00CD68AB" w:rsidRPr="00BA1EF6">
              <w:rPr>
                <w:i/>
                <w:szCs w:val="17"/>
              </w:rPr>
              <w:t>Sirpa</w:t>
            </w:r>
            <w:proofErr w:type="spellEnd"/>
            <w:r w:rsidR="00CD68AB" w:rsidRPr="00BA1EF6">
              <w:rPr>
                <w:i/>
                <w:szCs w:val="17"/>
              </w:rPr>
              <w:t xml:space="preserve"> </w:t>
            </w:r>
            <w:proofErr w:type="spellStart"/>
            <w:r w:rsidR="00CD68AB" w:rsidRPr="00BA1EF6">
              <w:rPr>
                <w:i/>
                <w:szCs w:val="17"/>
              </w:rPr>
              <w:t>Pietikäinen</w:t>
            </w:r>
            <w:proofErr w:type="spellEnd"/>
            <w:r w:rsidR="00CD68AB" w:rsidRPr="00BA1EF6">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38578F">
            <w:pPr>
              <w:pStyle w:val="CEABullet-Level3"/>
              <w:numPr>
                <w:ilvl w:val="0"/>
                <w:numId w:val="0"/>
              </w:numPr>
              <w:spacing w:before="60" w:after="60"/>
              <w:jc w:val="left"/>
              <w:rPr>
                <w:szCs w:val="17"/>
                <w:lang w:val="en-GB"/>
              </w:rPr>
            </w:pPr>
            <w:r>
              <w:rPr>
                <w:szCs w:val="17"/>
                <w:lang w:val="en-GB"/>
              </w:rPr>
              <w:t xml:space="preserve">Insurance Europe supports including a warning that past performance does not guarantee future outcomes because it completes consumer information. Past performance can indeed be misleading and therefore the exception foreseen in the EC proposal not to include past performance should be maintained. </w:t>
            </w:r>
          </w:p>
          <w:p w:rsidR="00AE544A" w:rsidRDefault="00AE544A" w:rsidP="0038578F">
            <w:pPr>
              <w:pStyle w:val="CEABullet-Level3"/>
              <w:numPr>
                <w:ilvl w:val="0"/>
                <w:numId w:val="0"/>
              </w:numPr>
              <w:spacing w:before="60" w:after="60"/>
              <w:jc w:val="left"/>
              <w:rPr>
                <w:szCs w:val="17"/>
                <w:lang w:val="en-GB"/>
              </w:rPr>
            </w:pPr>
          </w:p>
          <w:p w:rsidR="00CD68AB" w:rsidRPr="002D25F9" w:rsidRDefault="00CD68AB" w:rsidP="005674AA">
            <w:pPr>
              <w:pStyle w:val="CEABullet-Level1"/>
            </w:pPr>
            <w:r>
              <w:t xml:space="preserve">Insurance Europe supports AMT80 but opposes AMT79. </w:t>
            </w:r>
          </w:p>
        </w:tc>
      </w:tr>
      <w:tr w:rsidR="00CD68AB" w:rsidRPr="002D25F9" w:rsidTr="00BA1EF6">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rPr>
                <w:b/>
                <w:szCs w:val="17"/>
              </w:rPr>
            </w:pPr>
            <w:r>
              <w:rPr>
                <w:b/>
                <w:szCs w:val="17"/>
              </w:rPr>
              <w:t>AMT83</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pPr>
            <w:r>
              <w:t>Article 8-para.2-point h</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504092" w:rsidRDefault="00CD68AB" w:rsidP="007D7B52">
            <w:pPr>
              <w:spacing w:before="60" w:after="60"/>
              <w:jc w:val="center"/>
              <w:rPr>
                <w:i/>
                <w:szCs w:val="17"/>
              </w:rPr>
            </w:pPr>
            <w:proofErr w:type="spellStart"/>
            <w:r>
              <w:rPr>
                <w:i/>
                <w:szCs w:val="17"/>
              </w:rPr>
              <w:t>Mitro</w:t>
            </w:r>
            <w:proofErr w:type="spellEnd"/>
            <w:r>
              <w:rPr>
                <w:i/>
                <w:szCs w:val="17"/>
              </w:rPr>
              <w:t xml:space="preserve"> Repo </w:t>
            </w:r>
            <w:bookmarkStart w:id="0" w:name="_GoBack"/>
            <w:bookmarkEnd w:id="0"/>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45068">
            <w:pPr>
              <w:pStyle w:val="CEABullet-Level3"/>
              <w:numPr>
                <w:ilvl w:val="0"/>
                <w:numId w:val="0"/>
              </w:numPr>
              <w:spacing w:before="60" w:after="60"/>
              <w:rPr>
                <w:szCs w:val="17"/>
                <w:lang w:val="en-GB"/>
              </w:rPr>
            </w:pPr>
            <w:r>
              <w:rPr>
                <w:szCs w:val="17"/>
                <w:lang w:val="en-GB"/>
              </w:rPr>
              <w:t>Insurance Europe opposes the inclusion of pensions in the scope of PRIPs given the information document is not tailored to pension products which, unlike PRIPs products, specifically provide an income for retirement and they offer limited or no access to the savings during the accumulation phase. It is worthwhile examining how consumer information for individual pension products can be improved, building on the PRIPs initiative but pensions should not be forced into the untailored scope of PRIPs.</w:t>
            </w:r>
          </w:p>
          <w:p w:rsidR="00CD68AB" w:rsidRDefault="00CD68AB" w:rsidP="00645068">
            <w:pPr>
              <w:pStyle w:val="CEABullet-Level3"/>
              <w:numPr>
                <w:ilvl w:val="0"/>
                <w:numId w:val="0"/>
              </w:numPr>
              <w:spacing w:before="60" w:after="60"/>
              <w:rPr>
                <w:szCs w:val="17"/>
                <w:lang w:val="en-GB"/>
              </w:rPr>
            </w:pPr>
          </w:p>
          <w:p w:rsidR="00CD68AB" w:rsidRDefault="00CD68AB" w:rsidP="0089139C">
            <w:pPr>
              <w:pStyle w:val="CEABullet-Level1"/>
            </w:pPr>
            <w:r>
              <w:t>Insurance Europe opposes AMT83.</w:t>
            </w:r>
          </w:p>
        </w:tc>
      </w:tr>
      <w:tr w:rsidR="00CD68AB" w:rsidRPr="002D25F9" w:rsidTr="00BA1EF6">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2D25F9" w:rsidRDefault="00CD68AB" w:rsidP="00DF6F09">
            <w:pPr>
              <w:spacing w:before="60" w:after="60"/>
              <w:jc w:val="center"/>
              <w:rPr>
                <w:b/>
                <w:szCs w:val="17"/>
              </w:rPr>
            </w:pPr>
            <w:r>
              <w:rPr>
                <w:b/>
                <w:szCs w:val="17"/>
              </w:rPr>
              <w:t>AMT86</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2D25F9" w:rsidRDefault="00CD68AB" w:rsidP="00DF6F09">
            <w:pPr>
              <w:spacing w:before="60" w:after="60"/>
              <w:jc w:val="center"/>
            </w:pPr>
            <w:r>
              <w:t>Article 8-para.3</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2D25F9" w:rsidRDefault="00CD68AB" w:rsidP="00AE544A">
            <w:pPr>
              <w:spacing w:before="60" w:after="60"/>
              <w:jc w:val="center"/>
              <w:rPr>
                <w:i/>
                <w:szCs w:val="17"/>
              </w:rPr>
            </w:pPr>
            <w:r w:rsidRPr="00504092">
              <w:rPr>
                <w:i/>
                <w:szCs w:val="17"/>
              </w:rPr>
              <w:t xml:space="preserve">Thomas </w:t>
            </w:r>
            <w:proofErr w:type="spellStart"/>
            <w:r w:rsidRPr="00504092">
              <w:rPr>
                <w:i/>
                <w:szCs w:val="17"/>
              </w:rPr>
              <w:t>Händel</w:t>
            </w:r>
            <w:proofErr w:type="spellEnd"/>
            <w:r w:rsidRPr="00504092">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45068">
            <w:pPr>
              <w:pStyle w:val="CEABullet-Level3"/>
              <w:numPr>
                <w:ilvl w:val="0"/>
                <w:numId w:val="0"/>
              </w:numPr>
              <w:spacing w:before="60" w:after="60"/>
              <w:rPr>
                <w:szCs w:val="17"/>
                <w:lang w:val="en-GB"/>
              </w:rPr>
            </w:pPr>
            <w:r>
              <w:rPr>
                <w:szCs w:val="17"/>
                <w:lang w:val="en-GB"/>
              </w:rPr>
              <w:t xml:space="preserve">Insurance Europe opposes eliminating the possibility to include other information about the product, not included in the information sections set out in the PRIPs regulation. The KID, in its current form, lacks insurance specific product information. If no information heading addresses the insurance specific features of a product nor is there any possibility to include some of this information as additional information, the KID cannot be applied at insurance product level because it is not tailored to these products and is only suitable to the product’s underlying funds.  </w:t>
            </w:r>
          </w:p>
          <w:p w:rsidR="00CD68AB" w:rsidRDefault="00CD68AB" w:rsidP="0038578F">
            <w:pPr>
              <w:pStyle w:val="CEABullet-Level3"/>
              <w:numPr>
                <w:ilvl w:val="0"/>
                <w:numId w:val="0"/>
              </w:numPr>
              <w:spacing w:before="60" w:after="60"/>
              <w:jc w:val="left"/>
              <w:rPr>
                <w:szCs w:val="17"/>
                <w:lang w:val="en-GB"/>
              </w:rPr>
            </w:pPr>
          </w:p>
          <w:p w:rsidR="00CD68AB" w:rsidRPr="002D25F9" w:rsidRDefault="00CD68AB" w:rsidP="0038578F">
            <w:pPr>
              <w:pStyle w:val="CEABullet-Level1"/>
            </w:pPr>
            <w:r>
              <w:t>Insurance Europe opposes AMT86.</w:t>
            </w:r>
          </w:p>
        </w:tc>
      </w:tr>
      <w:tr w:rsidR="00CD68AB" w:rsidRPr="0038578F" w:rsidTr="002B423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Default="00CD68AB" w:rsidP="0087230E">
            <w:pPr>
              <w:spacing w:before="60" w:after="60"/>
              <w:jc w:val="center"/>
              <w:rPr>
                <w:b/>
                <w:szCs w:val="17"/>
              </w:rPr>
            </w:pPr>
            <w:r>
              <w:rPr>
                <w:b/>
                <w:szCs w:val="17"/>
              </w:rPr>
              <w:t>AMT89</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Default="00CD68AB" w:rsidP="0087230E">
            <w:pPr>
              <w:spacing w:before="60" w:after="60"/>
              <w:jc w:val="center"/>
            </w:pPr>
            <w:r>
              <w:t>Article</w:t>
            </w:r>
            <w:r w:rsidR="001B5C13">
              <w:t xml:space="preserve"> </w:t>
            </w:r>
            <w:r>
              <w:t>8-para.5</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FA5B89" w:rsidRDefault="00CD68AB" w:rsidP="00B976E0">
            <w:pPr>
              <w:spacing w:before="60" w:after="60"/>
              <w:jc w:val="center"/>
              <w:rPr>
                <w:i/>
                <w:szCs w:val="17"/>
              </w:rPr>
            </w:pPr>
            <w:r>
              <w:rPr>
                <w:i/>
                <w:szCs w:val="17"/>
              </w:rPr>
              <w:t xml:space="preserve">Thomas </w:t>
            </w:r>
            <w:proofErr w:type="spellStart"/>
            <w:r>
              <w:rPr>
                <w:i/>
                <w:szCs w:val="17"/>
              </w:rPr>
              <w:t>Händel</w:t>
            </w:r>
            <w:proofErr w:type="spellEnd"/>
            <w:r>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87230E">
            <w:pPr>
              <w:pStyle w:val="CEABullet-Level1"/>
              <w:numPr>
                <w:ilvl w:val="0"/>
                <w:numId w:val="0"/>
              </w:numPr>
              <w:jc w:val="left"/>
              <w:rPr>
                <w:lang w:val="en-GB"/>
              </w:rPr>
            </w:pPr>
            <w:r>
              <w:rPr>
                <w:lang w:val="en-GB"/>
              </w:rPr>
              <w:t xml:space="preserve">Insurance Europe opposes the requirement for the EC to develop a threefold traffic light system identifying the riskiness of a PRIP. Insurance Europe doubts whether three risk classes are sufficient to classify PRIPs, especially given UCITS funds, for example, have seven different risk classes. Including such a requirement in the regulation is therefore too prescriptive. </w:t>
            </w:r>
          </w:p>
          <w:p w:rsidR="00CD68AB" w:rsidRDefault="00CD68AB" w:rsidP="0087230E">
            <w:pPr>
              <w:pStyle w:val="CEABullet-Level1"/>
              <w:numPr>
                <w:ilvl w:val="0"/>
                <w:numId w:val="0"/>
              </w:numPr>
              <w:jc w:val="left"/>
              <w:rPr>
                <w:lang w:val="en-GB"/>
              </w:rPr>
            </w:pPr>
          </w:p>
          <w:p w:rsidR="00CD68AB" w:rsidRDefault="00CD68AB" w:rsidP="00A334BA">
            <w:pPr>
              <w:pStyle w:val="CEABullet-Level1"/>
              <w:rPr>
                <w:lang w:val="en-GB"/>
              </w:rPr>
            </w:pPr>
            <w:r>
              <w:rPr>
                <w:lang w:val="en-GB"/>
              </w:rPr>
              <w:t>Insurance Europe opposes AMT89.</w:t>
            </w:r>
          </w:p>
        </w:tc>
      </w:tr>
      <w:tr w:rsidR="00CD68AB" w:rsidRPr="0038578F" w:rsidTr="002B423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Pr="00FA5B89" w:rsidRDefault="00CD68AB" w:rsidP="0087230E">
            <w:pPr>
              <w:spacing w:before="60" w:after="60"/>
              <w:jc w:val="center"/>
              <w:rPr>
                <w:b/>
                <w:szCs w:val="17"/>
              </w:rPr>
            </w:pPr>
            <w:r>
              <w:rPr>
                <w:b/>
                <w:szCs w:val="17"/>
              </w:rPr>
              <w:lastRenderedPageBreak/>
              <w:t>AMT93</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Pr="00FA5B89" w:rsidRDefault="00CD68AB" w:rsidP="0087230E">
            <w:pPr>
              <w:spacing w:before="60" w:after="60"/>
              <w:jc w:val="center"/>
            </w:pPr>
            <w:r>
              <w:t>Article 11-para.1</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FA5B89" w:rsidRDefault="00CD68AB" w:rsidP="00AE544A">
            <w:pPr>
              <w:spacing w:before="60" w:after="60"/>
              <w:jc w:val="center"/>
              <w:rPr>
                <w:i/>
                <w:szCs w:val="17"/>
              </w:rPr>
            </w:pPr>
            <w:r w:rsidRPr="00FA5B89">
              <w:rPr>
                <w:i/>
                <w:szCs w:val="17"/>
              </w:rPr>
              <w:t xml:space="preserve">Thomas </w:t>
            </w:r>
            <w:proofErr w:type="spellStart"/>
            <w:r w:rsidRPr="00FA5B89">
              <w:rPr>
                <w:i/>
                <w:szCs w:val="17"/>
              </w:rPr>
              <w:t>Händel</w:t>
            </w:r>
            <w:proofErr w:type="spellEnd"/>
            <w:r w:rsidRPr="00FA5B89">
              <w:rPr>
                <w:i/>
                <w:szCs w:val="17"/>
              </w:rPr>
              <w:t xml:space="preserve">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87230E">
            <w:pPr>
              <w:pStyle w:val="CEABullet-Level1"/>
              <w:numPr>
                <w:ilvl w:val="0"/>
                <w:numId w:val="0"/>
              </w:numPr>
              <w:jc w:val="left"/>
              <w:rPr>
                <w:lang w:val="en-GB"/>
              </w:rPr>
            </w:pPr>
            <w:r>
              <w:rPr>
                <w:lang w:val="en-GB"/>
              </w:rPr>
              <w:t xml:space="preserve">Insurance Europe opposes introducing an additional sanction, </w:t>
            </w:r>
            <w:proofErr w:type="spellStart"/>
            <w:r>
              <w:rPr>
                <w:lang w:val="en-GB"/>
              </w:rPr>
              <w:t>ie</w:t>
            </w:r>
            <w:proofErr w:type="spellEnd"/>
            <w:r>
              <w:rPr>
                <w:lang w:val="en-GB"/>
              </w:rPr>
              <w:t xml:space="preserve"> the return of the investment product and refunding of the purchase price. Such sanction is disproportionate and could significantly affect companies.</w:t>
            </w:r>
          </w:p>
          <w:p w:rsidR="00CD68AB" w:rsidRDefault="00CD68AB" w:rsidP="007B787D">
            <w:pPr>
              <w:pStyle w:val="CEABullet-Level1"/>
              <w:numPr>
                <w:ilvl w:val="0"/>
                <w:numId w:val="0"/>
              </w:numPr>
              <w:tabs>
                <w:tab w:val="left" w:pos="7410"/>
              </w:tabs>
              <w:jc w:val="left"/>
              <w:rPr>
                <w:lang w:val="en-GB"/>
              </w:rPr>
            </w:pPr>
            <w:r>
              <w:rPr>
                <w:lang w:val="en-GB"/>
              </w:rPr>
              <w:tab/>
            </w:r>
          </w:p>
          <w:p w:rsidR="00CD68AB" w:rsidRPr="00FA5B89" w:rsidRDefault="00CD68AB" w:rsidP="001A6277">
            <w:pPr>
              <w:pStyle w:val="CEABullet-Level1"/>
              <w:rPr>
                <w:lang w:val="en-GB"/>
              </w:rPr>
            </w:pPr>
            <w:r>
              <w:rPr>
                <w:lang w:val="en-GB"/>
              </w:rPr>
              <w:t>Insurance Europe opposes AMT93.</w:t>
            </w:r>
          </w:p>
        </w:tc>
      </w:tr>
      <w:tr w:rsidR="00CD68AB" w:rsidRPr="00B45119" w:rsidTr="002B423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rPr>
                <w:b/>
                <w:szCs w:val="17"/>
                <w:lang w:val="fr-FR"/>
              </w:rPr>
            </w:pPr>
            <w:r>
              <w:rPr>
                <w:b/>
                <w:szCs w:val="17"/>
                <w:lang w:val="fr-FR"/>
              </w:rPr>
              <w:t>AMT148-149</w:t>
            </w:r>
          </w:p>
        </w:tc>
        <w:tc>
          <w:tcPr>
            <w:tcW w:w="1560" w:type="dxa"/>
            <w:tcBorders>
              <w:top w:val="single" w:sz="4" w:space="0" w:color="auto"/>
              <w:left w:val="single" w:sz="4" w:space="0" w:color="auto"/>
              <w:bottom w:val="single" w:sz="4" w:space="0" w:color="auto"/>
              <w:right w:val="single" w:sz="4" w:space="0" w:color="auto"/>
            </w:tcBorders>
            <w:vAlign w:val="center"/>
          </w:tcPr>
          <w:p w:rsidR="00CD68AB" w:rsidRDefault="00CD68AB" w:rsidP="00DF6F09">
            <w:pPr>
              <w:spacing w:before="60" w:after="60"/>
              <w:jc w:val="center"/>
              <w:rPr>
                <w:lang w:val="fr-FR"/>
              </w:rPr>
            </w:pPr>
            <w:r>
              <w:rPr>
                <w:lang w:val="fr-FR"/>
              </w:rPr>
              <w:t>Article 24-para.1 a (new), Article 24-para.1 b (new)</w:t>
            </w:r>
          </w:p>
        </w:tc>
        <w:tc>
          <w:tcPr>
            <w:tcW w:w="2552" w:type="dxa"/>
            <w:tcBorders>
              <w:top w:val="single" w:sz="4" w:space="0" w:color="auto"/>
              <w:left w:val="single" w:sz="4" w:space="0" w:color="auto"/>
              <w:bottom w:val="single" w:sz="4" w:space="0" w:color="auto"/>
              <w:right w:val="single" w:sz="4" w:space="0" w:color="auto"/>
            </w:tcBorders>
            <w:vAlign w:val="center"/>
          </w:tcPr>
          <w:p w:rsidR="00CD68AB" w:rsidRPr="002B4237" w:rsidRDefault="00CD68AB" w:rsidP="00AE544A">
            <w:pPr>
              <w:spacing w:before="60" w:after="60"/>
              <w:jc w:val="center"/>
              <w:rPr>
                <w:i/>
                <w:szCs w:val="17"/>
                <w:lang w:val="fr-FR"/>
              </w:rPr>
            </w:pPr>
            <w:r w:rsidRPr="002B4237">
              <w:rPr>
                <w:i/>
                <w:szCs w:val="17"/>
                <w:lang w:val="fr-FR"/>
              </w:rPr>
              <w:t xml:space="preserve">Olle Schmidt </w:t>
            </w:r>
          </w:p>
        </w:tc>
        <w:tc>
          <w:tcPr>
            <w:tcW w:w="10207" w:type="dxa"/>
            <w:tcBorders>
              <w:top w:val="single" w:sz="4" w:space="0" w:color="auto"/>
              <w:left w:val="single" w:sz="4" w:space="0" w:color="auto"/>
              <w:bottom w:val="single" w:sz="4" w:space="0" w:color="auto"/>
              <w:right w:val="single" w:sz="4" w:space="0" w:color="auto"/>
            </w:tcBorders>
          </w:tcPr>
          <w:p w:rsidR="00CD68AB" w:rsidRDefault="00CD68AB" w:rsidP="00645068">
            <w:pPr>
              <w:pStyle w:val="CEABullet-Level3"/>
              <w:numPr>
                <w:ilvl w:val="0"/>
                <w:numId w:val="0"/>
              </w:numPr>
              <w:spacing w:before="60" w:after="60"/>
              <w:rPr>
                <w:szCs w:val="17"/>
                <w:lang w:val="en-GB"/>
              </w:rPr>
            </w:pPr>
            <w:r w:rsidRPr="00B45119">
              <w:rPr>
                <w:szCs w:val="17"/>
                <w:lang w:val="en-GB"/>
              </w:rPr>
              <w:t xml:space="preserve">Insurance Europe opposes the exclusion </w:t>
            </w:r>
            <w:r>
              <w:rPr>
                <w:szCs w:val="17"/>
                <w:lang w:val="en-GB"/>
              </w:rPr>
              <w:t xml:space="preserve">of </w:t>
            </w:r>
            <w:r w:rsidRPr="00B45119">
              <w:rPr>
                <w:szCs w:val="17"/>
                <w:lang w:val="en-GB"/>
              </w:rPr>
              <w:t>product</w:t>
            </w:r>
            <w:r>
              <w:rPr>
                <w:szCs w:val="17"/>
                <w:lang w:val="en-GB"/>
              </w:rPr>
              <w:t>s</w:t>
            </w:r>
            <w:r w:rsidRPr="00B45119">
              <w:rPr>
                <w:szCs w:val="17"/>
                <w:lang w:val="en-GB"/>
              </w:rPr>
              <w:t xml:space="preserve"> subject to the UCITS directive following national legislation</w:t>
            </w:r>
            <w:r>
              <w:rPr>
                <w:szCs w:val="17"/>
                <w:lang w:val="en-GB"/>
              </w:rPr>
              <w:t>,</w:t>
            </w:r>
            <w:r w:rsidRPr="00B45119">
              <w:rPr>
                <w:szCs w:val="17"/>
                <w:lang w:val="en-GB"/>
              </w:rPr>
              <w:t xml:space="preserve"> from the </w:t>
            </w:r>
            <w:r>
              <w:rPr>
                <w:szCs w:val="17"/>
                <w:lang w:val="en-GB"/>
              </w:rPr>
              <w:t>scope of PRIPs. Insurance Europe believes the UCITS exemption, and proposed extension to further products, is detrimental to consumers as the parallel use of the PRIPs and UCITS information document negatively impacts comparability between products.</w:t>
            </w:r>
          </w:p>
          <w:p w:rsidR="00CD68AB" w:rsidRDefault="00CD68AB" w:rsidP="00B45119">
            <w:pPr>
              <w:pStyle w:val="CEABullet-Level3"/>
              <w:numPr>
                <w:ilvl w:val="0"/>
                <w:numId w:val="0"/>
              </w:numPr>
              <w:spacing w:before="60" w:after="60"/>
              <w:jc w:val="left"/>
              <w:rPr>
                <w:szCs w:val="17"/>
                <w:lang w:val="en-GB"/>
              </w:rPr>
            </w:pPr>
          </w:p>
          <w:p w:rsidR="00CD68AB" w:rsidRPr="00B45119" w:rsidRDefault="00CD68AB" w:rsidP="00B45119">
            <w:pPr>
              <w:pStyle w:val="CEABullet-Level1"/>
            </w:pPr>
            <w:r>
              <w:t>Insurance Europe opposes AMT148-149.</w:t>
            </w:r>
          </w:p>
        </w:tc>
      </w:tr>
    </w:tbl>
    <w:p w:rsidR="00074A39" w:rsidRDefault="00074A39" w:rsidP="00077701">
      <w:pPr>
        <w:spacing w:line="240" w:lineRule="auto"/>
        <w:jc w:val="left"/>
        <w:rPr>
          <w:rStyle w:val="CEAGraphTitle"/>
          <w:szCs w:val="17"/>
        </w:rPr>
      </w:pPr>
    </w:p>
    <w:sectPr w:rsidR="00074A39" w:rsidSect="00077701">
      <w:headerReference w:type="default" r:id="rId8"/>
      <w:footerReference w:type="default" r:id="rId9"/>
      <w:type w:val="continuous"/>
      <w:pgSz w:w="16839" w:h="11907" w:orient="landscape" w:code="9"/>
      <w:pgMar w:top="902" w:right="1418" w:bottom="1135" w:left="2410" w:header="1276"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3DD" w:rsidRDefault="00CF33DD">
      <w:r>
        <w:separator/>
      </w:r>
    </w:p>
    <w:p w:rsidR="00CF33DD" w:rsidRDefault="00CF33DD"/>
  </w:endnote>
  <w:endnote w:type="continuationSeparator" w:id="0">
    <w:p w:rsidR="00CF33DD" w:rsidRDefault="00CF33DD">
      <w:r>
        <w:continuationSeparator/>
      </w:r>
    </w:p>
    <w:p w:rsidR="00CF33DD" w:rsidRDefault="00CF33DD"/>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 Times"/>
    <w:panose1 w:val="02020603050405020304"/>
    <w:charset w:val="EE"/>
    <w:family w:val="roman"/>
    <w:pitch w:val="variable"/>
    <w:sig w:usb0="E0002AE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embedRegular r:id="rId1" w:fontKey="{1DF30FE0-1E01-4005-A215-07C656DCD813}"/>
    <w:embedBold r:id="rId2" w:fontKey="{030158A9-31B2-46B3-8B52-4BEAE2E8219C}"/>
    <w:embedItalic r:id="rId3" w:fontKey="{EC49ACF8-BF33-4CD2-9156-ED3D9214EF22}"/>
    <w:embedBoldItalic r:id="rId4" w:fontKey="{445FA5A0-E5E0-4CCA-A31F-6E2A86C16D2C}"/>
  </w:font>
  <w:font w:name="Frutiger LT Com 45 Light">
    <w:altName w:val="Corbel"/>
    <w:charset w:val="00"/>
    <w:family w:val="swiss"/>
    <w:pitch w:val="variable"/>
    <w:sig w:usb0="00000001" w:usb1="5000204A" w:usb2="00000000" w:usb3="00000000" w:csb0="0000009B"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ADEC4511-2476-4B81-B93A-20F6CA4E1460}"/>
  </w:font>
  <w:font w:name="Cambria">
    <w:panose1 w:val="02040503050406030204"/>
    <w:charset w:val="EE"/>
    <w:family w:val="roman"/>
    <w:pitch w:val="variable"/>
    <w:sig w:usb0="A00002EF" w:usb1="4000004B" w:usb2="00000000" w:usb3="00000000" w:csb0="0000009F" w:csb1="00000000"/>
    <w:embedRegular r:id="rId6" w:fontKey="{38C34041-B7C6-4BF4-A29D-482BBDEA92DB}"/>
  </w:font>
  <w:font w:name="Calibri">
    <w:panose1 w:val="020F0502020204030204"/>
    <w:charset w:val="EE"/>
    <w:family w:val="swiss"/>
    <w:pitch w:val="variable"/>
    <w:sig w:usb0="A00002EF" w:usb1="4000207B" w:usb2="00000000" w:usb3="00000000" w:csb0="0000009F" w:csb1="00000000"/>
    <w:embedRegular r:id="rId7" w:fontKey="{B201AE06-66B6-47C1-9D5D-26A197C4FB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4A1" w:rsidRPr="00CD51F6" w:rsidRDefault="009654A1" w:rsidP="00EF4577">
    <w:pPr>
      <w:pStyle w:val="Pta"/>
      <w:ind w:left="546"/>
      <w:rPr>
        <w:rFonts w:cs="Arial"/>
        <w:b/>
        <w:color w:val="0032FF"/>
        <w:sz w:val="16"/>
        <w:szCs w:val="16"/>
        <w:lang w:val="pt-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3DD" w:rsidRDefault="00CF33DD">
      <w:r>
        <w:separator/>
      </w:r>
    </w:p>
    <w:p w:rsidR="00CF33DD" w:rsidRDefault="00CF33DD"/>
  </w:footnote>
  <w:footnote w:type="continuationSeparator" w:id="0">
    <w:p w:rsidR="00CF33DD" w:rsidRDefault="00CF33DD">
      <w:r>
        <w:continuationSeparator/>
      </w:r>
    </w:p>
    <w:p w:rsidR="00CF33DD" w:rsidRDefault="00CF33D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4A1" w:rsidRPr="00CD51F6" w:rsidRDefault="009654A1" w:rsidP="000846C0">
    <w:pPr>
      <w:pStyle w:val="Noparagraphstyle"/>
      <w:jc w:val="right"/>
      <w:rPr>
        <w:rFonts w:ascii="Arial" w:hAnsi="Arial" w:cs="Arial"/>
        <w:i/>
        <w:iCs/>
        <w:color w:val="034EA2"/>
      </w:rPr>
    </w:pPr>
  </w:p>
  <w:p w:rsidR="009654A1" w:rsidRPr="007349E1" w:rsidRDefault="00164309" w:rsidP="007349E1">
    <w:pPr>
      <w:pStyle w:val="Hlavika"/>
      <w:tabs>
        <w:tab w:val="clear" w:pos="4320"/>
        <w:tab w:val="clear" w:pos="8640"/>
        <w:tab w:val="center" w:pos="0"/>
        <w:tab w:val="right" w:pos="10440"/>
      </w:tabs>
      <w:rPr>
        <w:b/>
        <w:sz w:val="40"/>
        <w:szCs w:val="40"/>
      </w:rPr>
    </w:pPr>
    <w:r w:rsidRPr="00164309">
      <w:rPr>
        <w:b/>
        <w:noProof/>
        <w:sz w:val="40"/>
        <w:szCs w:val="40"/>
        <w:lang w:val="sk-SK" w:eastAsia="sk-SK"/>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CEA - Bullets Rounded Squares_BulletLevel1_forMS"/>
      </v:shape>
    </w:pict>
  </w:numPicBullet>
  <w:numPicBullet w:numPicBulletId="1">
    <w:pict>
      <v:shape id="_x0000_i1059" type="#_x0000_t75" style="width:9pt;height:9pt" o:bullet="t">
        <v:imagedata r:id="rId2" o:title="CEA - Bullets Rounded Squares_BulletLevel3_forMS"/>
      </v:shape>
    </w:pict>
  </w:numPicBullet>
  <w:numPicBullet w:numPicBulletId="2">
    <w:pict>
      <v:shape id="_x0000_i1060"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9007F2A"/>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FD4E3424"/>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1EACF058"/>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C3960D8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slovanzoznam"/>
      <w:lvlText w:val="%1."/>
      <w:lvlJc w:val="left"/>
      <w:pPr>
        <w:tabs>
          <w:tab w:val="num" w:pos="360"/>
        </w:tabs>
        <w:ind w:left="360" w:hanging="360"/>
      </w:pPr>
    </w:lvl>
  </w:abstractNum>
  <w:abstractNum w:abstractNumId="9">
    <w:nsid w:val="FFFFFF89"/>
    <w:multiLevelType w:val="singleLevel"/>
    <w:tmpl w:val="4B14C1D8"/>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287677F8"/>
    <w:multiLevelType w:val="multilevel"/>
    <w:tmpl w:val="04090023"/>
    <w:styleLink w:val="lnokalebosekci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4">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2"/>
  </w:num>
  <w:num w:numId="14">
    <w:abstractNumId w:val="15"/>
  </w:num>
  <w:num w:numId="15">
    <w:abstractNumId w:val="13"/>
  </w:num>
  <w:num w:numId="16">
    <w:abstractNumId w:val="10"/>
  </w:num>
  <w:num w:numId="17">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8001"/>
  <w:stylePaneSortMethod w:val="0000"/>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rsids>
    <w:rsidRoot w:val="00CE7735"/>
    <w:rsid w:val="00000622"/>
    <w:rsid w:val="000011C1"/>
    <w:rsid w:val="00001EBB"/>
    <w:rsid w:val="000022C8"/>
    <w:rsid w:val="00004FA7"/>
    <w:rsid w:val="00006017"/>
    <w:rsid w:val="000068C3"/>
    <w:rsid w:val="00007EE6"/>
    <w:rsid w:val="00010B8A"/>
    <w:rsid w:val="0001224E"/>
    <w:rsid w:val="00022DFF"/>
    <w:rsid w:val="000233DD"/>
    <w:rsid w:val="00023FF8"/>
    <w:rsid w:val="00034910"/>
    <w:rsid w:val="000354FA"/>
    <w:rsid w:val="00035C6C"/>
    <w:rsid w:val="00037F19"/>
    <w:rsid w:val="00037FBF"/>
    <w:rsid w:val="00043095"/>
    <w:rsid w:val="00044495"/>
    <w:rsid w:val="00044ECB"/>
    <w:rsid w:val="000455FE"/>
    <w:rsid w:val="00047182"/>
    <w:rsid w:val="0004778B"/>
    <w:rsid w:val="00062772"/>
    <w:rsid w:val="00065779"/>
    <w:rsid w:val="00074937"/>
    <w:rsid w:val="00074A39"/>
    <w:rsid w:val="00076557"/>
    <w:rsid w:val="00077701"/>
    <w:rsid w:val="000810B2"/>
    <w:rsid w:val="000846C0"/>
    <w:rsid w:val="000869E1"/>
    <w:rsid w:val="0008722C"/>
    <w:rsid w:val="00087F5D"/>
    <w:rsid w:val="00091FFD"/>
    <w:rsid w:val="00093721"/>
    <w:rsid w:val="000942DF"/>
    <w:rsid w:val="0009470E"/>
    <w:rsid w:val="00094AED"/>
    <w:rsid w:val="00094F94"/>
    <w:rsid w:val="00095134"/>
    <w:rsid w:val="00096CE4"/>
    <w:rsid w:val="00096E89"/>
    <w:rsid w:val="000A3157"/>
    <w:rsid w:val="000A5C74"/>
    <w:rsid w:val="000B0B48"/>
    <w:rsid w:val="000B1B74"/>
    <w:rsid w:val="000B32DF"/>
    <w:rsid w:val="000C1585"/>
    <w:rsid w:val="000C1AD6"/>
    <w:rsid w:val="000C1F9D"/>
    <w:rsid w:val="000C2041"/>
    <w:rsid w:val="000D15A5"/>
    <w:rsid w:val="000D3234"/>
    <w:rsid w:val="000D47D8"/>
    <w:rsid w:val="000E12A5"/>
    <w:rsid w:val="000E1C9B"/>
    <w:rsid w:val="000E3B44"/>
    <w:rsid w:val="000E47C1"/>
    <w:rsid w:val="000F0A3A"/>
    <w:rsid w:val="000F1F78"/>
    <w:rsid w:val="000F296B"/>
    <w:rsid w:val="00100FC6"/>
    <w:rsid w:val="00106B9C"/>
    <w:rsid w:val="001071E9"/>
    <w:rsid w:val="00113142"/>
    <w:rsid w:val="00113305"/>
    <w:rsid w:val="00113F11"/>
    <w:rsid w:val="00120A99"/>
    <w:rsid w:val="00126148"/>
    <w:rsid w:val="001262D9"/>
    <w:rsid w:val="00127A6C"/>
    <w:rsid w:val="0013682A"/>
    <w:rsid w:val="00143C72"/>
    <w:rsid w:val="00146DE0"/>
    <w:rsid w:val="00154F0E"/>
    <w:rsid w:val="001603D7"/>
    <w:rsid w:val="00164309"/>
    <w:rsid w:val="001649DC"/>
    <w:rsid w:val="0017141D"/>
    <w:rsid w:val="00172CC0"/>
    <w:rsid w:val="00174598"/>
    <w:rsid w:val="00182068"/>
    <w:rsid w:val="00182700"/>
    <w:rsid w:val="0018311F"/>
    <w:rsid w:val="0018318B"/>
    <w:rsid w:val="00194820"/>
    <w:rsid w:val="00195A38"/>
    <w:rsid w:val="001964BE"/>
    <w:rsid w:val="0019669F"/>
    <w:rsid w:val="001A022F"/>
    <w:rsid w:val="001A0BB7"/>
    <w:rsid w:val="001A50F7"/>
    <w:rsid w:val="001A6277"/>
    <w:rsid w:val="001A75E9"/>
    <w:rsid w:val="001B0A3A"/>
    <w:rsid w:val="001B1E41"/>
    <w:rsid w:val="001B29F2"/>
    <w:rsid w:val="001B5C13"/>
    <w:rsid w:val="001B5D1B"/>
    <w:rsid w:val="001C0D41"/>
    <w:rsid w:val="001C0EE5"/>
    <w:rsid w:val="001D600E"/>
    <w:rsid w:val="001E0CCF"/>
    <w:rsid w:val="001F6433"/>
    <w:rsid w:val="001F6EFC"/>
    <w:rsid w:val="001F7A0C"/>
    <w:rsid w:val="001F7D5D"/>
    <w:rsid w:val="00200EEC"/>
    <w:rsid w:val="00200F6E"/>
    <w:rsid w:val="0020115F"/>
    <w:rsid w:val="00201751"/>
    <w:rsid w:val="00203504"/>
    <w:rsid w:val="002057DC"/>
    <w:rsid w:val="00205DE0"/>
    <w:rsid w:val="002062A6"/>
    <w:rsid w:val="00211FAE"/>
    <w:rsid w:val="002126F8"/>
    <w:rsid w:val="00214D71"/>
    <w:rsid w:val="002233C7"/>
    <w:rsid w:val="00226415"/>
    <w:rsid w:val="00231943"/>
    <w:rsid w:val="00234644"/>
    <w:rsid w:val="002349AC"/>
    <w:rsid w:val="00242E2D"/>
    <w:rsid w:val="00244031"/>
    <w:rsid w:val="0024630B"/>
    <w:rsid w:val="0024638B"/>
    <w:rsid w:val="00250A18"/>
    <w:rsid w:val="002531AA"/>
    <w:rsid w:val="002531B2"/>
    <w:rsid w:val="00253AD9"/>
    <w:rsid w:val="00254BC5"/>
    <w:rsid w:val="00263C3C"/>
    <w:rsid w:val="002644FF"/>
    <w:rsid w:val="00264FF8"/>
    <w:rsid w:val="002670C2"/>
    <w:rsid w:val="00275373"/>
    <w:rsid w:val="002801FD"/>
    <w:rsid w:val="00280821"/>
    <w:rsid w:val="002810CD"/>
    <w:rsid w:val="00281A6F"/>
    <w:rsid w:val="002820FB"/>
    <w:rsid w:val="002825EA"/>
    <w:rsid w:val="00283ADA"/>
    <w:rsid w:val="00290D37"/>
    <w:rsid w:val="00292DE8"/>
    <w:rsid w:val="00294C9D"/>
    <w:rsid w:val="00295E49"/>
    <w:rsid w:val="0029642B"/>
    <w:rsid w:val="002A10D8"/>
    <w:rsid w:val="002A26FA"/>
    <w:rsid w:val="002A5B60"/>
    <w:rsid w:val="002A5DA1"/>
    <w:rsid w:val="002A6E93"/>
    <w:rsid w:val="002A7B00"/>
    <w:rsid w:val="002A7D7C"/>
    <w:rsid w:val="002B30E8"/>
    <w:rsid w:val="002B4237"/>
    <w:rsid w:val="002B72A8"/>
    <w:rsid w:val="002C3275"/>
    <w:rsid w:val="002C35B0"/>
    <w:rsid w:val="002C3A0E"/>
    <w:rsid w:val="002C6607"/>
    <w:rsid w:val="002D142B"/>
    <w:rsid w:val="002D25F9"/>
    <w:rsid w:val="002D3146"/>
    <w:rsid w:val="002D7855"/>
    <w:rsid w:val="002E027B"/>
    <w:rsid w:val="002E0975"/>
    <w:rsid w:val="002E14A8"/>
    <w:rsid w:val="002E2F8B"/>
    <w:rsid w:val="002E5E12"/>
    <w:rsid w:val="002E5EDF"/>
    <w:rsid w:val="002E6CA2"/>
    <w:rsid w:val="002F0FBF"/>
    <w:rsid w:val="002F30BB"/>
    <w:rsid w:val="002F55BB"/>
    <w:rsid w:val="002F6802"/>
    <w:rsid w:val="00303D59"/>
    <w:rsid w:val="003059C9"/>
    <w:rsid w:val="0030649E"/>
    <w:rsid w:val="003102F1"/>
    <w:rsid w:val="00313C83"/>
    <w:rsid w:val="00316E19"/>
    <w:rsid w:val="00317DA0"/>
    <w:rsid w:val="0032023C"/>
    <w:rsid w:val="00322949"/>
    <w:rsid w:val="00331C99"/>
    <w:rsid w:val="00340958"/>
    <w:rsid w:val="00342398"/>
    <w:rsid w:val="0034517E"/>
    <w:rsid w:val="00345FDD"/>
    <w:rsid w:val="00351F64"/>
    <w:rsid w:val="00353F7E"/>
    <w:rsid w:val="003559C3"/>
    <w:rsid w:val="00355B82"/>
    <w:rsid w:val="00364327"/>
    <w:rsid w:val="00364C8C"/>
    <w:rsid w:val="00366851"/>
    <w:rsid w:val="003677EA"/>
    <w:rsid w:val="0037179D"/>
    <w:rsid w:val="00374464"/>
    <w:rsid w:val="003756BA"/>
    <w:rsid w:val="00375EB4"/>
    <w:rsid w:val="00376401"/>
    <w:rsid w:val="00384458"/>
    <w:rsid w:val="0038574A"/>
    <w:rsid w:val="0038578F"/>
    <w:rsid w:val="00387F65"/>
    <w:rsid w:val="003908E6"/>
    <w:rsid w:val="00390E2A"/>
    <w:rsid w:val="00391193"/>
    <w:rsid w:val="003944DA"/>
    <w:rsid w:val="00394BF7"/>
    <w:rsid w:val="003A0F7B"/>
    <w:rsid w:val="003A46B8"/>
    <w:rsid w:val="003A7E41"/>
    <w:rsid w:val="003B357D"/>
    <w:rsid w:val="003C2276"/>
    <w:rsid w:val="003C72E8"/>
    <w:rsid w:val="003D0347"/>
    <w:rsid w:val="003D0CCD"/>
    <w:rsid w:val="003D1833"/>
    <w:rsid w:val="003D1BDE"/>
    <w:rsid w:val="003E0007"/>
    <w:rsid w:val="003E0EC1"/>
    <w:rsid w:val="003E1AA5"/>
    <w:rsid w:val="003E1B09"/>
    <w:rsid w:val="003E30DD"/>
    <w:rsid w:val="003E36CF"/>
    <w:rsid w:val="003E37E8"/>
    <w:rsid w:val="003E3EFB"/>
    <w:rsid w:val="00400FD0"/>
    <w:rsid w:val="00404394"/>
    <w:rsid w:val="00404DAA"/>
    <w:rsid w:val="004109EA"/>
    <w:rsid w:val="0041161E"/>
    <w:rsid w:val="00411938"/>
    <w:rsid w:val="004140EB"/>
    <w:rsid w:val="0041481F"/>
    <w:rsid w:val="00415C70"/>
    <w:rsid w:val="00420FCF"/>
    <w:rsid w:val="004224DC"/>
    <w:rsid w:val="00430879"/>
    <w:rsid w:val="00437220"/>
    <w:rsid w:val="00442487"/>
    <w:rsid w:val="00447293"/>
    <w:rsid w:val="004516AC"/>
    <w:rsid w:val="00453D66"/>
    <w:rsid w:val="004552CC"/>
    <w:rsid w:val="004570EA"/>
    <w:rsid w:val="004575F9"/>
    <w:rsid w:val="00460326"/>
    <w:rsid w:val="0046412F"/>
    <w:rsid w:val="0046741D"/>
    <w:rsid w:val="00473B09"/>
    <w:rsid w:val="00474786"/>
    <w:rsid w:val="00477D81"/>
    <w:rsid w:val="004806C0"/>
    <w:rsid w:val="004808ED"/>
    <w:rsid w:val="004820CF"/>
    <w:rsid w:val="00483847"/>
    <w:rsid w:val="00483EE4"/>
    <w:rsid w:val="00494470"/>
    <w:rsid w:val="00495D24"/>
    <w:rsid w:val="00495D62"/>
    <w:rsid w:val="00496051"/>
    <w:rsid w:val="004972E4"/>
    <w:rsid w:val="004A0078"/>
    <w:rsid w:val="004A10DB"/>
    <w:rsid w:val="004A168A"/>
    <w:rsid w:val="004A20A4"/>
    <w:rsid w:val="004A2505"/>
    <w:rsid w:val="004A27AD"/>
    <w:rsid w:val="004A441C"/>
    <w:rsid w:val="004B2740"/>
    <w:rsid w:val="004B2BA5"/>
    <w:rsid w:val="004B45B7"/>
    <w:rsid w:val="004B6DBE"/>
    <w:rsid w:val="004B6FFC"/>
    <w:rsid w:val="004C3EB9"/>
    <w:rsid w:val="004C68DC"/>
    <w:rsid w:val="004C7ACC"/>
    <w:rsid w:val="004D2F99"/>
    <w:rsid w:val="004D72CC"/>
    <w:rsid w:val="004E0668"/>
    <w:rsid w:val="004E36D7"/>
    <w:rsid w:val="004E52C3"/>
    <w:rsid w:val="004E6337"/>
    <w:rsid w:val="004F2891"/>
    <w:rsid w:val="005017B3"/>
    <w:rsid w:val="0050195D"/>
    <w:rsid w:val="005019D3"/>
    <w:rsid w:val="00504092"/>
    <w:rsid w:val="0050432C"/>
    <w:rsid w:val="0050436A"/>
    <w:rsid w:val="0050522A"/>
    <w:rsid w:val="005053B8"/>
    <w:rsid w:val="00512C7C"/>
    <w:rsid w:val="00514535"/>
    <w:rsid w:val="00516FCD"/>
    <w:rsid w:val="00517FE2"/>
    <w:rsid w:val="00520BA1"/>
    <w:rsid w:val="0052539F"/>
    <w:rsid w:val="0052555D"/>
    <w:rsid w:val="005261EB"/>
    <w:rsid w:val="005306D6"/>
    <w:rsid w:val="00531D9D"/>
    <w:rsid w:val="00532614"/>
    <w:rsid w:val="00534F69"/>
    <w:rsid w:val="00535BEB"/>
    <w:rsid w:val="00540F05"/>
    <w:rsid w:val="00541E62"/>
    <w:rsid w:val="00542636"/>
    <w:rsid w:val="00542701"/>
    <w:rsid w:val="00544C54"/>
    <w:rsid w:val="0054630F"/>
    <w:rsid w:val="00546745"/>
    <w:rsid w:val="00547A29"/>
    <w:rsid w:val="00556765"/>
    <w:rsid w:val="00560448"/>
    <w:rsid w:val="00563911"/>
    <w:rsid w:val="005674AA"/>
    <w:rsid w:val="00567AC6"/>
    <w:rsid w:val="005705C7"/>
    <w:rsid w:val="005715F6"/>
    <w:rsid w:val="00575E24"/>
    <w:rsid w:val="00576EE4"/>
    <w:rsid w:val="00581B23"/>
    <w:rsid w:val="005913BF"/>
    <w:rsid w:val="00592B3B"/>
    <w:rsid w:val="00594BD0"/>
    <w:rsid w:val="005958C7"/>
    <w:rsid w:val="005A261D"/>
    <w:rsid w:val="005A4B6A"/>
    <w:rsid w:val="005A5A31"/>
    <w:rsid w:val="005A6190"/>
    <w:rsid w:val="005B26FC"/>
    <w:rsid w:val="005B3B48"/>
    <w:rsid w:val="005B3C3D"/>
    <w:rsid w:val="005B4CF7"/>
    <w:rsid w:val="005C0D74"/>
    <w:rsid w:val="005C2C81"/>
    <w:rsid w:val="005C5307"/>
    <w:rsid w:val="005D14DF"/>
    <w:rsid w:val="005D2139"/>
    <w:rsid w:val="005D224D"/>
    <w:rsid w:val="005D3770"/>
    <w:rsid w:val="005E055F"/>
    <w:rsid w:val="005E360A"/>
    <w:rsid w:val="005F3091"/>
    <w:rsid w:val="005F4358"/>
    <w:rsid w:val="005F598E"/>
    <w:rsid w:val="005F7B6A"/>
    <w:rsid w:val="0060175B"/>
    <w:rsid w:val="00601ECE"/>
    <w:rsid w:val="006029D8"/>
    <w:rsid w:val="00606966"/>
    <w:rsid w:val="006074CC"/>
    <w:rsid w:val="0061533A"/>
    <w:rsid w:val="006166C1"/>
    <w:rsid w:val="00620088"/>
    <w:rsid w:val="006261F2"/>
    <w:rsid w:val="00633549"/>
    <w:rsid w:val="00634ABE"/>
    <w:rsid w:val="006433FE"/>
    <w:rsid w:val="00645068"/>
    <w:rsid w:val="006461E4"/>
    <w:rsid w:val="00647002"/>
    <w:rsid w:val="00651372"/>
    <w:rsid w:val="006560D8"/>
    <w:rsid w:val="006573AB"/>
    <w:rsid w:val="00662632"/>
    <w:rsid w:val="006644C4"/>
    <w:rsid w:val="00665335"/>
    <w:rsid w:val="00666D90"/>
    <w:rsid w:val="00674028"/>
    <w:rsid w:val="00675E2C"/>
    <w:rsid w:val="0068296A"/>
    <w:rsid w:val="00683873"/>
    <w:rsid w:val="00685E93"/>
    <w:rsid w:val="00686649"/>
    <w:rsid w:val="006903EC"/>
    <w:rsid w:val="00690A26"/>
    <w:rsid w:val="0069219E"/>
    <w:rsid w:val="0069273B"/>
    <w:rsid w:val="00694554"/>
    <w:rsid w:val="006A3230"/>
    <w:rsid w:val="006B0B7F"/>
    <w:rsid w:val="006B3A45"/>
    <w:rsid w:val="006D0265"/>
    <w:rsid w:val="006D096C"/>
    <w:rsid w:val="006D0BD8"/>
    <w:rsid w:val="006D1113"/>
    <w:rsid w:val="006D155B"/>
    <w:rsid w:val="006D4719"/>
    <w:rsid w:val="006D79BF"/>
    <w:rsid w:val="006E34BD"/>
    <w:rsid w:val="006E3FB7"/>
    <w:rsid w:val="006E613D"/>
    <w:rsid w:val="006F2F66"/>
    <w:rsid w:val="006F6337"/>
    <w:rsid w:val="007016EB"/>
    <w:rsid w:val="00705738"/>
    <w:rsid w:val="00707B86"/>
    <w:rsid w:val="00710608"/>
    <w:rsid w:val="00712888"/>
    <w:rsid w:val="00714494"/>
    <w:rsid w:val="00722867"/>
    <w:rsid w:val="00723957"/>
    <w:rsid w:val="007244F3"/>
    <w:rsid w:val="00727D20"/>
    <w:rsid w:val="00731DB3"/>
    <w:rsid w:val="0073220E"/>
    <w:rsid w:val="007349E1"/>
    <w:rsid w:val="0073747B"/>
    <w:rsid w:val="0074020E"/>
    <w:rsid w:val="007405FE"/>
    <w:rsid w:val="00740784"/>
    <w:rsid w:val="00747CB3"/>
    <w:rsid w:val="00753709"/>
    <w:rsid w:val="007537B1"/>
    <w:rsid w:val="0075389D"/>
    <w:rsid w:val="00754A54"/>
    <w:rsid w:val="00756EAF"/>
    <w:rsid w:val="00774DC1"/>
    <w:rsid w:val="007750FF"/>
    <w:rsid w:val="00775D13"/>
    <w:rsid w:val="00777A2E"/>
    <w:rsid w:val="00785B8F"/>
    <w:rsid w:val="00791F10"/>
    <w:rsid w:val="007A30A4"/>
    <w:rsid w:val="007A6454"/>
    <w:rsid w:val="007A6D3C"/>
    <w:rsid w:val="007B0D69"/>
    <w:rsid w:val="007B392F"/>
    <w:rsid w:val="007B787D"/>
    <w:rsid w:val="007C10AC"/>
    <w:rsid w:val="007C4C35"/>
    <w:rsid w:val="007C5693"/>
    <w:rsid w:val="007C705A"/>
    <w:rsid w:val="007D0530"/>
    <w:rsid w:val="007D4361"/>
    <w:rsid w:val="007D5795"/>
    <w:rsid w:val="007D6220"/>
    <w:rsid w:val="007D7B52"/>
    <w:rsid w:val="007E3340"/>
    <w:rsid w:val="007E3EC4"/>
    <w:rsid w:val="007E41A3"/>
    <w:rsid w:val="007E5CA8"/>
    <w:rsid w:val="007E7781"/>
    <w:rsid w:val="007F1CB0"/>
    <w:rsid w:val="007F3C74"/>
    <w:rsid w:val="007F53B8"/>
    <w:rsid w:val="0080047E"/>
    <w:rsid w:val="00801A88"/>
    <w:rsid w:val="00804FD5"/>
    <w:rsid w:val="00805A0D"/>
    <w:rsid w:val="00810054"/>
    <w:rsid w:val="0081274D"/>
    <w:rsid w:val="008136E0"/>
    <w:rsid w:val="00813FF5"/>
    <w:rsid w:val="00816B7B"/>
    <w:rsid w:val="00816C52"/>
    <w:rsid w:val="00817E41"/>
    <w:rsid w:val="00820C9A"/>
    <w:rsid w:val="008224E9"/>
    <w:rsid w:val="00834FFA"/>
    <w:rsid w:val="0084632B"/>
    <w:rsid w:val="00846FB6"/>
    <w:rsid w:val="008554A3"/>
    <w:rsid w:val="008560E8"/>
    <w:rsid w:val="00857299"/>
    <w:rsid w:val="008641E8"/>
    <w:rsid w:val="00864F12"/>
    <w:rsid w:val="00872189"/>
    <w:rsid w:val="00881AFE"/>
    <w:rsid w:val="00884F7D"/>
    <w:rsid w:val="0089139C"/>
    <w:rsid w:val="008928BB"/>
    <w:rsid w:val="00892F3A"/>
    <w:rsid w:val="0089401C"/>
    <w:rsid w:val="0089477A"/>
    <w:rsid w:val="0089703C"/>
    <w:rsid w:val="0089761C"/>
    <w:rsid w:val="008A5396"/>
    <w:rsid w:val="008B53F1"/>
    <w:rsid w:val="008B5E70"/>
    <w:rsid w:val="008C0686"/>
    <w:rsid w:val="008C106D"/>
    <w:rsid w:val="008C3271"/>
    <w:rsid w:val="008C3A3F"/>
    <w:rsid w:val="008C4701"/>
    <w:rsid w:val="008D32A7"/>
    <w:rsid w:val="008D48F8"/>
    <w:rsid w:val="008D4D50"/>
    <w:rsid w:val="008D782E"/>
    <w:rsid w:val="008D7BC8"/>
    <w:rsid w:val="008E3270"/>
    <w:rsid w:val="008F4439"/>
    <w:rsid w:val="008F48AD"/>
    <w:rsid w:val="008F4905"/>
    <w:rsid w:val="008F4DF3"/>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307C"/>
    <w:rsid w:val="00924297"/>
    <w:rsid w:val="00932976"/>
    <w:rsid w:val="00933E4B"/>
    <w:rsid w:val="00933F44"/>
    <w:rsid w:val="009375A2"/>
    <w:rsid w:val="0094334C"/>
    <w:rsid w:val="00943EDC"/>
    <w:rsid w:val="00946CC2"/>
    <w:rsid w:val="00947B48"/>
    <w:rsid w:val="00952041"/>
    <w:rsid w:val="00955CB5"/>
    <w:rsid w:val="009574E7"/>
    <w:rsid w:val="00957DF2"/>
    <w:rsid w:val="00957E5D"/>
    <w:rsid w:val="0096519C"/>
    <w:rsid w:val="009652F3"/>
    <w:rsid w:val="009654A1"/>
    <w:rsid w:val="00966CBF"/>
    <w:rsid w:val="00967C31"/>
    <w:rsid w:val="009702D7"/>
    <w:rsid w:val="00972012"/>
    <w:rsid w:val="0097329E"/>
    <w:rsid w:val="0097345C"/>
    <w:rsid w:val="00974695"/>
    <w:rsid w:val="0098170D"/>
    <w:rsid w:val="009864CB"/>
    <w:rsid w:val="00987B2A"/>
    <w:rsid w:val="00987FBC"/>
    <w:rsid w:val="009B7083"/>
    <w:rsid w:val="009B7739"/>
    <w:rsid w:val="009C520E"/>
    <w:rsid w:val="009C6601"/>
    <w:rsid w:val="009D3F92"/>
    <w:rsid w:val="009E0B5C"/>
    <w:rsid w:val="009E1C04"/>
    <w:rsid w:val="009E1C73"/>
    <w:rsid w:val="009E510A"/>
    <w:rsid w:val="009F022D"/>
    <w:rsid w:val="009F03C9"/>
    <w:rsid w:val="009F0E4D"/>
    <w:rsid w:val="009F45DA"/>
    <w:rsid w:val="009F47E1"/>
    <w:rsid w:val="009F4F52"/>
    <w:rsid w:val="00A019E6"/>
    <w:rsid w:val="00A02279"/>
    <w:rsid w:val="00A0571A"/>
    <w:rsid w:val="00A05CEA"/>
    <w:rsid w:val="00A06A28"/>
    <w:rsid w:val="00A06EC9"/>
    <w:rsid w:val="00A07415"/>
    <w:rsid w:val="00A107DA"/>
    <w:rsid w:val="00A14119"/>
    <w:rsid w:val="00A20035"/>
    <w:rsid w:val="00A23C76"/>
    <w:rsid w:val="00A24497"/>
    <w:rsid w:val="00A334BA"/>
    <w:rsid w:val="00A3409F"/>
    <w:rsid w:val="00A34B65"/>
    <w:rsid w:val="00A4306D"/>
    <w:rsid w:val="00A44A0D"/>
    <w:rsid w:val="00A44EEF"/>
    <w:rsid w:val="00A45EA1"/>
    <w:rsid w:val="00A45EA5"/>
    <w:rsid w:val="00A45F7D"/>
    <w:rsid w:val="00A46610"/>
    <w:rsid w:val="00A5196B"/>
    <w:rsid w:val="00A55792"/>
    <w:rsid w:val="00A56B27"/>
    <w:rsid w:val="00A57571"/>
    <w:rsid w:val="00A57631"/>
    <w:rsid w:val="00A600AB"/>
    <w:rsid w:val="00A61790"/>
    <w:rsid w:val="00A63CC0"/>
    <w:rsid w:val="00A67294"/>
    <w:rsid w:val="00A677E9"/>
    <w:rsid w:val="00A678F8"/>
    <w:rsid w:val="00A714ED"/>
    <w:rsid w:val="00A76FD2"/>
    <w:rsid w:val="00A8130B"/>
    <w:rsid w:val="00A82035"/>
    <w:rsid w:val="00A841EE"/>
    <w:rsid w:val="00A84B61"/>
    <w:rsid w:val="00A86B48"/>
    <w:rsid w:val="00A9408A"/>
    <w:rsid w:val="00A948D4"/>
    <w:rsid w:val="00AA1E0B"/>
    <w:rsid w:val="00AA23BE"/>
    <w:rsid w:val="00AA3040"/>
    <w:rsid w:val="00AA5029"/>
    <w:rsid w:val="00AA5413"/>
    <w:rsid w:val="00AA753F"/>
    <w:rsid w:val="00AB148D"/>
    <w:rsid w:val="00AB7DE4"/>
    <w:rsid w:val="00AC1770"/>
    <w:rsid w:val="00AC73FB"/>
    <w:rsid w:val="00AD332E"/>
    <w:rsid w:val="00AD4B9B"/>
    <w:rsid w:val="00AD624C"/>
    <w:rsid w:val="00AD735F"/>
    <w:rsid w:val="00AD7F68"/>
    <w:rsid w:val="00AE0559"/>
    <w:rsid w:val="00AE2018"/>
    <w:rsid w:val="00AE544A"/>
    <w:rsid w:val="00AF3871"/>
    <w:rsid w:val="00AF3A07"/>
    <w:rsid w:val="00AF457F"/>
    <w:rsid w:val="00AF7019"/>
    <w:rsid w:val="00AF7A50"/>
    <w:rsid w:val="00B12089"/>
    <w:rsid w:val="00B1269A"/>
    <w:rsid w:val="00B14E82"/>
    <w:rsid w:val="00B15130"/>
    <w:rsid w:val="00B16FAE"/>
    <w:rsid w:val="00B2434E"/>
    <w:rsid w:val="00B278D9"/>
    <w:rsid w:val="00B316E4"/>
    <w:rsid w:val="00B41BAC"/>
    <w:rsid w:val="00B4429F"/>
    <w:rsid w:val="00B45119"/>
    <w:rsid w:val="00B45C93"/>
    <w:rsid w:val="00B50D4A"/>
    <w:rsid w:val="00B549F1"/>
    <w:rsid w:val="00B557FE"/>
    <w:rsid w:val="00B612D6"/>
    <w:rsid w:val="00B62C5B"/>
    <w:rsid w:val="00B64DA7"/>
    <w:rsid w:val="00B66118"/>
    <w:rsid w:val="00B668A7"/>
    <w:rsid w:val="00B673B7"/>
    <w:rsid w:val="00B6747E"/>
    <w:rsid w:val="00B72EEB"/>
    <w:rsid w:val="00B77A0B"/>
    <w:rsid w:val="00B77C4B"/>
    <w:rsid w:val="00B80FC4"/>
    <w:rsid w:val="00B84010"/>
    <w:rsid w:val="00B84551"/>
    <w:rsid w:val="00B85BAB"/>
    <w:rsid w:val="00B929A9"/>
    <w:rsid w:val="00B94B8A"/>
    <w:rsid w:val="00B96677"/>
    <w:rsid w:val="00B976E0"/>
    <w:rsid w:val="00BA0174"/>
    <w:rsid w:val="00BA0C9C"/>
    <w:rsid w:val="00BA104E"/>
    <w:rsid w:val="00BA1B6C"/>
    <w:rsid w:val="00BA1EF6"/>
    <w:rsid w:val="00BA2293"/>
    <w:rsid w:val="00BA424E"/>
    <w:rsid w:val="00BA751E"/>
    <w:rsid w:val="00BB09A2"/>
    <w:rsid w:val="00BB31C2"/>
    <w:rsid w:val="00BB3E93"/>
    <w:rsid w:val="00BB4445"/>
    <w:rsid w:val="00BB581B"/>
    <w:rsid w:val="00BB5CF1"/>
    <w:rsid w:val="00BB6F39"/>
    <w:rsid w:val="00BC2057"/>
    <w:rsid w:val="00BC2541"/>
    <w:rsid w:val="00BC37DA"/>
    <w:rsid w:val="00BC43B5"/>
    <w:rsid w:val="00BC5C3D"/>
    <w:rsid w:val="00BC6EA7"/>
    <w:rsid w:val="00BD0817"/>
    <w:rsid w:val="00BD211F"/>
    <w:rsid w:val="00BD3347"/>
    <w:rsid w:val="00BD38BB"/>
    <w:rsid w:val="00BD3FDA"/>
    <w:rsid w:val="00BD5C86"/>
    <w:rsid w:val="00BD70C1"/>
    <w:rsid w:val="00BD7265"/>
    <w:rsid w:val="00BD7E6E"/>
    <w:rsid w:val="00BE0D72"/>
    <w:rsid w:val="00BE2332"/>
    <w:rsid w:val="00BE71A7"/>
    <w:rsid w:val="00BE797B"/>
    <w:rsid w:val="00BF18A2"/>
    <w:rsid w:val="00BF2BD5"/>
    <w:rsid w:val="00BF36F5"/>
    <w:rsid w:val="00BF3A9C"/>
    <w:rsid w:val="00BF6216"/>
    <w:rsid w:val="00BF746C"/>
    <w:rsid w:val="00BF7A37"/>
    <w:rsid w:val="00C00FB0"/>
    <w:rsid w:val="00C060D1"/>
    <w:rsid w:val="00C118F5"/>
    <w:rsid w:val="00C14C59"/>
    <w:rsid w:val="00C20E7D"/>
    <w:rsid w:val="00C21EB9"/>
    <w:rsid w:val="00C23324"/>
    <w:rsid w:val="00C24175"/>
    <w:rsid w:val="00C24706"/>
    <w:rsid w:val="00C2697A"/>
    <w:rsid w:val="00C2768D"/>
    <w:rsid w:val="00C277B0"/>
    <w:rsid w:val="00C4206C"/>
    <w:rsid w:val="00C423FE"/>
    <w:rsid w:val="00C440C7"/>
    <w:rsid w:val="00C51E20"/>
    <w:rsid w:val="00C5581E"/>
    <w:rsid w:val="00C606AC"/>
    <w:rsid w:val="00C6152C"/>
    <w:rsid w:val="00C61DFE"/>
    <w:rsid w:val="00C66B70"/>
    <w:rsid w:val="00C712BF"/>
    <w:rsid w:val="00C727A5"/>
    <w:rsid w:val="00C77F3C"/>
    <w:rsid w:val="00C818FB"/>
    <w:rsid w:val="00C82E56"/>
    <w:rsid w:val="00C865C5"/>
    <w:rsid w:val="00C967E4"/>
    <w:rsid w:val="00C967E6"/>
    <w:rsid w:val="00CA26CE"/>
    <w:rsid w:val="00CA431B"/>
    <w:rsid w:val="00CA5E0D"/>
    <w:rsid w:val="00CA5F18"/>
    <w:rsid w:val="00CB1C74"/>
    <w:rsid w:val="00CB3C87"/>
    <w:rsid w:val="00CB535F"/>
    <w:rsid w:val="00CC045C"/>
    <w:rsid w:val="00CC2772"/>
    <w:rsid w:val="00CC6B3E"/>
    <w:rsid w:val="00CD0630"/>
    <w:rsid w:val="00CD1028"/>
    <w:rsid w:val="00CD2C2F"/>
    <w:rsid w:val="00CD51F6"/>
    <w:rsid w:val="00CD68AB"/>
    <w:rsid w:val="00CE1913"/>
    <w:rsid w:val="00CE2A40"/>
    <w:rsid w:val="00CE30FB"/>
    <w:rsid w:val="00CE5F76"/>
    <w:rsid w:val="00CE5FAC"/>
    <w:rsid w:val="00CE7735"/>
    <w:rsid w:val="00CF0221"/>
    <w:rsid w:val="00CF33DD"/>
    <w:rsid w:val="00CF4939"/>
    <w:rsid w:val="00CF642D"/>
    <w:rsid w:val="00CF7745"/>
    <w:rsid w:val="00D11161"/>
    <w:rsid w:val="00D1453C"/>
    <w:rsid w:val="00D1608F"/>
    <w:rsid w:val="00D20C53"/>
    <w:rsid w:val="00D2488B"/>
    <w:rsid w:val="00D30207"/>
    <w:rsid w:val="00D35D2F"/>
    <w:rsid w:val="00D36236"/>
    <w:rsid w:val="00D3715A"/>
    <w:rsid w:val="00D46C81"/>
    <w:rsid w:val="00D545D2"/>
    <w:rsid w:val="00D57303"/>
    <w:rsid w:val="00D6112A"/>
    <w:rsid w:val="00D61B2A"/>
    <w:rsid w:val="00D64530"/>
    <w:rsid w:val="00D66DB0"/>
    <w:rsid w:val="00D67B0B"/>
    <w:rsid w:val="00D73A39"/>
    <w:rsid w:val="00D74147"/>
    <w:rsid w:val="00D74E03"/>
    <w:rsid w:val="00D76EB5"/>
    <w:rsid w:val="00D82B7C"/>
    <w:rsid w:val="00D84F59"/>
    <w:rsid w:val="00D87907"/>
    <w:rsid w:val="00D93198"/>
    <w:rsid w:val="00D95951"/>
    <w:rsid w:val="00D95A83"/>
    <w:rsid w:val="00DA1FD8"/>
    <w:rsid w:val="00DA20F5"/>
    <w:rsid w:val="00DA384B"/>
    <w:rsid w:val="00DA41D4"/>
    <w:rsid w:val="00DA4631"/>
    <w:rsid w:val="00DA529D"/>
    <w:rsid w:val="00DB0207"/>
    <w:rsid w:val="00DB15EF"/>
    <w:rsid w:val="00DB1990"/>
    <w:rsid w:val="00DB340A"/>
    <w:rsid w:val="00DB6297"/>
    <w:rsid w:val="00DB62A7"/>
    <w:rsid w:val="00DB64E4"/>
    <w:rsid w:val="00DB6F74"/>
    <w:rsid w:val="00DB74B6"/>
    <w:rsid w:val="00DC10C2"/>
    <w:rsid w:val="00DC2178"/>
    <w:rsid w:val="00DC45F5"/>
    <w:rsid w:val="00DC6422"/>
    <w:rsid w:val="00DE2A0E"/>
    <w:rsid w:val="00DE58B3"/>
    <w:rsid w:val="00DF0C87"/>
    <w:rsid w:val="00DF0F56"/>
    <w:rsid w:val="00DF6F09"/>
    <w:rsid w:val="00E00D05"/>
    <w:rsid w:val="00E011B0"/>
    <w:rsid w:val="00E01A4C"/>
    <w:rsid w:val="00E02734"/>
    <w:rsid w:val="00E02931"/>
    <w:rsid w:val="00E04F43"/>
    <w:rsid w:val="00E05040"/>
    <w:rsid w:val="00E05A98"/>
    <w:rsid w:val="00E07959"/>
    <w:rsid w:val="00E07E9A"/>
    <w:rsid w:val="00E15837"/>
    <w:rsid w:val="00E166BA"/>
    <w:rsid w:val="00E16CD5"/>
    <w:rsid w:val="00E1779E"/>
    <w:rsid w:val="00E30A77"/>
    <w:rsid w:val="00E34DD6"/>
    <w:rsid w:val="00E41D99"/>
    <w:rsid w:val="00E4599E"/>
    <w:rsid w:val="00E55F1D"/>
    <w:rsid w:val="00E578A4"/>
    <w:rsid w:val="00E61627"/>
    <w:rsid w:val="00E6183A"/>
    <w:rsid w:val="00E61D60"/>
    <w:rsid w:val="00E61F4F"/>
    <w:rsid w:val="00E626E5"/>
    <w:rsid w:val="00E64846"/>
    <w:rsid w:val="00E65E25"/>
    <w:rsid w:val="00E7261A"/>
    <w:rsid w:val="00E77C1D"/>
    <w:rsid w:val="00E77E2F"/>
    <w:rsid w:val="00E826CD"/>
    <w:rsid w:val="00E854A6"/>
    <w:rsid w:val="00E922EE"/>
    <w:rsid w:val="00E9503A"/>
    <w:rsid w:val="00E96991"/>
    <w:rsid w:val="00E9752D"/>
    <w:rsid w:val="00E97AA7"/>
    <w:rsid w:val="00EA15EF"/>
    <w:rsid w:val="00EA46F9"/>
    <w:rsid w:val="00EA5252"/>
    <w:rsid w:val="00EB06B7"/>
    <w:rsid w:val="00EB1A45"/>
    <w:rsid w:val="00EB4D7C"/>
    <w:rsid w:val="00EC00B4"/>
    <w:rsid w:val="00EC03AD"/>
    <w:rsid w:val="00EC0D36"/>
    <w:rsid w:val="00EC39A4"/>
    <w:rsid w:val="00EC485E"/>
    <w:rsid w:val="00EC5E39"/>
    <w:rsid w:val="00EC5E5A"/>
    <w:rsid w:val="00EC7423"/>
    <w:rsid w:val="00EC7D8A"/>
    <w:rsid w:val="00ED6E55"/>
    <w:rsid w:val="00EE12C4"/>
    <w:rsid w:val="00EE62AA"/>
    <w:rsid w:val="00EE649C"/>
    <w:rsid w:val="00EE7D12"/>
    <w:rsid w:val="00EF3C22"/>
    <w:rsid w:val="00EF424D"/>
    <w:rsid w:val="00EF4577"/>
    <w:rsid w:val="00EF629C"/>
    <w:rsid w:val="00EF7A2A"/>
    <w:rsid w:val="00F01FFB"/>
    <w:rsid w:val="00F03124"/>
    <w:rsid w:val="00F060F5"/>
    <w:rsid w:val="00F06974"/>
    <w:rsid w:val="00F10156"/>
    <w:rsid w:val="00F14C7F"/>
    <w:rsid w:val="00F15625"/>
    <w:rsid w:val="00F25ED3"/>
    <w:rsid w:val="00F27607"/>
    <w:rsid w:val="00F30A23"/>
    <w:rsid w:val="00F311E9"/>
    <w:rsid w:val="00F3595B"/>
    <w:rsid w:val="00F42042"/>
    <w:rsid w:val="00F42178"/>
    <w:rsid w:val="00F4271C"/>
    <w:rsid w:val="00F46AEA"/>
    <w:rsid w:val="00F51339"/>
    <w:rsid w:val="00F517A2"/>
    <w:rsid w:val="00F51F7C"/>
    <w:rsid w:val="00F52B9D"/>
    <w:rsid w:val="00F530F7"/>
    <w:rsid w:val="00F530F8"/>
    <w:rsid w:val="00F5528C"/>
    <w:rsid w:val="00F55DAD"/>
    <w:rsid w:val="00F56AD9"/>
    <w:rsid w:val="00F57A02"/>
    <w:rsid w:val="00F63971"/>
    <w:rsid w:val="00F64A34"/>
    <w:rsid w:val="00F73BA5"/>
    <w:rsid w:val="00F7420A"/>
    <w:rsid w:val="00F748B5"/>
    <w:rsid w:val="00F74955"/>
    <w:rsid w:val="00F839A3"/>
    <w:rsid w:val="00F853BB"/>
    <w:rsid w:val="00F923DA"/>
    <w:rsid w:val="00F9332E"/>
    <w:rsid w:val="00F9355E"/>
    <w:rsid w:val="00FA2AC3"/>
    <w:rsid w:val="00FA4F1A"/>
    <w:rsid w:val="00FA53FE"/>
    <w:rsid w:val="00FA5B89"/>
    <w:rsid w:val="00FB1F09"/>
    <w:rsid w:val="00FB3B3D"/>
    <w:rsid w:val="00FB46B6"/>
    <w:rsid w:val="00FB5421"/>
    <w:rsid w:val="00FB6631"/>
    <w:rsid w:val="00FC0533"/>
    <w:rsid w:val="00FC236B"/>
    <w:rsid w:val="00FC558E"/>
    <w:rsid w:val="00FC7473"/>
    <w:rsid w:val="00FD5886"/>
    <w:rsid w:val="00FE03B6"/>
    <w:rsid w:val="00FE65BA"/>
    <w:rsid w:val="00FE73A8"/>
    <w:rsid w:val="00FE73D6"/>
    <w:rsid w:val="00FF11CA"/>
    <w:rsid w:val="00FF572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1071E9"/>
    <w:pPr>
      <w:spacing w:line="288" w:lineRule="auto"/>
      <w:jc w:val="both"/>
    </w:pPr>
    <w:rPr>
      <w:rFonts w:ascii="Verdana" w:hAnsi="Verdana"/>
      <w:sz w:val="17"/>
      <w:szCs w:val="24"/>
      <w:lang w:val="en-GB" w:eastAsia="en-US"/>
    </w:rPr>
  </w:style>
  <w:style w:type="paragraph" w:styleId="Nadpis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Nadpis2">
    <w:name w:val="heading 2"/>
    <w:basedOn w:val="Normlny"/>
    <w:next w:val="Normlny"/>
    <w:semiHidden/>
    <w:qFormat/>
    <w:rsid w:val="009654A1"/>
    <w:pPr>
      <w:keepNext/>
      <w:spacing w:after="220" w:line="240" w:lineRule="auto"/>
      <w:outlineLvl w:val="1"/>
    </w:pPr>
    <w:rPr>
      <w:rFonts w:cs="Arial"/>
      <w:b/>
      <w:bCs/>
      <w:iCs/>
      <w:sz w:val="22"/>
      <w:szCs w:val="28"/>
    </w:rPr>
  </w:style>
  <w:style w:type="paragraph" w:styleId="Nadpis3">
    <w:name w:val="heading 3"/>
    <w:basedOn w:val="Normlny"/>
    <w:next w:val="Normlny"/>
    <w:qFormat/>
    <w:rsid w:val="009654A1"/>
    <w:pPr>
      <w:keepNext/>
      <w:spacing w:line="240" w:lineRule="auto"/>
      <w:outlineLvl w:val="2"/>
    </w:pPr>
    <w:rPr>
      <w:rFonts w:cs="Arial"/>
      <w:b/>
      <w:bCs/>
      <w:szCs w:val="26"/>
    </w:rPr>
  </w:style>
  <w:style w:type="paragraph" w:styleId="Nadpis4">
    <w:name w:val="heading 4"/>
    <w:basedOn w:val="Normlny"/>
    <w:next w:val="Normlny"/>
    <w:semiHidden/>
    <w:rsid w:val="00B673B7"/>
    <w:pPr>
      <w:keepNext/>
      <w:spacing w:before="240" w:after="60"/>
      <w:outlineLvl w:val="3"/>
    </w:pPr>
    <w:rPr>
      <w:b/>
      <w:bCs/>
      <w:sz w:val="28"/>
      <w:szCs w:val="28"/>
    </w:rPr>
  </w:style>
  <w:style w:type="paragraph" w:styleId="Nadpis5">
    <w:name w:val="heading 5"/>
    <w:basedOn w:val="Normlny"/>
    <w:next w:val="Normlny"/>
    <w:semiHidden/>
    <w:rsid w:val="00B673B7"/>
    <w:pPr>
      <w:spacing w:before="240" w:after="60"/>
      <w:outlineLvl w:val="4"/>
    </w:pPr>
    <w:rPr>
      <w:b/>
      <w:bCs/>
      <w:i/>
      <w:iCs/>
      <w:sz w:val="26"/>
      <w:szCs w:val="26"/>
    </w:rPr>
  </w:style>
  <w:style w:type="paragraph" w:styleId="Nadpis6">
    <w:name w:val="heading 6"/>
    <w:basedOn w:val="Normlny"/>
    <w:next w:val="Normlny"/>
    <w:semiHidden/>
    <w:rsid w:val="00B673B7"/>
    <w:pPr>
      <w:spacing w:before="240" w:after="60"/>
      <w:outlineLvl w:val="5"/>
    </w:pPr>
    <w:rPr>
      <w:b/>
      <w:bCs/>
      <w:sz w:val="22"/>
      <w:szCs w:val="22"/>
    </w:rPr>
  </w:style>
  <w:style w:type="paragraph" w:styleId="Nadpis7">
    <w:name w:val="heading 7"/>
    <w:basedOn w:val="Normlny"/>
    <w:next w:val="Normlny"/>
    <w:semiHidden/>
    <w:rsid w:val="00B673B7"/>
    <w:pPr>
      <w:spacing w:before="240" w:after="60"/>
      <w:outlineLvl w:val="6"/>
    </w:pPr>
  </w:style>
  <w:style w:type="paragraph" w:styleId="Nadpis8">
    <w:name w:val="heading 8"/>
    <w:basedOn w:val="Normlny"/>
    <w:next w:val="Normlny"/>
    <w:semiHidden/>
    <w:rsid w:val="00B673B7"/>
    <w:pPr>
      <w:spacing w:before="240" w:after="60"/>
      <w:outlineLvl w:val="7"/>
    </w:pPr>
    <w:rPr>
      <w:i/>
      <w:iCs/>
    </w:rPr>
  </w:style>
  <w:style w:type="paragraph" w:styleId="Nadpis9">
    <w:name w:val="heading 9"/>
    <w:basedOn w:val="Normlny"/>
    <w:next w:val="Normlny"/>
    <w:semiHidden/>
    <w:rsid w:val="00B673B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semiHidden/>
    <w:rsid w:val="00B316E4"/>
    <w:pPr>
      <w:tabs>
        <w:tab w:val="center" w:pos="4320"/>
        <w:tab w:val="right" w:pos="8640"/>
      </w:tabs>
    </w:pPr>
  </w:style>
  <w:style w:type="paragraph" w:styleId="Pta">
    <w:name w:val="footer"/>
    <w:basedOn w:val="Normlny"/>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textovprepojenie">
    <w:name w:val="Hyperlink"/>
    <w:basedOn w:val="Predvolenpsmoodseku"/>
    <w:semiHidden/>
    <w:rsid w:val="004C7ACC"/>
    <w:rPr>
      <w:color w:val="0000FF"/>
      <w:u w:val="single"/>
    </w:rPr>
  </w:style>
  <w:style w:type="character" w:styleId="slostrany">
    <w:name w:val="page number"/>
    <w:basedOn w:val="Predvolenpsmoodseku"/>
    <w:semiHidden/>
    <w:rsid w:val="000846C0"/>
  </w:style>
  <w:style w:type="paragraph" w:styleId="Textbubliny">
    <w:name w:val="Balloon Text"/>
    <w:basedOn w:val="Normlny"/>
    <w:semiHidden/>
    <w:rsid w:val="00813FF5"/>
    <w:rPr>
      <w:rFonts w:ascii="Tahoma" w:hAnsi="Tahoma" w:cs="Tahoma"/>
      <w:sz w:val="16"/>
      <w:szCs w:val="16"/>
    </w:rPr>
  </w:style>
  <w:style w:type="paragraph" w:styleId="Textpoznmkypodiarou">
    <w:name w:val="footnote text"/>
    <w:basedOn w:val="Normlny"/>
    <w:semiHidden/>
    <w:rsid w:val="005D14DF"/>
    <w:rPr>
      <w:szCs w:val="20"/>
      <w:lang w:eastAsia="fr-FR"/>
    </w:rPr>
  </w:style>
  <w:style w:type="numbering" w:styleId="111111">
    <w:name w:val="Outline List 2"/>
    <w:basedOn w:val="Bezzoznamu"/>
    <w:semiHidden/>
    <w:rsid w:val="00B673B7"/>
    <w:pPr>
      <w:numPr>
        <w:numId w:val="11"/>
      </w:numPr>
    </w:pPr>
  </w:style>
  <w:style w:type="numbering" w:styleId="1ai">
    <w:name w:val="Outline List 1"/>
    <w:basedOn w:val="Bezzoznamu"/>
    <w:semiHidden/>
    <w:rsid w:val="00B673B7"/>
    <w:pPr>
      <w:numPr>
        <w:numId w:val="12"/>
      </w:numPr>
    </w:pPr>
  </w:style>
  <w:style w:type="numbering" w:styleId="lnokalebosekcia">
    <w:name w:val="Outline List 3"/>
    <w:basedOn w:val="Bezzoznamu"/>
    <w:semiHidden/>
    <w:rsid w:val="00B673B7"/>
    <w:pPr>
      <w:numPr>
        <w:numId w:val="13"/>
      </w:numPr>
    </w:pPr>
  </w:style>
  <w:style w:type="paragraph" w:styleId="Oznaitext">
    <w:name w:val="Block Text"/>
    <w:basedOn w:val="Normlny"/>
    <w:semiHidden/>
    <w:rsid w:val="00B673B7"/>
    <w:pPr>
      <w:spacing w:after="120"/>
      <w:ind w:left="1440" w:right="1440"/>
    </w:pPr>
  </w:style>
  <w:style w:type="paragraph" w:styleId="Zkladntext">
    <w:name w:val="Body Text"/>
    <w:basedOn w:val="Normlny"/>
    <w:semiHidden/>
    <w:rsid w:val="00B673B7"/>
    <w:pPr>
      <w:spacing w:after="120"/>
    </w:pPr>
  </w:style>
  <w:style w:type="paragraph" w:styleId="Zkladntext2">
    <w:name w:val="Body Text 2"/>
    <w:basedOn w:val="Normlny"/>
    <w:semiHidden/>
    <w:rsid w:val="00B673B7"/>
    <w:pPr>
      <w:spacing w:after="120" w:line="480" w:lineRule="auto"/>
    </w:pPr>
  </w:style>
  <w:style w:type="paragraph" w:styleId="Zkladntext3">
    <w:name w:val="Body Text 3"/>
    <w:basedOn w:val="Normlny"/>
    <w:semiHidden/>
    <w:rsid w:val="00B673B7"/>
    <w:pPr>
      <w:spacing w:after="120"/>
    </w:pPr>
    <w:rPr>
      <w:sz w:val="16"/>
      <w:szCs w:val="16"/>
    </w:rPr>
  </w:style>
  <w:style w:type="paragraph" w:styleId="Prvzarkazkladnhotextu">
    <w:name w:val="Body Text First Indent"/>
    <w:basedOn w:val="Zkladntext"/>
    <w:semiHidden/>
    <w:rsid w:val="00B673B7"/>
    <w:pPr>
      <w:ind w:firstLine="210"/>
    </w:pPr>
  </w:style>
  <w:style w:type="paragraph" w:styleId="Zarkazkladnhotextu">
    <w:name w:val="Body Text Indent"/>
    <w:basedOn w:val="Normlny"/>
    <w:semiHidden/>
    <w:rsid w:val="00B673B7"/>
    <w:pPr>
      <w:spacing w:after="120"/>
      <w:ind w:left="283"/>
    </w:pPr>
  </w:style>
  <w:style w:type="paragraph" w:styleId="Prvzarkazkladnhotextu2">
    <w:name w:val="Body Text First Indent 2"/>
    <w:basedOn w:val="Zarkazkladnhotextu"/>
    <w:semiHidden/>
    <w:rsid w:val="00B673B7"/>
    <w:pPr>
      <w:ind w:firstLine="210"/>
    </w:pPr>
  </w:style>
  <w:style w:type="paragraph" w:styleId="Zarkazkladnhotextu2">
    <w:name w:val="Body Text Indent 2"/>
    <w:basedOn w:val="Normlny"/>
    <w:semiHidden/>
    <w:rsid w:val="00B673B7"/>
    <w:pPr>
      <w:spacing w:after="120" w:line="480" w:lineRule="auto"/>
      <w:ind w:left="283"/>
    </w:pPr>
  </w:style>
  <w:style w:type="paragraph" w:styleId="Zarkazkladnhotextu3">
    <w:name w:val="Body Text Indent 3"/>
    <w:basedOn w:val="Normlny"/>
    <w:semiHidden/>
    <w:rsid w:val="00B673B7"/>
    <w:pPr>
      <w:spacing w:after="120"/>
      <w:ind w:left="283"/>
    </w:pPr>
    <w:rPr>
      <w:sz w:val="16"/>
      <w:szCs w:val="16"/>
    </w:rPr>
  </w:style>
  <w:style w:type="paragraph" w:styleId="Zver">
    <w:name w:val="Closing"/>
    <w:basedOn w:val="Normlny"/>
    <w:semiHidden/>
    <w:rsid w:val="00B673B7"/>
    <w:pPr>
      <w:ind w:left="4252"/>
    </w:pPr>
  </w:style>
  <w:style w:type="paragraph" w:styleId="Obyajntext">
    <w:name w:val="Plain Text"/>
    <w:basedOn w:val="Normlny"/>
    <w:semiHidden/>
    <w:rsid w:val="00B673B7"/>
    <w:rPr>
      <w:rFonts w:ascii="Courier New" w:hAnsi="Courier New" w:cs="Courier New"/>
      <w:szCs w:val="20"/>
    </w:rPr>
  </w:style>
  <w:style w:type="paragraph" w:styleId="Oslovenie">
    <w:name w:val="Salutation"/>
    <w:basedOn w:val="Normlny"/>
    <w:next w:val="Normlny"/>
    <w:semiHidden/>
    <w:rsid w:val="00B673B7"/>
  </w:style>
  <w:style w:type="paragraph" w:styleId="Podpis">
    <w:name w:val="Signature"/>
    <w:basedOn w:val="Normlny"/>
    <w:semiHidden/>
    <w:rsid w:val="00B673B7"/>
    <w:pPr>
      <w:ind w:left="4252"/>
    </w:pPr>
  </w:style>
  <w:style w:type="table" w:styleId="Tabukaspriestorovmiefektmi1">
    <w:name w:val="Table 3D effects 1"/>
    <w:basedOn w:val="Normlnatabuka"/>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
    <w:name w:val="Table Grid"/>
    <w:basedOn w:val="Normlnatabuka"/>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riekatabuky1">
    <w:name w:val="Table Grid 1"/>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tum">
    <w:name w:val="Date"/>
    <w:basedOn w:val="Normlny"/>
    <w:next w:val="Normlny"/>
    <w:semiHidden/>
    <w:rsid w:val="00B673B7"/>
  </w:style>
  <w:style w:type="paragraph" w:styleId="Podpise-mailu">
    <w:name w:val="E-mail Signature"/>
    <w:basedOn w:val="Normlny"/>
    <w:semiHidden/>
    <w:rsid w:val="00B673B7"/>
  </w:style>
  <w:style w:type="character" w:styleId="Zvraznenie">
    <w:name w:val="Emphasis"/>
    <w:basedOn w:val="Predvolenpsmoodseku"/>
    <w:semiHidden/>
    <w:qFormat/>
    <w:rsid w:val="009654A1"/>
    <w:rPr>
      <w:i/>
      <w:iCs/>
    </w:rPr>
  </w:style>
  <w:style w:type="paragraph" w:styleId="Adresanaoblke">
    <w:name w:val="envelope address"/>
    <w:basedOn w:val="Normlny"/>
    <w:semiHidden/>
    <w:rsid w:val="00B673B7"/>
    <w:pPr>
      <w:framePr w:w="7920" w:h="1980" w:hRule="exact" w:hSpace="180" w:wrap="auto" w:hAnchor="page" w:xAlign="center" w:yAlign="bottom"/>
      <w:ind w:left="2880"/>
    </w:pPr>
    <w:rPr>
      <w:rFonts w:ascii="Arial" w:hAnsi="Arial" w:cs="Arial"/>
    </w:rPr>
  </w:style>
  <w:style w:type="paragraph" w:styleId="Spiatonadresanaoblke">
    <w:name w:val="envelope return"/>
    <w:basedOn w:val="Normlny"/>
    <w:semiHidden/>
    <w:rsid w:val="00B673B7"/>
    <w:rPr>
      <w:rFonts w:ascii="Arial" w:hAnsi="Arial" w:cs="Arial"/>
      <w:szCs w:val="20"/>
    </w:rPr>
  </w:style>
  <w:style w:type="character" w:styleId="PouitHypertextovPrepojenie">
    <w:name w:val="FollowedHyperlink"/>
    <w:basedOn w:val="Predvolenpsmoodseku"/>
    <w:semiHidden/>
    <w:rsid w:val="00B673B7"/>
    <w:rPr>
      <w:color w:val="800080"/>
      <w:u w:val="single"/>
    </w:rPr>
  </w:style>
  <w:style w:type="character" w:styleId="SkratkaHTML">
    <w:name w:val="HTML Acronym"/>
    <w:basedOn w:val="Predvolenpsmoodseku"/>
    <w:semiHidden/>
    <w:rsid w:val="00B673B7"/>
  </w:style>
  <w:style w:type="paragraph" w:styleId="AdresaHTML">
    <w:name w:val="HTML Address"/>
    <w:basedOn w:val="Normlny"/>
    <w:semiHidden/>
    <w:rsid w:val="00B673B7"/>
    <w:rPr>
      <w:i/>
      <w:iCs/>
    </w:rPr>
  </w:style>
  <w:style w:type="character" w:styleId="CitciaHTML">
    <w:name w:val="HTML Cite"/>
    <w:basedOn w:val="Predvolenpsmoodseku"/>
    <w:semiHidden/>
    <w:rsid w:val="00B673B7"/>
    <w:rPr>
      <w:i/>
      <w:iCs/>
    </w:rPr>
  </w:style>
  <w:style w:type="character" w:styleId="KdHTML">
    <w:name w:val="HTML Code"/>
    <w:basedOn w:val="Predvolenpsmoodseku"/>
    <w:semiHidden/>
    <w:rsid w:val="00B673B7"/>
    <w:rPr>
      <w:rFonts w:ascii="Courier New" w:hAnsi="Courier New" w:cs="Courier New"/>
      <w:sz w:val="20"/>
      <w:szCs w:val="20"/>
    </w:rPr>
  </w:style>
  <w:style w:type="character" w:styleId="DefinciaHTML">
    <w:name w:val="HTML Definition"/>
    <w:basedOn w:val="Predvolenpsmoodseku"/>
    <w:semiHidden/>
    <w:rsid w:val="00B673B7"/>
    <w:rPr>
      <w:i/>
      <w:iCs/>
    </w:rPr>
  </w:style>
  <w:style w:type="character" w:styleId="KlvesnicaHTML">
    <w:name w:val="HTML Keyboard"/>
    <w:basedOn w:val="Predvolenpsmoodseku"/>
    <w:semiHidden/>
    <w:rsid w:val="00B673B7"/>
    <w:rPr>
      <w:rFonts w:ascii="Courier New" w:hAnsi="Courier New" w:cs="Courier New"/>
      <w:sz w:val="20"/>
      <w:szCs w:val="20"/>
    </w:rPr>
  </w:style>
  <w:style w:type="paragraph" w:styleId="PredformtovanHTML">
    <w:name w:val="HTML Preformatted"/>
    <w:basedOn w:val="Normlny"/>
    <w:semiHidden/>
    <w:rsid w:val="00B673B7"/>
    <w:rPr>
      <w:rFonts w:ascii="Courier New" w:hAnsi="Courier New" w:cs="Courier New"/>
      <w:szCs w:val="20"/>
    </w:rPr>
  </w:style>
  <w:style w:type="character" w:styleId="UkkaHTML">
    <w:name w:val="HTML Sample"/>
    <w:basedOn w:val="Predvolenpsmoodseku"/>
    <w:semiHidden/>
    <w:rsid w:val="00B673B7"/>
    <w:rPr>
      <w:rFonts w:ascii="Courier New" w:hAnsi="Courier New" w:cs="Courier New"/>
    </w:rPr>
  </w:style>
  <w:style w:type="character" w:styleId="PsacstrojHTML">
    <w:name w:val="HTML Typewriter"/>
    <w:basedOn w:val="Predvolenpsmoodseku"/>
    <w:semiHidden/>
    <w:rsid w:val="00B673B7"/>
    <w:rPr>
      <w:rFonts w:ascii="Courier New" w:hAnsi="Courier New" w:cs="Courier New"/>
      <w:sz w:val="20"/>
      <w:szCs w:val="20"/>
    </w:rPr>
  </w:style>
  <w:style w:type="character" w:styleId="PremennHTML">
    <w:name w:val="HTML Variable"/>
    <w:basedOn w:val="Predvolenpsmoodseku"/>
    <w:semiHidden/>
    <w:rsid w:val="00B673B7"/>
    <w:rPr>
      <w:i/>
      <w:iCs/>
    </w:rPr>
  </w:style>
  <w:style w:type="character" w:styleId="sloriadka">
    <w:name w:val="line number"/>
    <w:basedOn w:val="Predvolenpsmoodseku"/>
    <w:semiHidden/>
    <w:rsid w:val="00B673B7"/>
  </w:style>
  <w:style w:type="paragraph" w:styleId="Zoznam">
    <w:name w:val="List"/>
    <w:basedOn w:val="Normlny"/>
    <w:semiHidden/>
    <w:rsid w:val="00B673B7"/>
    <w:pPr>
      <w:ind w:left="283" w:hanging="283"/>
    </w:pPr>
  </w:style>
  <w:style w:type="paragraph" w:styleId="Zoznam2">
    <w:name w:val="List 2"/>
    <w:basedOn w:val="Normlny"/>
    <w:semiHidden/>
    <w:rsid w:val="00B673B7"/>
    <w:pPr>
      <w:ind w:left="566" w:hanging="283"/>
    </w:pPr>
  </w:style>
  <w:style w:type="paragraph" w:styleId="Zoznam3">
    <w:name w:val="List 3"/>
    <w:basedOn w:val="Normlny"/>
    <w:semiHidden/>
    <w:rsid w:val="00B673B7"/>
    <w:pPr>
      <w:ind w:left="849" w:hanging="283"/>
    </w:pPr>
  </w:style>
  <w:style w:type="paragraph" w:styleId="Zoznam4">
    <w:name w:val="List 4"/>
    <w:basedOn w:val="Normlny"/>
    <w:semiHidden/>
    <w:rsid w:val="00B673B7"/>
    <w:pPr>
      <w:ind w:left="1132" w:hanging="283"/>
    </w:pPr>
  </w:style>
  <w:style w:type="paragraph" w:styleId="Zoznam5">
    <w:name w:val="List 5"/>
    <w:basedOn w:val="Normlny"/>
    <w:semiHidden/>
    <w:rsid w:val="00B673B7"/>
    <w:pPr>
      <w:ind w:left="1415" w:hanging="283"/>
    </w:pPr>
  </w:style>
  <w:style w:type="paragraph" w:styleId="Zoznamsodrkami">
    <w:name w:val="List Bullet"/>
    <w:basedOn w:val="Normlny"/>
    <w:semiHidden/>
    <w:rsid w:val="00B673B7"/>
    <w:pPr>
      <w:numPr>
        <w:numId w:val="1"/>
      </w:numPr>
    </w:pPr>
  </w:style>
  <w:style w:type="paragraph" w:styleId="Zoznamsodrkami2">
    <w:name w:val="List Bullet 2"/>
    <w:basedOn w:val="Normlny"/>
    <w:semiHidden/>
    <w:rsid w:val="00B673B7"/>
    <w:pPr>
      <w:numPr>
        <w:numId w:val="2"/>
      </w:numPr>
    </w:pPr>
  </w:style>
  <w:style w:type="paragraph" w:styleId="Zoznamsodrkami3">
    <w:name w:val="List Bullet 3"/>
    <w:basedOn w:val="Normlny"/>
    <w:semiHidden/>
    <w:rsid w:val="00B673B7"/>
    <w:pPr>
      <w:numPr>
        <w:numId w:val="3"/>
      </w:numPr>
    </w:pPr>
  </w:style>
  <w:style w:type="paragraph" w:styleId="Zoznamsodrkami4">
    <w:name w:val="List Bullet 4"/>
    <w:basedOn w:val="Normlny"/>
    <w:semiHidden/>
    <w:rsid w:val="00B673B7"/>
    <w:pPr>
      <w:numPr>
        <w:numId w:val="4"/>
      </w:numPr>
    </w:pPr>
  </w:style>
  <w:style w:type="paragraph" w:styleId="Zoznamsodrkami5">
    <w:name w:val="List Bullet 5"/>
    <w:basedOn w:val="Normlny"/>
    <w:semiHidden/>
    <w:rsid w:val="00B673B7"/>
    <w:pPr>
      <w:numPr>
        <w:numId w:val="5"/>
      </w:numPr>
    </w:pPr>
  </w:style>
  <w:style w:type="paragraph" w:styleId="Pokraovaniezoznamu">
    <w:name w:val="List Continue"/>
    <w:basedOn w:val="Normlny"/>
    <w:semiHidden/>
    <w:rsid w:val="00B673B7"/>
    <w:pPr>
      <w:spacing w:after="120"/>
      <w:ind w:left="283"/>
    </w:pPr>
  </w:style>
  <w:style w:type="paragraph" w:styleId="Pokraovaniezoznamu2">
    <w:name w:val="List Continue 2"/>
    <w:basedOn w:val="Normlny"/>
    <w:semiHidden/>
    <w:rsid w:val="00B673B7"/>
    <w:pPr>
      <w:spacing w:after="120"/>
      <w:ind w:left="566"/>
    </w:pPr>
  </w:style>
  <w:style w:type="paragraph" w:styleId="Pokraovaniezoznamu3">
    <w:name w:val="List Continue 3"/>
    <w:basedOn w:val="Normlny"/>
    <w:semiHidden/>
    <w:rsid w:val="00B673B7"/>
    <w:pPr>
      <w:spacing w:after="120"/>
      <w:ind w:left="849"/>
    </w:pPr>
  </w:style>
  <w:style w:type="paragraph" w:styleId="Pokraovaniezoznamu4">
    <w:name w:val="List Continue 4"/>
    <w:basedOn w:val="Normlny"/>
    <w:semiHidden/>
    <w:rsid w:val="00B673B7"/>
    <w:pPr>
      <w:spacing w:after="120"/>
      <w:ind w:left="1132"/>
    </w:pPr>
  </w:style>
  <w:style w:type="paragraph" w:styleId="Pokraovaniezoznamu5">
    <w:name w:val="List Continue 5"/>
    <w:basedOn w:val="Normlny"/>
    <w:semiHidden/>
    <w:rsid w:val="00B673B7"/>
    <w:pPr>
      <w:spacing w:after="120"/>
      <w:ind w:left="1415"/>
    </w:pPr>
  </w:style>
  <w:style w:type="paragraph" w:styleId="slovanzoznam">
    <w:name w:val="List Number"/>
    <w:basedOn w:val="Normlny"/>
    <w:semiHidden/>
    <w:rsid w:val="00B673B7"/>
    <w:pPr>
      <w:numPr>
        <w:numId w:val="6"/>
      </w:numPr>
    </w:pPr>
  </w:style>
  <w:style w:type="paragraph" w:styleId="slovanzoznam2">
    <w:name w:val="List Number 2"/>
    <w:basedOn w:val="Normlny"/>
    <w:semiHidden/>
    <w:rsid w:val="00B673B7"/>
    <w:pPr>
      <w:numPr>
        <w:numId w:val="7"/>
      </w:numPr>
    </w:pPr>
  </w:style>
  <w:style w:type="paragraph" w:styleId="slovanzoznam3">
    <w:name w:val="List Number 3"/>
    <w:basedOn w:val="Normlny"/>
    <w:semiHidden/>
    <w:rsid w:val="00B673B7"/>
    <w:pPr>
      <w:numPr>
        <w:numId w:val="8"/>
      </w:numPr>
    </w:pPr>
  </w:style>
  <w:style w:type="paragraph" w:styleId="slovanzoznam4">
    <w:name w:val="List Number 4"/>
    <w:basedOn w:val="Normlny"/>
    <w:semiHidden/>
    <w:rsid w:val="00B673B7"/>
    <w:pPr>
      <w:numPr>
        <w:numId w:val="9"/>
      </w:numPr>
    </w:pPr>
  </w:style>
  <w:style w:type="paragraph" w:styleId="slovanzoznam5">
    <w:name w:val="List Number 5"/>
    <w:basedOn w:val="Normlny"/>
    <w:semiHidden/>
    <w:rsid w:val="00B673B7"/>
    <w:pPr>
      <w:numPr>
        <w:numId w:val="10"/>
      </w:numPr>
    </w:pPr>
  </w:style>
  <w:style w:type="paragraph" w:styleId="Hlavikasprvy">
    <w:name w:val="Message Header"/>
    <w:basedOn w:val="Normlny"/>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semiHidden/>
    <w:rsid w:val="00B673B7"/>
  </w:style>
  <w:style w:type="paragraph" w:styleId="Normlnysozarkami">
    <w:name w:val="Normal Indent"/>
    <w:basedOn w:val="Normlny"/>
    <w:semiHidden/>
    <w:rsid w:val="00B673B7"/>
    <w:pPr>
      <w:ind w:left="720"/>
    </w:pPr>
  </w:style>
  <w:style w:type="paragraph" w:styleId="Nadpispoznmky">
    <w:name w:val="Note Heading"/>
    <w:basedOn w:val="Normlny"/>
    <w:next w:val="Normlny"/>
    <w:semiHidden/>
    <w:rsid w:val="00B673B7"/>
  </w:style>
  <w:style w:type="character" w:styleId="Odkaznapoznmkupodiarou">
    <w:name w:val="footnote reference"/>
    <w:basedOn w:val="Predvolenpsmoodseku"/>
    <w:semiHidden/>
    <w:rsid w:val="005D14DF"/>
    <w:rPr>
      <w:vertAlign w:val="superscript"/>
    </w:rPr>
  </w:style>
  <w:style w:type="paragraph" w:customStyle="1" w:styleId="Heading1CEA">
    <w:name w:val="Heading 1 (CEA)"/>
    <w:basedOn w:val="Normlny"/>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Predvolenpsmoodseku"/>
    <w:link w:val="Heading1CEA"/>
    <w:rsid w:val="00A9408A"/>
    <w:rPr>
      <w:rFonts w:ascii="Arial" w:hAnsi="Arial"/>
      <w:b/>
      <w:color w:val="034EA2"/>
      <w:sz w:val="32"/>
      <w:szCs w:val="32"/>
      <w:lang w:val="en-US" w:eastAsia="en-US" w:bidi="ar-SA"/>
    </w:rPr>
  </w:style>
  <w:style w:type="paragraph" w:customStyle="1" w:styleId="Heading2CEA">
    <w:name w:val="Heading 2 (CEA)"/>
    <w:basedOn w:val="Normlny"/>
    <w:semiHidden/>
    <w:rsid w:val="00A9408A"/>
    <w:pPr>
      <w:autoSpaceDE w:val="0"/>
      <w:autoSpaceDN w:val="0"/>
      <w:adjustRightInd w:val="0"/>
    </w:pPr>
    <w:rPr>
      <w:rFonts w:ascii="Arial" w:hAnsi="Arial"/>
      <w:sz w:val="28"/>
      <w:szCs w:val="28"/>
    </w:rPr>
  </w:style>
  <w:style w:type="character" w:styleId="Odkaznakomentr">
    <w:name w:val="annotation reference"/>
    <w:basedOn w:val="Predvolenpsmoodseku"/>
    <w:semiHidden/>
    <w:rsid w:val="00517FE2"/>
    <w:rPr>
      <w:sz w:val="16"/>
      <w:szCs w:val="16"/>
    </w:rPr>
  </w:style>
  <w:style w:type="paragraph" w:styleId="Textkomentra">
    <w:name w:val="annotation text"/>
    <w:basedOn w:val="Normlny"/>
    <w:semiHidden/>
    <w:rsid w:val="00517FE2"/>
    <w:rPr>
      <w:szCs w:val="20"/>
    </w:rPr>
  </w:style>
  <w:style w:type="paragraph" w:styleId="Predmetkomentra">
    <w:name w:val="annotation subject"/>
    <w:basedOn w:val="Textkomentra"/>
    <w:next w:val="Textkomentra"/>
    <w:semiHidden/>
    <w:rsid w:val="00517FE2"/>
    <w:rPr>
      <w:b/>
      <w:bCs/>
    </w:rPr>
  </w:style>
  <w:style w:type="paragraph" w:customStyle="1" w:styleId="CEALabel">
    <w:name w:val="CEA Label"/>
    <w:basedOn w:val="Normlny"/>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lny"/>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lny"/>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lny"/>
    <w:semiHidden/>
    <w:qFormat/>
    <w:rsid w:val="009654A1"/>
    <w:rPr>
      <w:rFonts w:cs="Arial"/>
      <w:b/>
      <w:szCs w:val="20"/>
    </w:rPr>
  </w:style>
  <w:style w:type="character" w:customStyle="1" w:styleId="CEAGraphX">
    <w:name w:val="CEA Graph X"/>
    <w:basedOn w:val="Predvolenpsmoodseku"/>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lny"/>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lny"/>
    <w:semiHidden/>
    <w:qFormat/>
    <w:rsid w:val="009654A1"/>
    <w:pPr>
      <w:spacing w:line="240" w:lineRule="auto"/>
    </w:pPr>
    <w:rPr>
      <w:sz w:val="16"/>
    </w:rPr>
  </w:style>
  <w:style w:type="paragraph" w:customStyle="1" w:styleId="CEABullet-Level1">
    <w:name w:val="CEA Bullet - Level 1"/>
    <w:basedOn w:val="Normlny"/>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lny"/>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71E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s>
</file>

<file path=word/webSettings.xml><?xml version="1.0" encoding="utf-8"?>
<w:webSettings xmlns:r="http://schemas.openxmlformats.org/officeDocument/2006/relationships" xmlns:w="http://schemas.openxmlformats.org/wordprocessingml/2006/main">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843056476">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07F27-3EA1-4344-ACCB-C57C26B0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1</TotalTime>
  <Pages>6</Pages>
  <Words>1644</Words>
  <Characters>10030</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11651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Malene Rasmussen</dc:creator>
  <cp:lastModifiedBy>lehotska</cp:lastModifiedBy>
  <cp:revision>2</cp:revision>
  <cp:lastPrinted>2013-02-14T09:37:00Z</cp:lastPrinted>
  <dcterms:created xsi:type="dcterms:W3CDTF">2013-02-21T07:22:00Z</dcterms:created>
  <dcterms:modified xsi:type="dcterms:W3CDTF">2013-02-21T07:22:00Z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malener</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