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735" w:rsidRPr="00856C00" w:rsidRDefault="00CE7735" w:rsidP="00CE7735">
      <w:pPr>
        <w:spacing w:before="60" w:after="60" w:line="240" w:lineRule="auto"/>
        <w:jc w:val="center"/>
        <w:rPr>
          <w:b/>
          <w:szCs w:val="17"/>
        </w:rPr>
      </w:pPr>
      <w:r w:rsidRPr="00856C00">
        <w:rPr>
          <w:b/>
          <w:szCs w:val="17"/>
        </w:rPr>
        <w:t>Insurance Europe’s comments on</w:t>
      </w:r>
    </w:p>
    <w:p w:rsidR="00CE7735" w:rsidRPr="00856C00" w:rsidRDefault="00CE7735" w:rsidP="00CE7735">
      <w:pPr>
        <w:spacing w:before="60" w:after="60" w:line="240" w:lineRule="auto"/>
        <w:jc w:val="center"/>
        <w:rPr>
          <w:szCs w:val="17"/>
        </w:rPr>
      </w:pPr>
      <w:proofErr w:type="gramStart"/>
      <w:r w:rsidRPr="00856C00">
        <w:rPr>
          <w:szCs w:val="17"/>
        </w:rPr>
        <w:t>the</w:t>
      </w:r>
      <w:proofErr w:type="gramEnd"/>
      <w:r w:rsidRPr="00856C00">
        <w:rPr>
          <w:szCs w:val="17"/>
        </w:rPr>
        <w:t xml:space="preserve"> amendments (</w:t>
      </w:r>
      <w:r w:rsidR="004140EB" w:rsidRPr="00856C00">
        <w:rPr>
          <w:szCs w:val="17"/>
        </w:rPr>
        <w:t>v</w:t>
      </w:r>
      <w:r w:rsidRPr="00856C00">
        <w:rPr>
          <w:szCs w:val="17"/>
        </w:rPr>
        <w:t>ersion</w:t>
      </w:r>
      <w:r w:rsidR="00316E19" w:rsidRPr="00856C00">
        <w:rPr>
          <w:szCs w:val="17"/>
        </w:rPr>
        <w:t xml:space="preserve"> </w:t>
      </w:r>
      <w:r w:rsidR="008928BB" w:rsidRPr="00856C00">
        <w:rPr>
          <w:szCs w:val="17"/>
        </w:rPr>
        <w:t xml:space="preserve">of </w:t>
      </w:r>
      <w:r w:rsidR="00F923DA" w:rsidRPr="00856C00">
        <w:rPr>
          <w:szCs w:val="17"/>
        </w:rPr>
        <w:t>30</w:t>
      </w:r>
      <w:r w:rsidR="008928BB" w:rsidRPr="00856C00">
        <w:rPr>
          <w:szCs w:val="17"/>
        </w:rPr>
        <w:t xml:space="preserve"> January 2013</w:t>
      </w:r>
      <w:r w:rsidRPr="00856C00">
        <w:rPr>
          <w:szCs w:val="17"/>
        </w:rPr>
        <w:t xml:space="preserve">) to </w:t>
      </w:r>
      <w:r w:rsidR="00316E19" w:rsidRPr="00856C00">
        <w:rPr>
          <w:szCs w:val="17"/>
        </w:rPr>
        <w:t xml:space="preserve">the EP </w:t>
      </w:r>
      <w:r w:rsidR="00F923DA" w:rsidRPr="00856C00">
        <w:rPr>
          <w:szCs w:val="17"/>
        </w:rPr>
        <w:t xml:space="preserve">IMCO </w:t>
      </w:r>
      <w:r w:rsidR="00316E19" w:rsidRPr="00856C00">
        <w:rPr>
          <w:szCs w:val="17"/>
        </w:rPr>
        <w:t>Committee’s</w:t>
      </w:r>
      <w:r w:rsidRPr="00856C00">
        <w:rPr>
          <w:szCs w:val="17"/>
        </w:rPr>
        <w:t xml:space="preserve"> draft </w:t>
      </w:r>
      <w:r w:rsidR="00F923DA" w:rsidRPr="00856C00">
        <w:rPr>
          <w:szCs w:val="17"/>
        </w:rPr>
        <w:t>opinion</w:t>
      </w:r>
      <w:r w:rsidRPr="00856C00">
        <w:rPr>
          <w:szCs w:val="17"/>
        </w:rPr>
        <w:t xml:space="preserve"> </w:t>
      </w:r>
    </w:p>
    <w:p w:rsidR="00CE7735" w:rsidRPr="00856C00" w:rsidRDefault="00CE7735" w:rsidP="00CE7735">
      <w:pPr>
        <w:spacing w:before="60" w:after="60" w:line="240" w:lineRule="auto"/>
        <w:jc w:val="center"/>
        <w:rPr>
          <w:szCs w:val="17"/>
        </w:rPr>
      </w:pPr>
      <w:proofErr w:type="gramStart"/>
      <w:r w:rsidRPr="00856C00">
        <w:rPr>
          <w:b/>
          <w:szCs w:val="17"/>
        </w:rPr>
        <w:t>on</w:t>
      </w:r>
      <w:proofErr w:type="gramEnd"/>
      <w:r w:rsidRPr="00856C00">
        <w:rPr>
          <w:b/>
          <w:szCs w:val="17"/>
        </w:rPr>
        <w:t xml:space="preserve"> </w:t>
      </w:r>
      <w:r w:rsidR="00F923DA" w:rsidRPr="00856C00">
        <w:rPr>
          <w:b/>
          <w:szCs w:val="17"/>
        </w:rPr>
        <w:t>the proposal for a directive of the European Parliament and of the Council on insurance mediation</w:t>
      </w:r>
      <w:r w:rsidR="00316E19" w:rsidRPr="00856C00">
        <w:rPr>
          <w:b/>
          <w:szCs w:val="17"/>
        </w:rPr>
        <w:t xml:space="preserve"> (</w:t>
      </w:r>
      <w:r w:rsidR="00F923DA" w:rsidRPr="00856C00">
        <w:rPr>
          <w:b/>
          <w:szCs w:val="17"/>
        </w:rPr>
        <w:t>recast</w:t>
      </w:r>
      <w:r w:rsidR="00316E19" w:rsidRPr="00856C00">
        <w:rPr>
          <w:b/>
          <w:szCs w:val="17"/>
        </w:rPr>
        <w:t>)</w:t>
      </w:r>
    </w:p>
    <w:p w:rsidR="00CE7735" w:rsidRPr="00856C00" w:rsidRDefault="00CE7735" w:rsidP="00CE7735">
      <w:pPr>
        <w:spacing w:before="60" w:after="120" w:line="240" w:lineRule="auto"/>
        <w:jc w:val="center"/>
        <w:rPr>
          <w:i/>
          <w:szCs w:val="17"/>
        </w:rPr>
      </w:pPr>
      <w:proofErr w:type="spellStart"/>
      <w:r w:rsidRPr="00856C00">
        <w:rPr>
          <w:i/>
          <w:szCs w:val="17"/>
        </w:rPr>
        <w:t>Rapporteur</w:t>
      </w:r>
      <w:proofErr w:type="spellEnd"/>
      <w:r w:rsidRPr="00856C00">
        <w:rPr>
          <w:i/>
          <w:szCs w:val="17"/>
        </w:rPr>
        <w:t xml:space="preserve">: </w:t>
      </w:r>
      <w:r w:rsidR="00F923DA" w:rsidRPr="00856C00">
        <w:rPr>
          <w:i/>
          <w:szCs w:val="17"/>
        </w:rPr>
        <w:t>C</w:t>
      </w:r>
      <w:r w:rsidR="00316E19" w:rsidRPr="00856C00">
        <w:rPr>
          <w:i/>
          <w:szCs w:val="17"/>
        </w:rPr>
        <w:t>a</w:t>
      </w:r>
      <w:r w:rsidR="00F923DA" w:rsidRPr="00856C00">
        <w:rPr>
          <w:i/>
          <w:szCs w:val="17"/>
        </w:rPr>
        <w:t xml:space="preserve">therine </w:t>
      </w:r>
      <w:proofErr w:type="spellStart"/>
      <w:r w:rsidR="00F923DA" w:rsidRPr="00856C00">
        <w:rPr>
          <w:i/>
          <w:szCs w:val="17"/>
        </w:rPr>
        <w:t>Stihler</w:t>
      </w:r>
      <w:proofErr w:type="spellEnd"/>
    </w:p>
    <w:p w:rsidR="00CE7735" w:rsidRPr="00856C00" w:rsidRDefault="00CE7735" w:rsidP="00CE7735">
      <w:pPr>
        <w:spacing w:before="60" w:after="120" w:line="240" w:lineRule="auto"/>
        <w:jc w:val="center"/>
        <w:rPr>
          <w:i/>
          <w:szCs w:val="17"/>
        </w:rPr>
      </w:pPr>
    </w:p>
    <w:tbl>
      <w:tblPr>
        <w:tblW w:w="16020" w:type="dxa"/>
        <w:tblInd w:w="-1877" w:type="dxa"/>
        <w:tblBorders>
          <w:top w:val="dotDash" w:sz="4" w:space="0" w:color="BFBFBF"/>
          <w:left w:val="dotDash" w:sz="4" w:space="0" w:color="BFBFBF"/>
          <w:bottom w:val="dotDash" w:sz="4" w:space="0" w:color="BFBFBF"/>
          <w:right w:val="dotDash" w:sz="4" w:space="0" w:color="BFBFBF"/>
        </w:tblBorders>
        <w:tblLayout w:type="fixed"/>
        <w:tblLook w:val="04A0"/>
      </w:tblPr>
      <w:tblGrid>
        <w:gridCol w:w="1701"/>
        <w:gridCol w:w="1560"/>
        <w:gridCol w:w="2552"/>
        <w:gridCol w:w="10207"/>
      </w:tblGrid>
      <w:tr w:rsidR="00CE7735" w:rsidRPr="00856C00" w:rsidTr="006E3FB7">
        <w:trPr>
          <w:cantSplit/>
          <w:trHeight w:val="936"/>
          <w:tblHeader/>
        </w:trPr>
        <w:tc>
          <w:tcPr>
            <w:tcW w:w="170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856C00" w:rsidRDefault="008928BB" w:rsidP="007D6220">
            <w:pPr>
              <w:spacing w:before="60" w:after="60"/>
              <w:jc w:val="center"/>
              <w:rPr>
                <w:b/>
                <w:i/>
                <w:szCs w:val="17"/>
              </w:rPr>
            </w:pPr>
            <w:r w:rsidRPr="00856C00">
              <w:rPr>
                <w:b/>
                <w:i/>
                <w:szCs w:val="17"/>
              </w:rPr>
              <w:t>Amendments</w:t>
            </w:r>
          </w:p>
        </w:tc>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856C00" w:rsidRDefault="00CE7735" w:rsidP="007D6220">
            <w:pPr>
              <w:spacing w:before="60" w:after="60"/>
              <w:jc w:val="center"/>
              <w:rPr>
                <w:b/>
                <w:i/>
                <w:szCs w:val="17"/>
              </w:rPr>
            </w:pPr>
            <w:r w:rsidRPr="00856C00">
              <w:rPr>
                <w:b/>
                <w:i/>
                <w:szCs w:val="17"/>
              </w:rPr>
              <w:t>Covering</w:t>
            </w:r>
          </w:p>
        </w:tc>
        <w:tc>
          <w:tcPr>
            <w:tcW w:w="2552"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856C00" w:rsidRDefault="00CE7735" w:rsidP="007D6220">
            <w:pPr>
              <w:spacing w:before="60" w:after="60"/>
              <w:jc w:val="center"/>
              <w:rPr>
                <w:b/>
                <w:i/>
                <w:szCs w:val="17"/>
              </w:rPr>
            </w:pPr>
            <w:r w:rsidRPr="00856C00">
              <w:rPr>
                <w:b/>
                <w:i/>
                <w:szCs w:val="17"/>
              </w:rPr>
              <w:t>Author</w:t>
            </w:r>
          </w:p>
        </w:tc>
        <w:tc>
          <w:tcPr>
            <w:tcW w:w="1020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CE7735" w:rsidRPr="00856C00" w:rsidRDefault="00CE7735" w:rsidP="007D6220">
            <w:pPr>
              <w:spacing w:before="60" w:after="60"/>
              <w:jc w:val="center"/>
              <w:rPr>
                <w:b/>
                <w:i/>
                <w:szCs w:val="17"/>
              </w:rPr>
            </w:pPr>
            <w:r w:rsidRPr="00856C00">
              <w:rPr>
                <w:b/>
                <w:i/>
                <w:szCs w:val="17"/>
              </w:rPr>
              <w:t>Insurance Europe’s comments</w:t>
            </w:r>
          </w:p>
        </w:tc>
      </w:tr>
      <w:tr w:rsidR="00CE7735" w:rsidRPr="00856C00" w:rsidTr="006E3FB7">
        <w:trPr>
          <w:cantSplit/>
        </w:trPr>
        <w:tc>
          <w:tcPr>
            <w:tcW w:w="1701" w:type="dxa"/>
            <w:tcBorders>
              <w:top w:val="single" w:sz="4" w:space="0" w:color="auto"/>
              <w:left w:val="single" w:sz="4" w:space="0" w:color="auto"/>
              <w:bottom w:val="single" w:sz="4" w:space="0" w:color="auto"/>
              <w:right w:val="single" w:sz="4" w:space="0" w:color="auto"/>
            </w:tcBorders>
            <w:vAlign w:val="center"/>
            <w:hideMark/>
          </w:tcPr>
          <w:p w:rsidR="00CE7735" w:rsidRPr="00856C00" w:rsidRDefault="008928BB" w:rsidP="004140EB">
            <w:pPr>
              <w:spacing w:before="60" w:after="60"/>
              <w:jc w:val="center"/>
              <w:rPr>
                <w:b/>
                <w:szCs w:val="17"/>
              </w:rPr>
            </w:pPr>
            <w:r w:rsidRPr="00856C00">
              <w:rPr>
                <w:b/>
                <w:szCs w:val="17"/>
              </w:rPr>
              <w:t>A</w:t>
            </w:r>
            <w:r w:rsidR="0092307C" w:rsidRPr="00856C00">
              <w:rPr>
                <w:b/>
                <w:szCs w:val="17"/>
              </w:rPr>
              <w:t>MT</w:t>
            </w:r>
            <w:r w:rsidR="004140EB" w:rsidRPr="00856C00">
              <w:rPr>
                <w:b/>
                <w:szCs w:val="17"/>
              </w:rPr>
              <w:t>37</w:t>
            </w:r>
            <w:r w:rsidR="005F598E" w:rsidRPr="00856C00">
              <w:rPr>
                <w:b/>
                <w:szCs w:val="17"/>
              </w:rPr>
              <w:t>, AMT42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40F05" w:rsidRPr="00881A2B" w:rsidRDefault="00540F05" w:rsidP="007D6220">
            <w:pPr>
              <w:spacing w:before="60" w:after="60"/>
              <w:jc w:val="center"/>
              <w:rPr>
                <w:lang w:val="fr-FR"/>
              </w:rPr>
            </w:pPr>
          </w:p>
          <w:p w:rsidR="002233C7" w:rsidRPr="00881A2B" w:rsidRDefault="004140EB" w:rsidP="007D6220">
            <w:pPr>
              <w:spacing w:before="60" w:after="60"/>
              <w:jc w:val="center"/>
              <w:rPr>
                <w:lang w:val="fr-FR"/>
              </w:rPr>
            </w:pPr>
            <w:r w:rsidRPr="00881A2B">
              <w:rPr>
                <w:lang w:val="fr-FR"/>
              </w:rPr>
              <w:t>Article 1 - para</w:t>
            </w:r>
            <w:r w:rsidR="008928BB" w:rsidRPr="00881A2B">
              <w:rPr>
                <w:lang w:val="fr-FR"/>
              </w:rPr>
              <w:t xml:space="preserve">. </w:t>
            </w:r>
            <w:r w:rsidRPr="00881A2B">
              <w:rPr>
                <w:lang w:val="fr-FR"/>
              </w:rPr>
              <w:t>1</w:t>
            </w:r>
            <w:r w:rsidR="001F7D5D" w:rsidRPr="00881A2B">
              <w:rPr>
                <w:lang w:val="fr-FR"/>
              </w:rPr>
              <w:t>;</w:t>
            </w:r>
          </w:p>
          <w:p w:rsidR="00BA751E" w:rsidRPr="00881A2B" w:rsidRDefault="00BA751E" w:rsidP="007D6220">
            <w:pPr>
              <w:spacing w:before="60" w:after="60"/>
              <w:jc w:val="center"/>
              <w:rPr>
                <w:lang w:val="fr-FR"/>
              </w:rPr>
            </w:pPr>
            <w:r w:rsidRPr="00881A2B">
              <w:rPr>
                <w:lang w:val="fr-FR"/>
              </w:rPr>
              <w:t>Article 2 – p</w:t>
            </w:r>
            <w:r w:rsidR="00544C54" w:rsidRPr="00881A2B">
              <w:rPr>
                <w:lang w:val="fr-FR"/>
              </w:rPr>
              <w:t>ara. 1, p</w:t>
            </w:r>
            <w:r w:rsidRPr="00881A2B">
              <w:rPr>
                <w:lang w:val="fr-FR"/>
              </w:rPr>
              <w:t>oint 3</w:t>
            </w:r>
          </w:p>
          <w:p w:rsidR="00CE7735" w:rsidRPr="00881A2B" w:rsidRDefault="00CE7735" w:rsidP="007D6220">
            <w:pPr>
              <w:spacing w:before="60" w:after="60"/>
              <w:jc w:val="center"/>
              <w:rPr>
                <w:lang w:val="fr-FR"/>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CE7735" w:rsidRPr="00856C00" w:rsidRDefault="004140EB" w:rsidP="004140EB">
            <w:pPr>
              <w:spacing w:before="60" w:after="60"/>
              <w:jc w:val="center"/>
              <w:rPr>
                <w:i/>
                <w:szCs w:val="17"/>
              </w:rPr>
            </w:pPr>
            <w:proofErr w:type="spellStart"/>
            <w:r w:rsidRPr="00856C00">
              <w:rPr>
                <w:i/>
                <w:szCs w:val="17"/>
              </w:rPr>
              <w:t>Matteo</w:t>
            </w:r>
            <w:proofErr w:type="spellEnd"/>
            <w:r w:rsidRPr="00856C00">
              <w:rPr>
                <w:i/>
                <w:szCs w:val="17"/>
              </w:rPr>
              <w:t xml:space="preserve"> </w:t>
            </w:r>
            <w:proofErr w:type="spellStart"/>
            <w:r w:rsidRPr="00856C00">
              <w:rPr>
                <w:i/>
                <w:szCs w:val="17"/>
              </w:rPr>
              <w:t>Salvini</w:t>
            </w:r>
            <w:proofErr w:type="spellEnd"/>
            <w:r w:rsidRPr="00856C00">
              <w:rPr>
                <w:i/>
                <w:szCs w:val="17"/>
              </w:rPr>
              <w:t xml:space="preserve">, Mario </w:t>
            </w:r>
            <w:proofErr w:type="spellStart"/>
            <w:r w:rsidRPr="00856C00">
              <w:rPr>
                <w:i/>
                <w:szCs w:val="17"/>
              </w:rPr>
              <w:t>Borghezio</w:t>
            </w:r>
            <w:proofErr w:type="spellEnd"/>
          </w:p>
        </w:tc>
        <w:tc>
          <w:tcPr>
            <w:tcW w:w="10207" w:type="dxa"/>
            <w:tcBorders>
              <w:top w:val="single" w:sz="4" w:space="0" w:color="auto"/>
              <w:left w:val="single" w:sz="4" w:space="0" w:color="auto"/>
              <w:bottom w:val="single" w:sz="4" w:space="0" w:color="auto"/>
              <w:right w:val="single" w:sz="4" w:space="0" w:color="auto"/>
            </w:tcBorders>
            <w:vAlign w:val="center"/>
            <w:hideMark/>
          </w:tcPr>
          <w:p w:rsidR="00F03124" w:rsidRPr="00856C00" w:rsidRDefault="004140EB" w:rsidP="00F03124">
            <w:pPr>
              <w:pStyle w:val="CEABullet-Level3"/>
              <w:numPr>
                <w:ilvl w:val="0"/>
                <w:numId w:val="0"/>
              </w:numPr>
              <w:spacing w:before="60" w:after="60"/>
              <w:rPr>
                <w:szCs w:val="17"/>
                <w:lang w:val="en-GB"/>
              </w:rPr>
            </w:pPr>
            <w:r w:rsidRPr="00856C00">
              <w:rPr>
                <w:szCs w:val="17"/>
                <w:lang w:val="en-GB"/>
              </w:rPr>
              <w:t>Insurance Europe welcomes</w:t>
            </w:r>
            <w:r w:rsidR="004F2891" w:rsidRPr="00856C00">
              <w:rPr>
                <w:szCs w:val="17"/>
                <w:lang w:val="en-GB"/>
              </w:rPr>
              <w:t xml:space="preserve"> the removal of professional management of claims and loss adjusting from the scope</w:t>
            </w:r>
            <w:r w:rsidR="002F6802" w:rsidRPr="00856C00">
              <w:rPr>
                <w:szCs w:val="17"/>
                <w:lang w:val="en-GB"/>
              </w:rPr>
              <w:t>,</w:t>
            </w:r>
            <w:r w:rsidR="004F2891" w:rsidRPr="00856C00">
              <w:rPr>
                <w:szCs w:val="17"/>
                <w:lang w:val="en-GB"/>
              </w:rPr>
              <w:t xml:space="preserve"> as these are purely technical activities and do not constitute insurance mediation. As such, they should not be regulated under the provisions of IMD2, the primary purpose of which is to regulate selling practices for insurance products.</w:t>
            </w:r>
            <w:r w:rsidR="005F598E" w:rsidRPr="00856C00">
              <w:rPr>
                <w:szCs w:val="17"/>
                <w:lang w:val="en-GB"/>
              </w:rPr>
              <w:t xml:space="preserve"> </w:t>
            </w:r>
            <w:r w:rsidR="00AA753F" w:rsidRPr="00856C00">
              <w:rPr>
                <w:szCs w:val="17"/>
                <w:lang w:val="en-GB"/>
              </w:rPr>
              <w:t xml:space="preserve">Similarly, </w:t>
            </w:r>
            <w:r w:rsidR="005F598E" w:rsidRPr="00856C00">
              <w:rPr>
                <w:szCs w:val="17"/>
                <w:lang w:val="en-GB"/>
              </w:rPr>
              <w:t xml:space="preserve">the activities of assisting in the administration and performance of insurance contracts by insurance undertakings, in particular in the event of a claim, </w:t>
            </w:r>
            <w:r w:rsidR="00AA753F" w:rsidRPr="00856C00">
              <w:rPr>
                <w:szCs w:val="17"/>
                <w:lang w:val="en-GB"/>
              </w:rPr>
              <w:t>should not be considered as insurance mediation activities</w:t>
            </w:r>
            <w:r w:rsidR="005F598E" w:rsidRPr="00856C00">
              <w:rPr>
                <w:szCs w:val="17"/>
                <w:lang w:val="en-GB"/>
              </w:rPr>
              <w:t>.</w:t>
            </w:r>
          </w:p>
          <w:p w:rsidR="00CE7735" w:rsidRPr="00856C00" w:rsidRDefault="00F03124" w:rsidP="00791F10">
            <w:pPr>
              <w:pStyle w:val="CEABullet-Level1"/>
              <w:rPr>
                <w:lang w:val="en-GB"/>
              </w:rPr>
            </w:pPr>
            <w:r w:rsidRPr="00856C00">
              <w:rPr>
                <w:lang w:val="en-GB"/>
              </w:rPr>
              <w:t xml:space="preserve">Insurance Europe </w:t>
            </w:r>
            <w:r w:rsidR="004140EB" w:rsidRPr="00856C00">
              <w:rPr>
                <w:lang w:val="en-GB"/>
              </w:rPr>
              <w:t>supports</w:t>
            </w:r>
            <w:r w:rsidRPr="00856C00">
              <w:rPr>
                <w:lang w:val="en-GB"/>
              </w:rPr>
              <w:t xml:space="preserve"> AMT</w:t>
            </w:r>
            <w:r w:rsidR="004140EB" w:rsidRPr="00856C00">
              <w:rPr>
                <w:lang w:val="en-GB"/>
              </w:rPr>
              <w:t>37</w:t>
            </w:r>
            <w:r w:rsidR="005F598E" w:rsidRPr="00856C00">
              <w:rPr>
                <w:lang w:val="en-GB"/>
              </w:rPr>
              <w:t xml:space="preserve"> and AMT42</w:t>
            </w:r>
            <w:r w:rsidR="00BF18A2" w:rsidRPr="00856C00">
              <w:rPr>
                <w:lang w:val="en-GB"/>
              </w:rPr>
              <w:t xml:space="preserve">. </w:t>
            </w:r>
          </w:p>
          <w:p w:rsidR="00791F10" w:rsidRPr="00856C00" w:rsidRDefault="00791F10" w:rsidP="00791F10">
            <w:pPr>
              <w:pStyle w:val="CEABullet-Level1"/>
              <w:numPr>
                <w:ilvl w:val="0"/>
                <w:numId w:val="0"/>
              </w:numPr>
              <w:ind w:left="720"/>
              <w:rPr>
                <w:lang w:val="en-GB"/>
              </w:rPr>
            </w:pPr>
          </w:p>
        </w:tc>
      </w:tr>
      <w:tr w:rsidR="00856C00" w:rsidRPr="00856C00" w:rsidTr="00F44AD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856C00" w:rsidRPr="00881A2B" w:rsidRDefault="00856C00" w:rsidP="00DE0615">
            <w:pPr>
              <w:spacing w:before="60" w:after="60"/>
              <w:jc w:val="center"/>
              <w:rPr>
                <w:b/>
                <w:szCs w:val="17"/>
              </w:rPr>
            </w:pPr>
            <w:r w:rsidRPr="00881A2B">
              <w:rPr>
                <w:b/>
                <w:szCs w:val="17"/>
              </w:rPr>
              <w:t>AMT43</w:t>
            </w:r>
          </w:p>
        </w:tc>
        <w:tc>
          <w:tcPr>
            <w:tcW w:w="1560" w:type="dxa"/>
            <w:tcBorders>
              <w:top w:val="single" w:sz="4" w:space="0" w:color="auto"/>
              <w:left w:val="single" w:sz="4" w:space="0" w:color="auto"/>
              <w:bottom w:val="single" w:sz="4" w:space="0" w:color="auto"/>
              <w:right w:val="single" w:sz="4" w:space="0" w:color="auto"/>
            </w:tcBorders>
            <w:vAlign w:val="center"/>
          </w:tcPr>
          <w:p w:rsidR="00856C00" w:rsidRPr="00881A2B" w:rsidRDefault="00856C00" w:rsidP="00F44ADD">
            <w:pPr>
              <w:spacing w:before="60" w:after="60"/>
              <w:jc w:val="center"/>
              <w:rPr>
                <w:lang w:val="fr-FR"/>
              </w:rPr>
            </w:pPr>
            <w:r w:rsidRPr="00881A2B">
              <w:rPr>
                <w:lang w:val="fr-FR"/>
              </w:rPr>
              <w:t>Article 2 – para. 1, point 6a (new)</w:t>
            </w:r>
          </w:p>
        </w:tc>
        <w:tc>
          <w:tcPr>
            <w:tcW w:w="2552" w:type="dxa"/>
            <w:tcBorders>
              <w:top w:val="single" w:sz="4" w:space="0" w:color="auto"/>
              <w:left w:val="single" w:sz="4" w:space="0" w:color="auto"/>
              <w:bottom w:val="single" w:sz="4" w:space="0" w:color="auto"/>
              <w:right w:val="single" w:sz="4" w:space="0" w:color="auto"/>
            </w:tcBorders>
            <w:vAlign w:val="center"/>
          </w:tcPr>
          <w:p w:rsidR="00856C00" w:rsidRPr="00881A2B" w:rsidRDefault="00856C00" w:rsidP="001071E9">
            <w:pPr>
              <w:spacing w:before="60" w:after="60"/>
              <w:jc w:val="center"/>
              <w:rPr>
                <w:i/>
                <w:szCs w:val="17"/>
              </w:rPr>
            </w:pPr>
            <w:r w:rsidRPr="00881A2B">
              <w:rPr>
                <w:i/>
                <w:szCs w:val="17"/>
              </w:rPr>
              <w:t>Olle Schmidt</w:t>
            </w:r>
          </w:p>
        </w:tc>
        <w:tc>
          <w:tcPr>
            <w:tcW w:w="10207" w:type="dxa"/>
            <w:tcBorders>
              <w:top w:val="single" w:sz="4" w:space="0" w:color="auto"/>
              <w:left w:val="single" w:sz="4" w:space="0" w:color="auto"/>
              <w:bottom w:val="single" w:sz="4" w:space="0" w:color="auto"/>
              <w:right w:val="single" w:sz="4" w:space="0" w:color="auto"/>
            </w:tcBorders>
            <w:vAlign w:val="center"/>
          </w:tcPr>
          <w:p w:rsidR="00856C00" w:rsidRPr="00881A2B" w:rsidRDefault="00856C00" w:rsidP="00F44ADD">
            <w:pPr>
              <w:pStyle w:val="CEABullet-Level3"/>
              <w:numPr>
                <w:ilvl w:val="0"/>
                <w:numId w:val="0"/>
              </w:numPr>
              <w:spacing w:before="60" w:after="60"/>
              <w:rPr>
                <w:szCs w:val="17"/>
                <w:lang w:val="en-GB"/>
              </w:rPr>
            </w:pPr>
            <w:r w:rsidRPr="00881A2B">
              <w:rPr>
                <w:szCs w:val="17"/>
                <w:lang w:val="en-GB"/>
              </w:rPr>
              <w:t xml:space="preserve">Insurance supports a high level of consumer protection but does not support the wording of this amendment that requires the </w:t>
            </w:r>
            <w:r w:rsidR="00163830" w:rsidRPr="00881A2B">
              <w:rPr>
                <w:szCs w:val="17"/>
                <w:lang w:val="en-GB"/>
              </w:rPr>
              <w:t>‘</w:t>
            </w:r>
            <w:r w:rsidRPr="00881A2B">
              <w:rPr>
                <w:szCs w:val="17"/>
                <w:lang w:val="en-GB"/>
              </w:rPr>
              <w:t>same</w:t>
            </w:r>
            <w:r w:rsidR="00163830" w:rsidRPr="00881A2B">
              <w:rPr>
                <w:szCs w:val="17"/>
                <w:lang w:val="en-GB"/>
              </w:rPr>
              <w:t>’</w:t>
            </w:r>
            <w:r w:rsidRPr="00881A2B">
              <w:rPr>
                <w:szCs w:val="17"/>
                <w:lang w:val="en-GB"/>
              </w:rPr>
              <w:t xml:space="preserve"> rules on consumer protection to be applied between the different distribution channels.</w:t>
            </w:r>
            <w:r w:rsidR="00163830" w:rsidRPr="00881A2B">
              <w:rPr>
                <w:szCs w:val="17"/>
                <w:lang w:val="en-GB"/>
              </w:rPr>
              <w:t xml:space="preserve"> A level playing field does not mean that the same rules must be applied – it must be ensured that the rules are proportionate between the different channels.</w:t>
            </w:r>
          </w:p>
          <w:p w:rsidR="00856C00" w:rsidRPr="00881A2B" w:rsidRDefault="00856C00" w:rsidP="00856C00">
            <w:pPr>
              <w:pStyle w:val="CEABullet-Level1"/>
              <w:rPr>
                <w:szCs w:val="17"/>
                <w:lang w:val="en-GB"/>
              </w:rPr>
            </w:pPr>
            <w:r w:rsidRPr="00881A2B">
              <w:rPr>
                <w:lang w:val="en-GB"/>
              </w:rPr>
              <w:t>Insurance Europe opposes AMT43.</w:t>
            </w:r>
          </w:p>
          <w:p w:rsidR="00856C00" w:rsidRPr="00856C00" w:rsidRDefault="00856C00" w:rsidP="00856C00">
            <w:pPr>
              <w:pStyle w:val="CEABullet-Level1"/>
              <w:numPr>
                <w:ilvl w:val="0"/>
                <w:numId w:val="0"/>
              </w:numPr>
              <w:ind w:left="360"/>
              <w:rPr>
                <w:szCs w:val="17"/>
                <w:lang w:val="en-GB"/>
              </w:rPr>
            </w:pPr>
          </w:p>
        </w:tc>
      </w:tr>
      <w:tr w:rsidR="000455FE" w:rsidRPr="00856C00" w:rsidTr="00F44AD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0455FE" w:rsidRPr="00881A2B" w:rsidRDefault="00544C54" w:rsidP="00DE0615">
            <w:pPr>
              <w:spacing w:before="60" w:after="60"/>
              <w:jc w:val="center"/>
              <w:rPr>
                <w:b/>
                <w:szCs w:val="17"/>
              </w:rPr>
            </w:pPr>
            <w:r w:rsidRPr="00881A2B">
              <w:rPr>
                <w:b/>
                <w:szCs w:val="17"/>
              </w:rPr>
              <w:t>AMT46</w:t>
            </w:r>
            <w:r w:rsidR="00DE0615" w:rsidRPr="00881A2B">
              <w:rPr>
                <w:b/>
                <w:szCs w:val="17"/>
              </w:rPr>
              <w:t>-</w:t>
            </w:r>
            <w:r w:rsidRPr="00881A2B">
              <w:rPr>
                <w:b/>
                <w:szCs w:val="17"/>
              </w:rPr>
              <w:t>47</w:t>
            </w:r>
          </w:p>
        </w:tc>
        <w:tc>
          <w:tcPr>
            <w:tcW w:w="1560" w:type="dxa"/>
            <w:tcBorders>
              <w:top w:val="single" w:sz="4" w:space="0" w:color="auto"/>
              <w:left w:val="single" w:sz="4" w:space="0" w:color="auto"/>
              <w:bottom w:val="single" w:sz="4" w:space="0" w:color="auto"/>
              <w:right w:val="single" w:sz="4" w:space="0" w:color="auto"/>
            </w:tcBorders>
            <w:vAlign w:val="center"/>
          </w:tcPr>
          <w:p w:rsidR="000455FE" w:rsidRPr="00881A2B" w:rsidRDefault="00544C54" w:rsidP="00F44ADD">
            <w:pPr>
              <w:spacing w:before="60" w:after="60"/>
              <w:jc w:val="center"/>
            </w:pPr>
            <w:r w:rsidRPr="00881A2B">
              <w:t xml:space="preserve">Article 2 – </w:t>
            </w:r>
            <w:proofErr w:type="spellStart"/>
            <w:r w:rsidRPr="00881A2B">
              <w:t>para</w:t>
            </w:r>
            <w:proofErr w:type="spellEnd"/>
            <w:r w:rsidRPr="00881A2B">
              <w:t>. 1, point 9</w:t>
            </w:r>
          </w:p>
        </w:tc>
        <w:tc>
          <w:tcPr>
            <w:tcW w:w="2552" w:type="dxa"/>
            <w:tcBorders>
              <w:top w:val="single" w:sz="4" w:space="0" w:color="auto"/>
              <w:left w:val="single" w:sz="4" w:space="0" w:color="auto"/>
              <w:bottom w:val="single" w:sz="4" w:space="0" w:color="auto"/>
              <w:right w:val="single" w:sz="4" w:space="0" w:color="auto"/>
            </w:tcBorders>
            <w:vAlign w:val="center"/>
          </w:tcPr>
          <w:p w:rsidR="000455FE" w:rsidRPr="00881A2B" w:rsidRDefault="00B278D9" w:rsidP="001071E9">
            <w:pPr>
              <w:spacing w:before="60" w:after="60"/>
              <w:jc w:val="center"/>
              <w:rPr>
                <w:i/>
                <w:szCs w:val="17"/>
              </w:rPr>
            </w:pPr>
            <w:proofErr w:type="spellStart"/>
            <w:r w:rsidRPr="00881A2B">
              <w:rPr>
                <w:i/>
                <w:szCs w:val="17"/>
              </w:rPr>
              <w:t>Othmar</w:t>
            </w:r>
            <w:proofErr w:type="spellEnd"/>
            <w:r w:rsidRPr="00881A2B">
              <w:rPr>
                <w:i/>
                <w:szCs w:val="17"/>
              </w:rPr>
              <w:t xml:space="preserve"> </w:t>
            </w:r>
            <w:proofErr w:type="spellStart"/>
            <w:r w:rsidRPr="00881A2B">
              <w:rPr>
                <w:i/>
                <w:szCs w:val="17"/>
              </w:rPr>
              <w:t>Karas</w:t>
            </w:r>
            <w:proofErr w:type="spellEnd"/>
            <w:r w:rsidRPr="00881A2B">
              <w:rPr>
                <w:i/>
                <w:szCs w:val="17"/>
              </w:rPr>
              <w:t xml:space="preserve">, </w:t>
            </w:r>
            <w:proofErr w:type="spellStart"/>
            <w:r w:rsidRPr="00881A2B">
              <w:rPr>
                <w:i/>
                <w:szCs w:val="17"/>
              </w:rPr>
              <w:t>Olle</w:t>
            </w:r>
            <w:proofErr w:type="spellEnd"/>
            <w:r w:rsidRPr="00881A2B">
              <w:rPr>
                <w:i/>
                <w:szCs w:val="17"/>
              </w:rPr>
              <w:t xml:space="preserve"> Schmidt, </w:t>
            </w:r>
            <w:proofErr w:type="spellStart"/>
            <w:r w:rsidRPr="00881A2B">
              <w:rPr>
                <w:i/>
                <w:szCs w:val="17"/>
              </w:rPr>
              <w:t>Jorgo</w:t>
            </w:r>
            <w:proofErr w:type="spellEnd"/>
            <w:r w:rsidRPr="00881A2B">
              <w:rPr>
                <w:i/>
                <w:szCs w:val="17"/>
              </w:rPr>
              <w:t xml:space="preserve"> </w:t>
            </w:r>
            <w:proofErr w:type="spellStart"/>
            <w:r w:rsidRPr="00881A2B">
              <w:rPr>
                <w:i/>
                <w:szCs w:val="17"/>
              </w:rPr>
              <w:t>Chatzimarkakis</w:t>
            </w:r>
            <w:proofErr w:type="spellEnd"/>
          </w:p>
        </w:tc>
        <w:tc>
          <w:tcPr>
            <w:tcW w:w="10207" w:type="dxa"/>
            <w:tcBorders>
              <w:top w:val="single" w:sz="4" w:space="0" w:color="auto"/>
              <w:left w:val="single" w:sz="4" w:space="0" w:color="auto"/>
              <w:bottom w:val="single" w:sz="4" w:space="0" w:color="auto"/>
              <w:right w:val="single" w:sz="4" w:space="0" w:color="auto"/>
            </w:tcBorders>
            <w:vAlign w:val="center"/>
          </w:tcPr>
          <w:p w:rsidR="000455FE" w:rsidRPr="00881A2B" w:rsidRDefault="00544C54" w:rsidP="00F44ADD">
            <w:pPr>
              <w:pStyle w:val="CEABullet-Level3"/>
              <w:numPr>
                <w:ilvl w:val="0"/>
                <w:numId w:val="0"/>
              </w:numPr>
              <w:spacing w:before="60" w:after="60"/>
              <w:rPr>
                <w:szCs w:val="17"/>
                <w:lang w:val="en-GB"/>
              </w:rPr>
            </w:pPr>
            <w:r w:rsidRPr="00881A2B">
              <w:rPr>
                <w:szCs w:val="17"/>
                <w:lang w:val="en-GB"/>
              </w:rPr>
              <w:t>Insurance Europe welcomes the inclusion of the word ‘personal’ in the definition of advice and the alignment with other financial services legislation.</w:t>
            </w:r>
            <w:r w:rsidR="00B75552" w:rsidRPr="00881A2B">
              <w:rPr>
                <w:szCs w:val="17"/>
                <w:lang w:val="en-GB"/>
              </w:rPr>
              <w:t xml:space="preserve"> We also welcome the distinction made in AMT46 to recognise the possibility for sales without advice.</w:t>
            </w:r>
          </w:p>
          <w:p w:rsidR="00544C54" w:rsidRPr="00881A2B" w:rsidRDefault="00544C54" w:rsidP="00544C54">
            <w:pPr>
              <w:pStyle w:val="CEABullet-Level1"/>
              <w:rPr>
                <w:lang w:val="en-GB"/>
              </w:rPr>
            </w:pPr>
            <w:r w:rsidRPr="00881A2B">
              <w:rPr>
                <w:lang w:val="en-GB"/>
              </w:rPr>
              <w:t xml:space="preserve">Insurance Europe supports AMT46 and AMT47. </w:t>
            </w:r>
          </w:p>
          <w:p w:rsidR="00544C54" w:rsidRPr="00856C00" w:rsidRDefault="00544C54" w:rsidP="00544C54">
            <w:pPr>
              <w:pStyle w:val="CEABullet-Level1"/>
              <w:numPr>
                <w:ilvl w:val="0"/>
                <w:numId w:val="0"/>
              </w:numPr>
              <w:ind w:left="720" w:hanging="360"/>
              <w:rPr>
                <w:lang w:val="en-GB"/>
              </w:rPr>
            </w:pPr>
          </w:p>
        </w:tc>
      </w:tr>
      <w:tr w:rsidR="00FB6631" w:rsidRPr="00856C00" w:rsidTr="00F44AD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FB6631" w:rsidRPr="00881A2B" w:rsidRDefault="00FB6631" w:rsidP="00DE0615">
            <w:pPr>
              <w:spacing w:before="60" w:after="60"/>
              <w:jc w:val="center"/>
              <w:rPr>
                <w:b/>
                <w:szCs w:val="17"/>
              </w:rPr>
            </w:pPr>
            <w:r w:rsidRPr="00881A2B">
              <w:rPr>
                <w:b/>
                <w:szCs w:val="17"/>
              </w:rPr>
              <w:lastRenderedPageBreak/>
              <w:t>AMT49</w:t>
            </w:r>
            <w:r w:rsidR="00DE0615" w:rsidRPr="00881A2B">
              <w:rPr>
                <w:b/>
                <w:szCs w:val="17"/>
              </w:rPr>
              <w:t>-</w:t>
            </w:r>
            <w:r w:rsidRPr="00881A2B">
              <w:rPr>
                <w:b/>
                <w:szCs w:val="17"/>
              </w:rPr>
              <w:t>52, AMT137</w:t>
            </w:r>
            <w:r w:rsidR="00DE0615" w:rsidRPr="00881A2B">
              <w:rPr>
                <w:b/>
                <w:szCs w:val="17"/>
              </w:rPr>
              <w:t>-</w:t>
            </w:r>
            <w:r w:rsidR="00662B34" w:rsidRPr="00881A2B">
              <w:rPr>
                <w:b/>
                <w:szCs w:val="17"/>
              </w:rPr>
              <w:t>140, AMT142-</w:t>
            </w:r>
            <w:r w:rsidRPr="00881A2B">
              <w:rPr>
                <w:b/>
                <w:szCs w:val="17"/>
              </w:rPr>
              <w:t>143</w:t>
            </w:r>
          </w:p>
        </w:tc>
        <w:tc>
          <w:tcPr>
            <w:tcW w:w="1560" w:type="dxa"/>
            <w:tcBorders>
              <w:top w:val="single" w:sz="4" w:space="0" w:color="auto"/>
              <w:left w:val="single" w:sz="4" w:space="0" w:color="auto"/>
              <w:bottom w:val="single" w:sz="4" w:space="0" w:color="auto"/>
              <w:right w:val="single" w:sz="4" w:space="0" w:color="auto"/>
            </w:tcBorders>
            <w:vAlign w:val="center"/>
          </w:tcPr>
          <w:p w:rsidR="00FB6631" w:rsidRPr="00881A2B" w:rsidRDefault="00FB6631" w:rsidP="00F44ADD">
            <w:pPr>
              <w:spacing w:before="60" w:after="60"/>
              <w:jc w:val="center"/>
            </w:pPr>
            <w:r w:rsidRPr="00881A2B">
              <w:t xml:space="preserve">Article 2 – </w:t>
            </w:r>
            <w:proofErr w:type="spellStart"/>
            <w:r w:rsidRPr="00881A2B">
              <w:t>para</w:t>
            </w:r>
            <w:proofErr w:type="spellEnd"/>
            <w:r w:rsidRPr="00881A2B">
              <w:t>. 1, points 19, 20 and 20a,</w:t>
            </w:r>
          </w:p>
          <w:p w:rsidR="00FB6631" w:rsidRPr="00881A2B" w:rsidRDefault="00FB6631" w:rsidP="00F44ADD">
            <w:pPr>
              <w:spacing w:before="60" w:after="60"/>
              <w:jc w:val="center"/>
            </w:pPr>
            <w:r w:rsidRPr="00881A2B">
              <w:t xml:space="preserve">Article 21 – </w:t>
            </w:r>
            <w:proofErr w:type="spellStart"/>
            <w:r w:rsidRPr="00881A2B">
              <w:t>paras</w:t>
            </w:r>
            <w:proofErr w:type="spellEnd"/>
            <w:r w:rsidRPr="00881A2B">
              <w:t>. 1-3</w:t>
            </w:r>
          </w:p>
        </w:tc>
        <w:tc>
          <w:tcPr>
            <w:tcW w:w="2552" w:type="dxa"/>
            <w:tcBorders>
              <w:top w:val="single" w:sz="4" w:space="0" w:color="auto"/>
              <w:left w:val="single" w:sz="4" w:space="0" w:color="auto"/>
              <w:bottom w:val="single" w:sz="4" w:space="0" w:color="auto"/>
              <w:right w:val="single" w:sz="4" w:space="0" w:color="auto"/>
            </w:tcBorders>
            <w:vAlign w:val="center"/>
          </w:tcPr>
          <w:p w:rsidR="00FB6631" w:rsidRPr="00881A2B" w:rsidRDefault="00FB6631" w:rsidP="00F44ADD">
            <w:pPr>
              <w:spacing w:before="60" w:after="60"/>
              <w:jc w:val="center"/>
              <w:rPr>
                <w:i/>
                <w:szCs w:val="17"/>
              </w:rPr>
            </w:pPr>
            <w:r w:rsidRPr="00881A2B">
              <w:rPr>
                <w:i/>
                <w:szCs w:val="17"/>
              </w:rPr>
              <w:t xml:space="preserve">Malcolm Harbour, </w:t>
            </w:r>
            <w:proofErr w:type="spellStart"/>
            <w:r w:rsidRPr="00881A2B">
              <w:rPr>
                <w:i/>
                <w:szCs w:val="17"/>
              </w:rPr>
              <w:t>Othmar</w:t>
            </w:r>
            <w:proofErr w:type="spellEnd"/>
            <w:r w:rsidRPr="00881A2B">
              <w:rPr>
                <w:i/>
                <w:szCs w:val="17"/>
              </w:rPr>
              <w:t xml:space="preserve"> </w:t>
            </w:r>
            <w:proofErr w:type="spellStart"/>
            <w:r w:rsidRPr="00881A2B">
              <w:rPr>
                <w:i/>
                <w:szCs w:val="17"/>
              </w:rPr>
              <w:t>Karas</w:t>
            </w:r>
            <w:proofErr w:type="spellEnd"/>
            <w:r w:rsidRPr="00881A2B">
              <w:rPr>
                <w:i/>
                <w:szCs w:val="17"/>
              </w:rPr>
              <w:t xml:space="preserve">, Andreas Schwab, </w:t>
            </w:r>
            <w:proofErr w:type="spellStart"/>
            <w:r w:rsidRPr="00881A2B">
              <w:rPr>
                <w:i/>
                <w:szCs w:val="17"/>
              </w:rPr>
              <w:t>Olle</w:t>
            </w:r>
            <w:proofErr w:type="spellEnd"/>
            <w:r w:rsidRPr="00881A2B">
              <w:rPr>
                <w:i/>
                <w:szCs w:val="17"/>
              </w:rPr>
              <w:t xml:space="preserve"> Schmidt, </w:t>
            </w:r>
            <w:proofErr w:type="spellStart"/>
            <w:r w:rsidRPr="00881A2B">
              <w:rPr>
                <w:i/>
                <w:szCs w:val="17"/>
              </w:rPr>
              <w:t>Jorgo</w:t>
            </w:r>
            <w:proofErr w:type="spellEnd"/>
            <w:r w:rsidRPr="00881A2B">
              <w:rPr>
                <w:i/>
                <w:szCs w:val="17"/>
              </w:rPr>
              <w:t xml:space="preserve"> </w:t>
            </w:r>
            <w:proofErr w:type="spellStart"/>
            <w:r w:rsidRPr="00881A2B">
              <w:rPr>
                <w:i/>
                <w:szCs w:val="17"/>
              </w:rPr>
              <w:t>Chatzimarkakis</w:t>
            </w:r>
            <w:proofErr w:type="spellEnd"/>
          </w:p>
        </w:tc>
        <w:tc>
          <w:tcPr>
            <w:tcW w:w="10207" w:type="dxa"/>
            <w:tcBorders>
              <w:top w:val="single" w:sz="4" w:space="0" w:color="auto"/>
              <w:left w:val="single" w:sz="4" w:space="0" w:color="auto"/>
              <w:bottom w:val="single" w:sz="4" w:space="0" w:color="auto"/>
              <w:right w:val="single" w:sz="4" w:space="0" w:color="auto"/>
            </w:tcBorders>
            <w:vAlign w:val="center"/>
          </w:tcPr>
          <w:p w:rsidR="00FB6631" w:rsidRPr="00881A2B" w:rsidRDefault="00FB6631" w:rsidP="00F44ADD">
            <w:pPr>
              <w:pStyle w:val="CEABullet-Level3"/>
              <w:numPr>
                <w:ilvl w:val="0"/>
                <w:numId w:val="0"/>
              </w:numPr>
              <w:spacing w:before="60" w:after="60"/>
              <w:rPr>
                <w:szCs w:val="17"/>
                <w:lang w:val="en-GB"/>
              </w:rPr>
            </w:pPr>
            <w:r w:rsidRPr="00881A2B">
              <w:rPr>
                <w:szCs w:val="17"/>
                <w:lang w:val="en-GB"/>
              </w:rPr>
              <w:t>Insurance Europe supports the proposed amendments to ensure that tying and bundling practices are addressed consistently across financial services legislation</w:t>
            </w:r>
            <w:r w:rsidR="00AC2F67" w:rsidRPr="00881A2B">
              <w:rPr>
                <w:szCs w:val="17"/>
                <w:lang w:val="en-GB"/>
              </w:rPr>
              <w:t>, in particular AMT140</w:t>
            </w:r>
            <w:r w:rsidRPr="00881A2B">
              <w:rPr>
                <w:szCs w:val="17"/>
                <w:lang w:val="en-GB"/>
              </w:rPr>
              <w:t>. It is important to ensure that such practices are not treated more strictly under IMD2 than other legislation, such as MiFID2. From a practical perspective, we also welcome the clarity introduced by defining a product as an insurance policy covering one or several risks.</w:t>
            </w:r>
          </w:p>
          <w:p w:rsidR="00FB6631" w:rsidRPr="00881A2B" w:rsidRDefault="00FB6631" w:rsidP="00F44ADD">
            <w:pPr>
              <w:pStyle w:val="CEABullet-Level3"/>
              <w:numPr>
                <w:ilvl w:val="0"/>
                <w:numId w:val="0"/>
              </w:numPr>
              <w:spacing w:before="60" w:after="60"/>
              <w:rPr>
                <w:szCs w:val="17"/>
                <w:lang w:val="en-GB"/>
              </w:rPr>
            </w:pPr>
            <w:r w:rsidRPr="00881A2B">
              <w:rPr>
                <w:szCs w:val="17"/>
                <w:lang w:val="en-GB"/>
              </w:rPr>
              <w:t>Insurance Europe also has concerns over the proposed power given to EIOPA to develop guidelines for the assessment and supervision of cross-selling practices, as this is something that should fall under the competence of national competition authorities.</w:t>
            </w:r>
          </w:p>
          <w:p w:rsidR="00FB6631" w:rsidRPr="00881A2B" w:rsidRDefault="00FB6631" w:rsidP="00F44ADD">
            <w:pPr>
              <w:pStyle w:val="CEABullet-Level1"/>
              <w:rPr>
                <w:lang w:val="en-GB"/>
              </w:rPr>
            </w:pPr>
            <w:r w:rsidRPr="00881A2B">
              <w:rPr>
                <w:lang w:val="en-GB"/>
              </w:rPr>
              <w:t>Insurance Europe supports AMT49-52, AMT137</w:t>
            </w:r>
            <w:r w:rsidR="00AC2F67" w:rsidRPr="00881A2B">
              <w:rPr>
                <w:lang w:val="en-GB"/>
              </w:rPr>
              <w:t>-</w:t>
            </w:r>
            <w:r w:rsidRPr="00881A2B">
              <w:rPr>
                <w:lang w:val="en-GB"/>
              </w:rPr>
              <w:t>138</w:t>
            </w:r>
            <w:r w:rsidR="00873EB9" w:rsidRPr="00881A2B">
              <w:rPr>
                <w:lang w:val="en-GB"/>
              </w:rPr>
              <w:t>,</w:t>
            </w:r>
            <w:r w:rsidR="0094334C" w:rsidRPr="00881A2B">
              <w:rPr>
                <w:lang w:val="en-GB"/>
              </w:rPr>
              <w:t xml:space="preserve"> AMT140</w:t>
            </w:r>
            <w:r w:rsidR="00873EB9" w:rsidRPr="00881A2B">
              <w:rPr>
                <w:lang w:val="en-GB"/>
              </w:rPr>
              <w:t xml:space="preserve"> and AMT142</w:t>
            </w:r>
            <w:r w:rsidR="0094334C" w:rsidRPr="00881A2B">
              <w:rPr>
                <w:lang w:val="en-GB"/>
              </w:rPr>
              <w:t>-143</w:t>
            </w:r>
            <w:r w:rsidR="00F44ADD" w:rsidRPr="00881A2B">
              <w:rPr>
                <w:lang w:val="en-GB"/>
              </w:rPr>
              <w:t>,</w:t>
            </w:r>
            <w:r w:rsidRPr="00881A2B">
              <w:rPr>
                <w:lang w:val="en-GB"/>
              </w:rPr>
              <w:t xml:space="preserve"> and </w:t>
            </w:r>
            <w:r w:rsidR="00AC2F67" w:rsidRPr="00881A2B">
              <w:rPr>
                <w:lang w:val="en-GB"/>
              </w:rPr>
              <w:t xml:space="preserve">strongly </w:t>
            </w:r>
            <w:r w:rsidRPr="00881A2B">
              <w:rPr>
                <w:lang w:val="en-GB"/>
              </w:rPr>
              <w:t>opposes AMT139</w:t>
            </w:r>
            <w:r w:rsidR="00CF60B2" w:rsidRPr="00881A2B">
              <w:rPr>
                <w:lang w:val="en-GB"/>
              </w:rPr>
              <w:t xml:space="preserve"> that </w:t>
            </w:r>
            <w:r w:rsidR="00AC2F67" w:rsidRPr="00881A2B">
              <w:rPr>
                <w:lang w:val="en-GB"/>
              </w:rPr>
              <w:t>allows</w:t>
            </w:r>
            <w:r w:rsidR="00CF60B2" w:rsidRPr="00881A2B">
              <w:rPr>
                <w:lang w:val="en-GB"/>
              </w:rPr>
              <w:t xml:space="preserve"> for a ban on bundling practices</w:t>
            </w:r>
            <w:r w:rsidR="00BB4DB4" w:rsidRPr="00881A2B">
              <w:rPr>
                <w:lang w:val="en-GB"/>
              </w:rPr>
              <w:t>.</w:t>
            </w:r>
          </w:p>
          <w:p w:rsidR="00BB4DB4" w:rsidRPr="00856C00" w:rsidRDefault="00BB4DB4" w:rsidP="00BB4DB4">
            <w:pPr>
              <w:pStyle w:val="CEABullet-Level1"/>
              <w:numPr>
                <w:ilvl w:val="0"/>
                <w:numId w:val="0"/>
              </w:numPr>
              <w:ind w:left="720" w:hanging="360"/>
              <w:rPr>
                <w:lang w:val="en-GB"/>
              </w:rPr>
            </w:pPr>
          </w:p>
        </w:tc>
      </w:tr>
      <w:tr w:rsidR="00AE0A7E" w:rsidRPr="00AE0A7E" w:rsidTr="00F44AD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AE0A7E" w:rsidRPr="005B4F66" w:rsidRDefault="00AE0A7E" w:rsidP="00DE0615">
            <w:pPr>
              <w:spacing w:before="60" w:after="60"/>
              <w:jc w:val="center"/>
              <w:rPr>
                <w:b/>
                <w:szCs w:val="17"/>
              </w:rPr>
            </w:pPr>
            <w:r w:rsidRPr="005B4F66">
              <w:rPr>
                <w:b/>
                <w:szCs w:val="17"/>
              </w:rPr>
              <w:t>AMT67</w:t>
            </w:r>
          </w:p>
        </w:tc>
        <w:tc>
          <w:tcPr>
            <w:tcW w:w="1560" w:type="dxa"/>
            <w:tcBorders>
              <w:top w:val="single" w:sz="4" w:space="0" w:color="auto"/>
              <w:left w:val="single" w:sz="4" w:space="0" w:color="auto"/>
              <w:bottom w:val="single" w:sz="4" w:space="0" w:color="auto"/>
              <w:right w:val="single" w:sz="4" w:space="0" w:color="auto"/>
            </w:tcBorders>
            <w:vAlign w:val="center"/>
          </w:tcPr>
          <w:p w:rsidR="00AE0A7E" w:rsidRPr="005B4F66" w:rsidRDefault="00AE0A7E" w:rsidP="00F44ADD">
            <w:pPr>
              <w:spacing w:before="60" w:after="60"/>
              <w:jc w:val="center"/>
              <w:rPr>
                <w:lang w:val="fr-FR"/>
              </w:rPr>
            </w:pPr>
            <w:r w:rsidRPr="005B4F66">
              <w:rPr>
                <w:lang w:val="fr-FR"/>
              </w:rPr>
              <w:t>Article 8 – para. 1, subpara. 3</w:t>
            </w:r>
          </w:p>
        </w:tc>
        <w:tc>
          <w:tcPr>
            <w:tcW w:w="2552" w:type="dxa"/>
            <w:tcBorders>
              <w:top w:val="single" w:sz="4" w:space="0" w:color="auto"/>
              <w:left w:val="single" w:sz="4" w:space="0" w:color="auto"/>
              <w:bottom w:val="single" w:sz="4" w:space="0" w:color="auto"/>
              <w:right w:val="single" w:sz="4" w:space="0" w:color="auto"/>
            </w:tcBorders>
            <w:vAlign w:val="center"/>
          </w:tcPr>
          <w:p w:rsidR="00AE0A7E" w:rsidRPr="005B4F66" w:rsidRDefault="00AE0A7E" w:rsidP="00F44ADD">
            <w:pPr>
              <w:spacing w:before="60" w:after="60"/>
              <w:jc w:val="center"/>
              <w:rPr>
                <w:i/>
                <w:szCs w:val="17"/>
                <w:lang w:val="fr-FR"/>
              </w:rPr>
            </w:pPr>
            <w:r w:rsidRPr="005B4F66">
              <w:rPr>
                <w:i/>
                <w:szCs w:val="17"/>
                <w:lang w:val="fr-FR"/>
              </w:rPr>
              <w:t>Othmar Karas</w:t>
            </w:r>
          </w:p>
        </w:tc>
        <w:tc>
          <w:tcPr>
            <w:tcW w:w="10207" w:type="dxa"/>
            <w:tcBorders>
              <w:top w:val="single" w:sz="4" w:space="0" w:color="auto"/>
              <w:left w:val="single" w:sz="4" w:space="0" w:color="auto"/>
              <w:bottom w:val="single" w:sz="4" w:space="0" w:color="auto"/>
              <w:right w:val="single" w:sz="4" w:space="0" w:color="auto"/>
            </w:tcBorders>
            <w:vAlign w:val="center"/>
          </w:tcPr>
          <w:p w:rsidR="005B4F66" w:rsidRPr="0019479D" w:rsidRDefault="00E856FB" w:rsidP="006A1BF3">
            <w:pPr>
              <w:pStyle w:val="CEABullet-Level3"/>
              <w:numPr>
                <w:ilvl w:val="0"/>
                <w:numId w:val="0"/>
              </w:numPr>
              <w:spacing w:before="60" w:after="60"/>
              <w:rPr>
                <w:color w:val="auto"/>
                <w:szCs w:val="17"/>
                <w:highlight w:val="yellow"/>
                <w:lang w:val="en-GB"/>
              </w:rPr>
            </w:pPr>
            <w:r w:rsidRPr="0019479D">
              <w:rPr>
                <w:color w:val="auto"/>
                <w:szCs w:val="17"/>
                <w:highlight w:val="yellow"/>
                <w:lang w:val="en-GB"/>
              </w:rPr>
              <w:t xml:space="preserve">Insurance Europe opposes this </w:t>
            </w:r>
            <w:r w:rsidR="00C91302" w:rsidRPr="0019479D">
              <w:rPr>
                <w:color w:val="auto"/>
                <w:szCs w:val="17"/>
                <w:highlight w:val="yellow"/>
                <w:lang w:val="en-GB"/>
              </w:rPr>
              <w:t xml:space="preserve">proposed </w:t>
            </w:r>
            <w:r w:rsidRPr="0019479D">
              <w:rPr>
                <w:color w:val="auto"/>
                <w:szCs w:val="17"/>
                <w:highlight w:val="yellow"/>
                <w:lang w:val="en-GB"/>
              </w:rPr>
              <w:t>amendment</w:t>
            </w:r>
            <w:r w:rsidR="00C91302" w:rsidRPr="0019479D">
              <w:rPr>
                <w:color w:val="auto"/>
                <w:szCs w:val="17"/>
                <w:highlight w:val="yellow"/>
                <w:lang w:val="en-GB"/>
              </w:rPr>
              <w:t xml:space="preserve"> to make insurance undertakings and intermediaries responsible</w:t>
            </w:r>
            <w:r w:rsidR="002F5E17" w:rsidRPr="0019479D">
              <w:rPr>
                <w:color w:val="auto"/>
                <w:szCs w:val="17"/>
                <w:highlight w:val="yellow"/>
                <w:lang w:val="en-GB"/>
              </w:rPr>
              <w:t xml:space="preserve"> for the training and monitoring of intermediaries who provide insurance mediation on an ancillary basis.</w:t>
            </w:r>
            <w:r w:rsidR="006A1BF3" w:rsidRPr="0019479D">
              <w:rPr>
                <w:color w:val="auto"/>
                <w:szCs w:val="17"/>
                <w:highlight w:val="yellow"/>
                <w:lang w:val="en-GB"/>
              </w:rPr>
              <w:t xml:space="preserve"> </w:t>
            </w:r>
            <w:r w:rsidR="005B4F66" w:rsidRPr="0019479D">
              <w:rPr>
                <w:color w:val="auto"/>
                <w:szCs w:val="17"/>
                <w:highlight w:val="yellow"/>
                <w:lang w:val="en-GB"/>
              </w:rPr>
              <w:t>Insurance intermediaries</w:t>
            </w:r>
            <w:r w:rsidR="006A1BF3" w:rsidRPr="0019479D">
              <w:rPr>
                <w:color w:val="auto"/>
                <w:szCs w:val="17"/>
                <w:highlight w:val="yellow"/>
                <w:lang w:val="en-GB"/>
              </w:rPr>
              <w:t>,</w:t>
            </w:r>
            <w:r w:rsidR="005B4F66" w:rsidRPr="0019479D">
              <w:rPr>
                <w:color w:val="auto"/>
                <w:szCs w:val="17"/>
                <w:highlight w:val="yellow"/>
                <w:lang w:val="en-GB"/>
              </w:rPr>
              <w:t xml:space="preserve"> as distinct professionals</w:t>
            </w:r>
            <w:r w:rsidR="006A1BF3" w:rsidRPr="0019479D">
              <w:rPr>
                <w:color w:val="auto"/>
                <w:szCs w:val="17"/>
                <w:highlight w:val="yellow"/>
                <w:lang w:val="en-GB"/>
              </w:rPr>
              <w:t>,</w:t>
            </w:r>
            <w:r w:rsidR="005B4F66" w:rsidRPr="0019479D">
              <w:rPr>
                <w:color w:val="auto"/>
                <w:szCs w:val="17"/>
                <w:highlight w:val="yellow"/>
                <w:lang w:val="en-GB"/>
              </w:rPr>
              <w:t xml:space="preserve"> must themselves </w:t>
            </w:r>
            <w:r w:rsidR="006A1BF3" w:rsidRPr="0019479D">
              <w:rPr>
                <w:color w:val="auto"/>
                <w:szCs w:val="17"/>
                <w:highlight w:val="yellow"/>
                <w:lang w:val="en-GB"/>
              </w:rPr>
              <w:t xml:space="preserve">be responsible for ensuring they meet the relevant </w:t>
            </w:r>
            <w:r w:rsidR="005B4F66" w:rsidRPr="0019479D">
              <w:rPr>
                <w:color w:val="auto"/>
                <w:szCs w:val="17"/>
                <w:highlight w:val="yellow"/>
                <w:lang w:val="en-GB"/>
              </w:rPr>
              <w:t>conditions set out in the directive</w:t>
            </w:r>
            <w:r w:rsidR="006A1BF3" w:rsidRPr="0019479D">
              <w:rPr>
                <w:color w:val="auto"/>
                <w:szCs w:val="17"/>
                <w:highlight w:val="yellow"/>
                <w:lang w:val="en-GB"/>
              </w:rPr>
              <w:t>,</w:t>
            </w:r>
            <w:r w:rsidR="005B4F66" w:rsidRPr="0019479D">
              <w:rPr>
                <w:color w:val="auto"/>
                <w:szCs w:val="17"/>
                <w:highlight w:val="yellow"/>
                <w:lang w:val="en-GB"/>
              </w:rPr>
              <w:t xml:space="preserve"> including those pertaining to knowledge and abilities. Furthermore</w:t>
            </w:r>
            <w:r w:rsidR="006A1BF3" w:rsidRPr="0019479D">
              <w:rPr>
                <w:color w:val="auto"/>
                <w:szCs w:val="17"/>
                <w:highlight w:val="yellow"/>
                <w:lang w:val="en-GB"/>
              </w:rPr>
              <w:t>,</w:t>
            </w:r>
            <w:r w:rsidR="005B4F66" w:rsidRPr="0019479D">
              <w:rPr>
                <w:color w:val="auto"/>
                <w:szCs w:val="17"/>
                <w:highlight w:val="yellow"/>
                <w:lang w:val="en-GB"/>
              </w:rPr>
              <w:t xml:space="preserve"> it is </w:t>
            </w:r>
            <w:r w:rsidR="006A1BF3" w:rsidRPr="0019479D">
              <w:rPr>
                <w:color w:val="auto"/>
                <w:szCs w:val="17"/>
                <w:highlight w:val="yellow"/>
                <w:lang w:val="en-GB"/>
              </w:rPr>
              <w:t xml:space="preserve">expressly stated in </w:t>
            </w:r>
            <w:r w:rsidRPr="0019479D">
              <w:rPr>
                <w:color w:val="auto"/>
                <w:szCs w:val="17"/>
                <w:highlight w:val="yellow"/>
                <w:lang w:val="en-GB"/>
              </w:rPr>
              <w:t>Article 4</w:t>
            </w:r>
            <w:r w:rsidR="006A1BF3" w:rsidRPr="0019479D">
              <w:rPr>
                <w:color w:val="auto"/>
                <w:szCs w:val="17"/>
                <w:highlight w:val="yellow"/>
                <w:lang w:val="en-GB"/>
              </w:rPr>
              <w:t xml:space="preserve"> that</w:t>
            </w:r>
            <w:r w:rsidRPr="0019479D">
              <w:rPr>
                <w:color w:val="auto"/>
                <w:szCs w:val="17"/>
                <w:highlight w:val="yellow"/>
                <w:lang w:val="en-GB"/>
              </w:rPr>
              <w:t xml:space="preserve"> intermediaries </w:t>
            </w:r>
            <w:r w:rsidR="006A1BF3" w:rsidRPr="0019479D">
              <w:rPr>
                <w:color w:val="auto"/>
                <w:szCs w:val="17"/>
                <w:highlight w:val="yellow"/>
                <w:lang w:val="en-GB"/>
              </w:rPr>
              <w:t>who</w:t>
            </w:r>
            <w:r w:rsidRPr="0019479D">
              <w:rPr>
                <w:color w:val="auto"/>
                <w:szCs w:val="17"/>
                <w:highlight w:val="yellow"/>
                <w:lang w:val="en-GB"/>
              </w:rPr>
              <w:t xml:space="preserve"> conduct insurance mediation on an ancillary basis</w:t>
            </w:r>
            <w:r w:rsidR="002F5E17" w:rsidRPr="0019479D">
              <w:rPr>
                <w:color w:val="auto"/>
                <w:szCs w:val="17"/>
                <w:highlight w:val="yellow"/>
                <w:lang w:val="en-GB"/>
              </w:rPr>
              <w:t xml:space="preserve"> shall still be subject to the provisions of Chapter V on professional requirements.</w:t>
            </w:r>
          </w:p>
          <w:p w:rsidR="006A1BF3" w:rsidRPr="0019479D" w:rsidRDefault="006A1BF3" w:rsidP="006A1BF3">
            <w:pPr>
              <w:pStyle w:val="CEABullet-Level1"/>
              <w:rPr>
                <w:color w:val="auto"/>
                <w:szCs w:val="17"/>
                <w:highlight w:val="yellow"/>
                <w:lang w:val="en-GB"/>
              </w:rPr>
            </w:pPr>
            <w:r w:rsidRPr="0019479D">
              <w:rPr>
                <w:highlight w:val="yellow"/>
                <w:lang w:val="en-GB"/>
              </w:rPr>
              <w:t>Insurance Europe opposes AMT67</w:t>
            </w:r>
            <w:r w:rsidR="0087716D">
              <w:rPr>
                <w:highlight w:val="yellow"/>
                <w:lang w:val="en-GB"/>
              </w:rPr>
              <w:t>.</w:t>
            </w:r>
            <w:bookmarkStart w:id="0" w:name="_GoBack"/>
            <w:bookmarkEnd w:id="0"/>
          </w:p>
          <w:p w:rsidR="006A1BF3" w:rsidRPr="005B4F66" w:rsidRDefault="006A1BF3" w:rsidP="006A1BF3">
            <w:pPr>
              <w:pStyle w:val="CEABullet-Level1"/>
              <w:numPr>
                <w:ilvl w:val="0"/>
                <w:numId w:val="0"/>
              </w:numPr>
              <w:ind w:left="360"/>
              <w:rPr>
                <w:color w:val="auto"/>
                <w:szCs w:val="17"/>
                <w:lang w:val="en-GB"/>
              </w:rPr>
            </w:pPr>
          </w:p>
        </w:tc>
      </w:tr>
      <w:tr w:rsidR="00FB6631" w:rsidRPr="00856C00" w:rsidTr="00F44AD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FB6631" w:rsidRPr="00AE0A7E" w:rsidRDefault="00FB6631" w:rsidP="00DE0615">
            <w:pPr>
              <w:spacing w:before="60" w:after="60"/>
              <w:jc w:val="center"/>
              <w:rPr>
                <w:b/>
                <w:szCs w:val="17"/>
                <w:lang w:val="fr-FR"/>
              </w:rPr>
            </w:pPr>
            <w:r w:rsidRPr="00AE0A7E">
              <w:rPr>
                <w:b/>
                <w:szCs w:val="17"/>
                <w:lang w:val="fr-FR"/>
              </w:rPr>
              <w:t>AMT69</w:t>
            </w:r>
            <w:r w:rsidR="00DE0615" w:rsidRPr="00AE0A7E">
              <w:rPr>
                <w:b/>
                <w:szCs w:val="17"/>
                <w:lang w:val="fr-FR"/>
              </w:rPr>
              <w:t>-</w:t>
            </w:r>
            <w:r w:rsidRPr="00AE0A7E">
              <w:rPr>
                <w:b/>
                <w:szCs w:val="17"/>
                <w:lang w:val="fr-FR"/>
              </w:rPr>
              <w:t>77</w:t>
            </w:r>
          </w:p>
        </w:tc>
        <w:tc>
          <w:tcPr>
            <w:tcW w:w="1560" w:type="dxa"/>
            <w:tcBorders>
              <w:top w:val="single" w:sz="4" w:space="0" w:color="auto"/>
              <w:left w:val="single" w:sz="4" w:space="0" w:color="auto"/>
              <w:bottom w:val="single" w:sz="4" w:space="0" w:color="auto"/>
              <w:right w:val="single" w:sz="4" w:space="0" w:color="auto"/>
            </w:tcBorders>
            <w:vAlign w:val="center"/>
          </w:tcPr>
          <w:p w:rsidR="00FB6631" w:rsidRPr="00AE0A7E" w:rsidRDefault="00FB6631" w:rsidP="00F44ADD">
            <w:pPr>
              <w:spacing w:before="60" w:after="60"/>
              <w:jc w:val="center"/>
              <w:rPr>
                <w:lang w:val="fr-FR"/>
              </w:rPr>
            </w:pPr>
            <w:r w:rsidRPr="00AE0A7E">
              <w:rPr>
                <w:lang w:val="fr-FR"/>
              </w:rPr>
              <w:t>Article 8 – para. 7 – subparas. 2-4;</w:t>
            </w:r>
          </w:p>
          <w:p w:rsidR="00FB6631" w:rsidRPr="00AE0A7E" w:rsidRDefault="00FB6631" w:rsidP="00F44ADD">
            <w:pPr>
              <w:spacing w:before="60" w:after="60"/>
              <w:jc w:val="center"/>
              <w:rPr>
                <w:lang w:val="fr-FR"/>
              </w:rPr>
            </w:pPr>
            <w:r w:rsidRPr="00AE0A7E">
              <w:rPr>
                <w:lang w:val="fr-FR"/>
              </w:rPr>
              <w:t>Article 8 – para. 8</w:t>
            </w:r>
          </w:p>
        </w:tc>
        <w:tc>
          <w:tcPr>
            <w:tcW w:w="2552" w:type="dxa"/>
            <w:tcBorders>
              <w:top w:val="single" w:sz="4" w:space="0" w:color="auto"/>
              <w:left w:val="single" w:sz="4" w:space="0" w:color="auto"/>
              <w:bottom w:val="single" w:sz="4" w:space="0" w:color="auto"/>
              <w:right w:val="single" w:sz="4" w:space="0" w:color="auto"/>
            </w:tcBorders>
            <w:vAlign w:val="center"/>
          </w:tcPr>
          <w:p w:rsidR="00FB6631" w:rsidRPr="00856C00" w:rsidRDefault="00FB6631" w:rsidP="00F44ADD">
            <w:pPr>
              <w:spacing w:before="60" w:after="60"/>
              <w:jc w:val="center"/>
              <w:rPr>
                <w:i/>
                <w:szCs w:val="17"/>
              </w:rPr>
            </w:pPr>
            <w:r w:rsidRPr="00881A2B">
              <w:rPr>
                <w:i/>
                <w:szCs w:val="17"/>
              </w:rPr>
              <w:t xml:space="preserve">Malcolm Harbour, Catherine </w:t>
            </w:r>
            <w:proofErr w:type="spellStart"/>
            <w:r w:rsidRPr="00881A2B">
              <w:rPr>
                <w:i/>
                <w:szCs w:val="17"/>
              </w:rPr>
              <w:t>Stihler</w:t>
            </w:r>
            <w:proofErr w:type="spellEnd"/>
            <w:r w:rsidRPr="00881A2B">
              <w:rPr>
                <w:i/>
                <w:szCs w:val="17"/>
              </w:rPr>
              <w:t xml:space="preserve">, </w:t>
            </w:r>
            <w:proofErr w:type="spellStart"/>
            <w:r w:rsidRPr="00881A2B">
              <w:rPr>
                <w:i/>
                <w:szCs w:val="17"/>
              </w:rPr>
              <w:t>Mitro</w:t>
            </w:r>
            <w:proofErr w:type="spellEnd"/>
            <w:r w:rsidRPr="00881A2B">
              <w:rPr>
                <w:i/>
                <w:szCs w:val="17"/>
              </w:rPr>
              <w:t xml:space="preserve"> Repo</w:t>
            </w:r>
            <w:r w:rsidRPr="00856C00">
              <w:rPr>
                <w:i/>
                <w:szCs w:val="17"/>
              </w:rPr>
              <w:t xml:space="preserve">, </w:t>
            </w:r>
            <w:proofErr w:type="spellStart"/>
            <w:r w:rsidRPr="00856C00">
              <w:rPr>
                <w:i/>
                <w:szCs w:val="17"/>
              </w:rPr>
              <w:t>Othmar</w:t>
            </w:r>
            <w:proofErr w:type="spellEnd"/>
            <w:r w:rsidRPr="00856C00">
              <w:rPr>
                <w:i/>
                <w:szCs w:val="17"/>
              </w:rPr>
              <w:t xml:space="preserve"> </w:t>
            </w:r>
            <w:proofErr w:type="spellStart"/>
            <w:r w:rsidRPr="00856C00">
              <w:rPr>
                <w:i/>
                <w:szCs w:val="17"/>
              </w:rPr>
              <w:t>Karas</w:t>
            </w:r>
            <w:proofErr w:type="spellEnd"/>
            <w:r w:rsidRPr="00856C00">
              <w:rPr>
                <w:i/>
                <w:szCs w:val="17"/>
              </w:rPr>
              <w:t>, Andreas Schwab</w:t>
            </w:r>
          </w:p>
        </w:tc>
        <w:tc>
          <w:tcPr>
            <w:tcW w:w="10207" w:type="dxa"/>
            <w:tcBorders>
              <w:top w:val="single" w:sz="4" w:space="0" w:color="auto"/>
              <w:left w:val="single" w:sz="4" w:space="0" w:color="auto"/>
              <w:bottom w:val="single" w:sz="4" w:space="0" w:color="auto"/>
              <w:right w:val="single" w:sz="4" w:space="0" w:color="auto"/>
            </w:tcBorders>
            <w:vAlign w:val="center"/>
          </w:tcPr>
          <w:p w:rsidR="00FB6631" w:rsidRPr="00856C00" w:rsidRDefault="00FB6631" w:rsidP="00F44ADD">
            <w:pPr>
              <w:pStyle w:val="CEABullet-Level3"/>
              <w:numPr>
                <w:ilvl w:val="0"/>
                <w:numId w:val="0"/>
              </w:numPr>
              <w:spacing w:before="60" w:after="60"/>
              <w:rPr>
                <w:szCs w:val="17"/>
                <w:lang w:val="en-GB"/>
              </w:rPr>
            </w:pPr>
            <w:r w:rsidRPr="00856C00">
              <w:rPr>
                <w:szCs w:val="17"/>
                <w:lang w:val="en-GB"/>
              </w:rPr>
              <w:t>Insurance Europe welcomes the proposed limitations on the development of delegated acts. In order to ensure greater legal certainty in the Level 1 text and to respect the principle of subsidiarity enshrined under EU law, the range of areas for which the European Commission or EIOPA has the power to adopt delegated acts or guidelines should be limited. Many of these issues, such as the specification of minimum professional requirements, should be left to be determined at national level.</w:t>
            </w:r>
          </w:p>
          <w:p w:rsidR="00FB6631" w:rsidRPr="00856C00" w:rsidRDefault="00FB6631" w:rsidP="00F44ADD">
            <w:pPr>
              <w:pStyle w:val="CEABullet-Level1"/>
              <w:rPr>
                <w:lang w:val="en-GB"/>
              </w:rPr>
            </w:pPr>
            <w:r w:rsidRPr="00856C00">
              <w:rPr>
                <w:lang w:val="en-GB"/>
              </w:rPr>
              <w:t>Insurance Europe supports AMT69-77.</w:t>
            </w:r>
          </w:p>
          <w:p w:rsidR="00FB6631" w:rsidRPr="00856C00" w:rsidRDefault="00FB6631" w:rsidP="00F44ADD">
            <w:pPr>
              <w:pStyle w:val="CEABullet-Level1"/>
              <w:numPr>
                <w:ilvl w:val="0"/>
                <w:numId w:val="0"/>
              </w:numPr>
              <w:ind w:left="720" w:hanging="360"/>
              <w:rPr>
                <w:lang w:val="en-GB"/>
              </w:rPr>
            </w:pPr>
          </w:p>
        </w:tc>
      </w:tr>
      <w:tr w:rsidR="00FB6631" w:rsidRPr="00856C00" w:rsidTr="00F44ADD">
        <w:trPr>
          <w:cantSplit/>
        </w:trPr>
        <w:tc>
          <w:tcPr>
            <w:tcW w:w="1701" w:type="dxa"/>
            <w:tcBorders>
              <w:top w:val="single" w:sz="4" w:space="0" w:color="auto"/>
              <w:left w:val="single" w:sz="4" w:space="0" w:color="auto"/>
              <w:bottom w:val="single" w:sz="4" w:space="0" w:color="auto"/>
              <w:right w:val="single" w:sz="4" w:space="0" w:color="auto"/>
            </w:tcBorders>
            <w:vAlign w:val="center"/>
          </w:tcPr>
          <w:p w:rsidR="00FB6631" w:rsidRPr="00881A2B" w:rsidRDefault="005705C7" w:rsidP="006D0A5B">
            <w:pPr>
              <w:spacing w:before="60" w:after="60"/>
              <w:jc w:val="center"/>
              <w:rPr>
                <w:b/>
                <w:szCs w:val="17"/>
              </w:rPr>
            </w:pPr>
            <w:r w:rsidRPr="00881A2B">
              <w:rPr>
                <w:b/>
                <w:szCs w:val="17"/>
              </w:rPr>
              <w:lastRenderedPageBreak/>
              <w:t>AMT78-10</w:t>
            </w:r>
            <w:r w:rsidR="006D0A5B" w:rsidRPr="00881A2B">
              <w:rPr>
                <w:b/>
                <w:szCs w:val="17"/>
              </w:rPr>
              <w:t>3, AMT105</w:t>
            </w:r>
          </w:p>
        </w:tc>
        <w:tc>
          <w:tcPr>
            <w:tcW w:w="1560" w:type="dxa"/>
            <w:tcBorders>
              <w:top w:val="single" w:sz="4" w:space="0" w:color="auto"/>
              <w:left w:val="single" w:sz="4" w:space="0" w:color="auto"/>
              <w:bottom w:val="single" w:sz="4" w:space="0" w:color="auto"/>
              <w:right w:val="single" w:sz="4" w:space="0" w:color="auto"/>
            </w:tcBorders>
            <w:vAlign w:val="center"/>
          </w:tcPr>
          <w:p w:rsidR="00FB6631" w:rsidRPr="00881A2B" w:rsidRDefault="005705C7" w:rsidP="00F44ADD">
            <w:pPr>
              <w:spacing w:before="60" w:after="60"/>
              <w:jc w:val="center"/>
            </w:pPr>
            <w:r w:rsidRPr="00881A2B">
              <w:t xml:space="preserve">Article 13 – </w:t>
            </w:r>
            <w:proofErr w:type="spellStart"/>
            <w:r w:rsidRPr="00881A2B">
              <w:t>paras</w:t>
            </w:r>
            <w:proofErr w:type="spellEnd"/>
            <w:r w:rsidRPr="00881A2B">
              <w:t>. 1-2</w:t>
            </w:r>
          </w:p>
        </w:tc>
        <w:tc>
          <w:tcPr>
            <w:tcW w:w="2552" w:type="dxa"/>
            <w:tcBorders>
              <w:top w:val="single" w:sz="4" w:space="0" w:color="auto"/>
              <w:left w:val="single" w:sz="4" w:space="0" w:color="auto"/>
              <w:bottom w:val="single" w:sz="4" w:space="0" w:color="auto"/>
              <w:right w:val="single" w:sz="4" w:space="0" w:color="auto"/>
            </w:tcBorders>
            <w:vAlign w:val="center"/>
          </w:tcPr>
          <w:p w:rsidR="00FB6631" w:rsidRPr="00881A2B" w:rsidRDefault="005705C7" w:rsidP="001071E9">
            <w:pPr>
              <w:spacing w:before="60" w:after="60"/>
              <w:jc w:val="center"/>
              <w:rPr>
                <w:i/>
                <w:szCs w:val="17"/>
              </w:rPr>
            </w:pPr>
            <w:r w:rsidRPr="00881A2B">
              <w:rPr>
                <w:i/>
                <w:szCs w:val="17"/>
              </w:rPr>
              <w:t xml:space="preserve">Malcolm Harbour, Catherine </w:t>
            </w:r>
            <w:proofErr w:type="spellStart"/>
            <w:r w:rsidRPr="00881A2B">
              <w:rPr>
                <w:i/>
                <w:szCs w:val="17"/>
              </w:rPr>
              <w:t>Stihler</w:t>
            </w:r>
            <w:proofErr w:type="spellEnd"/>
            <w:r w:rsidRPr="00881A2B">
              <w:rPr>
                <w:i/>
                <w:szCs w:val="17"/>
              </w:rPr>
              <w:t xml:space="preserve">, </w:t>
            </w:r>
            <w:proofErr w:type="spellStart"/>
            <w:r w:rsidRPr="00881A2B">
              <w:rPr>
                <w:i/>
                <w:szCs w:val="17"/>
              </w:rPr>
              <w:t>Othmar</w:t>
            </w:r>
            <w:proofErr w:type="spellEnd"/>
            <w:r w:rsidRPr="00881A2B">
              <w:rPr>
                <w:i/>
                <w:szCs w:val="17"/>
              </w:rPr>
              <w:t xml:space="preserve"> </w:t>
            </w:r>
            <w:proofErr w:type="spellStart"/>
            <w:r w:rsidRPr="00881A2B">
              <w:rPr>
                <w:i/>
                <w:szCs w:val="17"/>
              </w:rPr>
              <w:t>Karas</w:t>
            </w:r>
            <w:proofErr w:type="spellEnd"/>
            <w:r w:rsidRPr="00881A2B">
              <w:rPr>
                <w:i/>
                <w:szCs w:val="17"/>
              </w:rPr>
              <w:t>, Andreas Schwab</w:t>
            </w:r>
          </w:p>
        </w:tc>
        <w:tc>
          <w:tcPr>
            <w:tcW w:w="10207" w:type="dxa"/>
            <w:tcBorders>
              <w:top w:val="single" w:sz="4" w:space="0" w:color="auto"/>
              <w:left w:val="single" w:sz="4" w:space="0" w:color="auto"/>
              <w:bottom w:val="single" w:sz="4" w:space="0" w:color="auto"/>
              <w:right w:val="single" w:sz="4" w:space="0" w:color="auto"/>
            </w:tcBorders>
            <w:vAlign w:val="center"/>
          </w:tcPr>
          <w:p w:rsidR="00FB6631" w:rsidRPr="00881A2B" w:rsidRDefault="00C423FE" w:rsidP="00F44ADD">
            <w:pPr>
              <w:pStyle w:val="CEABullet-Level3"/>
              <w:numPr>
                <w:ilvl w:val="0"/>
                <w:numId w:val="0"/>
              </w:numPr>
              <w:spacing w:before="60" w:after="60"/>
              <w:rPr>
                <w:szCs w:val="17"/>
                <w:lang w:val="en-GB"/>
              </w:rPr>
            </w:pPr>
            <w:r w:rsidRPr="00881A2B">
              <w:rPr>
                <w:szCs w:val="17"/>
                <w:lang w:val="en-GB"/>
              </w:rPr>
              <w:t>With regard to any amendments covering out-of-court redress, we believe it is important to be consistent with the recently agreed Alternative Dispute Resolution (ADR) Directive that mandates Member States to set up an ADR scheme and sets out the requirements for such a scheme</w:t>
            </w:r>
            <w:r w:rsidR="00D2273C" w:rsidRPr="00881A2B">
              <w:rPr>
                <w:szCs w:val="17"/>
                <w:lang w:val="en-GB"/>
              </w:rPr>
              <w:t>, as set out in AMT103</w:t>
            </w:r>
            <w:r w:rsidRPr="00881A2B">
              <w:rPr>
                <w:szCs w:val="17"/>
                <w:lang w:val="en-GB"/>
              </w:rPr>
              <w:t xml:space="preserve">. We believe that the ADR Directive it is the appropriate channel for dealing with </w:t>
            </w:r>
            <w:r w:rsidR="00690A26" w:rsidRPr="00881A2B">
              <w:rPr>
                <w:szCs w:val="17"/>
                <w:lang w:val="en-GB"/>
              </w:rPr>
              <w:t>the relevant conditions applicable to such procedures</w:t>
            </w:r>
            <w:r w:rsidRPr="00881A2B">
              <w:rPr>
                <w:szCs w:val="17"/>
                <w:lang w:val="en-GB"/>
              </w:rPr>
              <w:t>.</w:t>
            </w:r>
          </w:p>
          <w:p w:rsidR="00C423FE" w:rsidRPr="00881A2B" w:rsidRDefault="00C423FE" w:rsidP="00C423FE">
            <w:pPr>
              <w:pStyle w:val="CEABullet-Level1"/>
              <w:rPr>
                <w:lang w:val="en-GB"/>
              </w:rPr>
            </w:pPr>
            <w:r w:rsidRPr="00881A2B">
              <w:rPr>
                <w:lang w:val="en-GB"/>
              </w:rPr>
              <w:t>Insurance Europe supports AMT78-10</w:t>
            </w:r>
            <w:r w:rsidR="006D0A5B" w:rsidRPr="00881A2B">
              <w:rPr>
                <w:lang w:val="en-GB"/>
              </w:rPr>
              <w:t xml:space="preserve">3, </w:t>
            </w:r>
            <w:r w:rsidR="00D2273C" w:rsidRPr="00881A2B">
              <w:rPr>
                <w:lang w:val="en-GB"/>
              </w:rPr>
              <w:t xml:space="preserve">in particular AMT103, </w:t>
            </w:r>
            <w:r w:rsidR="006D0A5B" w:rsidRPr="00881A2B">
              <w:rPr>
                <w:lang w:val="en-GB"/>
              </w:rPr>
              <w:t>but opposes AMT105</w:t>
            </w:r>
            <w:r w:rsidR="009707F0">
              <w:rPr>
                <w:lang w:val="en-GB"/>
              </w:rPr>
              <w:t xml:space="preserve"> </w:t>
            </w:r>
            <w:r w:rsidR="009707F0" w:rsidRPr="009707F0">
              <w:rPr>
                <w:highlight w:val="yellow"/>
                <w:lang w:val="en-GB"/>
              </w:rPr>
              <w:t xml:space="preserve">which goes further than </w:t>
            </w:r>
            <w:r w:rsidR="009707F0">
              <w:rPr>
                <w:highlight w:val="yellow"/>
                <w:lang w:val="en-GB"/>
              </w:rPr>
              <w:t xml:space="preserve">what is already contained in </w:t>
            </w:r>
            <w:r w:rsidR="009707F0" w:rsidRPr="009707F0">
              <w:rPr>
                <w:highlight w:val="yellow"/>
                <w:lang w:val="en-GB"/>
              </w:rPr>
              <w:t xml:space="preserve">the agreed ODR </w:t>
            </w:r>
            <w:r w:rsidR="009707F0">
              <w:rPr>
                <w:highlight w:val="yellow"/>
                <w:lang w:val="en-GB"/>
              </w:rPr>
              <w:t>directive</w:t>
            </w:r>
            <w:r w:rsidRPr="00881A2B">
              <w:rPr>
                <w:lang w:val="en-GB"/>
              </w:rPr>
              <w:t>.</w:t>
            </w:r>
          </w:p>
          <w:p w:rsidR="00C423FE" w:rsidRPr="00856C00" w:rsidRDefault="00C423FE" w:rsidP="00F44ADD">
            <w:pPr>
              <w:pStyle w:val="CEABullet-Level3"/>
              <w:numPr>
                <w:ilvl w:val="0"/>
                <w:numId w:val="0"/>
              </w:numPr>
              <w:spacing w:before="60" w:after="60"/>
              <w:rPr>
                <w:szCs w:val="17"/>
                <w:lang w:val="en-GB"/>
              </w:rPr>
            </w:pPr>
          </w:p>
        </w:tc>
      </w:tr>
      <w:tr w:rsidR="00DE0615" w:rsidRPr="00856C00" w:rsidTr="007B4BEF">
        <w:trPr>
          <w:cantSplit/>
        </w:trPr>
        <w:tc>
          <w:tcPr>
            <w:tcW w:w="1701" w:type="dxa"/>
            <w:tcBorders>
              <w:top w:val="single" w:sz="4" w:space="0" w:color="auto"/>
              <w:left w:val="single" w:sz="4" w:space="0" w:color="auto"/>
              <w:bottom w:val="single" w:sz="4" w:space="0" w:color="auto"/>
              <w:right w:val="single" w:sz="4" w:space="0" w:color="auto"/>
            </w:tcBorders>
            <w:vAlign w:val="center"/>
          </w:tcPr>
          <w:p w:rsidR="00DE0615" w:rsidRPr="00856C00" w:rsidRDefault="00DE0615" w:rsidP="00BA14B7">
            <w:pPr>
              <w:spacing w:before="60" w:after="60"/>
              <w:jc w:val="center"/>
              <w:rPr>
                <w:b/>
                <w:szCs w:val="17"/>
              </w:rPr>
            </w:pPr>
            <w:r w:rsidRPr="00856C00">
              <w:rPr>
                <w:b/>
                <w:szCs w:val="17"/>
              </w:rPr>
              <w:t>AMT106-10</w:t>
            </w:r>
            <w:r w:rsidR="00BA14B7" w:rsidRPr="00856C00">
              <w:rPr>
                <w:b/>
                <w:szCs w:val="17"/>
              </w:rPr>
              <w:t>8</w:t>
            </w:r>
          </w:p>
        </w:tc>
        <w:tc>
          <w:tcPr>
            <w:tcW w:w="1560" w:type="dxa"/>
            <w:tcBorders>
              <w:top w:val="single" w:sz="4" w:space="0" w:color="auto"/>
              <w:left w:val="single" w:sz="4" w:space="0" w:color="auto"/>
              <w:bottom w:val="single" w:sz="4" w:space="0" w:color="auto"/>
              <w:right w:val="single" w:sz="4" w:space="0" w:color="auto"/>
            </w:tcBorders>
            <w:vAlign w:val="center"/>
          </w:tcPr>
          <w:p w:rsidR="00DE0615" w:rsidRPr="00856C00" w:rsidRDefault="00DE0615" w:rsidP="00607378">
            <w:pPr>
              <w:spacing w:before="60" w:after="60"/>
              <w:jc w:val="center"/>
            </w:pPr>
            <w:r w:rsidRPr="00856C00">
              <w:t xml:space="preserve">Article 17 – </w:t>
            </w:r>
            <w:proofErr w:type="spellStart"/>
            <w:r w:rsidRPr="00856C00">
              <w:t>para</w:t>
            </w:r>
            <w:proofErr w:type="spellEnd"/>
            <w:r w:rsidRPr="00856C00">
              <w:t>. 1a (new),</w:t>
            </w:r>
            <w:r w:rsidR="00607378" w:rsidRPr="00856C00">
              <w:t xml:space="preserve"> </w:t>
            </w:r>
            <w:proofErr w:type="spellStart"/>
            <w:r w:rsidR="00607378" w:rsidRPr="00856C00">
              <w:t>para</w:t>
            </w:r>
            <w:proofErr w:type="spellEnd"/>
            <w:r w:rsidR="00607378" w:rsidRPr="00856C00">
              <w:t>. 1c (</w:t>
            </w:r>
            <w:proofErr w:type="spellStart"/>
            <w:r w:rsidR="00607378" w:rsidRPr="00856C00">
              <w:t>i</w:t>
            </w:r>
            <w:proofErr w:type="spellEnd"/>
            <w:r w:rsidR="00607378" w:rsidRPr="00856C00">
              <w:t>)</w:t>
            </w:r>
            <w:r w:rsidR="00BA14B7" w:rsidRPr="00856C00">
              <w:t xml:space="preserve">, </w:t>
            </w:r>
            <w:proofErr w:type="spellStart"/>
            <w:r w:rsidR="00BA14B7" w:rsidRPr="00856C00">
              <w:t>para</w:t>
            </w:r>
            <w:proofErr w:type="spellEnd"/>
            <w:r w:rsidR="00BA14B7" w:rsidRPr="00856C00">
              <w:t>. 1c (iii)</w:t>
            </w:r>
          </w:p>
        </w:tc>
        <w:tc>
          <w:tcPr>
            <w:tcW w:w="2552" w:type="dxa"/>
            <w:tcBorders>
              <w:top w:val="single" w:sz="4" w:space="0" w:color="auto"/>
              <w:left w:val="single" w:sz="4" w:space="0" w:color="auto"/>
              <w:bottom w:val="single" w:sz="4" w:space="0" w:color="auto"/>
              <w:right w:val="single" w:sz="4" w:space="0" w:color="auto"/>
            </w:tcBorders>
            <w:vAlign w:val="center"/>
          </w:tcPr>
          <w:p w:rsidR="00DE0615" w:rsidRPr="00856C00" w:rsidRDefault="00607378" w:rsidP="001071E9">
            <w:pPr>
              <w:spacing w:before="60" w:after="60"/>
              <w:jc w:val="center"/>
              <w:rPr>
                <w:i/>
                <w:szCs w:val="17"/>
              </w:rPr>
            </w:pPr>
            <w:r w:rsidRPr="00856C00">
              <w:rPr>
                <w:i/>
                <w:szCs w:val="17"/>
              </w:rPr>
              <w:t>Olle Schmidt</w:t>
            </w:r>
          </w:p>
        </w:tc>
        <w:tc>
          <w:tcPr>
            <w:tcW w:w="10207" w:type="dxa"/>
            <w:tcBorders>
              <w:top w:val="single" w:sz="4" w:space="0" w:color="auto"/>
              <w:left w:val="single" w:sz="4" w:space="0" w:color="auto"/>
              <w:bottom w:val="single" w:sz="4" w:space="0" w:color="auto"/>
              <w:right w:val="single" w:sz="4" w:space="0" w:color="auto"/>
            </w:tcBorders>
          </w:tcPr>
          <w:p w:rsidR="00607378" w:rsidRPr="00856C00" w:rsidRDefault="00607378" w:rsidP="00607378">
            <w:pPr>
              <w:pStyle w:val="CEABullet-Level3"/>
              <w:numPr>
                <w:ilvl w:val="0"/>
                <w:numId w:val="0"/>
              </w:numPr>
              <w:spacing w:before="60" w:after="60"/>
              <w:rPr>
                <w:szCs w:val="17"/>
                <w:lang w:val="en-GB"/>
              </w:rPr>
            </w:pPr>
            <w:r w:rsidRPr="00856C00">
              <w:rPr>
                <w:szCs w:val="17"/>
                <w:lang w:val="en-GB"/>
              </w:rPr>
              <w:t>Insurance Europe welcomes the proposed clarifications with regard to advice provided on an independent basis.</w:t>
            </w:r>
          </w:p>
          <w:p w:rsidR="00607378" w:rsidRPr="00856C00" w:rsidRDefault="00607378" w:rsidP="00607378">
            <w:pPr>
              <w:pStyle w:val="CEABullet-Level1"/>
              <w:rPr>
                <w:lang w:val="en-GB"/>
              </w:rPr>
            </w:pPr>
            <w:r w:rsidRPr="00856C00">
              <w:rPr>
                <w:lang w:val="en-GB"/>
              </w:rPr>
              <w:t>Insurance Europe supports AMT106-10</w:t>
            </w:r>
            <w:r w:rsidR="00BA14B7" w:rsidRPr="00856C00">
              <w:rPr>
                <w:lang w:val="en-GB"/>
              </w:rPr>
              <w:t>8</w:t>
            </w:r>
            <w:r w:rsidRPr="00856C00">
              <w:rPr>
                <w:lang w:val="en-GB"/>
              </w:rPr>
              <w:t>.</w:t>
            </w:r>
          </w:p>
          <w:p w:rsidR="00DE0615" w:rsidRPr="00856C00" w:rsidRDefault="00DE0615" w:rsidP="00A55089">
            <w:pPr>
              <w:pStyle w:val="CEABullet-Level3"/>
              <w:numPr>
                <w:ilvl w:val="0"/>
                <w:numId w:val="0"/>
              </w:numPr>
              <w:tabs>
                <w:tab w:val="left" w:pos="3660"/>
              </w:tabs>
              <w:spacing w:before="60" w:after="60"/>
              <w:rPr>
                <w:szCs w:val="17"/>
                <w:lang w:val="en-GB"/>
              </w:rPr>
            </w:pPr>
          </w:p>
        </w:tc>
      </w:tr>
      <w:tr w:rsidR="00A55089" w:rsidRPr="00856C00" w:rsidTr="007B4BEF">
        <w:trPr>
          <w:cantSplit/>
        </w:trPr>
        <w:tc>
          <w:tcPr>
            <w:tcW w:w="1701" w:type="dxa"/>
            <w:tcBorders>
              <w:top w:val="single" w:sz="4" w:space="0" w:color="auto"/>
              <w:left w:val="single" w:sz="4" w:space="0" w:color="auto"/>
              <w:bottom w:val="single" w:sz="4" w:space="0" w:color="auto"/>
              <w:right w:val="single" w:sz="4" w:space="0" w:color="auto"/>
            </w:tcBorders>
            <w:vAlign w:val="center"/>
          </w:tcPr>
          <w:p w:rsidR="00A55089" w:rsidRPr="00881A2B" w:rsidRDefault="00A55089" w:rsidP="001071E9">
            <w:pPr>
              <w:spacing w:before="60" w:after="60"/>
              <w:jc w:val="center"/>
              <w:rPr>
                <w:b/>
                <w:szCs w:val="17"/>
              </w:rPr>
            </w:pPr>
            <w:r w:rsidRPr="00881A2B">
              <w:rPr>
                <w:b/>
                <w:szCs w:val="17"/>
              </w:rPr>
              <w:t>AMT109-110</w:t>
            </w:r>
            <w:r w:rsidR="00BD4F0D" w:rsidRPr="00881A2B">
              <w:rPr>
                <w:b/>
                <w:szCs w:val="17"/>
              </w:rPr>
              <w:t>, AMT28</w:t>
            </w:r>
            <w:r w:rsidR="00DD3CAB" w:rsidRPr="00881A2B">
              <w:rPr>
                <w:b/>
                <w:szCs w:val="17"/>
              </w:rPr>
              <w:t>-29</w:t>
            </w:r>
          </w:p>
        </w:tc>
        <w:tc>
          <w:tcPr>
            <w:tcW w:w="1560" w:type="dxa"/>
            <w:tcBorders>
              <w:top w:val="single" w:sz="4" w:space="0" w:color="auto"/>
              <w:left w:val="single" w:sz="4" w:space="0" w:color="auto"/>
              <w:bottom w:val="single" w:sz="4" w:space="0" w:color="auto"/>
              <w:right w:val="single" w:sz="4" w:space="0" w:color="auto"/>
            </w:tcBorders>
            <w:vAlign w:val="center"/>
          </w:tcPr>
          <w:p w:rsidR="00A55089" w:rsidRPr="00881A2B" w:rsidRDefault="00A55089" w:rsidP="00A55089">
            <w:pPr>
              <w:spacing w:before="60" w:after="60"/>
              <w:jc w:val="center"/>
              <w:rPr>
                <w:lang w:val="fr-FR"/>
              </w:rPr>
            </w:pPr>
            <w:r w:rsidRPr="00881A2B">
              <w:rPr>
                <w:lang w:val="fr-FR"/>
              </w:rPr>
              <w:t>Article 17 – para.</w:t>
            </w:r>
            <w:r w:rsidR="00607378" w:rsidRPr="00881A2B">
              <w:rPr>
                <w:lang w:val="fr-FR"/>
              </w:rPr>
              <w:t xml:space="preserve"> </w:t>
            </w:r>
            <w:r w:rsidRPr="00881A2B">
              <w:rPr>
                <w:lang w:val="fr-FR"/>
              </w:rPr>
              <w:t>1 – point d</w:t>
            </w:r>
            <w:r w:rsidR="00BD4F0D" w:rsidRPr="00881A2B">
              <w:rPr>
                <w:lang w:val="fr-FR"/>
              </w:rPr>
              <w:t>, Recital 30</w:t>
            </w:r>
          </w:p>
        </w:tc>
        <w:tc>
          <w:tcPr>
            <w:tcW w:w="2552" w:type="dxa"/>
            <w:tcBorders>
              <w:top w:val="single" w:sz="4" w:space="0" w:color="auto"/>
              <w:left w:val="single" w:sz="4" w:space="0" w:color="auto"/>
              <w:bottom w:val="single" w:sz="4" w:space="0" w:color="auto"/>
              <w:right w:val="single" w:sz="4" w:space="0" w:color="auto"/>
            </w:tcBorders>
            <w:vAlign w:val="center"/>
          </w:tcPr>
          <w:p w:rsidR="00A55089" w:rsidRPr="00881A2B" w:rsidRDefault="00A55089" w:rsidP="001071E9">
            <w:pPr>
              <w:spacing w:before="60" w:after="60"/>
              <w:jc w:val="center"/>
              <w:rPr>
                <w:i/>
                <w:szCs w:val="17"/>
              </w:rPr>
            </w:pPr>
            <w:r w:rsidRPr="00881A2B">
              <w:rPr>
                <w:i/>
                <w:szCs w:val="17"/>
              </w:rPr>
              <w:t xml:space="preserve">Malcolm Harbour, </w:t>
            </w:r>
            <w:proofErr w:type="spellStart"/>
            <w:r w:rsidRPr="00881A2B">
              <w:rPr>
                <w:i/>
                <w:szCs w:val="17"/>
              </w:rPr>
              <w:t>Othmar</w:t>
            </w:r>
            <w:proofErr w:type="spellEnd"/>
            <w:r w:rsidRPr="00881A2B">
              <w:rPr>
                <w:i/>
                <w:szCs w:val="17"/>
              </w:rPr>
              <w:t xml:space="preserve"> </w:t>
            </w:r>
            <w:proofErr w:type="spellStart"/>
            <w:r w:rsidRPr="00881A2B">
              <w:rPr>
                <w:i/>
                <w:szCs w:val="17"/>
              </w:rPr>
              <w:t>Karas</w:t>
            </w:r>
            <w:proofErr w:type="spellEnd"/>
            <w:r w:rsidRPr="00881A2B">
              <w:rPr>
                <w:i/>
                <w:szCs w:val="17"/>
              </w:rPr>
              <w:t>, Andreas Schwab</w:t>
            </w:r>
          </w:p>
        </w:tc>
        <w:tc>
          <w:tcPr>
            <w:tcW w:w="10207" w:type="dxa"/>
            <w:tcBorders>
              <w:top w:val="single" w:sz="4" w:space="0" w:color="auto"/>
              <w:left w:val="single" w:sz="4" w:space="0" w:color="auto"/>
              <w:bottom w:val="single" w:sz="4" w:space="0" w:color="auto"/>
              <w:right w:val="single" w:sz="4" w:space="0" w:color="auto"/>
            </w:tcBorders>
          </w:tcPr>
          <w:p w:rsidR="00A55089" w:rsidRPr="00881A2B" w:rsidRDefault="00BA14B7" w:rsidP="00D67325">
            <w:pPr>
              <w:pStyle w:val="CEABullet-Level3"/>
              <w:numPr>
                <w:ilvl w:val="0"/>
                <w:numId w:val="0"/>
              </w:numPr>
              <w:tabs>
                <w:tab w:val="left" w:pos="3660"/>
              </w:tabs>
              <w:spacing w:before="60" w:after="60"/>
              <w:rPr>
                <w:szCs w:val="17"/>
                <w:lang w:val="en-GB"/>
              </w:rPr>
            </w:pPr>
            <w:r w:rsidRPr="00881A2B">
              <w:rPr>
                <w:szCs w:val="17"/>
                <w:lang w:val="en-GB"/>
              </w:rPr>
              <w:t xml:space="preserve">Insurance Europe supports the deletion of the </w:t>
            </w:r>
            <w:r w:rsidR="00D67325" w:rsidRPr="00881A2B">
              <w:rPr>
                <w:szCs w:val="17"/>
                <w:lang w:val="en-GB"/>
              </w:rPr>
              <w:t>requirement to disclose the “nature” of the remuneration received, as this concept should be sufficiently covered by the disclosure of the form of remuneration in point e</w:t>
            </w:r>
            <w:r w:rsidR="00BB4DB4" w:rsidRPr="00881A2B">
              <w:rPr>
                <w:szCs w:val="17"/>
                <w:lang w:val="en-GB"/>
              </w:rPr>
              <w:t xml:space="preserve"> and the source of remuneration in points a</w:t>
            </w:r>
            <w:r w:rsidR="00397D42" w:rsidRPr="00881A2B">
              <w:rPr>
                <w:szCs w:val="17"/>
                <w:lang w:val="en-GB"/>
              </w:rPr>
              <w:t>-</w:t>
            </w:r>
            <w:r w:rsidR="00BB4DB4" w:rsidRPr="00881A2B">
              <w:rPr>
                <w:szCs w:val="17"/>
                <w:lang w:val="en-GB"/>
              </w:rPr>
              <w:t>c</w:t>
            </w:r>
            <w:r w:rsidR="00D67325" w:rsidRPr="00881A2B">
              <w:rPr>
                <w:szCs w:val="17"/>
                <w:lang w:val="en-GB"/>
              </w:rPr>
              <w:t>.</w:t>
            </w:r>
          </w:p>
          <w:p w:rsidR="00D67325" w:rsidRPr="00881A2B" w:rsidRDefault="00D67325" w:rsidP="00D67325">
            <w:pPr>
              <w:pStyle w:val="CEABullet-Level1"/>
              <w:rPr>
                <w:lang w:val="en-GB"/>
              </w:rPr>
            </w:pPr>
            <w:r w:rsidRPr="00881A2B">
              <w:rPr>
                <w:lang w:val="en-GB"/>
              </w:rPr>
              <w:t>Insurance Europe supports AMT109-110</w:t>
            </w:r>
            <w:r w:rsidR="009036FC" w:rsidRPr="00881A2B">
              <w:rPr>
                <w:lang w:val="en-GB"/>
              </w:rPr>
              <w:t xml:space="preserve"> and AMT29,</w:t>
            </w:r>
            <w:r w:rsidR="00BD4F0D" w:rsidRPr="00881A2B">
              <w:rPr>
                <w:lang w:val="en-GB"/>
              </w:rPr>
              <w:t xml:space="preserve"> and </w:t>
            </w:r>
            <w:r w:rsidR="00FD5BF9" w:rsidRPr="00881A2B">
              <w:rPr>
                <w:lang w:val="en-GB"/>
              </w:rPr>
              <w:t xml:space="preserve">opposes </w:t>
            </w:r>
            <w:r w:rsidR="00BD4F0D" w:rsidRPr="00881A2B">
              <w:rPr>
                <w:lang w:val="en-GB"/>
              </w:rPr>
              <w:t>AMT28</w:t>
            </w:r>
            <w:r w:rsidRPr="00881A2B">
              <w:rPr>
                <w:lang w:val="en-GB"/>
              </w:rPr>
              <w:t>.</w:t>
            </w:r>
          </w:p>
          <w:p w:rsidR="00D67325" w:rsidRPr="00856C00" w:rsidRDefault="00D67325" w:rsidP="00D67325">
            <w:pPr>
              <w:pStyle w:val="CEABullet-Level3"/>
              <w:numPr>
                <w:ilvl w:val="0"/>
                <w:numId w:val="0"/>
              </w:numPr>
              <w:tabs>
                <w:tab w:val="left" w:pos="3660"/>
              </w:tabs>
              <w:spacing w:before="60" w:after="60"/>
              <w:rPr>
                <w:szCs w:val="17"/>
                <w:lang w:val="en-GB"/>
              </w:rPr>
            </w:pPr>
          </w:p>
        </w:tc>
      </w:tr>
      <w:tr w:rsidR="007B4BEF" w:rsidRPr="00856C00" w:rsidTr="007B4BEF">
        <w:trPr>
          <w:cantSplit/>
        </w:trPr>
        <w:tc>
          <w:tcPr>
            <w:tcW w:w="1701" w:type="dxa"/>
            <w:tcBorders>
              <w:top w:val="single" w:sz="4" w:space="0" w:color="auto"/>
              <w:left w:val="single" w:sz="4" w:space="0" w:color="auto"/>
              <w:bottom w:val="single" w:sz="4" w:space="0" w:color="auto"/>
              <w:right w:val="single" w:sz="4" w:space="0" w:color="auto"/>
            </w:tcBorders>
            <w:vAlign w:val="center"/>
          </w:tcPr>
          <w:p w:rsidR="007B4BEF" w:rsidRPr="00856C00" w:rsidRDefault="007B4BEF" w:rsidP="001071E9">
            <w:pPr>
              <w:spacing w:before="60" w:after="60"/>
              <w:jc w:val="center"/>
              <w:rPr>
                <w:b/>
                <w:szCs w:val="17"/>
              </w:rPr>
            </w:pPr>
            <w:r w:rsidRPr="00856C00">
              <w:rPr>
                <w:b/>
                <w:szCs w:val="17"/>
              </w:rPr>
              <w:t>AMT 11</w:t>
            </w:r>
            <w:r w:rsidR="00A55089" w:rsidRPr="00856C00">
              <w:rPr>
                <w:b/>
                <w:szCs w:val="17"/>
              </w:rPr>
              <w:t>1-113</w:t>
            </w:r>
          </w:p>
        </w:tc>
        <w:tc>
          <w:tcPr>
            <w:tcW w:w="1560" w:type="dxa"/>
            <w:tcBorders>
              <w:top w:val="single" w:sz="4" w:space="0" w:color="auto"/>
              <w:left w:val="single" w:sz="4" w:space="0" w:color="auto"/>
              <w:bottom w:val="single" w:sz="4" w:space="0" w:color="auto"/>
              <w:right w:val="single" w:sz="4" w:space="0" w:color="auto"/>
            </w:tcBorders>
            <w:vAlign w:val="center"/>
          </w:tcPr>
          <w:p w:rsidR="007B4BEF" w:rsidRPr="00856C00" w:rsidRDefault="007B4BEF" w:rsidP="00A55089">
            <w:pPr>
              <w:spacing w:before="60" w:after="60"/>
              <w:jc w:val="center"/>
            </w:pPr>
            <w:r w:rsidRPr="00856C00">
              <w:t xml:space="preserve">Article 17 – </w:t>
            </w:r>
            <w:proofErr w:type="spellStart"/>
            <w:r w:rsidRPr="00856C00">
              <w:t>para</w:t>
            </w:r>
            <w:proofErr w:type="spellEnd"/>
            <w:r w:rsidRPr="00856C00">
              <w:t>.</w:t>
            </w:r>
            <w:r w:rsidR="00BB4DB4" w:rsidRPr="00856C00">
              <w:t xml:space="preserve"> </w:t>
            </w:r>
            <w:r w:rsidRPr="00856C00">
              <w:t xml:space="preserve">1 – point </w:t>
            </w:r>
            <w:r w:rsidR="00A55089" w:rsidRPr="00856C00">
              <w:t>f</w:t>
            </w:r>
          </w:p>
        </w:tc>
        <w:tc>
          <w:tcPr>
            <w:tcW w:w="2552" w:type="dxa"/>
            <w:tcBorders>
              <w:top w:val="single" w:sz="4" w:space="0" w:color="auto"/>
              <w:left w:val="single" w:sz="4" w:space="0" w:color="auto"/>
              <w:bottom w:val="single" w:sz="4" w:space="0" w:color="auto"/>
              <w:right w:val="single" w:sz="4" w:space="0" w:color="auto"/>
            </w:tcBorders>
            <w:vAlign w:val="center"/>
          </w:tcPr>
          <w:p w:rsidR="007B4BEF" w:rsidRPr="00856C00" w:rsidRDefault="007B4BEF" w:rsidP="001071E9">
            <w:pPr>
              <w:spacing w:before="60" w:after="60"/>
              <w:jc w:val="center"/>
              <w:rPr>
                <w:i/>
                <w:szCs w:val="17"/>
              </w:rPr>
            </w:pPr>
            <w:r w:rsidRPr="00856C00">
              <w:rPr>
                <w:i/>
                <w:szCs w:val="17"/>
              </w:rPr>
              <w:t xml:space="preserve">Malcolm Harbour, </w:t>
            </w:r>
            <w:proofErr w:type="spellStart"/>
            <w:r w:rsidRPr="00856C00">
              <w:rPr>
                <w:i/>
                <w:szCs w:val="17"/>
              </w:rPr>
              <w:t>Othmar</w:t>
            </w:r>
            <w:proofErr w:type="spellEnd"/>
            <w:r w:rsidRPr="00856C00">
              <w:rPr>
                <w:i/>
                <w:szCs w:val="17"/>
              </w:rPr>
              <w:t xml:space="preserve"> </w:t>
            </w:r>
            <w:proofErr w:type="spellStart"/>
            <w:r w:rsidRPr="00856C00">
              <w:rPr>
                <w:i/>
                <w:szCs w:val="17"/>
              </w:rPr>
              <w:t>Karas</w:t>
            </w:r>
            <w:proofErr w:type="spellEnd"/>
            <w:r w:rsidRPr="00856C00">
              <w:rPr>
                <w:i/>
                <w:szCs w:val="17"/>
              </w:rPr>
              <w:t>, Andreas Schwab</w:t>
            </w:r>
          </w:p>
        </w:tc>
        <w:tc>
          <w:tcPr>
            <w:tcW w:w="10207" w:type="dxa"/>
            <w:tcBorders>
              <w:top w:val="single" w:sz="4" w:space="0" w:color="auto"/>
              <w:left w:val="single" w:sz="4" w:space="0" w:color="auto"/>
              <w:bottom w:val="single" w:sz="4" w:space="0" w:color="auto"/>
              <w:right w:val="single" w:sz="4" w:space="0" w:color="auto"/>
            </w:tcBorders>
          </w:tcPr>
          <w:p w:rsidR="00A55089" w:rsidRPr="00856C00" w:rsidRDefault="00A55089" w:rsidP="001661D7">
            <w:pPr>
              <w:pStyle w:val="CEABullet-Level3"/>
              <w:numPr>
                <w:ilvl w:val="0"/>
                <w:numId w:val="0"/>
              </w:numPr>
              <w:tabs>
                <w:tab w:val="left" w:pos="3660"/>
              </w:tabs>
              <w:spacing w:before="60" w:after="60"/>
              <w:rPr>
                <w:szCs w:val="17"/>
                <w:lang w:val="en-GB"/>
              </w:rPr>
            </w:pPr>
            <w:r w:rsidRPr="00856C00">
              <w:rPr>
                <w:szCs w:val="17"/>
                <w:lang w:val="en-GB"/>
              </w:rPr>
              <w:t>Insurance Europe welcomes the amendments removing the intermediary’s obligation to disclose the full of remuneration, the basis of calculation or both. Such excessively detailed information on remuneration would be confusing and misleading for consumers and distract them from paying attention to important policy information such as coverage and premium. This has recently been confirmed in the PricewaterhouseCoopers study on the IMD review carried out on behalf of the European Commission.</w:t>
            </w:r>
            <w:r w:rsidR="00903C16" w:rsidRPr="00856C00">
              <w:rPr>
                <w:szCs w:val="17"/>
                <w:lang w:val="en-GB"/>
              </w:rPr>
              <w:t xml:space="preserve"> We believe that a requirement to disclose the source of the remuneration</w:t>
            </w:r>
            <w:r w:rsidR="00CA59E1" w:rsidRPr="00856C00">
              <w:rPr>
                <w:szCs w:val="17"/>
                <w:lang w:val="en-GB"/>
              </w:rPr>
              <w:t>, along with the form of the remuneration, would strike an appropriate balance in terms of providing relevant, useful information to the consumer that will be beneficial in his decision-making.</w:t>
            </w:r>
          </w:p>
          <w:p w:rsidR="00A55089" w:rsidRPr="00856C00" w:rsidRDefault="00A55089" w:rsidP="00A55089">
            <w:pPr>
              <w:pStyle w:val="CEABullet-Level1"/>
              <w:rPr>
                <w:lang w:val="en-GB"/>
              </w:rPr>
            </w:pPr>
            <w:r w:rsidRPr="00856C00">
              <w:rPr>
                <w:lang w:val="en-GB"/>
              </w:rPr>
              <w:t>Insurance Europe opposes AMT113 but supports AMT11</w:t>
            </w:r>
            <w:r w:rsidR="00613032" w:rsidRPr="00856C00">
              <w:rPr>
                <w:lang w:val="en-GB"/>
              </w:rPr>
              <w:t>2</w:t>
            </w:r>
            <w:r w:rsidRPr="00856C00">
              <w:rPr>
                <w:lang w:val="en-GB"/>
              </w:rPr>
              <w:t>. If AMT11</w:t>
            </w:r>
            <w:r w:rsidR="00613032" w:rsidRPr="00856C00">
              <w:rPr>
                <w:lang w:val="en-GB"/>
              </w:rPr>
              <w:t>2</w:t>
            </w:r>
            <w:r w:rsidRPr="00856C00">
              <w:rPr>
                <w:lang w:val="en-GB"/>
              </w:rPr>
              <w:t xml:space="preserve"> is not adopted, Insurance Europe supports AMT 11</w:t>
            </w:r>
            <w:r w:rsidR="00613032" w:rsidRPr="00856C00">
              <w:rPr>
                <w:lang w:val="en-GB"/>
              </w:rPr>
              <w:t>1</w:t>
            </w:r>
            <w:r w:rsidRPr="00856C00">
              <w:rPr>
                <w:lang w:val="en-GB"/>
              </w:rPr>
              <w:t xml:space="preserve"> in the alternative. </w:t>
            </w:r>
          </w:p>
          <w:p w:rsidR="00397D42" w:rsidRPr="00856C00" w:rsidRDefault="00397D42" w:rsidP="00397D42">
            <w:pPr>
              <w:pStyle w:val="CEABullet-Level1"/>
              <w:numPr>
                <w:ilvl w:val="0"/>
                <w:numId w:val="0"/>
              </w:numPr>
              <w:ind w:left="720" w:hanging="360"/>
              <w:rPr>
                <w:lang w:val="en-GB"/>
              </w:rPr>
            </w:pPr>
          </w:p>
        </w:tc>
      </w:tr>
      <w:tr w:rsidR="005B4235" w:rsidRPr="00856C00" w:rsidTr="004B2989">
        <w:trPr>
          <w:cantSplit/>
        </w:trPr>
        <w:tc>
          <w:tcPr>
            <w:tcW w:w="1701" w:type="dxa"/>
            <w:tcBorders>
              <w:top w:val="single" w:sz="4" w:space="0" w:color="auto"/>
              <w:left w:val="single" w:sz="4" w:space="0" w:color="auto"/>
              <w:bottom w:val="single" w:sz="4" w:space="0" w:color="auto"/>
              <w:right w:val="single" w:sz="4" w:space="0" w:color="auto"/>
            </w:tcBorders>
            <w:vAlign w:val="center"/>
          </w:tcPr>
          <w:p w:rsidR="005B4235" w:rsidRPr="00856C00" w:rsidRDefault="005B4235" w:rsidP="001071E9">
            <w:pPr>
              <w:spacing w:before="60" w:after="60"/>
              <w:jc w:val="center"/>
              <w:rPr>
                <w:b/>
                <w:szCs w:val="17"/>
              </w:rPr>
            </w:pPr>
            <w:r w:rsidRPr="00856C00">
              <w:rPr>
                <w:b/>
                <w:szCs w:val="17"/>
              </w:rPr>
              <w:lastRenderedPageBreak/>
              <w:t>AMT 114-116</w:t>
            </w:r>
          </w:p>
        </w:tc>
        <w:tc>
          <w:tcPr>
            <w:tcW w:w="1560" w:type="dxa"/>
            <w:tcBorders>
              <w:top w:val="single" w:sz="4" w:space="0" w:color="auto"/>
              <w:left w:val="single" w:sz="4" w:space="0" w:color="auto"/>
              <w:bottom w:val="single" w:sz="4" w:space="0" w:color="auto"/>
              <w:right w:val="single" w:sz="4" w:space="0" w:color="auto"/>
            </w:tcBorders>
            <w:vAlign w:val="center"/>
          </w:tcPr>
          <w:p w:rsidR="005B4235" w:rsidRPr="00856C00" w:rsidRDefault="005B4235" w:rsidP="00F44ADD">
            <w:pPr>
              <w:spacing w:before="60" w:after="60"/>
              <w:jc w:val="center"/>
            </w:pPr>
            <w:r w:rsidRPr="00856C00">
              <w:t xml:space="preserve">Article 17 – </w:t>
            </w:r>
            <w:proofErr w:type="spellStart"/>
            <w:r w:rsidRPr="00856C00">
              <w:t>para</w:t>
            </w:r>
            <w:proofErr w:type="spellEnd"/>
            <w:r w:rsidRPr="00856C00">
              <w:t>.</w:t>
            </w:r>
            <w:r w:rsidR="00BB4DB4" w:rsidRPr="00856C00">
              <w:t xml:space="preserve"> </w:t>
            </w:r>
            <w:r w:rsidRPr="00856C00">
              <w:t>1 – point g</w:t>
            </w:r>
          </w:p>
        </w:tc>
        <w:tc>
          <w:tcPr>
            <w:tcW w:w="2552" w:type="dxa"/>
            <w:tcBorders>
              <w:top w:val="single" w:sz="4" w:space="0" w:color="auto"/>
              <w:left w:val="single" w:sz="4" w:space="0" w:color="auto"/>
              <w:bottom w:val="single" w:sz="4" w:space="0" w:color="auto"/>
              <w:right w:val="single" w:sz="4" w:space="0" w:color="auto"/>
            </w:tcBorders>
            <w:vAlign w:val="center"/>
          </w:tcPr>
          <w:p w:rsidR="005B4235" w:rsidRPr="00856C00" w:rsidRDefault="005B4235" w:rsidP="001071E9">
            <w:pPr>
              <w:spacing w:before="60" w:after="60"/>
              <w:jc w:val="center"/>
              <w:rPr>
                <w:i/>
                <w:szCs w:val="17"/>
              </w:rPr>
            </w:pPr>
            <w:r w:rsidRPr="00856C00">
              <w:rPr>
                <w:i/>
                <w:szCs w:val="17"/>
              </w:rPr>
              <w:t xml:space="preserve">Malcolm Harbour, </w:t>
            </w:r>
            <w:proofErr w:type="spellStart"/>
            <w:r w:rsidRPr="00856C00">
              <w:rPr>
                <w:i/>
                <w:szCs w:val="17"/>
              </w:rPr>
              <w:t>Matteo</w:t>
            </w:r>
            <w:proofErr w:type="spellEnd"/>
            <w:r w:rsidRPr="00856C00">
              <w:rPr>
                <w:i/>
                <w:szCs w:val="17"/>
              </w:rPr>
              <w:t xml:space="preserve"> </w:t>
            </w:r>
            <w:proofErr w:type="spellStart"/>
            <w:r w:rsidRPr="00856C00">
              <w:rPr>
                <w:i/>
                <w:szCs w:val="17"/>
              </w:rPr>
              <w:t>Salvini</w:t>
            </w:r>
            <w:proofErr w:type="spellEnd"/>
            <w:r w:rsidRPr="00856C00">
              <w:rPr>
                <w:i/>
                <w:szCs w:val="17"/>
              </w:rPr>
              <w:t xml:space="preserve">, Mario </w:t>
            </w:r>
            <w:proofErr w:type="spellStart"/>
            <w:r w:rsidRPr="00856C00">
              <w:rPr>
                <w:i/>
                <w:szCs w:val="17"/>
              </w:rPr>
              <w:t>Borghezio</w:t>
            </w:r>
            <w:proofErr w:type="spellEnd"/>
            <w:r w:rsidRPr="00856C00">
              <w:rPr>
                <w:i/>
                <w:szCs w:val="17"/>
              </w:rPr>
              <w:t xml:space="preserve">, </w:t>
            </w:r>
            <w:proofErr w:type="spellStart"/>
            <w:r w:rsidRPr="00856C00">
              <w:rPr>
                <w:i/>
                <w:szCs w:val="17"/>
              </w:rPr>
              <w:t>Othmar</w:t>
            </w:r>
            <w:proofErr w:type="spellEnd"/>
            <w:r w:rsidRPr="00856C00">
              <w:rPr>
                <w:i/>
                <w:szCs w:val="17"/>
              </w:rPr>
              <w:t xml:space="preserve"> </w:t>
            </w:r>
            <w:proofErr w:type="spellStart"/>
            <w:r w:rsidRPr="00856C00">
              <w:rPr>
                <w:i/>
                <w:szCs w:val="17"/>
              </w:rPr>
              <w:t>Karas</w:t>
            </w:r>
            <w:proofErr w:type="spellEnd"/>
            <w:r w:rsidRPr="00856C00">
              <w:rPr>
                <w:i/>
                <w:szCs w:val="17"/>
              </w:rPr>
              <w:t>, Andreas Schwab</w:t>
            </w:r>
          </w:p>
        </w:tc>
        <w:tc>
          <w:tcPr>
            <w:tcW w:w="10207" w:type="dxa"/>
            <w:tcBorders>
              <w:top w:val="single" w:sz="4" w:space="0" w:color="auto"/>
              <w:left w:val="single" w:sz="4" w:space="0" w:color="auto"/>
              <w:bottom w:val="single" w:sz="4" w:space="0" w:color="auto"/>
              <w:right w:val="single" w:sz="4" w:space="0" w:color="auto"/>
            </w:tcBorders>
          </w:tcPr>
          <w:p w:rsidR="005B4235" w:rsidRPr="00856C00" w:rsidRDefault="004B2989" w:rsidP="004B2989">
            <w:pPr>
              <w:pStyle w:val="CEABullet-Level3"/>
              <w:numPr>
                <w:ilvl w:val="0"/>
                <w:numId w:val="0"/>
              </w:numPr>
              <w:spacing w:before="60" w:after="60"/>
              <w:rPr>
                <w:szCs w:val="17"/>
                <w:lang w:val="en-GB"/>
              </w:rPr>
            </w:pPr>
            <w:r w:rsidRPr="00856C00">
              <w:rPr>
                <w:szCs w:val="17"/>
                <w:lang w:val="en-GB"/>
              </w:rPr>
              <w:t>Insurance Europe supports the amendments removing the obligation for intermediaries’ to disclose targets, thresholds and amounts of their variable remuneration. Excessively detailed remuneration disclosures would be confusin</w:t>
            </w:r>
            <w:r w:rsidR="00A55089" w:rsidRPr="00856C00">
              <w:rPr>
                <w:szCs w:val="17"/>
                <w:lang w:val="en-GB"/>
              </w:rPr>
              <w:t xml:space="preserve">g and misleading for consumers and </w:t>
            </w:r>
            <w:r w:rsidRPr="00856C00">
              <w:rPr>
                <w:szCs w:val="17"/>
                <w:lang w:val="en-GB"/>
              </w:rPr>
              <w:t xml:space="preserve">would distract </w:t>
            </w:r>
            <w:r w:rsidR="00345925" w:rsidRPr="00856C00">
              <w:rPr>
                <w:szCs w:val="17"/>
                <w:lang w:val="en-GB"/>
              </w:rPr>
              <w:t>them</w:t>
            </w:r>
            <w:r w:rsidRPr="00856C00">
              <w:rPr>
                <w:szCs w:val="17"/>
                <w:lang w:val="en-GB"/>
              </w:rPr>
              <w:t xml:space="preserve"> from paying attention to important policy information such as coverage and premium. This has recently been confirmed in the PricewaterhouseCoopers study carried out on behalf of the European Commission on the IMD review.</w:t>
            </w:r>
            <w:r w:rsidR="00D56502" w:rsidRPr="00856C00">
              <w:rPr>
                <w:szCs w:val="17"/>
                <w:lang w:val="en-GB"/>
              </w:rPr>
              <w:t xml:space="preserve"> We believe that a requirement to disclose the form and source of the remuneration would strike an appropriate balance in terms of providing relevant, useful information to the consumer that will be beneficial in his decision-making.</w:t>
            </w:r>
          </w:p>
          <w:p w:rsidR="004B2989" w:rsidRPr="00856C00" w:rsidRDefault="004B2989" w:rsidP="004B2989">
            <w:pPr>
              <w:pStyle w:val="CEABullet-Level1"/>
              <w:rPr>
                <w:lang w:val="en-GB"/>
              </w:rPr>
            </w:pPr>
            <w:r w:rsidRPr="00856C00">
              <w:rPr>
                <w:lang w:val="en-GB"/>
              </w:rPr>
              <w:t xml:space="preserve">Insurance Europe supports </w:t>
            </w:r>
            <w:r w:rsidR="00D56502" w:rsidRPr="00856C00">
              <w:rPr>
                <w:lang w:val="en-GB"/>
              </w:rPr>
              <w:t xml:space="preserve">the deletions in </w:t>
            </w:r>
            <w:r w:rsidRPr="00856C00">
              <w:rPr>
                <w:lang w:val="en-GB"/>
              </w:rPr>
              <w:t>AMT114-116.</w:t>
            </w:r>
          </w:p>
          <w:p w:rsidR="00D56502" w:rsidRPr="00856C00" w:rsidRDefault="00D56502" w:rsidP="00D56502">
            <w:pPr>
              <w:pStyle w:val="CEABullet-Level1"/>
              <w:numPr>
                <w:ilvl w:val="0"/>
                <w:numId w:val="0"/>
              </w:numPr>
              <w:ind w:left="720" w:hanging="360"/>
              <w:rPr>
                <w:lang w:val="en-GB"/>
              </w:rPr>
            </w:pPr>
          </w:p>
        </w:tc>
      </w:tr>
      <w:tr w:rsidR="00784E20" w:rsidRPr="00856C00" w:rsidTr="004B2989">
        <w:trPr>
          <w:cantSplit/>
        </w:trPr>
        <w:tc>
          <w:tcPr>
            <w:tcW w:w="1701" w:type="dxa"/>
            <w:tcBorders>
              <w:top w:val="single" w:sz="4" w:space="0" w:color="auto"/>
              <w:left w:val="single" w:sz="4" w:space="0" w:color="auto"/>
              <w:bottom w:val="single" w:sz="4" w:space="0" w:color="auto"/>
              <w:right w:val="single" w:sz="4" w:space="0" w:color="auto"/>
            </w:tcBorders>
            <w:vAlign w:val="center"/>
          </w:tcPr>
          <w:p w:rsidR="00784E20" w:rsidRPr="00856C00" w:rsidRDefault="00784E20" w:rsidP="001071E9">
            <w:pPr>
              <w:spacing w:before="60" w:after="60"/>
              <w:jc w:val="center"/>
              <w:rPr>
                <w:b/>
                <w:szCs w:val="17"/>
              </w:rPr>
            </w:pPr>
            <w:r w:rsidRPr="00856C00">
              <w:rPr>
                <w:b/>
                <w:szCs w:val="17"/>
              </w:rPr>
              <w:t>AMT 117-119</w:t>
            </w:r>
          </w:p>
        </w:tc>
        <w:tc>
          <w:tcPr>
            <w:tcW w:w="1560" w:type="dxa"/>
            <w:tcBorders>
              <w:top w:val="single" w:sz="4" w:space="0" w:color="auto"/>
              <w:left w:val="single" w:sz="4" w:space="0" w:color="auto"/>
              <w:bottom w:val="single" w:sz="4" w:space="0" w:color="auto"/>
              <w:right w:val="single" w:sz="4" w:space="0" w:color="auto"/>
            </w:tcBorders>
            <w:vAlign w:val="center"/>
          </w:tcPr>
          <w:p w:rsidR="00784E20" w:rsidRPr="00856C00" w:rsidRDefault="00784E20" w:rsidP="00397D42">
            <w:pPr>
              <w:spacing w:before="60" w:after="60"/>
              <w:jc w:val="center"/>
            </w:pPr>
            <w:r w:rsidRPr="00856C00">
              <w:t>Article 17</w:t>
            </w:r>
            <w:r w:rsidR="00D56502" w:rsidRPr="00856C00">
              <w:t xml:space="preserve"> – </w:t>
            </w:r>
            <w:proofErr w:type="spellStart"/>
            <w:r w:rsidR="00D56502" w:rsidRPr="00856C00">
              <w:t>p</w:t>
            </w:r>
            <w:r w:rsidRPr="00856C00">
              <w:t>ara</w:t>
            </w:r>
            <w:proofErr w:type="spellEnd"/>
            <w:r w:rsidRPr="00856C00">
              <w:t>.</w:t>
            </w:r>
            <w:r w:rsidR="00607378" w:rsidRPr="00856C00">
              <w:t xml:space="preserve"> </w:t>
            </w:r>
            <w:r w:rsidRPr="00856C00">
              <w:t>2</w:t>
            </w:r>
          </w:p>
        </w:tc>
        <w:tc>
          <w:tcPr>
            <w:tcW w:w="2552" w:type="dxa"/>
            <w:tcBorders>
              <w:top w:val="single" w:sz="4" w:space="0" w:color="auto"/>
              <w:left w:val="single" w:sz="4" w:space="0" w:color="auto"/>
              <w:bottom w:val="single" w:sz="4" w:space="0" w:color="auto"/>
              <w:right w:val="single" w:sz="4" w:space="0" w:color="auto"/>
            </w:tcBorders>
            <w:vAlign w:val="center"/>
          </w:tcPr>
          <w:p w:rsidR="00784E20" w:rsidRPr="00856C00" w:rsidRDefault="00784E20" w:rsidP="001071E9">
            <w:pPr>
              <w:spacing w:before="60" w:after="60"/>
              <w:jc w:val="center"/>
              <w:rPr>
                <w:i/>
                <w:szCs w:val="17"/>
              </w:rPr>
            </w:pPr>
            <w:proofErr w:type="spellStart"/>
            <w:r w:rsidRPr="00856C00">
              <w:rPr>
                <w:i/>
                <w:szCs w:val="17"/>
              </w:rPr>
              <w:t>Matteo</w:t>
            </w:r>
            <w:proofErr w:type="spellEnd"/>
            <w:r w:rsidRPr="00856C00">
              <w:rPr>
                <w:i/>
                <w:szCs w:val="17"/>
              </w:rPr>
              <w:t xml:space="preserve"> </w:t>
            </w:r>
            <w:proofErr w:type="spellStart"/>
            <w:r w:rsidRPr="00856C00">
              <w:rPr>
                <w:i/>
                <w:szCs w:val="17"/>
              </w:rPr>
              <w:t>Salvini</w:t>
            </w:r>
            <w:proofErr w:type="spellEnd"/>
            <w:r w:rsidRPr="00856C00">
              <w:rPr>
                <w:i/>
                <w:szCs w:val="17"/>
              </w:rPr>
              <w:t xml:space="preserve">, Mario </w:t>
            </w:r>
            <w:proofErr w:type="spellStart"/>
            <w:r w:rsidRPr="00856C00">
              <w:rPr>
                <w:i/>
                <w:szCs w:val="17"/>
              </w:rPr>
              <w:t>Borghezio</w:t>
            </w:r>
            <w:proofErr w:type="spellEnd"/>
            <w:r w:rsidRPr="00856C00">
              <w:rPr>
                <w:i/>
                <w:szCs w:val="17"/>
              </w:rPr>
              <w:t xml:space="preserve">, </w:t>
            </w:r>
            <w:proofErr w:type="spellStart"/>
            <w:r w:rsidRPr="00856C00">
              <w:rPr>
                <w:i/>
                <w:szCs w:val="17"/>
              </w:rPr>
              <w:t>Othmar</w:t>
            </w:r>
            <w:proofErr w:type="spellEnd"/>
            <w:r w:rsidRPr="00856C00">
              <w:rPr>
                <w:i/>
                <w:szCs w:val="17"/>
              </w:rPr>
              <w:t xml:space="preserve"> </w:t>
            </w:r>
            <w:proofErr w:type="spellStart"/>
            <w:r w:rsidRPr="00856C00">
              <w:rPr>
                <w:i/>
                <w:szCs w:val="17"/>
              </w:rPr>
              <w:t>Karas</w:t>
            </w:r>
            <w:proofErr w:type="spellEnd"/>
            <w:r w:rsidRPr="00856C00">
              <w:rPr>
                <w:i/>
                <w:szCs w:val="17"/>
              </w:rPr>
              <w:t>, Malcolm Harbour</w:t>
            </w:r>
          </w:p>
        </w:tc>
        <w:tc>
          <w:tcPr>
            <w:tcW w:w="10207" w:type="dxa"/>
            <w:tcBorders>
              <w:top w:val="single" w:sz="4" w:space="0" w:color="auto"/>
              <w:left w:val="single" w:sz="4" w:space="0" w:color="auto"/>
              <w:bottom w:val="single" w:sz="4" w:space="0" w:color="auto"/>
              <w:right w:val="single" w:sz="4" w:space="0" w:color="auto"/>
            </w:tcBorders>
          </w:tcPr>
          <w:p w:rsidR="00784E20" w:rsidRPr="00856C00" w:rsidRDefault="00C70BD8" w:rsidP="00C70BD8">
            <w:pPr>
              <w:pStyle w:val="CEABullet-Level3"/>
              <w:numPr>
                <w:ilvl w:val="0"/>
                <w:numId w:val="0"/>
              </w:numPr>
              <w:spacing w:before="60" w:after="60"/>
              <w:rPr>
                <w:szCs w:val="17"/>
                <w:lang w:val="en-GB"/>
              </w:rPr>
            </w:pPr>
            <w:r w:rsidRPr="00856C00">
              <w:rPr>
                <w:szCs w:val="17"/>
                <w:lang w:val="en-GB"/>
              </w:rPr>
              <w:t xml:space="preserve">Insurance Europe welcomes the amendments removing the obligation for Member States to introduce an on-request regime regarding remuneration transparency for non-life insurance products. Remuneration information distracts consumers from </w:t>
            </w:r>
            <w:r w:rsidR="002657DB" w:rsidRPr="00856C00">
              <w:rPr>
                <w:szCs w:val="17"/>
                <w:lang w:val="en-GB"/>
              </w:rPr>
              <w:t xml:space="preserve">paying attention to important policy information such as coverage and premium. Moreover, IMD2 </w:t>
            </w:r>
            <w:r w:rsidR="00F71206" w:rsidRPr="00856C00">
              <w:rPr>
                <w:szCs w:val="17"/>
                <w:lang w:val="en-GB"/>
              </w:rPr>
              <w:t>should take a minimum harmonisation approach, allowing Member States to maintain or adopt additional rules on conflicts of interest and remuneration, adjusted to their national market’s specificities, as many Member States have already found their own ways of dealing with remuneration in a manner which is appropriate to their market</w:t>
            </w:r>
            <w:r w:rsidR="002657DB" w:rsidRPr="00856C00">
              <w:rPr>
                <w:szCs w:val="17"/>
                <w:lang w:val="en-GB"/>
              </w:rPr>
              <w:t>.</w:t>
            </w:r>
          </w:p>
          <w:p w:rsidR="002657DB" w:rsidRPr="00856C00" w:rsidRDefault="002657DB" w:rsidP="002657DB">
            <w:pPr>
              <w:pStyle w:val="CEABullet-Level1"/>
              <w:rPr>
                <w:lang w:val="en-GB"/>
              </w:rPr>
            </w:pPr>
            <w:r w:rsidRPr="00856C00">
              <w:rPr>
                <w:lang w:val="en-GB"/>
              </w:rPr>
              <w:t>Insurance Europe supports AMT117-118 but opposes AMT119.</w:t>
            </w:r>
          </w:p>
          <w:p w:rsidR="00123909" w:rsidRPr="00856C00" w:rsidRDefault="00123909" w:rsidP="00123909">
            <w:pPr>
              <w:pStyle w:val="CEABullet-Level1"/>
              <w:numPr>
                <w:ilvl w:val="0"/>
                <w:numId w:val="0"/>
              </w:numPr>
              <w:ind w:left="720" w:hanging="360"/>
              <w:rPr>
                <w:lang w:val="en-GB"/>
              </w:rPr>
            </w:pPr>
          </w:p>
        </w:tc>
      </w:tr>
      <w:tr w:rsidR="001071E9" w:rsidRPr="00856C00" w:rsidTr="00F44ADD">
        <w:trPr>
          <w:cantSplit/>
        </w:trPr>
        <w:tc>
          <w:tcPr>
            <w:tcW w:w="1701" w:type="dxa"/>
            <w:tcBorders>
              <w:top w:val="single" w:sz="4" w:space="0" w:color="auto"/>
              <w:left w:val="single" w:sz="4" w:space="0" w:color="auto"/>
              <w:bottom w:val="single" w:sz="4" w:space="0" w:color="auto"/>
              <w:right w:val="single" w:sz="4" w:space="0" w:color="auto"/>
            </w:tcBorders>
            <w:vAlign w:val="center"/>
            <w:hideMark/>
          </w:tcPr>
          <w:p w:rsidR="001071E9" w:rsidRPr="00856C00" w:rsidRDefault="001071E9" w:rsidP="00DE0615">
            <w:pPr>
              <w:spacing w:before="60" w:after="60"/>
              <w:jc w:val="center"/>
              <w:rPr>
                <w:b/>
                <w:szCs w:val="17"/>
              </w:rPr>
            </w:pPr>
            <w:r w:rsidRPr="00856C00">
              <w:rPr>
                <w:b/>
                <w:szCs w:val="17"/>
              </w:rPr>
              <w:t>AMT120</w:t>
            </w:r>
            <w:r w:rsidR="00DE0615" w:rsidRPr="00856C00">
              <w:rPr>
                <w:b/>
                <w:szCs w:val="17"/>
              </w:rPr>
              <w:t>-</w:t>
            </w:r>
            <w:r w:rsidRPr="00856C00">
              <w:rPr>
                <w:b/>
                <w:szCs w:val="17"/>
              </w:rPr>
              <w:t>122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1071E9" w:rsidRPr="00856C00" w:rsidRDefault="001071E9" w:rsidP="00F44ADD">
            <w:pPr>
              <w:spacing w:before="60" w:after="60"/>
              <w:jc w:val="center"/>
            </w:pPr>
          </w:p>
          <w:p w:rsidR="001071E9" w:rsidRPr="00856C00" w:rsidRDefault="001071E9" w:rsidP="00F44ADD">
            <w:pPr>
              <w:spacing w:before="60" w:after="60"/>
              <w:jc w:val="center"/>
            </w:pPr>
            <w:r w:rsidRPr="00856C00">
              <w:t xml:space="preserve">Article 17 - </w:t>
            </w:r>
            <w:proofErr w:type="spellStart"/>
            <w:r w:rsidRPr="00856C00">
              <w:t>para</w:t>
            </w:r>
            <w:proofErr w:type="spellEnd"/>
            <w:r w:rsidRPr="00856C00">
              <w:t>. 3</w:t>
            </w:r>
          </w:p>
          <w:p w:rsidR="001071E9" w:rsidRPr="00856C00" w:rsidRDefault="001071E9" w:rsidP="00F44ADD">
            <w:pPr>
              <w:spacing w:before="60" w:after="60"/>
              <w:jc w:val="center"/>
            </w:pPr>
          </w:p>
        </w:tc>
        <w:tc>
          <w:tcPr>
            <w:tcW w:w="2552" w:type="dxa"/>
            <w:tcBorders>
              <w:top w:val="single" w:sz="4" w:space="0" w:color="auto"/>
              <w:left w:val="single" w:sz="4" w:space="0" w:color="auto"/>
              <w:bottom w:val="single" w:sz="4" w:space="0" w:color="auto"/>
              <w:right w:val="single" w:sz="4" w:space="0" w:color="auto"/>
            </w:tcBorders>
            <w:vAlign w:val="center"/>
            <w:hideMark/>
          </w:tcPr>
          <w:p w:rsidR="001071E9" w:rsidRPr="00856C00" w:rsidRDefault="001071E9" w:rsidP="001071E9">
            <w:pPr>
              <w:spacing w:before="60" w:after="60"/>
              <w:jc w:val="center"/>
              <w:rPr>
                <w:i/>
                <w:szCs w:val="17"/>
              </w:rPr>
            </w:pPr>
            <w:r w:rsidRPr="00856C00">
              <w:rPr>
                <w:i/>
                <w:szCs w:val="17"/>
              </w:rPr>
              <w:t xml:space="preserve">Malcolm Harbour, </w:t>
            </w:r>
            <w:proofErr w:type="spellStart"/>
            <w:r w:rsidRPr="00856C00">
              <w:rPr>
                <w:i/>
                <w:szCs w:val="17"/>
              </w:rPr>
              <w:t>Matteo</w:t>
            </w:r>
            <w:proofErr w:type="spellEnd"/>
            <w:r w:rsidRPr="00856C00">
              <w:rPr>
                <w:i/>
                <w:szCs w:val="17"/>
              </w:rPr>
              <w:t xml:space="preserve"> </w:t>
            </w:r>
            <w:proofErr w:type="spellStart"/>
            <w:r w:rsidRPr="00856C00">
              <w:rPr>
                <w:i/>
                <w:szCs w:val="17"/>
              </w:rPr>
              <w:t>Salvini</w:t>
            </w:r>
            <w:proofErr w:type="spellEnd"/>
            <w:r w:rsidRPr="00856C00">
              <w:rPr>
                <w:i/>
                <w:szCs w:val="17"/>
              </w:rPr>
              <w:t xml:space="preserve">, Mario </w:t>
            </w:r>
            <w:proofErr w:type="spellStart"/>
            <w:r w:rsidRPr="00856C00">
              <w:rPr>
                <w:i/>
                <w:szCs w:val="17"/>
              </w:rPr>
              <w:t>Borghezio</w:t>
            </w:r>
            <w:proofErr w:type="spellEnd"/>
            <w:r w:rsidRPr="00856C00">
              <w:rPr>
                <w:i/>
                <w:szCs w:val="17"/>
              </w:rPr>
              <w:t xml:space="preserve">, </w:t>
            </w:r>
            <w:proofErr w:type="spellStart"/>
            <w:r w:rsidRPr="00856C00">
              <w:rPr>
                <w:i/>
                <w:szCs w:val="17"/>
              </w:rPr>
              <w:t>Othmar</w:t>
            </w:r>
            <w:proofErr w:type="spellEnd"/>
            <w:r w:rsidRPr="00856C00">
              <w:rPr>
                <w:i/>
                <w:szCs w:val="17"/>
              </w:rPr>
              <w:t xml:space="preserve"> </w:t>
            </w:r>
            <w:proofErr w:type="spellStart"/>
            <w:r w:rsidRPr="00856C00">
              <w:rPr>
                <w:i/>
                <w:szCs w:val="17"/>
              </w:rPr>
              <w:t>Karas</w:t>
            </w:r>
            <w:proofErr w:type="spellEnd"/>
          </w:p>
        </w:tc>
        <w:tc>
          <w:tcPr>
            <w:tcW w:w="10207" w:type="dxa"/>
            <w:tcBorders>
              <w:top w:val="single" w:sz="4" w:space="0" w:color="auto"/>
              <w:left w:val="single" w:sz="4" w:space="0" w:color="auto"/>
              <w:bottom w:val="single" w:sz="4" w:space="0" w:color="auto"/>
              <w:right w:val="single" w:sz="4" w:space="0" w:color="auto"/>
            </w:tcBorders>
            <w:vAlign w:val="center"/>
            <w:hideMark/>
          </w:tcPr>
          <w:p w:rsidR="001071E9" w:rsidRPr="00856C00" w:rsidRDefault="001071E9" w:rsidP="00F44ADD">
            <w:pPr>
              <w:pStyle w:val="CEABullet-Level3"/>
              <w:numPr>
                <w:ilvl w:val="0"/>
                <w:numId w:val="0"/>
              </w:numPr>
              <w:spacing w:before="60" w:after="60"/>
              <w:rPr>
                <w:szCs w:val="17"/>
                <w:lang w:val="en-GB"/>
              </w:rPr>
            </w:pPr>
            <w:r w:rsidRPr="00856C00">
              <w:rPr>
                <w:szCs w:val="17"/>
                <w:lang w:val="en-GB"/>
              </w:rPr>
              <w:t xml:space="preserve">Insurance Europe </w:t>
            </w:r>
            <w:r w:rsidR="008B2739" w:rsidRPr="00856C00">
              <w:rPr>
                <w:szCs w:val="17"/>
                <w:lang w:val="en-GB"/>
              </w:rPr>
              <w:t>supports the proposed deletions. We strongly oppose</w:t>
            </w:r>
            <w:r w:rsidR="004A27AD" w:rsidRPr="00856C00">
              <w:rPr>
                <w:szCs w:val="17"/>
                <w:lang w:val="en-GB"/>
              </w:rPr>
              <w:t xml:space="preserve"> disclosure of the variable remuneration of insurers’ employees, as it will not </w:t>
            </w:r>
            <w:r w:rsidR="00106B9C" w:rsidRPr="00856C00">
              <w:rPr>
                <w:szCs w:val="17"/>
                <w:lang w:val="en-GB"/>
              </w:rPr>
              <w:t>provide any benefit to</w:t>
            </w:r>
            <w:r w:rsidR="004A27AD" w:rsidRPr="00856C00">
              <w:rPr>
                <w:szCs w:val="17"/>
                <w:lang w:val="en-GB"/>
              </w:rPr>
              <w:t xml:space="preserve"> consumers</w:t>
            </w:r>
            <w:r w:rsidR="00106B9C" w:rsidRPr="00856C00">
              <w:rPr>
                <w:szCs w:val="17"/>
                <w:lang w:val="en-GB"/>
              </w:rPr>
              <w:t>,</w:t>
            </w:r>
            <w:r w:rsidR="004A27AD" w:rsidRPr="00856C00">
              <w:rPr>
                <w:szCs w:val="17"/>
                <w:lang w:val="en-GB"/>
              </w:rPr>
              <w:t xml:space="preserve"> and only add burden and cost for industry and consumers. There are safeguards already in place and proposed rules to address potential conflicts of interest. For direct and tied sales, sales personnel only recommend their own firms’ products. Furthermore, there exist no similar provisions under the proposed MiFID2, which would effectively result in having stricter rules for insurance investment products than for other types of investment product.</w:t>
            </w:r>
            <w:r w:rsidRPr="00856C00">
              <w:rPr>
                <w:szCs w:val="17"/>
                <w:lang w:val="en-GB"/>
              </w:rPr>
              <w:t xml:space="preserve"> </w:t>
            </w:r>
          </w:p>
          <w:p w:rsidR="001071E9" w:rsidRPr="00856C00" w:rsidRDefault="001071E9" w:rsidP="00F44ADD">
            <w:pPr>
              <w:pStyle w:val="CEABullet-Level1"/>
              <w:rPr>
                <w:lang w:val="en-GB"/>
              </w:rPr>
            </w:pPr>
            <w:r w:rsidRPr="00856C00">
              <w:rPr>
                <w:lang w:val="en-GB"/>
              </w:rPr>
              <w:t xml:space="preserve">Insurance Europe </w:t>
            </w:r>
            <w:r w:rsidR="004A27AD" w:rsidRPr="00856C00">
              <w:rPr>
                <w:lang w:val="en-GB"/>
              </w:rPr>
              <w:t>supports</w:t>
            </w:r>
            <w:r w:rsidRPr="00856C00">
              <w:rPr>
                <w:lang w:val="en-GB"/>
              </w:rPr>
              <w:t xml:space="preserve"> AMT</w:t>
            </w:r>
            <w:r w:rsidR="008B2739" w:rsidRPr="00856C00">
              <w:rPr>
                <w:lang w:val="en-GB"/>
              </w:rPr>
              <w:t>120-</w:t>
            </w:r>
            <w:r w:rsidR="004A27AD" w:rsidRPr="00856C00">
              <w:rPr>
                <w:lang w:val="en-GB"/>
              </w:rPr>
              <w:t>122</w:t>
            </w:r>
            <w:r w:rsidR="008B2739" w:rsidRPr="00856C00">
              <w:rPr>
                <w:lang w:val="en-GB"/>
              </w:rPr>
              <w:t>.</w:t>
            </w:r>
          </w:p>
          <w:p w:rsidR="001071E9" w:rsidRPr="00856C00" w:rsidRDefault="001071E9" w:rsidP="00F44ADD">
            <w:pPr>
              <w:pStyle w:val="CEABullet-Level1"/>
              <w:numPr>
                <w:ilvl w:val="0"/>
                <w:numId w:val="0"/>
              </w:numPr>
              <w:ind w:left="720"/>
              <w:rPr>
                <w:lang w:val="en-GB"/>
              </w:rPr>
            </w:pPr>
          </w:p>
        </w:tc>
      </w:tr>
      <w:tr w:rsidR="00A267FB" w:rsidRPr="00856C00" w:rsidTr="006E3FB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A267FB" w:rsidRPr="00856C00" w:rsidRDefault="00A267FB" w:rsidP="00DE0615">
            <w:pPr>
              <w:spacing w:before="60" w:after="60"/>
              <w:jc w:val="center"/>
              <w:rPr>
                <w:b/>
                <w:szCs w:val="17"/>
              </w:rPr>
            </w:pPr>
            <w:r w:rsidRPr="00856C00">
              <w:rPr>
                <w:b/>
                <w:szCs w:val="17"/>
              </w:rPr>
              <w:lastRenderedPageBreak/>
              <w:t>AMT123-124</w:t>
            </w:r>
          </w:p>
        </w:tc>
        <w:tc>
          <w:tcPr>
            <w:tcW w:w="1560" w:type="dxa"/>
            <w:tcBorders>
              <w:top w:val="single" w:sz="4" w:space="0" w:color="auto"/>
              <w:left w:val="single" w:sz="4" w:space="0" w:color="auto"/>
              <w:bottom w:val="single" w:sz="4" w:space="0" w:color="auto"/>
              <w:right w:val="single" w:sz="4" w:space="0" w:color="auto"/>
            </w:tcBorders>
            <w:vAlign w:val="center"/>
          </w:tcPr>
          <w:p w:rsidR="00A267FB" w:rsidRPr="00856C00" w:rsidRDefault="00A267FB" w:rsidP="00CA431B">
            <w:pPr>
              <w:spacing w:before="60" w:after="60"/>
              <w:jc w:val="center"/>
            </w:pPr>
            <w:r w:rsidRPr="00856C00">
              <w:t xml:space="preserve">Article 17 – </w:t>
            </w:r>
            <w:proofErr w:type="spellStart"/>
            <w:r w:rsidRPr="00856C00">
              <w:t>para</w:t>
            </w:r>
            <w:proofErr w:type="spellEnd"/>
            <w:r w:rsidRPr="00856C00">
              <w:t>. 4</w:t>
            </w:r>
          </w:p>
        </w:tc>
        <w:tc>
          <w:tcPr>
            <w:tcW w:w="2552" w:type="dxa"/>
            <w:tcBorders>
              <w:top w:val="single" w:sz="4" w:space="0" w:color="auto"/>
              <w:left w:val="single" w:sz="4" w:space="0" w:color="auto"/>
              <w:bottom w:val="single" w:sz="4" w:space="0" w:color="auto"/>
              <w:right w:val="single" w:sz="4" w:space="0" w:color="auto"/>
            </w:tcBorders>
            <w:vAlign w:val="center"/>
          </w:tcPr>
          <w:p w:rsidR="00A267FB" w:rsidRPr="00856C00" w:rsidRDefault="00A267FB" w:rsidP="00CA431B">
            <w:pPr>
              <w:spacing w:before="60" w:after="60"/>
              <w:jc w:val="center"/>
              <w:rPr>
                <w:i/>
                <w:szCs w:val="17"/>
              </w:rPr>
            </w:pPr>
            <w:proofErr w:type="spellStart"/>
            <w:r w:rsidRPr="00856C00">
              <w:rPr>
                <w:i/>
                <w:szCs w:val="17"/>
              </w:rPr>
              <w:t>Matteo</w:t>
            </w:r>
            <w:proofErr w:type="spellEnd"/>
            <w:r w:rsidRPr="00856C00">
              <w:rPr>
                <w:i/>
                <w:szCs w:val="17"/>
              </w:rPr>
              <w:t xml:space="preserve"> </w:t>
            </w:r>
            <w:proofErr w:type="spellStart"/>
            <w:r w:rsidRPr="00856C00">
              <w:rPr>
                <w:i/>
                <w:szCs w:val="17"/>
              </w:rPr>
              <w:t>Salvini</w:t>
            </w:r>
            <w:proofErr w:type="spellEnd"/>
            <w:r w:rsidRPr="00856C00">
              <w:rPr>
                <w:i/>
                <w:szCs w:val="17"/>
              </w:rPr>
              <w:t xml:space="preserve">, Mario </w:t>
            </w:r>
            <w:proofErr w:type="spellStart"/>
            <w:r w:rsidRPr="00856C00">
              <w:rPr>
                <w:i/>
                <w:szCs w:val="17"/>
              </w:rPr>
              <w:t>Borghezio</w:t>
            </w:r>
            <w:proofErr w:type="spellEnd"/>
            <w:r w:rsidRPr="00856C00">
              <w:rPr>
                <w:i/>
                <w:szCs w:val="17"/>
              </w:rPr>
              <w:t xml:space="preserve">, </w:t>
            </w:r>
            <w:proofErr w:type="spellStart"/>
            <w:r w:rsidRPr="00856C00">
              <w:rPr>
                <w:i/>
                <w:szCs w:val="17"/>
              </w:rPr>
              <w:t>Othmar</w:t>
            </w:r>
            <w:proofErr w:type="spellEnd"/>
            <w:r w:rsidRPr="00856C00">
              <w:rPr>
                <w:i/>
                <w:szCs w:val="17"/>
              </w:rPr>
              <w:t xml:space="preserve"> </w:t>
            </w:r>
            <w:proofErr w:type="spellStart"/>
            <w:r w:rsidRPr="00856C00">
              <w:rPr>
                <w:i/>
                <w:szCs w:val="17"/>
              </w:rPr>
              <w:t>Karas</w:t>
            </w:r>
            <w:proofErr w:type="spellEnd"/>
          </w:p>
        </w:tc>
        <w:tc>
          <w:tcPr>
            <w:tcW w:w="10207" w:type="dxa"/>
            <w:tcBorders>
              <w:top w:val="single" w:sz="4" w:space="0" w:color="auto"/>
              <w:left w:val="single" w:sz="4" w:space="0" w:color="auto"/>
              <w:bottom w:val="single" w:sz="4" w:space="0" w:color="auto"/>
              <w:right w:val="single" w:sz="4" w:space="0" w:color="auto"/>
            </w:tcBorders>
            <w:vAlign w:val="center"/>
          </w:tcPr>
          <w:p w:rsidR="00A267FB" w:rsidRPr="00856C00" w:rsidRDefault="00357D90" w:rsidP="00357D90">
            <w:pPr>
              <w:autoSpaceDE w:val="0"/>
              <w:autoSpaceDN w:val="0"/>
              <w:adjustRightInd w:val="0"/>
              <w:spacing w:after="200"/>
              <w:rPr>
                <w:szCs w:val="17"/>
              </w:rPr>
            </w:pPr>
            <w:r w:rsidRPr="00856C00">
              <w:rPr>
                <w:szCs w:val="17"/>
              </w:rPr>
              <w:t>Insurance Europe supports the proposed deletion. Excessively detailed remuneration disclosures will not provide any benefit to consumers, and only add burden and cost for industry and consumers.</w:t>
            </w:r>
          </w:p>
          <w:p w:rsidR="00357D90" w:rsidRPr="00856C00" w:rsidRDefault="00357D90" w:rsidP="00357D90">
            <w:pPr>
              <w:pStyle w:val="CEABullet-Level1"/>
              <w:rPr>
                <w:lang w:val="en-GB"/>
              </w:rPr>
            </w:pPr>
            <w:r w:rsidRPr="00856C00">
              <w:rPr>
                <w:lang w:val="en-GB"/>
              </w:rPr>
              <w:t>Insurance Europe supports AMT123-124.</w:t>
            </w:r>
          </w:p>
          <w:p w:rsidR="00357D90" w:rsidRPr="00856C00" w:rsidRDefault="00357D90" w:rsidP="00357D90">
            <w:pPr>
              <w:pStyle w:val="CEABullet-Level1"/>
              <w:numPr>
                <w:ilvl w:val="0"/>
                <w:numId w:val="0"/>
              </w:numPr>
              <w:ind w:left="360"/>
              <w:rPr>
                <w:lang w:val="en-GB"/>
              </w:rPr>
            </w:pPr>
          </w:p>
        </w:tc>
      </w:tr>
      <w:tr w:rsidR="00A267FB" w:rsidRPr="00856C00" w:rsidTr="006E3FB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A267FB" w:rsidRPr="00856C00" w:rsidRDefault="00A267FB" w:rsidP="00DE0615">
            <w:pPr>
              <w:spacing w:before="60" w:after="60"/>
              <w:jc w:val="center"/>
              <w:rPr>
                <w:b/>
                <w:szCs w:val="17"/>
              </w:rPr>
            </w:pPr>
            <w:r w:rsidRPr="00856C00">
              <w:rPr>
                <w:b/>
                <w:szCs w:val="17"/>
              </w:rPr>
              <w:t>AMT</w:t>
            </w:r>
            <w:r w:rsidR="005C3221" w:rsidRPr="00856C00">
              <w:rPr>
                <w:b/>
                <w:szCs w:val="17"/>
              </w:rPr>
              <w:t>125-127</w:t>
            </w:r>
          </w:p>
        </w:tc>
        <w:tc>
          <w:tcPr>
            <w:tcW w:w="1560" w:type="dxa"/>
            <w:tcBorders>
              <w:top w:val="single" w:sz="4" w:space="0" w:color="auto"/>
              <w:left w:val="single" w:sz="4" w:space="0" w:color="auto"/>
              <w:bottom w:val="single" w:sz="4" w:space="0" w:color="auto"/>
              <w:right w:val="single" w:sz="4" w:space="0" w:color="auto"/>
            </w:tcBorders>
            <w:vAlign w:val="center"/>
          </w:tcPr>
          <w:p w:rsidR="00A267FB" w:rsidRPr="00856C00" w:rsidRDefault="005C3221" w:rsidP="00CA431B">
            <w:pPr>
              <w:spacing w:before="60" w:after="60"/>
              <w:jc w:val="center"/>
            </w:pPr>
            <w:r w:rsidRPr="00856C00">
              <w:t xml:space="preserve">Article 17 – </w:t>
            </w:r>
            <w:proofErr w:type="spellStart"/>
            <w:r w:rsidRPr="00856C00">
              <w:t>para</w:t>
            </w:r>
            <w:proofErr w:type="spellEnd"/>
            <w:r w:rsidRPr="00856C00">
              <w:t>. 5</w:t>
            </w:r>
          </w:p>
        </w:tc>
        <w:tc>
          <w:tcPr>
            <w:tcW w:w="2552" w:type="dxa"/>
            <w:tcBorders>
              <w:top w:val="single" w:sz="4" w:space="0" w:color="auto"/>
              <w:left w:val="single" w:sz="4" w:space="0" w:color="auto"/>
              <w:bottom w:val="single" w:sz="4" w:space="0" w:color="auto"/>
              <w:right w:val="single" w:sz="4" w:space="0" w:color="auto"/>
            </w:tcBorders>
            <w:vAlign w:val="center"/>
          </w:tcPr>
          <w:p w:rsidR="00A267FB" w:rsidRPr="00856C00" w:rsidRDefault="005C3221" w:rsidP="00CA431B">
            <w:pPr>
              <w:spacing w:before="60" w:after="60"/>
              <w:jc w:val="center"/>
              <w:rPr>
                <w:i/>
                <w:szCs w:val="17"/>
              </w:rPr>
            </w:pPr>
            <w:r w:rsidRPr="00856C00">
              <w:rPr>
                <w:i/>
                <w:szCs w:val="17"/>
              </w:rPr>
              <w:t xml:space="preserve">Malcolm Harbour, Catherine </w:t>
            </w:r>
            <w:proofErr w:type="spellStart"/>
            <w:r w:rsidRPr="00856C00">
              <w:rPr>
                <w:i/>
                <w:szCs w:val="17"/>
              </w:rPr>
              <w:t>Stihler</w:t>
            </w:r>
            <w:proofErr w:type="spellEnd"/>
            <w:r w:rsidRPr="00856C00">
              <w:rPr>
                <w:i/>
                <w:szCs w:val="17"/>
              </w:rPr>
              <w:t xml:space="preserve">, </w:t>
            </w:r>
            <w:proofErr w:type="spellStart"/>
            <w:r w:rsidRPr="00856C00">
              <w:rPr>
                <w:i/>
                <w:szCs w:val="17"/>
              </w:rPr>
              <w:t>Othmar</w:t>
            </w:r>
            <w:proofErr w:type="spellEnd"/>
            <w:r w:rsidRPr="00856C00">
              <w:rPr>
                <w:i/>
                <w:szCs w:val="17"/>
              </w:rPr>
              <w:t xml:space="preserve"> </w:t>
            </w:r>
            <w:proofErr w:type="spellStart"/>
            <w:r w:rsidRPr="00856C00">
              <w:rPr>
                <w:i/>
                <w:szCs w:val="17"/>
              </w:rPr>
              <w:t>Karas</w:t>
            </w:r>
            <w:proofErr w:type="spellEnd"/>
          </w:p>
        </w:tc>
        <w:tc>
          <w:tcPr>
            <w:tcW w:w="10207" w:type="dxa"/>
            <w:tcBorders>
              <w:top w:val="single" w:sz="4" w:space="0" w:color="auto"/>
              <w:left w:val="single" w:sz="4" w:space="0" w:color="auto"/>
              <w:bottom w:val="single" w:sz="4" w:space="0" w:color="auto"/>
              <w:right w:val="single" w:sz="4" w:space="0" w:color="auto"/>
            </w:tcBorders>
            <w:vAlign w:val="center"/>
          </w:tcPr>
          <w:p w:rsidR="00A267FB" w:rsidRPr="00856C00" w:rsidRDefault="005C3221" w:rsidP="00E15837">
            <w:pPr>
              <w:autoSpaceDE w:val="0"/>
              <w:autoSpaceDN w:val="0"/>
              <w:adjustRightInd w:val="0"/>
              <w:spacing w:after="200"/>
              <w:rPr>
                <w:szCs w:val="17"/>
              </w:rPr>
            </w:pPr>
            <w:r w:rsidRPr="00856C00">
              <w:rPr>
                <w:szCs w:val="17"/>
              </w:rPr>
              <w:t>Insurance Europe welcomes the proposed limitations on the development of delegated acts. In order to ensure greater legal certainty in the Level 1 text and to respect the principle of subsidiarity enshrined under EU law, the range of areas for which the European Commission or EIOPA has the power to adopt delegated acts or guidelines should be limited. Many of these issues should either be left to be determined at national level, such as the specification of minimum professional requirements and administrative sanctions, or should be left to insurers themselves, such as how to determine the remuneration paid to employees.</w:t>
            </w:r>
          </w:p>
          <w:p w:rsidR="005C3221" w:rsidRPr="00856C00" w:rsidRDefault="005C3221" w:rsidP="005C3221">
            <w:pPr>
              <w:pStyle w:val="CEABullet-Level1"/>
              <w:rPr>
                <w:lang w:val="en-GB"/>
              </w:rPr>
            </w:pPr>
            <w:r w:rsidRPr="00856C00">
              <w:rPr>
                <w:lang w:val="en-GB"/>
              </w:rPr>
              <w:t>Insurance Europe supports AMT125-127.</w:t>
            </w:r>
          </w:p>
          <w:p w:rsidR="005C3221" w:rsidRPr="00856C00" w:rsidRDefault="005C3221" w:rsidP="005C3221">
            <w:pPr>
              <w:pStyle w:val="CEABullet-Level1"/>
              <w:numPr>
                <w:ilvl w:val="0"/>
                <w:numId w:val="0"/>
              </w:numPr>
              <w:ind w:left="720" w:hanging="360"/>
              <w:rPr>
                <w:lang w:val="en-GB"/>
              </w:rPr>
            </w:pPr>
          </w:p>
        </w:tc>
      </w:tr>
      <w:tr w:rsidR="000472FD" w:rsidRPr="00856C00" w:rsidTr="006E3FB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0472FD" w:rsidRPr="00774187" w:rsidRDefault="000472FD" w:rsidP="00DE0615">
            <w:pPr>
              <w:spacing w:before="60" w:after="60"/>
              <w:jc w:val="center"/>
              <w:rPr>
                <w:b/>
                <w:szCs w:val="17"/>
              </w:rPr>
            </w:pPr>
            <w:r w:rsidRPr="00774187">
              <w:rPr>
                <w:b/>
                <w:szCs w:val="17"/>
              </w:rPr>
              <w:t>AMT131</w:t>
            </w:r>
          </w:p>
        </w:tc>
        <w:tc>
          <w:tcPr>
            <w:tcW w:w="1560" w:type="dxa"/>
            <w:tcBorders>
              <w:top w:val="single" w:sz="4" w:space="0" w:color="auto"/>
              <w:left w:val="single" w:sz="4" w:space="0" w:color="auto"/>
              <w:bottom w:val="single" w:sz="4" w:space="0" w:color="auto"/>
              <w:right w:val="single" w:sz="4" w:space="0" w:color="auto"/>
            </w:tcBorders>
            <w:vAlign w:val="center"/>
          </w:tcPr>
          <w:p w:rsidR="000472FD" w:rsidRPr="00774187" w:rsidRDefault="000472FD" w:rsidP="00CA431B">
            <w:pPr>
              <w:spacing w:before="60" w:after="60"/>
              <w:jc w:val="center"/>
            </w:pPr>
            <w:r w:rsidRPr="00774187">
              <w:t xml:space="preserve">Article 18 – </w:t>
            </w:r>
            <w:proofErr w:type="spellStart"/>
            <w:r w:rsidRPr="00774187">
              <w:t>para</w:t>
            </w:r>
            <w:proofErr w:type="spellEnd"/>
            <w:r w:rsidRPr="00774187">
              <w:t>. 3</w:t>
            </w:r>
          </w:p>
        </w:tc>
        <w:tc>
          <w:tcPr>
            <w:tcW w:w="2552" w:type="dxa"/>
            <w:tcBorders>
              <w:top w:val="single" w:sz="4" w:space="0" w:color="auto"/>
              <w:left w:val="single" w:sz="4" w:space="0" w:color="auto"/>
              <w:bottom w:val="single" w:sz="4" w:space="0" w:color="auto"/>
              <w:right w:val="single" w:sz="4" w:space="0" w:color="auto"/>
            </w:tcBorders>
            <w:vAlign w:val="center"/>
          </w:tcPr>
          <w:p w:rsidR="000472FD" w:rsidRPr="00774187" w:rsidRDefault="000472FD" w:rsidP="00CA431B">
            <w:pPr>
              <w:spacing w:before="60" w:after="60"/>
              <w:jc w:val="center"/>
              <w:rPr>
                <w:i/>
                <w:szCs w:val="17"/>
              </w:rPr>
            </w:pPr>
            <w:proofErr w:type="spellStart"/>
            <w:r w:rsidRPr="00774187">
              <w:rPr>
                <w:i/>
                <w:szCs w:val="17"/>
              </w:rPr>
              <w:t>Matteo</w:t>
            </w:r>
            <w:proofErr w:type="spellEnd"/>
            <w:r w:rsidRPr="00774187">
              <w:rPr>
                <w:i/>
                <w:szCs w:val="17"/>
              </w:rPr>
              <w:t xml:space="preserve"> </w:t>
            </w:r>
            <w:proofErr w:type="spellStart"/>
            <w:r w:rsidRPr="00774187">
              <w:rPr>
                <w:i/>
                <w:szCs w:val="17"/>
              </w:rPr>
              <w:t>Salvini</w:t>
            </w:r>
            <w:proofErr w:type="spellEnd"/>
            <w:r w:rsidRPr="00774187">
              <w:rPr>
                <w:i/>
                <w:szCs w:val="17"/>
              </w:rPr>
              <w:t xml:space="preserve">, Mario </w:t>
            </w:r>
            <w:proofErr w:type="spellStart"/>
            <w:r w:rsidRPr="00774187">
              <w:rPr>
                <w:i/>
                <w:szCs w:val="17"/>
              </w:rPr>
              <w:t>Borghezio</w:t>
            </w:r>
            <w:proofErr w:type="spellEnd"/>
          </w:p>
        </w:tc>
        <w:tc>
          <w:tcPr>
            <w:tcW w:w="10207" w:type="dxa"/>
            <w:tcBorders>
              <w:top w:val="single" w:sz="4" w:space="0" w:color="auto"/>
              <w:left w:val="single" w:sz="4" w:space="0" w:color="auto"/>
              <w:bottom w:val="single" w:sz="4" w:space="0" w:color="auto"/>
              <w:right w:val="single" w:sz="4" w:space="0" w:color="auto"/>
            </w:tcBorders>
            <w:vAlign w:val="center"/>
          </w:tcPr>
          <w:p w:rsidR="000472FD" w:rsidRPr="00774187" w:rsidRDefault="000472FD" w:rsidP="000472FD">
            <w:pPr>
              <w:autoSpaceDE w:val="0"/>
              <w:autoSpaceDN w:val="0"/>
              <w:adjustRightInd w:val="0"/>
              <w:spacing w:after="200"/>
              <w:rPr>
                <w:szCs w:val="17"/>
              </w:rPr>
            </w:pPr>
            <w:r w:rsidRPr="00774187">
              <w:rPr>
                <w:szCs w:val="17"/>
              </w:rPr>
              <w:t>Insurance Europe supports this clarification as insurance undertakings</w:t>
            </w:r>
            <w:r w:rsidR="00DF7742" w:rsidRPr="00774187">
              <w:rPr>
                <w:szCs w:val="17"/>
              </w:rPr>
              <w:t xml:space="preserve"> do not provide advice on the basis of a fair analysis.</w:t>
            </w:r>
          </w:p>
          <w:p w:rsidR="00015D1A" w:rsidRPr="00774187" w:rsidRDefault="00015D1A" w:rsidP="00015D1A">
            <w:pPr>
              <w:pStyle w:val="CEABullet-Level1"/>
              <w:rPr>
                <w:szCs w:val="17"/>
                <w:lang w:val="en-GB"/>
              </w:rPr>
            </w:pPr>
            <w:r w:rsidRPr="00774187">
              <w:rPr>
                <w:lang w:val="en-GB"/>
              </w:rPr>
              <w:t>Insurance Europe supports AMT131.</w:t>
            </w:r>
          </w:p>
          <w:p w:rsidR="00015D1A" w:rsidRPr="00774187" w:rsidRDefault="00015D1A" w:rsidP="00015D1A">
            <w:pPr>
              <w:pStyle w:val="CEABullet-Level1"/>
              <w:numPr>
                <w:ilvl w:val="0"/>
                <w:numId w:val="0"/>
              </w:numPr>
              <w:ind w:left="360"/>
              <w:rPr>
                <w:szCs w:val="17"/>
                <w:lang w:val="en-GB"/>
              </w:rPr>
            </w:pPr>
          </w:p>
        </w:tc>
      </w:tr>
      <w:tr w:rsidR="00644DA8" w:rsidRPr="00856C00" w:rsidTr="006E3FB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644DA8" w:rsidRPr="00774187" w:rsidRDefault="00644DA8" w:rsidP="00DE0615">
            <w:pPr>
              <w:spacing w:before="60" w:after="60"/>
              <w:jc w:val="center"/>
              <w:rPr>
                <w:b/>
                <w:szCs w:val="17"/>
              </w:rPr>
            </w:pPr>
            <w:r w:rsidRPr="00774187">
              <w:rPr>
                <w:b/>
                <w:szCs w:val="17"/>
              </w:rPr>
              <w:t>AMT133</w:t>
            </w:r>
          </w:p>
        </w:tc>
        <w:tc>
          <w:tcPr>
            <w:tcW w:w="1560" w:type="dxa"/>
            <w:tcBorders>
              <w:top w:val="single" w:sz="4" w:space="0" w:color="auto"/>
              <w:left w:val="single" w:sz="4" w:space="0" w:color="auto"/>
              <w:bottom w:val="single" w:sz="4" w:space="0" w:color="auto"/>
              <w:right w:val="single" w:sz="4" w:space="0" w:color="auto"/>
            </w:tcBorders>
            <w:vAlign w:val="center"/>
          </w:tcPr>
          <w:p w:rsidR="00644DA8" w:rsidRPr="00774187" w:rsidRDefault="00D62E47" w:rsidP="00CA431B">
            <w:pPr>
              <w:spacing w:before="60" w:after="60"/>
              <w:jc w:val="center"/>
            </w:pPr>
            <w:r w:rsidRPr="00774187">
              <w:t xml:space="preserve">Article 18 – </w:t>
            </w:r>
            <w:proofErr w:type="spellStart"/>
            <w:r w:rsidRPr="00774187">
              <w:t>para</w:t>
            </w:r>
            <w:proofErr w:type="spellEnd"/>
            <w:r w:rsidRPr="00774187">
              <w:t>. 4</w:t>
            </w:r>
          </w:p>
        </w:tc>
        <w:tc>
          <w:tcPr>
            <w:tcW w:w="2552" w:type="dxa"/>
            <w:tcBorders>
              <w:top w:val="single" w:sz="4" w:space="0" w:color="auto"/>
              <w:left w:val="single" w:sz="4" w:space="0" w:color="auto"/>
              <w:bottom w:val="single" w:sz="4" w:space="0" w:color="auto"/>
              <w:right w:val="single" w:sz="4" w:space="0" w:color="auto"/>
            </w:tcBorders>
            <w:vAlign w:val="center"/>
          </w:tcPr>
          <w:p w:rsidR="00644DA8" w:rsidRPr="00774187" w:rsidRDefault="00D62E47" w:rsidP="00CA431B">
            <w:pPr>
              <w:spacing w:before="60" w:after="60"/>
              <w:jc w:val="center"/>
              <w:rPr>
                <w:i/>
                <w:szCs w:val="17"/>
              </w:rPr>
            </w:pPr>
            <w:r w:rsidRPr="00774187">
              <w:rPr>
                <w:i/>
                <w:szCs w:val="17"/>
              </w:rPr>
              <w:t>Olle Schmidt</w:t>
            </w:r>
          </w:p>
        </w:tc>
        <w:tc>
          <w:tcPr>
            <w:tcW w:w="10207" w:type="dxa"/>
            <w:tcBorders>
              <w:top w:val="single" w:sz="4" w:space="0" w:color="auto"/>
              <w:left w:val="single" w:sz="4" w:space="0" w:color="auto"/>
              <w:bottom w:val="single" w:sz="4" w:space="0" w:color="auto"/>
              <w:right w:val="single" w:sz="4" w:space="0" w:color="auto"/>
            </w:tcBorders>
            <w:vAlign w:val="center"/>
          </w:tcPr>
          <w:p w:rsidR="00644DA8" w:rsidRPr="00774187" w:rsidRDefault="00644DA8" w:rsidP="00644DA8">
            <w:pPr>
              <w:autoSpaceDE w:val="0"/>
              <w:autoSpaceDN w:val="0"/>
              <w:adjustRightInd w:val="0"/>
              <w:spacing w:after="200"/>
              <w:rPr>
                <w:szCs w:val="17"/>
              </w:rPr>
            </w:pPr>
            <w:r w:rsidRPr="00774187">
              <w:rPr>
                <w:szCs w:val="17"/>
              </w:rPr>
              <w:t>Insurance Europe opposes the requirement to provide a standardised information sheet for all insurance products.</w:t>
            </w:r>
            <w:r w:rsidR="005E241E" w:rsidRPr="00774187">
              <w:rPr>
                <w:szCs w:val="17"/>
              </w:rPr>
              <w:t xml:space="preserve"> The PRIPs regulation is already developing a key information document for insurance investment products, while for general insurance products there are </w:t>
            </w:r>
            <w:r w:rsidRPr="00774187">
              <w:rPr>
                <w:szCs w:val="17"/>
              </w:rPr>
              <w:t>a variety of pre-contractual disclosure</w:t>
            </w:r>
            <w:r w:rsidR="005E241E" w:rsidRPr="00774187">
              <w:rPr>
                <w:szCs w:val="17"/>
              </w:rPr>
              <w:t xml:space="preserve"> requirements that must already be met</w:t>
            </w:r>
            <w:r w:rsidR="00927E2E" w:rsidRPr="00927E2E">
              <w:rPr>
                <w:szCs w:val="17"/>
              </w:rPr>
              <w:t>,</w:t>
            </w:r>
            <w:r w:rsidR="00927E2E" w:rsidRPr="00927E2E">
              <w:rPr>
                <w:szCs w:val="17"/>
                <w:highlight w:val="yellow"/>
              </w:rPr>
              <w:t xml:space="preserve"> depending on the product and target market</w:t>
            </w:r>
            <w:r w:rsidR="005E241E" w:rsidRPr="00774187">
              <w:rPr>
                <w:szCs w:val="17"/>
              </w:rPr>
              <w:t>.</w:t>
            </w:r>
          </w:p>
          <w:p w:rsidR="00D62E47" w:rsidRPr="00774187" w:rsidRDefault="00D62E47" w:rsidP="00D62E47">
            <w:pPr>
              <w:pStyle w:val="CEABullet-Level1"/>
              <w:rPr>
                <w:lang w:val="en-GB"/>
              </w:rPr>
            </w:pPr>
            <w:r w:rsidRPr="00774187">
              <w:rPr>
                <w:lang w:val="en-GB"/>
              </w:rPr>
              <w:t xml:space="preserve">Insurance Europe </w:t>
            </w:r>
            <w:r w:rsidR="00657632" w:rsidRPr="00774187">
              <w:rPr>
                <w:lang w:val="en-GB"/>
              </w:rPr>
              <w:t>opposes</w:t>
            </w:r>
            <w:r w:rsidRPr="00774187">
              <w:rPr>
                <w:lang w:val="en-GB"/>
              </w:rPr>
              <w:t xml:space="preserve"> AMT1</w:t>
            </w:r>
            <w:r w:rsidR="00A10E66" w:rsidRPr="00774187">
              <w:rPr>
                <w:lang w:val="en-GB"/>
              </w:rPr>
              <w:t>33</w:t>
            </w:r>
            <w:r w:rsidRPr="00774187">
              <w:rPr>
                <w:lang w:val="en-GB"/>
              </w:rPr>
              <w:t>.</w:t>
            </w:r>
          </w:p>
          <w:p w:rsidR="00D62E47" w:rsidRPr="00856C00" w:rsidRDefault="00D62E47" w:rsidP="00D62E47">
            <w:pPr>
              <w:pStyle w:val="CEABullet-Level1"/>
              <w:numPr>
                <w:ilvl w:val="0"/>
                <w:numId w:val="0"/>
              </w:numPr>
              <w:ind w:left="360"/>
              <w:rPr>
                <w:lang w:val="en-GB"/>
              </w:rPr>
            </w:pPr>
          </w:p>
        </w:tc>
      </w:tr>
      <w:tr w:rsidR="0055476B" w:rsidRPr="00856C00" w:rsidTr="006E3FB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55476B" w:rsidRPr="00881A2B" w:rsidRDefault="0055476B" w:rsidP="00DE0615">
            <w:pPr>
              <w:spacing w:before="60" w:after="60"/>
              <w:jc w:val="center"/>
              <w:rPr>
                <w:b/>
                <w:szCs w:val="17"/>
              </w:rPr>
            </w:pPr>
            <w:r w:rsidRPr="00881A2B">
              <w:rPr>
                <w:b/>
                <w:szCs w:val="17"/>
              </w:rPr>
              <w:lastRenderedPageBreak/>
              <w:t>AMT144-148</w:t>
            </w:r>
            <w:r w:rsidR="00FD019A" w:rsidRPr="00881A2B">
              <w:rPr>
                <w:b/>
                <w:szCs w:val="17"/>
              </w:rPr>
              <w:t>, AMT134</w:t>
            </w:r>
          </w:p>
        </w:tc>
        <w:tc>
          <w:tcPr>
            <w:tcW w:w="1560" w:type="dxa"/>
            <w:tcBorders>
              <w:top w:val="single" w:sz="4" w:space="0" w:color="auto"/>
              <w:left w:val="single" w:sz="4" w:space="0" w:color="auto"/>
              <w:bottom w:val="single" w:sz="4" w:space="0" w:color="auto"/>
              <w:right w:val="single" w:sz="4" w:space="0" w:color="auto"/>
            </w:tcBorders>
            <w:vAlign w:val="center"/>
          </w:tcPr>
          <w:p w:rsidR="0055476B" w:rsidRPr="00881A2B" w:rsidRDefault="0055476B" w:rsidP="00CA431B">
            <w:pPr>
              <w:spacing w:before="60" w:after="60"/>
              <w:jc w:val="center"/>
            </w:pPr>
            <w:r w:rsidRPr="00881A2B">
              <w:t>Chapter 7 – title, Article 22</w:t>
            </w:r>
            <w:r w:rsidR="00FD019A" w:rsidRPr="00881A2B">
              <w:t>,</w:t>
            </w:r>
          </w:p>
          <w:p w:rsidR="00FD019A" w:rsidRPr="00881A2B" w:rsidRDefault="00FD019A" w:rsidP="00CA431B">
            <w:pPr>
              <w:spacing w:before="60" w:after="60"/>
              <w:jc w:val="center"/>
            </w:pPr>
            <w:r w:rsidRPr="00881A2B">
              <w:t>Article 18a (new)</w:t>
            </w:r>
          </w:p>
        </w:tc>
        <w:tc>
          <w:tcPr>
            <w:tcW w:w="2552" w:type="dxa"/>
            <w:tcBorders>
              <w:top w:val="single" w:sz="4" w:space="0" w:color="auto"/>
              <w:left w:val="single" w:sz="4" w:space="0" w:color="auto"/>
              <w:bottom w:val="single" w:sz="4" w:space="0" w:color="auto"/>
              <w:right w:val="single" w:sz="4" w:space="0" w:color="auto"/>
            </w:tcBorders>
            <w:vAlign w:val="center"/>
          </w:tcPr>
          <w:p w:rsidR="0055476B" w:rsidRPr="00881A2B" w:rsidRDefault="00BA6AFB" w:rsidP="00CA431B">
            <w:pPr>
              <w:spacing w:before="60" w:after="60"/>
              <w:jc w:val="center"/>
              <w:rPr>
                <w:i/>
                <w:szCs w:val="17"/>
              </w:rPr>
            </w:pPr>
            <w:proofErr w:type="spellStart"/>
            <w:r w:rsidRPr="00881A2B">
              <w:rPr>
                <w:i/>
                <w:szCs w:val="17"/>
              </w:rPr>
              <w:t>Matteo</w:t>
            </w:r>
            <w:proofErr w:type="spellEnd"/>
            <w:r w:rsidRPr="00881A2B">
              <w:rPr>
                <w:i/>
                <w:szCs w:val="17"/>
              </w:rPr>
              <w:t xml:space="preserve"> </w:t>
            </w:r>
            <w:proofErr w:type="spellStart"/>
            <w:r w:rsidRPr="00881A2B">
              <w:rPr>
                <w:i/>
                <w:szCs w:val="17"/>
              </w:rPr>
              <w:t>Salvini</w:t>
            </w:r>
            <w:proofErr w:type="spellEnd"/>
            <w:r w:rsidRPr="00881A2B">
              <w:rPr>
                <w:i/>
                <w:szCs w:val="17"/>
              </w:rPr>
              <w:t xml:space="preserve">, Mario </w:t>
            </w:r>
            <w:proofErr w:type="spellStart"/>
            <w:r w:rsidRPr="00881A2B">
              <w:rPr>
                <w:i/>
                <w:szCs w:val="17"/>
              </w:rPr>
              <w:t>Borghezio</w:t>
            </w:r>
            <w:proofErr w:type="spellEnd"/>
            <w:r w:rsidRPr="00881A2B">
              <w:rPr>
                <w:i/>
                <w:szCs w:val="17"/>
              </w:rPr>
              <w:t xml:space="preserve">, Malcolm Harbour, </w:t>
            </w:r>
            <w:proofErr w:type="spellStart"/>
            <w:r w:rsidRPr="00881A2B">
              <w:rPr>
                <w:i/>
                <w:szCs w:val="17"/>
              </w:rPr>
              <w:t>Othmar</w:t>
            </w:r>
            <w:proofErr w:type="spellEnd"/>
            <w:r w:rsidRPr="00881A2B">
              <w:rPr>
                <w:i/>
                <w:szCs w:val="17"/>
              </w:rPr>
              <w:t xml:space="preserve"> </w:t>
            </w:r>
            <w:proofErr w:type="spellStart"/>
            <w:r w:rsidRPr="00881A2B">
              <w:rPr>
                <w:i/>
                <w:szCs w:val="17"/>
              </w:rPr>
              <w:t>Karas</w:t>
            </w:r>
            <w:proofErr w:type="spellEnd"/>
            <w:r w:rsidRPr="00881A2B">
              <w:rPr>
                <w:i/>
                <w:szCs w:val="17"/>
              </w:rPr>
              <w:t xml:space="preserve">, Catherine </w:t>
            </w:r>
            <w:proofErr w:type="spellStart"/>
            <w:r w:rsidRPr="00881A2B">
              <w:rPr>
                <w:i/>
                <w:szCs w:val="17"/>
              </w:rPr>
              <w:t>Stihler</w:t>
            </w:r>
            <w:proofErr w:type="spellEnd"/>
          </w:p>
        </w:tc>
        <w:tc>
          <w:tcPr>
            <w:tcW w:w="10207" w:type="dxa"/>
            <w:tcBorders>
              <w:top w:val="single" w:sz="4" w:space="0" w:color="auto"/>
              <w:left w:val="single" w:sz="4" w:space="0" w:color="auto"/>
              <w:bottom w:val="single" w:sz="4" w:space="0" w:color="auto"/>
              <w:right w:val="single" w:sz="4" w:space="0" w:color="auto"/>
            </w:tcBorders>
            <w:vAlign w:val="center"/>
          </w:tcPr>
          <w:p w:rsidR="0055476B" w:rsidRPr="00881A2B" w:rsidRDefault="00A41955" w:rsidP="00A41955">
            <w:pPr>
              <w:autoSpaceDE w:val="0"/>
              <w:autoSpaceDN w:val="0"/>
              <w:adjustRightInd w:val="0"/>
              <w:spacing w:after="200"/>
              <w:rPr>
                <w:szCs w:val="17"/>
              </w:rPr>
            </w:pPr>
            <w:r w:rsidRPr="00881A2B">
              <w:rPr>
                <w:szCs w:val="17"/>
              </w:rPr>
              <w:t>I</w:t>
            </w:r>
            <w:r w:rsidR="00BA6AFB" w:rsidRPr="00881A2B">
              <w:rPr>
                <w:szCs w:val="17"/>
              </w:rPr>
              <w:t>t is important to introduce clarity into the IMD2 text that the sale of insurance PRIPs should not be subject to cumulative sets of conduct of business rules (resulting in stricter rules than for other types of PRIPs, such as those regulated under MiFID2). The conduct of business rules in IMD2 apply to all insurance contracts, which means that the enhanced standards for sales of insurance PRIPs would come in addition to the general standards. Such a requirement would be onerous and duplicative in nature, and give rise to an un-level playing field with investment products sold under MiFID2.</w:t>
            </w:r>
            <w:r w:rsidRPr="00881A2B">
              <w:rPr>
                <w:szCs w:val="17"/>
              </w:rPr>
              <w:t xml:space="preserve"> We therefore welcome the proposed amendments</w:t>
            </w:r>
            <w:r w:rsidR="00D4324E" w:rsidRPr="00881A2B">
              <w:rPr>
                <w:szCs w:val="17"/>
              </w:rPr>
              <w:t xml:space="preserve"> that seek to ensure this clarity. We support the application of enhanced consumer protection standards to insurance investment products</w:t>
            </w:r>
            <w:r w:rsidR="00251AFA" w:rsidRPr="00881A2B">
              <w:rPr>
                <w:szCs w:val="17"/>
              </w:rPr>
              <w:t xml:space="preserve">; however, </w:t>
            </w:r>
            <w:r w:rsidR="00837F94" w:rsidRPr="00881A2B">
              <w:rPr>
                <w:szCs w:val="17"/>
              </w:rPr>
              <w:t>t</w:t>
            </w:r>
            <w:r w:rsidR="00251AFA" w:rsidRPr="00881A2B">
              <w:rPr>
                <w:szCs w:val="17"/>
              </w:rPr>
              <w:t>he rules should be tailored to and balanced between the channels concerned, proportionate to the level of complexity of the products being sold, and adapted to consumer needs.</w:t>
            </w:r>
          </w:p>
          <w:p w:rsidR="00A41955" w:rsidRPr="00881A2B" w:rsidRDefault="00A41955" w:rsidP="00A41955">
            <w:pPr>
              <w:pStyle w:val="CEABullet-Level1"/>
              <w:rPr>
                <w:lang w:val="en-GB"/>
              </w:rPr>
            </w:pPr>
            <w:r w:rsidRPr="00881A2B">
              <w:rPr>
                <w:lang w:val="en-GB"/>
              </w:rPr>
              <w:t>Insurance Europe supports AMT144-145.</w:t>
            </w:r>
            <w:r w:rsidR="00FD019A" w:rsidRPr="00881A2B">
              <w:rPr>
                <w:lang w:val="en-GB"/>
              </w:rPr>
              <w:t xml:space="preserve"> Alternatively, Insurance Europe could support AMT134 which is also aimed at dealing with duplicative requirements.</w:t>
            </w:r>
          </w:p>
          <w:p w:rsidR="00A41955" w:rsidRPr="00856C00" w:rsidRDefault="00A41955" w:rsidP="00A41955">
            <w:pPr>
              <w:pStyle w:val="CEABullet-Level1"/>
              <w:numPr>
                <w:ilvl w:val="0"/>
                <w:numId w:val="0"/>
              </w:numPr>
              <w:ind w:left="360"/>
              <w:rPr>
                <w:lang w:val="en-GB"/>
              </w:rPr>
            </w:pPr>
          </w:p>
        </w:tc>
      </w:tr>
      <w:tr w:rsidR="0038475E" w:rsidRPr="00856C00" w:rsidTr="006E3FB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38475E" w:rsidRPr="00774187" w:rsidRDefault="0038475E" w:rsidP="002C7CB0">
            <w:pPr>
              <w:spacing w:before="60" w:after="60"/>
              <w:jc w:val="center"/>
              <w:rPr>
                <w:b/>
                <w:szCs w:val="17"/>
              </w:rPr>
            </w:pPr>
            <w:r w:rsidRPr="00774187">
              <w:rPr>
                <w:b/>
                <w:szCs w:val="17"/>
              </w:rPr>
              <w:t>AMT155-</w:t>
            </w:r>
            <w:r w:rsidR="00657632" w:rsidRPr="00774187">
              <w:rPr>
                <w:b/>
                <w:szCs w:val="17"/>
              </w:rPr>
              <w:t>158, AMT160</w:t>
            </w:r>
            <w:r w:rsidR="002C7CB0" w:rsidRPr="00774187">
              <w:rPr>
                <w:b/>
                <w:szCs w:val="17"/>
              </w:rPr>
              <w:t>-</w:t>
            </w:r>
            <w:r w:rsidRPr="00774187">
              <w:rPr>
                <w:b/>
                <w:szCs w:val="17"/>
              </w:rPr>
              <w:t>172</w:t>
            </w:r>
          </w:p>
        </w:tc>
        <w:tc>
          <w:tcPr>
            <w:tcW w:w="1560" w:type="dxa"/>
            <w:tcBorders>
              <w:top w:val="single" w:sz="4" w:space="0" w:color="auto"/>
              <w:left w:val="single" w:sz="4" w:space="0" w:color="auto"/>
              <w:bottom w:val="single" w:sz="4" w:space="0" w:color="auto"/>
              <w:right w:val="single" w:sz="4" w:space="0" w:color="auto"/>
            </w:tcBorders>
            <w:vAlign w:val="center"/>
          </w:tcPr>
          <w:p w:rsidR="0038475E" w:rsidRPr="00774187" w:rsidRDefault="0038475E" w:rsidP="00CA431B">
            <w:pPr>
              <w:spacing w:before="60" w:after="60"/>
              <w:jc w:val="center"/>
            </w:pPr>
            <w:r w:rsidRPr="00774187">
              <w:t>Article 24</w:t>
            </w:r>
          </w:p>
        </w:tc>
        <w:tc>
          <w:tcPr>
            <w:tcW w:w="2552" w:type="dxa"/>
            <w:tcBorders>
              <w:top w:val="single" w:sz="4" w:space="0" w:color="auto"/>
              <w:left w:val="single" w:sz="4" w:space="0" w:color="auto"/>
              <w:bottom w:val="single" w:sz="4" w:space="0" w:color="auto"/>
              <w:right w:val="single" w:sz="4" w:space="0" w:color="auto"/>
            </w:tcBorders>
            <w:vAlign w:val="center"/>
          </w:tcPr>
          <w:p w:rsidR="0038475E" w:rsidRPr="00774187" w:rsidRDefault="0038475E" w:rsidP="00CA431B">
            <w:pPr>
              <w:spacing w:before="60" w:after="60"/>
              <w:jc w:val="center"/>
              <w:rPr>
                <w:i/>
                <w:szCs w:val="17"/>
              </w:rPr>
            </w:pPr>
            <w:proofErr w:type="spellStart"/>
            <w:r w:rsidRPr="00774187">
              <w:rPr>
                <w:i/>
                <w:szCs w:val="17"/>
              </w:rPr>
              <w:t>Othmar</w:t>
            </w:r>
            <w:proofErr w:type="spellEnd"/>
            <w:r w:rsidRPr="00774187">
              <w:rPr>
                <w:i/>
                <w:szCs w:val="17"/>
              </w:rPr>
              <w:t xml:space="preserve"> </w:t>
            </w:r>
            <w:proofErr w:type="spellStart"/>
            <w:r w:rsidRPr="00774187">
              <w:rPr>
                <w:i/>
                <w:szCs w:val="17"/>
              </w:rPr>
              <w:t>Karas</w:t>
            </w:r>
            <w:proofErr w:type="spellEnd"/>
            <w:r w:rsidRPr="00774187">
              <w:rPr>
                <w:i/>
                <w:szCs w:val="17"/>
              </w:rPr>
              <w:t xml:space="preserve">, Malcolm Harbour, </w:t>
            </w:r>
            <w:proofErr w:type="spellStart"/>
            <w:r w:rsidRPr="00774187">
              <w:rPr>
                <w:i/>
                <w:szCs w:val="17"/>
              </w:rPr>
              <w:t>Matteo</w:t>
            </w:r>
            <w:proofErr w:type="spellEnd"/>
            <w:r w:rsidRPr="00774187">
              <w:rPr>
                <w:i/>
                <w:szCs w:val="17"/>
              </w:rPr>
              <w:t xml:space="preserve"> </w:t>
            </w:r>
            <w:proofErr w:type="spellStart"/>
            <w:r w:rsidRPr="00774187">
              <w:rPr>
                <w:i/>
                <w:szCs w:val="17"/>
              </w:rPr>
              <w:t>Salvini</w:t>
            </w:r>
            <w:proofErr w:type="spellEnd"/>
            <w:r w:rsidRPr="00774187">
              <w:rPr>
                <w:i/>
                <w:szCs w:val="17"/>
              </w:rPr>
              <w:t xml:space="preserve">, Mario </w:t>
            </w:r>
            <w:proofErr w:type="spellStart"/>
            <w:r w:rsidRPr="00774187">
              <w:rPr>
                <w:i/>
                <w:szCs w:val="17"/>
              </w:rPr>
              <w:t>Borghezio</w:t>
            </w:r>
            <w:proofErr w:type="spellEnd"/>
            <w:r w:rsidRPr="00774187">
              <w:rPr>
                <w:i/>
                <w:szCs w:val="17"/>
              </w:rPr>
              <w:t>, Andreas Schwab, Olle Schmidt</w:t>
            </w:r>
          </w:p>
        </w:tc>
        <w:tc>
          <w:tcPr>
            <w:tcW w:w="10207" w:type="dxa"/>
            <w:tcBorders>
              <w:top w:val="single" w:sz="4" w:space="0" w:color="auto"/>
              <w:left w:val="single" w:sz="4" w:space="0" w:color="auto"/>
              <w:bottom w:val="single" w:sz="4" w:space="0" w:color="auto"/>
              <w:right w:val="single" w:sz="4" w:space="0" w:color="auto"/>
            </w:tcBorders>
            <w:vAlign w:val="center"/>
          </w:tcPr>
          <w:p w:rsidR="006B38C2" w:rsidRPr="00774187" w:rsidRDefault="00A573F3" w:rsidP="00A573F3">
            <w:pPr>
              <w:autoSpaceDE w:val="0"/>
              <w:autoSpaceDN w:val="0"/>
              <w:adjustRightInd w:val="0"/>
              <w:spacing w:after="200"/>
              <w:rPr>
                <w:szCs w:val="17"/>
              </w:rPr>
            </w:pPr>
            <w:r w:rsidRPr="00774187">
              <w:rPr>
                <w:szCs w:val="17"/>
              </w:rPr>
              <w:t xml:space="preserve">Insurance Europe is in favour of transparency for consumers to aid in their comparisons between products. However, </w:t>
            </w:r>
            <w:r w:rsidR="006B38C2" w:rsidRPr="00774187">
              <w:rPr>
                <w:szCs w:val="17"/>
              </w:rPr>
              <w:t xml:space="preserve">a prescriptive regulatory approach may have negative implications both for markets and consumers. This is particularly so when it comes to the pre-contractual information to be disclosed to consumers and the risk of information overload. Information requirements should not create an additional burden without providing any benefit to consumers – it should not simply be a case of more information, but rather better information </w:t>
            </w:r>
            <w:r w:rsidR="005B14C9" w:rsidRPr="00774187">
              <w:rPr>
                <w:szCs w:val="17"/>
              </w:rPr>
              <w:t xml:space="preserve">for consumers. </w:t>
            </w:r>
            <w:r w:rsidR="0052023B" w:rsidRPr="00774187">
              <w:rPr>
                <w:szCs w:val="17"/>
              </w:rPr>
              <w:t>With regard to the disclosure of costs and associated charges in Article 24.3(c), as this is a duplication of information contained in the key information document under the PRIPs regulation, we support its deletion here. With regard to conflicts of interest, w</w:t>
            </w:r>
            <w:r w:rsidR="005B14C9" w:rsidRPr="00774187">
              <w:rPr>
                <w:szCs w:val="17"/>
              </w:rPr>
              <w:t xml:space="preserve">e believe that a requirement to disclose the </w:t>
            </w:r>
            <w:r w:rsidR="000A6149" w:rsidRPr="00774187">
              <w:rPr>
                <w:szCs w:val="17"/>
              </w:rPr>
              <w:t xml:space="preserve">form and </w:t>
            </w:r>
            <w:r w:rsidR="005B14C9" w:rsidRPr="00774187">
              <w:rPr>
                <w:szCs w:val="17"/>
              </w:rPr>
              <w:t>source of remuneration</w:t>
            </w:r>
            <w:r w:rsidR="000A6149" w:rsidRPr="00774187">
              <w:rPr>
                <w:szCs w:val="17"/>
              </w:rPr>
              <w:t xml:space="preserve"> strikes the</w:t>
            </w:r>
            <w:r w:rsidR="005B14C9" w:rsidRPr="00774187">
              <w:rPr>
                <w:szCs w:val="17"/>
              </w:rPr>
              <w:t xml:space="preserve"> appropriate balance in terms of providing relevant, useful information to the consumer that will be beneficial in his decision-making</w:t>
            </w:r>
            <w:r w:rsidR="000A6149" w:rsidRPr="00774187">
              <w:rPr>
                <w:szCs w:val="17"/>
              </w:rPr>
              <w:t xml:space="preserve"> process. However, IMD2 should take a minimum harmonisation approach, allowing member states to maintain or adopt additional rules on conflicts of interest and remuneration adjusted to their national market’s specificities, as many member states have already found their own ways of dealing with remuneration in a manner which is appropriate to their market.</w:t>
            </w:r>
          </w:p>
          <w:p w:rsidR="00613032" w:rsidRPr="00774187" w:rsidRDefault="00613032" w:rsidP="006C585E">
            <w:pPr>
              <w:pStyle w:val="CEABullet-Level1"/>
              <w:rPr>
                <w:lang w:val="en-GB"/>
              </w:rPr>
            </w:pPr>
            <w:r w:rsidRPr="00774187">
              <w:rPr>
                <w:lang w:val="en-GB"/>
              </w:rPr>
              <w:t>Insurance Europe supports AMT155-1</w:t>
            </w:r>
            <w:r w:rsidR="002C7CB0" w:rsidRPr="00774187">
              <w:rPr>
                <w:lang w:val="en-GB"/>
              </w:rPr>
              <w:t>58, AMT160-164, AMT167-168</w:t>
            </w:r>
            <w:r w:rsidR="009A4801" w:rsidRPr="00774187">
              <w:rPr>
                <w:lang w:val="en-GB"/>
              </w:rPr>
              <w:t xml:space="preserve"> and AMT170-172, but opposes AMT169</w:t>
            </w:r>
            <w:r w:rsidRPr="00774187">
              <w:rPr>
                <w:lang w:val="en-GB"/>
              </w:rPr>
              <w:t>.</w:t>
            </w:r>
            <w:r w:rsidR="002C7CB0" w:rsidRPr="00774187">
              <w:rPr>
                <w:lang w:val="en-GB"/>
              </w:rPr>
              <w:t xml:space="preserve"> Alternatively, if AMT164 is not accepted, we would support AMT165-166.</w:t>
            </w:r>
          </w:p>
          <w:p w:rsidR="006C585E" w:rsidRPr="006C585E" w:rsidRDefault="006C585E" w:rsidP="006C585E">
            <w:pPr>
              <w:pStyle w:val="CEABullet-Level1"/>
              <w:numPr>
                <w:ilvl w:val="0"/>
                <w:numId w:val="0"/>
              </w:numPr>
              <w:ind w:left="360"/>
              <w:rPr>
                <w:lang w:val="en-GB"/>
              </w:rPr>
            </w:pPr>
          </w:p>
        </w:tc>
      </w:tr>
      <w:tr w:rsidR="00D74147" w:rsidRPr="00856C00" w:rsidTr="006E3FB7">
        <w:trPr>
          <w:cantSplit/>
        </w:trPr>
        <w:tc>
          <w:tcPr>
            <w:tcW w:w="1701" w:type="dxa"/>
            <w:tcBorders>
              <w:top w:val="single" w:sz="4" w:space="0" w:color="auto"/>
              <w:left w:val="single" w:sz="4" w:space="0" w:color="auto"/>
              <w:bottom w:val="single" w:sz="4" w:space="0" w:color="auto"/>
              <w:right w:val="single" w:sz="4" w:space="0" w:color="auto"/>
            </w:tcBorders>
            <w:vAlign w:val="center"/>
          </w:tcPr>
          <w:p w:rsidR="00D74147" w:rsidRPr="00881A2B" w:rsidRDefault="00BD70C1" w:rsidP="00FA419C">
            <w:pPr>
              <w:spacing w:before="60" w:after="60"/>
              <w:jc w:val="center"/>
              <w:rPr>
                <w:b/>
                <w:szCs w:val="17"/>
              </w:rPr>
            </w:pPr>
            <w:r w:rsidRPr="00881A2B">
              <w:rPr>
                <w:b/>
                <w:szCs w:val="17"/>
              </w:rPr>
              <w:lastRenderedPageBreak/>
              <w:t>AMT</w:t>
            </w:r>
            <w:r w:rsidR="00CA431B" w:rsidRPr="00881A2B">
              <w:rPr>
                <w:b/>
                <w:szCs w:val="17"/>
              </w:rPr>
              <w:t>173</w:t>
            </w:r>
            <w:r w:rsidR="00FA419C" w:rsidRPr="00881A2B">
              <w:rPr>
                <w:b/>
                <w:szCs w:val="17"/>
              </w:rPr>
              <w:t>, AMT</w:t>
            </w:r>
            <w:r w:rsidR="00CA431B" w:rsidRPr="00881A2B">
              <w:rPr>
                <w:b/>
                <w:szCs w:val="17"/>
              </w:rPr>
              <w:t>175</w:t>
            </w:r>
          </w:p>
        </w:tc>
        <w:tc>
          <w:tcPr>
            <w:tcW w:w="1560" w:type="dxa"/>
            <w:tcBorders>
              <w:top w:val="single" w:sz="4" w:space="0" w:color="auto"/>
              <w:left w:val="single" w:sz="4" w:space="0" w:color="auto"/>
              <w:bottom w:val="single" w:sz="4" w:space="0" w:color="auto"/>
              <w:right w:val="single" w:sz="4" w:space="0" w:color="auto"/>
            </w:tcBorders>
            <w:vAlign w:val="center"/>
          </w:tcPr>
          <w:p w:rsidR="00D74147" w:rsidRPr="00881A2B" w:rsidRDefault="00CA431B" w:rsidP="00CA431B">
            <w:pPr>
              <w:spacing w:before="60" w:after="60"/>
              <w:jc w:val="center"/>
            </w:pPr>
            <w:r w:rsidRPr="00881A2B">
              <w:t xml:space="preserve">Article 25 – </w:t>
            </w:r>
            <w:proofErr w:type="spellStart"/>
            <w:r w:rsidRPr="00881A2B">
              <w:t>para</w:t>
            </w:r>
            <w:proofErr w:type="spellEnd"/>
            <w:r w:rsidRPr="00881A2B">
              <w:t xml:space="preserve">. 2 – </w:t>
            </w:r>
            <w:proofErr w:type="spellStart"/>
            <w:proofErr w:type="gramStart"/>
            <w:r w:rsidRPr="00881A2B">
              <w:t>subpara</w:t>
            </w:r>
            <w:proofErr w:type="spellEnd"/>
            <w:proofErr w:type="gramEnd"/>
            <w:r w:rsidRPr="00881A2B">
              <w:t>. 3a</w:t>
            </w:r>
          </w:p>
        </w:tc>
        <w:tc>
          <w:tcPr>
            <w:tcW w:w="2552" w:type="dxa"/>
            <w:tcBorders>
              <w:top w:val="single" w:sz="4" w:space="0" w:color="auto"/>
              <w:left w:val="single" w:sz="4" w:space="0" w:color="auto"/>
              <w:bottom w:val="single" w:sz="4" w:space="0" w:color="auto"/>
              <w:right w:val="single" w:sz="4" w:space="0" w:color="auto"/>
            </w:tcBorders>
            <w:vAlign w:val="center"/>
          </w:tcPr>
          <w:p w:rsidR="00D74147" w:rsidRPr="00881A2B" w:rsidRDefault="00CA431B" w:rsidP="00881A2B">
            <w:pPr>
              <w:spacing w:before="60" w:after="60"/>
              <w:jc w:val="center"/>
              <w:rPr>
                <w:i/>
                <w:szCs w:val="17"/>
              </w:rPr>
            </w:pPr>
            <w:proofErr w:type="spellStart"/>
            <w:r w:rsidRPr="00881A2B">
              <w:rPr>
                <w:i/>
                <w:szCs w:val="17"/>
              </w:rPr>
              <w:t>Othmar</w:t>
            </w:r>
            <w:proofErr w:type="spellEnd"/>
            <w:r w:rsidRPr="00881A2B">
              <w:rPr>
                <w:i/>
                <w:szCs w:val="17"/>
              </w:rPr>
              <w:t xml:space="preserve"> </w:t>
            </w:r>
            <w:proofErr w:type="spellStart"/>
            <w:r w:rsidRPr="00881A2B">
              <w:rPr>
                <w:i/>
                <w:szCs w:val="17"/>
              </w:rPr>
              <w:t>Karas</w:t>
            </w:r>
            <w:proofErr w:type="spellEnd"/>
          </w:p>
        </w:tc>
        <w:tc>
          <w:tcPr>
            <w:tcW w:w="10207" w:type="dxa"/>
            <w:tcBorders>
              <w:top w:val="single" w:sz="4" w:space="0" w:color="auto"/>
              <w:left w:val="single" w:sz="4" w:space="0" w:color="auto"/>
              <w:bottom w:val="single" w:sz="4" w:space="0" w:color="auto"/>
              <w:right w:val="single" w:sz="4" w:space="0" w:color="auto"/>
            </w:tcBorders>
            <w:vAlign w:val="center"/>
          </w:tcPr>
          <w:p w:rsidR="00E15837" w:rsidRPr="00881A2B" w:rsidRDefault="00DF0C87" w:rsidP="00E15837">
            <w:pPr>
              <w:autoSpaceDE w:val="0"/>
              <w:autoSpaceDN w:val="0"/>
              <w:adjustRightInd w:val="0"/>
              <w:spacing w:after="200"/>
              <w:rPr>
                <w:rFonts w:eastAsiaTheme="minorHAnsi"/>
              </w:rPr>
            </w:pPr>
            <w:r w:rsidRPr="00881A2B">
              <w:rPr>
                <w:szCs w:val="17"/>
              </w:rPr>
              <w:t>Insurance Europe welcomes</w:t>
            </w:r>
            <w:r w:rsidR="00CA431B" w:rsidRPr="00881A2B">
              <w:t xml:space="preserve"> the</w:t>
            </w:r>
            <w:r w:rsidR="00CA431B" w:rsidRPr="00881A2B">
              <w:rPr>
                <w:szCs w:val="17"/>
              </w:rPr>
              <w:t xml:space="preserve"> clarification that the sale of insurance </w:t>
            </w:r>
            <w:r w:rsidR="000D15A5" w:rsidRPr="00881A2B">
              <w:rPr>
                <w:szCs w:val="17"/>
              </w:rPr>
              <w:t>investment products may continue without</w:t>
            </w:r>
            <w:r w:rsidR="007B392F" w:rsidRPr="00881A2B">
              <w:rPr>
                <w:szCs w:val="17"/>
              </w:rPr>
              <w:t xml:space="preserve"> having to assess the knowledge and experience of clients</w:t>
            </w:r>
            <w:r w:rsidR="00CA431B" w:rsidRPr="00881A2B">
              <w:rPr>
                <w:szCs w:val="17"/>
              </w:rPr>
              <w:t xml:space="preserve">. </w:t>
            </w:r>
            <w:r w:rsidR="00E15837" w:rsidRPr="00881A2B">
              <w:rPr>
                <w:rFonts w:eastAsiaTheme="minorHAnsi"/>
              </w:rPr>
              <w:t>It should be possible for consumers to choose to purchase any insurance product without advice, if they so wish. Any restrictions could interfere with consumer choice, and hamper their ability to access products if the consumer was not in a position to afford such advice. The requirement to carry out an analysis of the customer’s demands and needs for all insurance products, and to obtain information on the customer’s knowledge and experience in the case of insurance PRIPs, prevents a true possibility for non-advised sales as the seller must still establish certain information about the customer and his needs. In all cases, whether advice is provided or not, consumers remain protected as all relevant information about the insurance product must still be provided.</w:t>
            </w:r>
          </w:p>
          <w:p w:rsidR="00D74147" w:rsidRPr="00881A2B" w:rsidRDefault="003E0007" w:rsidP="00AD332E">
            <w:pPr>
              <w:pStyle w:val="CEABullet-Level1"/>
              <w:rPr>
                <w:lang w:val="en-GB"/>
              </w:rPr>
            </w:pPr>
            <w:r w:rsidRPr="00881A2B">
              <w:rPr>
                <w:lang w:val="en-GB"/>
              </w:rPr>
              <w:t xml:space="preserve">Insurance Europe </w:t>
            </w:r>
            <w:r w:rsidR="009D3F92" w:rsidRPr="00881A2B">
              <w:rPr>
                <w:lang w:val="en-GB"/>
              </w:rPr>
              <w:t>supports</w:t>
            </w:r>
            <w:r w:rsidRPr="00881A2B">
              <w:rPr>
                <w:lang w:val="en-GB"/>
              </w:rPr>
              <w:t xml:space="preserve"> AMT</w:t>
            </w:r>
            <w:r w:rsidR="00AD332E" w:rsidRPr="00881A2B">
              <w:rPr>
                <w:lang w:val="en-GB"/>
              </w:rPr>
              <w:t>173</w:t>
            </w:r>
            <w:r w:rsidR="00FA419C" w:rsidRPr="00881A2B">
              <w:rPr>
                <w:lang w:val="en-GB"/>
              </w:rPr>
              <w:t xml:space="preserve"> and </w:t>
            </w:r>
            <w:r w:rsidR="00AD332E" w:rsidRPr="00881A2B">
              <w:rPr>
                <w:lang w:val="en-GB"/>
              </w:rPr>
              <w:t>175</w:t>
            </w:r>
            <w:r w:rsidR="00881A2B" w:rsidRPr="00BE5CEE">
              <w:rPr>
                <w:highlight w:val="yellow"/>
                <w:lang w:val="en-GB"/>
              </w:rPr>
              <w:t xml:space="preserve">, </w:t>
            </w:r>
            <w:r w:rsidR="00BE5CEE">
              <w:rPr>
                <w:highlight w:val="yellow"/>
                <w:lang w:val="en-GB"/>
              </w:rPr>
              <w:t xml:space="preserve">with the </w:t>
            </w:r>
            <w:r w:rsidR="00881A2B" w:rsidRPr="00BE5CEE">
              <w:rPr>
                <w:highlight w:val="yellow"/>
                <w:lang w:val="en-GB"/>
              </w:rPr>
              <w:t>except</w:t>
            </w:r>
            <w:r w:rsidR="00BE5CEE">
              <w:rPr>
                <w:highlight w:val="yellow"/>
                <w:lang w:val="en-GB"/>
              </w:rPr>
              <w:t>ion of</w:t>
            </w:r>
            <w:r w:rsidR="00881A2B" w:rsidRPr="00BE5CEE">
              <w:rPr>
                <w:highlight w:val="yellow"/>
                <w:lang w:val="en-GB"/>
              </w:rPr>
              <w:t xml:space="preserve"> </w:t>
            </w:r>
            <w:r w:rsidR="00BE5CEE">
              <w:rPr>
                <w:highlight w:val="yellow"/>
                <w:lang w:val="en-GB"/>
              </w:rPr>
              <w:t>point a)</w:t>
            </w:r>
            <w:r w:rsidR="00574F25">
              <w:rPr>
                <w:highlight w:val="yellow"/>
                <w:lang w:val="en-GB"/>
              </w:rPr>
              <w:t xml:space="preserve"> of </w:t>
            </w:r>
            <w:r w:rsidR="00881A2B" w:rsidRPr="00BE5CEE">
              <w:rPr>
                <w:highlight w:val="yellow"/>
                <w:lang w:val="en-GB"/>
              </w:rPr>
              <w:t>AMT173 and AMT175</w:t>
            </w:r>
            <w:commentRangeStart w:id="1"/>
            <w:r w:rsidR="001B36C6" w:rsidRPr="00BE5CEE">
              <w:rPr>
                <w:highlight w:val="yellow"/>
                <w:lang w:val="en-GB"/>
              </w:rPr>
              <w:t>.</w:t>
            </w:r>
            <w:commentRangeEnd w:id="1"/>
            <w:r w:rsidR="003758B7">
              <w:rPr>
                <w:rStyle w:val="Odkaznakomentr"/>
                <w:rFonts w:cs="Times New Roman"/>
                <w:color w:val="auto"/>
                <w:lang w:val="en-GB"/>
              </w:rPr>
              <w:commentReference w:id="1"/>
            </w:r>
          </w:p>
          <w:p w:rsidR="00043BF5" w:rsidRPr="00856C00" w:rsidRDefault="00043BF5" w:rsidP="00043BF5">
            <w:pPr>
              <w:pStyle w:val="CEABullet-Level1"/>
              <w:numPr>
                <w:ilvl w:val="0"/>
                <w:numId w:val="0"/>
              </w:numPr>
              <w:ind w:left="360"/>
              <w:rPr>
                <w:lang w:val="en-GB"/>
              </w:rPr>
            </w:pPr>
          </w:p>
        </w:tc>
      </w:tr>
    </w:tbl>
    <w:p w:rsidR="00253AD9" w:rsidRPr="00856C00" w:rsidRDefault="00253AD9" w:rsidP="006C585E">
      <w:pPr>
        <w:spacing w:line="240" w:lineRule="auto"/>
        <w:jc w:val="left"/>
        <w:rPr>
          <w:rStyle w:val="CEAGraphTitle"/>
          <w:szCs w:val="17"/>
        </w:rPr>
      </w:pPr>
    </w:p>
    <w:sectPr w:rsidR="00253AD9" w:rsidRPr="00856C00" w:rsidSect="00077701">
      <w:headerReference w:type="default" r:id="rId9"/>
      <w:footerReference w:type="default" r:id="rId10"/>
      <w:type w:val="continuous"/>
      <w:pgSz w:w="16839" w:h="11907" w:orient="landscape" w:code="9"/>
      <w:pgMar w:top="902" w:right="1418" w:bottom="1135" w:left="2410" w:header="1276" w:footer="397"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rthur Hilliard" w:date="2013-02-15T17:49:00Z" w:initials="AH">
    <w:p w:rsidR="003758B7" w:rsidRDefault="003758B7">
      <w:pPr>
        <w:pStyle w:val="Textkomentra"/>
      </w:pPr>
      <w:r>
        <w:rPr>
          <w:rStyle w:val="Odkaznakomentr"/>
        </w:rPr>
        <w:annotationRef/>
      </w:r>
      <w:r>
        <w:t>This is in line with Insurance Europe’s own proposed amendments on this article.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1AC" w:rsidRDefault="003A41AC">
      <w:r>
        <w:separator/>
      </w:r>
    </w:p>
    <w:p w:rsidR="003A41AC" w:rsidRDefault="003A41AC"/>
  </w:endnote>
  <w:endnote w:type="continuationSeparator" w:id="0">
    <w:p w:rsidR="003A41AC" w:rsidRDefault="003A41AC">
      <w:r>
        <w:continuationSeparator/>
      </w:r>
    </w:p>
    <w:p w:rsidR="003A41AC" w:rsidRDefault="003A41AC"/>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embedRegular r:id="rId1" w:fontKey="{4A9A5B00-50D0-4F9E-B681-412249613EA1}"/>
    <w:embedBold r:id="rId2" w:fontKey="{E6F8897D-0B25-4012-B40D-7ACA4F7A07B0}"/>
    <w:embedItalic r:id="rId3" w:fontKey="{BC0C6105-1A48-42B8-8D6B-244D534367E1}"/>
    <w:embedBoldItalic r:id="rId4" w:fontKey="{A8EE5313-CD5B-45A4-977B-87312799CF5E}"/>
  </w:font>
  <w:font w:name="Frutiger LT Com 45 Light">
    <w:altName w:val="Corbel"/>
    <w:charset w:val="00"/>
    <w:family w:val="swiss"/>
    <w:pitch w:val="variable"/>
    <w:sig w:usb0="00000001" w:usb1="5000204A" w:usb2="00000000" w:usb3="00000000" w:csb0="0000009B" w:csb1="00000000"/>
  </w:font>
  <w:font w:name="Arial">
    <w:altName w:val="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666D1EC6-A76A-4187-8564-C922E8F27BA4}"/>
  </w:font>
  <w:font w:name="Calibri">
    <w:panose1 w:val="020F0502020204030204"/>
    <w:charset w:val="EE"/>
    <w:family w:val="swiss"/>
    <w:pitch w:val="variable"/>
    <w:sig w:usb0="A00002EF" w:usb1="4000207B" w:usb2="00000000" w:usb3="00000000" w:csb0="0000009F" w:csb1="00000000"/>
    <w:embedRegular r:id="rId6" w:fontKey="{07B0B6C7-1CAA-4A4E-81DD-2D016F444190}"/>
  </w:font>
  <w:font w:name="Cambria">
    <w:panose1 w:val="02040503050406030204"/>
    <w:charset w:val="EE"/>
    <w:family w:val="roman"/>
    <w:pitch w:val="variable"/>
    <w:sig w:usb0="A00002EF" w:usb1="4000004B" w:usb2="00000000" w:usb3="00000000" w:csb0="0000009F" w:csb1="00000000"/>
    <w:embedRegular r:id="rId7" w:fontKey="{5DE80E88-0BED-45E1-897B-0553D8FAAA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A2B" w:rsidRPr="00CD51F6" w:rsidRDefault="00881A2B" w:rsidP="00EF4577">
    <w:pPr>
      <w:pStyle w:val="Pta"/>
      <w:ind w:left="546"/>
      <w:rPr>
        <w:rFonts w:cs="Arial"/>
        <w:b/>
        <w:color w:val="0032FF"/>
        <w:sz w:val="16"/>
        <w:szCs w:val="16"/>
        <w:lang w:val="pt-P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1AC" w:rsidRDefault="003A41AC">
      <w:r>
        <w:separator/>
      </w:r>
    </w:p>
    <w:p w:rsidR="003A41AC" w:rsidRDefault="003A41AC"/>
  </w:footnote>
  <w:footnote w:type="continuationSeparator" w:id="0">
    <w:p w:rsidR="003A41AC" w:rsidRDefault="003A41AC">
      <w:r>
        <w:continuationSeparator/>
      </w:r>
    </w:p>
    <w:p w:rsidR="003A41AC" w:rsidRDefault="003A41A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1A2B" w:rsidRDefault="00881A2B" w:rsidP="000846C0">
    <w:pPr>
      <w:pStyle w:val="Noparagraphstyle"/>
      <w:jc w:val="right"/>
      <w:rPr>
        <w:rFonts w:ascii="Verdana" w:hAnsi="Verdana"/>
        <w:b/>
        <w:color w:val="FF0000"/>
        <w:sz w:val="17"/>
        <w:szCs w:val="17"/>
      </w:rPr>
    </w:pPr>
    <w:r>
      <w:rPr>
        <w:rFonts w:ascii="Verdana" w:hAnsi="Verdana"/>
        <w:b/>
        <w:color w:val="FF0000"/>
        <w:sz w:val="17"/>
        <w:szCs w:val="17"/>
      </w:rPr>
      <w:t>1</w:t>
    </w:r>
    <w:r w:rsidR="0087716D">
      <w:rPr>
        <w:rFonts w:ascii="Verdana" w:hAnsi="Verdana"/>
        <w:b/>
        <w:color w:val="FF0000"/>
        <w:sz w:val="17"/>
        <w:szCs w:val="17"/>
      </w:rPr>
      <w:t>8</w:t>
    </w:r>
    <w:r>
      <w:rPr>
        <w:rFonts w:ascii="Verdana" w:hAnsi="Verdana"/>
        <w:b/>
        <w:color w:val="FF0000"/>
        <w:sz w:val="17"/>
        <w:szCs w:val="17"/>
      </w:rPr>
      <w:t xml:space="preserve"> February 2013</w:t>
    </w:r>
  </w:p>
  <w:p w:rsidR="00881A2B" w:rsidRPr="00CD51F6" w:rsidRDefault="00881A2B" w:rsidP="000846C0">
    <w:pPr>
      <w:pStyle w:val="Noparagraphstyle"/>
      <w:jc w:val="right"/>
      <w:rPr>
        <w:rFonts w:ascii="Arial" w:hAnsi="Arial" w:cs="Arial"/>
        <w:i/>
        <w:iCs/>
        <w:color w:val="034EA2"/>
      </w:rPr>
    </w:pPr>
  </w:p>
  <w:p w:rsidR="00881A2B" w:rsidRPr="007349E1" w:rsidRDefault="00881A2B" w:rsidP="007349E1">
    <w:pPr>
      <w:pStyle w:val="Hlavika"/>
      <w:tabs>
        <w:tab w:val="clear" w:pos="4320"/>
        <w:tab w:val="clear" w:pos="8640"/>
        <w:tab w:val="center" w:pos="0"/>
        <w:tab w:val="right" w:pos="10440"/>
      </w:tabs>
      <w:rPr>
        <w:b/>
        <w:sz w:val="40"/>
        <w:szCs w:val="40"/>
      </w:rPr>
    </w:pPr>
    <w:r w:rsidRPr="00164309">
      <w:rPr>
        <w:b/>
        <w:noProof/>
        <w:sz w:val="40"/>
        <w:szCs w:val="40"/>
        <w:lang w:val="sk-SK" w:eastAsia="sk-SK"/>
      </w:rPr>
      <w:drawing>
        <wp:anchor distT="0" distB="0" distL="114300" distR="114300" simplePos="0" relativeHeight="251659264" behindDoc="0" locked="0" layoutInCell="1" allowOverlap="1">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EA - Bullets Rounded Squares_BulletLevel1_forMS"/>
      </v:shape>
    </w:pict>
  </w:numPicBullet>
  <w:numPicBullet w:numPicBulletId="1">
    <w:pict>
      <v:shape id="_x0000_i1027" type="#_x0000_t75" style="width:9pt;height:9pt" o:bullet="t">
        <v:imagedata r:id="rId2" o:title="CEA - Bullets Rounded Squares_BulletLevel3_forMS"/>
      </v:shape>
    </w:pict>
  </w:numPicBullet>
  <w:numPicBullet w:numPicBulletId="2">
    <w:pict>
      <v:shape id="_x0000_i1028"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slovanzoznam5"/>
      <w:lvlText w:val="%1."/>
      <w:lvlJc w:val="left"/>
      <w:pPr>
        <w:tabs>
          <w:tab w:val="num" w:pos="1492"/>
        </w:tabs>
        <w:ind w:left="1492" w:hanging="360"/>
      </w:pPr>
    </w:lvl>
  </w:abstractNum>
  <w:abstractNum w:abstractNumId="1">
    <w:nsid w:val="FFFFFF7D"/>
    <w:multiLevelType w:val="singleLevel"/>
    <w:tmpl w:val="D9007F2A"/>
    <w:lvl w:ilvl="0">
      <w:start w:val="1"/>
      <w:numFmt w:val="decimal"/>
      <w:pStyle w:val="slovanzoznam4"/>
      <w:lvlText w:val="%1."/>
      <w:lvlJc w:val="left"/>
      <w:pPr>
        <w:tabs>
          <w:tab w:val="num" w:pos="1209"/>
        </w:tabs>
        <w:ind w:left="1209" w:hanging="360"/>
      </w:pPr>
    </w:lvl>
  </w:abstractNum>
  <w:abstractNum w:abstractNumId="2">
    <w:nsid w:val="FFFFFF7E"/>
    <w:multiLevelType w:val="singleLevel"/>
    <w:tmpl w:val="FD4E3424"/>
    <w:lvl w:ilvl="0">
      <w:start w:val="1"/>
      <w:numFmt w:val="decimal"/>
      <w:pStyle w:val="slovanzoznam3"/>
      <w:lvlText w:val="%1."/>
      <w:lvlJc w:val="left"/>
      <w:pPr>
        <w:tabs>
          <w:tab w:val="num" w:pos="926"/>
        </w:tabs>
        <w:ind w:left="926" w:hanging="360"/>
      </w:pPr>
    </w:lvl>
  </w:abstractNum>
  <w:abstractNum w:abstractNumId="3">
    <w:nsid w:val="FFFFFF7F"/>
    <w:multiLevelType w:val="singleLevel"/>
    <w:tmpl w:val="1EACF058"/>
    <w:lvl w:ilvl="0">
      <w:start w:val="1"/>
      <w:numFmt w:val="decimal"/>
      <w:pStyle w:val="slovanzoznam2"/>
      <w:lvlText w:val="%1."/>
      <w:lvlJc w:val="left"/>
      <w:pPr>
        <w:tabs>
          <w:tab w:val="num" w:pos="643"/>
        </w:tabs>
        <w:ind w:left="643" w:hanging="360"/>
      </w:pPr>
    </w:lvl>
  </w:abstractNum>
  <w:abstractNum w:abstractNumId="4">
    <w:nsid w:val="FFFFFF80"/>
    <w:multiLevelType w:val="singleLevel"/>
    <w:tmpl w:val="C3960D82"/>
    <w:lvl w:ilvl="0">
      <w:start w:val="1"/>
      <w:numFmt w:val="bullet"/>
      <w:pStyle w:val="Zoznamsodrkami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Zoznamsodrkami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Zoznamsodrkami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Zoznamsodrkami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slovanzoznam"/>
      <w:lvlText w:val="%1."/>
      <w:lvlJc w:val="left"/>
      <w:pPr>
        <w:tabs>
          <w:tab w:val="num" w:pos="360"/>
        </w:tabs>
        <w:ind w:left="360" w:hanging="360"/>
      </w:pPr>
    </w:lvl>
  </w:abstractNum>
  <w:abstractNum w:abstractNumId="9">
    <w:nsid w:val="FFFFFF89"/>
    <w:multiLevelType w:val="singleLevel"/>
    <w:tmpl w:val="4B14C1D8"/>
    <w:lvl w:ilvl="0">
      <w:start w:val="1"/>
      <w:numFmt w:val="bullet"/>
      <w:pStyle w:val="Zoznamsodrkami"/>
      <w:lvlText w:val=""/>
      <w:lvlJc w:val="left"/>
      <w:pPr>
        <w:tabs>
          <w:tab w:val="num" w:pos="360"/>
        </w:tabs>
        <w:ind w:left="360" w:hanging="360"/>
      </w:pPr>
      <w:rPr>
        <w:rFonts w:ascii="Symbol" w:hAnsi="Symbol" w:hint="default"/>
      </w:rPr>
    </w:lvl>
  </w:abstractNum>
  <w:abstractNum w:abstractNumId="10">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287677F8"/>
    <w:multiLevelType w:val="multilevel"/>
    <w:tmpl w:val="04090023"/>
    <w:styleLink w:val="lnokalebosekci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4">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2"/>
  </w:num>
  <w:num w:numId="14">
    <w:abstractNumId w:val="15"/>
  </w:num>
  <w:num w:numId="15">
    <w:abstractNumId w:val="13"/>
  </w:num>
  <w:num w:numId="16">
    <w:abstractNumId w:val="10"/>
  </w:num>
  <w:num w:numId="17">
    <w:abstractNumId w:val="13"/>
  </w:num>
  <w:num w:numId="18">
    <w:abstractNumId w:val="15"/>
  </w:num>
  <w:num w:numId="19">
    <w:abstractNumId w:val="15"/>
  </w:num>
  <w:num w:numId="20">
    <w:abstractNumId w:val="15"/>
  </w:num>
  <w:num w:numId="21">
    <w:abstractNumId w:val="1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8001"/>
  <w:stylePaneSortMethod w:val="0000"/>
  <w:defaultTabStop w:val="1134"/>
  <w:hyphenationZone w:val="425"/>
  <w:characterSpacingControl w:val="doNotCompress"/>
  <w:hdrShapeDefaults>
    <o:shapedefaults v:ext="edit" spidmax="2049">
      <o:colormru v:ext="edit" colors="#034ea2,#5d9efd"/>
    </o:shapedefaults>
  </w:hdrShapeDefaults>
  <w:footnotePr>
    <w:footnote w:id="-1"/>
    <w:footnote w:id="0"/>
  </w:footnotePr>
  <w:endnotePr>
    <w:endnote w:id="-1"/>
    <w:endnote w:id="0"/>
  </w:endnotePr>
  <w:compat/>
  <w:rsids>
    <w:rsidRoot w:val="00CE7735"/>
    <w:rsid w:val="00000622"/>
    <w:rsid w:val="000011C1"/>
    <w:rsid w:val="00001EBB"/>
    <w:rsid w:val="000022C8"/>
    <w:rsid w:val="00004FA7"/>
    <w:rsid w:val="00006017"/>
    <w:rsid w:val="000068C3"/>
    <w:rsid w:val="00007EE6"/>
    <w:rsid w:val="00010B8A"/>
    <w:rsid w:val="00015D1A"/>
    <w:rsid w:val="000233DD"/>
    <w:rsid w:val="00023FF8"/>
    <w:rsid w:val="00034910"/>
    <w:rsid w:val="000354FA"/>
    <w:rsid w:val="00035C6C"/>
    <w:rsid w:val="00037FBF"/>
    <w:rsid w:val="00043095"/>
    <w:rsid w:val="00043BF5"/>
    <w:rsid w:val="00044495"/>
    <w:rsid w:val="00044ECB"/>
    <w:rsid w:val="000455FE"/>
    <w:rsid w:val="00047182"/>
    <w:rsid w:val="000472FD"/>
    <w:rsid w:val="0004778B"/>
    <w:rsid w:val="00062772"/>
    <w:rsid w:val="00065779"/>
    <w:rsid w:val="00074937"/>
    <w:rsid w:val="00076557"/>
    <w:rsid w:val="00077701"/>
    <w:rsid w:val="000810B2"/>
    <w:rsid w:val="000846C0"/>
    <w:rsid w:val="000869E1"/>
    <w:rsid w:val="0008722C"/>
    <w:rsid w:val="00087F5D"/>
    <w:rsid w:val="00091FFD"/>
    <w:rsid w:val="00093721"/>
    <w:rsid w:val="0009470E"/>
    <w:rsid w:val="00094AED"/>
    <w:rsid w:val="00094C19"/>
    <w:rsid w:val="00094F94"/>
    <w:rsid w:val="00095134"/>
    <w:rsid w:val="00096CE4"/>
    <w:rsid w:val="00096E89"/>
    <w:rsid w:val="000A3157"/>
    <w:rsid w:val="000A5C74"/>
    <w:rsid w:val="000A6149"/>
    <w:rsid w:val="000B0B48"/>
    <w:rsid w:val="000B1B74"/>
    <w:rsid w:val="000B32DF"/>
    <w:rsid w:val="000C1585"/>
    <w:rsid w:val="000C2041"/>
    <w:rsid w:val="000D15A5"/>
    <w:rsid w:val="000D3234"/>
    <w:rsid w:val="000E12A5"/>
    <w:rsid w:val="000E1C9B"/>
    <w:rsid w:val="000E47C1"/>
    <w:rsid w:val="000F0A3A"/>
    <w:rsid w:val="000F1F78"/>
    <w:rsid w:val="000F296B"/>
    <w:rsid w:val="00100FC6"/>
    <w:rsid w:val="00106B9C"/>
    <w:rsid w:val="001071E9"/>
    <w:rsid w:val="00113142"/>
    <w:rsid w:val="00113305"/>
    <w:rsid w:val="00113F11"/>
    <w:rsid w:val="00120A99"/>
    <w:rsid w:val="00123909"/>
    <w:rsid w:val="00126148"/>
    <w:rsid w:val="001262D9"/>
    <w:rsid w:val="00127A6C"/>
    <w:rsid w:val="0013682A"/>
    <w:rsid w:val="00146DE0"/>
    <w:rsid w:val="00154F0E"/>
    <w:rsid w:val="0015796C"/>
    <w:rsid w:val="001603D7"/>
    <w:rsid w:val="00163830"/>
    <w:rsid w:val="00164309"/>
    <w:rsid w:val="001649DC"/>
    <w:rsid w:val="001661D7"/>
    <w:rsid w:val="0017141D"/>
    <w:rsid w:val="00172CC0"/>
    <w:rsid w:val="00174598"/>
    <w:rsid w:val="00182068"/>
    <w:rsid w:val="00182700"/>
    <w:rsid w:val="0018318B"/>
    <w:rsid w:val="001912BA"/>
    <w:rsid w:val="0019479D"/>
    <w:rsid w:val="00194820"/>
    <w:rsid w:val="00195A38"/>
    <w:rsid w:val="001964BE"/>
    <w:rsid w:val="0019669F"/>
    <w:rsid w:val="001A022F"/>
    <w:rsid w:val="001A0BB7"/>
    <w:rsid w:val="001A50F7"/>
    <w:rsid w:val="001A75E9"/>
    <w:rsid w:val="001B0A3A"/>
    <w:rsid w:val="001B1E41"/>
    <w:rsid w:val="001B29F2"/>
    <w:rsid w:val="001B36C6"/>
    <w:rsid w:val="001C0D41"/>
    <w:rsid w:val="001C0EE5"/>
    <w:rsid w:val="001D600E"/>
    <w:rsid w:val="001E0CCF"/>
    <w:rsid w:val="001F6433"/>
    <w:rsid w:val="001F6EFC"/>
    <w:rsid w:val="001F7A0C"/>
    <w:rsid w:val="001F7D5D"/>
    <w:rsid w:val="00200EEC"/>
    <w:rsid w:val="0020115F"/>
    <w:rsid w:val="00201751"/>
    <w:rsid w:val="00203504"/>
    <w:rsid w:val="00205DE0"/>
    <w:rsid w:val="002062A6"/>
    <w:rsid w:val="00211FAE"/>
    <w:rsid w:val="00214D71"/>
    <w:rsid w:val="002233C7"/>
    <w:rsid w:val="00226415"/>
    <w:rsid w:val="00231943"/>
    <w:rsid w:val="00234644"/>
    <w:rsid w:val="002349AC"/>
    <w:rsid w:val="00242E2D"/>
    <w:rsid w:val="00244031"/>
    <w:rsid w:val="0024630B"/>
    <w:rsid w:val="0024638B"/>
    <w:rsid w:val="00251AFA"/>
    <w:rsid w:val="002531AA"/>
    <w:rsid w:val="002531B2"/>
    <w:rsid w:val="00253AD9"/>
    <w:rsid w:val="00254BC5"/>
    <w:rsid w:val="00263C3C"/>
    <w:rsid w:val="002644FF"/>
    <w:rsid w:val="00264FF8"/>
    <w:rsid w:val="002657DB"/>
    <w:rsid w:val="00275373"/>
    <w:rsid w:val="00280821"/>
    <w:rsid w:val="002810CD"/>
    <w:rsid w:val="00281A6F"/>
    <w:rsid w:val="002820FB"/>
    <w:rsid w:val="002825EA"/>
    <w:rsid w:val="00283ADA"/>
    <w:rsid w:val="00290D37"/>
    <w:rsid w:val="00292DE8"/>
    <w:rsid w:val="00295E49"/>
    <w:rsid w:val="0029642B"/>
    <w:rsid w:val="002A26FA"/>
    <w:rsid w:val="002A5B60"/>
    <w:rsid w:val="002A5DA1"/>
    <w:rsid w:val="002A6E93"/>
    <w:rsid w:val="002A7B00"/>
    <w:rsid w:val="002A7D7C"/>
    <w:rsid w:val="002B30E8"/>
    <w:rsid w:val="002B72A8"/>
    <w:rsid w:val="002C3275"/>
    <w:rsid w:val="002C35B0"/>
    <w:rsid w:val="002C3A0E"/>
    <w:rsid w:val="002C6607"/>
    <w:rsid w:val="002C7CB0"/>
    <w:rsid w:val="002D142B"/>
    <w:rsid w:val="002D3146"/>
    <w:rsid w:val="002E027B"/>
    <w:rsid w:val="002E0975"/>
    <w:rsid w:val="002E14A8"/>
    <w:rsid w:val="002E2F8B"/>
    <w:rsid w:val="002E5E12"/>
    <w:rsid w:val="002E5EDF"/>
    <w:rsid w:val="002E6CA2"/>
    <w:rsid w:val="002F0FBF"/>
    <w:rsid w:val="002F30BB"/>
    <w:rsid w:val="002F55BB"/>
    <w:rsid w:val="002F5E17"/>
    <w:rsid w:val="002F6802"/>
    <w:rsid w:val="00303D59"/>
    <w:rsid w:val="003059C9"/>
    <w:rsid w:val="0030649E"/>
    <w:rsid w:val="003102F1"/>
    <w:rsid w:val="00313C83"/>
    <w:rsid w:val="00316E19"/>
    <w:rsid w:val="00317DA0"/>
    <w:rsid w:val="0032023C"/>
    <w:rsid w:val="00331C99"/>
    <w:rsid w:val="00340958"/>
    <w:rsid w:val="00342398"/>
    <w:rsid w:val="0034517E"/>
    <w:rsid w:val="00345925"/>
    <w:rsid w:val="00345FDD"/>
    <w:rsid w:val="00351F64"/>
    <w:rsid w:val="00353F7E"/>
    <w:rsid w:val="003559C3"/>
    <w:rsid w:val="00355B82"/>
    <w:rsid w:val="00357D90"/>
    <w:rsid w:val="00364327"/>
    <w:rsid w:val="00364C8C"/>
    <w:rsid w:val="003677EA"/>
    <w:rsid w:val="0037179D"/>
    <w:rsid w:val="00374464"/>
    <w:rsid w:val="003756BA"/>
    <w:rsid w:val="003758B7"/>
    <w:rsid w:val="00375EB4"/>
    <w:rsid w:val="00376401"/>
    <w:rsid w:val="00384458"/>
    <w:rsid w:val="0038475E"/>
    <w:rsid w:val="0038574A"/>
    <w:rsid w:val="0038681E"/>
    <w:rsid w:val="00387F65"/>
    <w:rsid w:val="003908E6"/>
    <w:rsid w:val="00390E2A"/>
    <w:rsid w:val="00391193"/>
    <w:rsid w:val="003944DA"/>
    <w:rsid w:val="00394BF7"/>
    <w:rsid w:val="00397D42"/>
    <w:rsid w:val="003A0F7B"/>
    <w:rsid w:val="003A41AC"/>
    <w:rsid w:val="003A46B8"/>
    <w:rsid w:val="003A7E41"/>
    <w:rsid w:val="003B357D"/>
    <w:rsid w:val="003C2276"/>
    <w:rsid w:val="003C72E8"/>
    <w:rsid w:val="003D0347"/>
    <w:rsid w:val="003D0CCD"/>
    <w:rsid w:val="003D1833"/>
    <w:rsid w:val="003D1BDE"/>
    <w:rsid w:val="003E0007"/>
    <w:rsid w:val="003E0EC1"/>
    <w:rsid w:val="003E1AA5"/>
    <w:rsid w:val="003E1B09"/>
    <w:rsid w:val="003E30DD"/>
    <w:rsid w:val="003E36CF"/>
    <w:rsid w:val="003E37E8"/>
    <w:rsid w:val="003E7168"/>
    <w:rsid w:val="00400FD0"/>
    <w:rsid w:val="00404DAA"/>
    <w:rsid w:val="004109EA"/>
    <w:rsid w:val="0041161E"/>
    <w:rsid w:val="00411938"/>
    <w:rsid w:val="004140EB"/>
    <w:rsid w:val="0041481F"/>
    <w:rsid w:val="00415C70"/>
    <w:rsid w:val="00420FCF"/>
    <w:rsid w:val="004224DC"/>
    <w:rsid w:val="00430879"/>
    <w:rsid w:val="00442487"/>
    <w:rsid w:val="00447293"/>
    <w:rsid w:val="00453D66"/>
    <w:rsid w:val="004552CC"/>
    <w:rsid w:val="004570EA"/>
    <w:rsid w:val="004575F9"/>
    <w:rsid w:val="00460326"/>
    <w:rsid w:val="0046412F"/>
    <w:rsid w:val="0046741D"/>
    <w:rsid w:val="00473333"/>
    <w:rsid w:val="00473B09"/>
    <w:rsid w:val="00474786"/>
    <w:rsid w:val="00477D81"/>
    <w:rsid w:val="004806C0"/>
    <w:rsid w:val="004820CF"/>
    <w:rsid w:val="00483847"/>
    <w:rsid w:val="00483EE4"/>
    <w:rsid w:val="00494470"/>
    <w:rsid w:val="00495D24"/>
    <w:rsid w:val="00495D62"/>
    <w:rsid w:val="00496051"/>
    <w:rsid w:val="004A0078"/>
    <w:rsid w:val="004A10DB"/>
    <w:rsid w:val="004A168A"/>
    <w:rsid w:val="004A20A4"/>
    <w:rsid w:val="004A2505"/>
    <w:rsid w:val="004A27AD"/>
    <w:rsid w:val="004B2740"/>
    <w:rsid w:val="004B2989"/>
    <w:rsid w:val="004B2BA5"/>
    <w:rsid w:val="004B45B7"/>
    <w:rsid w:val="004B6DBE"/>
    <w:rsid w:val="004B6FFC"/>
    <w:rsid w:val="004C3EB9"/>
    <w:rsid w:val="004C68DC"/>
    <w:rsid w:val="004C7ACC"/>
    <w:rsid w:val="004D2F99"/>
    <w:rsid w:val="004D72CC"/>
    <w:rsid w:val="004E0668"/>
    <w:rsid w:val="004E52C3"/>
    <w:rsid w:val="004E6337"/>
    <w:rsid w:val="004F2891"/>
    <w:rsid w:val="005017B3"/>
    <w:rsid w:val="0050195D"/>
    <w:rsid w:val="005019D3"/>
    <w:rsid w:val="0050432C"/>
    <w:rsid w:val="0050436A"/>
    <w:rsid w:val="0050522A"/>
    <w:rsid w:val="005053B8"/>
    <w:rsid w:val="00512C7C"/>
    <w:rsid w:val="00514535"/>
    <w:rsid w:val="00516FCD"/>
    <w:rsid w:val="00517FE2"/>
    <w:rsid w:val="0052023B"/>
    <w:rsid w:val="0052539F"/>
    <w:rsid w:val="0052555D"/>
    <w:rsid w:val="005261EB"/>
    <w:rsid w:val="005306D6"/>
    <w:rsid w:val="00531D9D"/>
    <w:rsid w:val="00532614"/>
    <w:rsid w:val="00534F69"/>
    <w:rsid w:val="00535BEB"/>
    <w:rsid w:val="00540F05"/>
    <w:rsid w:val="00541E62"/>
    <w:rsid w:val="00542636"/>
    <w:rsid w:val="00542701"/>
    <w:rsid w:val="00544C54"/>
    <w:rsid w:val="0054630F"/>
    <w:rsid w:val="00546745"/>
    <w:rsid w:val="0054781C"/>
    <w:rsid w:val="00547A29"/>
    <w:rsid w:val="0055476B"/>
    <w:rsid w:val="00556765"/>
    <w:rsid w:val="00560448"/>
    <w:rsid w:val="00563911"/>
    <w:rsid w:val="00567AC6"/>
    <w:rsid w:val="005705C7"/>
    <w:rsid w:val="005715F6"/>
    <w:rsid w:val="00574F25"/>
    <w:rsid w:val="00575E24"/>
    <w:rsid w:val="00576EE4"/>
    <w:rsid w:val="00581B23"/>
    <w:rsid w:val="005913BF"/>
    <w:rsid w:val="00592B3B"/>
    <w:rsid w:val="00592EFE"/>
    <w:rsid w:val="00594BD0"/>
    <w:rsid w:val="005958C7"/>
    <w:rsid w:val="005A261D"/>
    <w:rsid w:val="005A4B6A"/>
    <w:rsid w:val="005A5A31"/>
    <w:rsid w:val="005A6190"/>
    <w:rsid w:val="005B14C9"/>
    <w:rsid w:val="005B26FC"/>
    <w:rsid w:val="005B3B48"/>
    <w:rsid w:val="005B3C3D"/>
    <w:rsid w:val="005B4235"/>
    <w:rsid w:val="005B4CF7"/>
    <w:rsid w:val="005B4F66"/>
    <w:rsid w:val="005C0D74"/>
    <w:rsid w:val="005C2C81"/>
    <w:rsid w:val="005C3221"/>
    <w:rsid w:val="005C5307"/>
    <w:rsid w:val="005D14DF"/>
    <w:rsid w:val="005D2139"/>
    <w:rsid w:val="005D224D"/>
    <w:rsid w:val="005D3770"/>
    <w:rsid w:val="005E055F"/>
    <w:rsid w:val="005E241E"/>
    <w:rsid w:val="005F3091"/>
    <w:rsid w:val="005F4358"/>
    <w:rsid w:val="005F598E"/>
    <w:rsid w:val="005F7B6A"/>
    <w:rsid w:val="00601ECE"/>
    <w:rsid w:val="006029D8"/>
    <w:rsid w:val="00606966"/>
    <w:rsid w:val="00607378"/>
    <w:rsid w:val="006074CC"/>
    <w:rsid w:val="00613032"/>
    <w:rsid w:val="0061533A"/>
    <w:rsid w:val="006166C1"/>
    <w:rsid w:val="00620088"/>
    <w:rsid w:val="0062282C"/>
    <w:rsid w:val="006261F2"/>
    <w:rsid w:val="0062679B"/>
    <w:rsid w:val="00633549"/>
    <w:rsid w:val="00634ABE"/>
    <w:rsid w:val="006433FE"/>
    <w:rsid w:val="00643537"/>
    <w:rsid w:val="00644A8A"/>
    <w:rsid w:val="00644DA8"/>
    <w:rsid w:val="00647002"/>
    <w:rsid w:val="00651372"/>
    <w:rsid w:val="006560D8"/>
    <w:rsid w:val="006573AB"/>
    <w:rsid w:val="00657632"/>
    <w:rsid w:val="00662B34"/>
    <w:rsid w:val="006644C4"/>
    <w:rsid w:val="00665335"/>
    <w:rsid w:val="00666D90"/>
    <w:rsid w:val="00674028"/>
    <w:rsid w:val="00675E2C"/>
    <w:rsid w:val="00683873"/>
    <w:rsid w:val="00685E93"/>
    <w:rsid w:val="00686649"/>
    <w:rsid w:val="006903EC"/>
    <w:rsid w:val="00690A26"/>
    <w:rsid w:val="0069219E"/>
    <w:rsid w:val="0069273B"/>
    <w:rsid w:val="00694554"/>
    <w:rsid w:val="006A1BF3"/>
    <w:rsid w:val="006A3230"/>
    <w:rsid w:val="006B0B7F"/>
    <w:rsid w:val="006B38C2"/>
    <w:rsid w:val="006B3A45"/>
    <w:rsid w:val="006C585E"/>
    <w:rsid w:val="006D0265"/>
    <w:rsid w:val="006D096C"/>
    <w:rsid w:val="006D0A5B"/>
    <w:rsid w:val="006D0BD8"/>
    <w:rsid w:val="006D155B"/>
    <w:rsid w:val="006D4719"/>
    <w:rsid w:val="006E34BD"/>
    <w:rsid w:val="006E3FB7"/>
    <w:rsid w:val="006F2F66"/>
    <w:rsid w:val="006F6337"/>
    <w:rsid w:val="00705738"/>
    <w:rsid w:val="00707B86"/>
    <w:rsid w:val="00710608"/>
    <w:rsid w:val="00712888"/>
    <w:rsid w:val="00714494"/>
    <w:rsid w:val="00722867"/>
    <w:rsid w:val="00723957"/>
    <w:rsid w:val="007244F3"/>
    <w:rsid w:val="00727D20"/>
    <w:rsid w:val="00731DB3"/>
    <w:rsid w:val="007349E1"/>
    <w:rsid w:val="0073747B"/>
    <w:rsid w:val="0074020E"/>
    <w:rsid w:val="007405FE"/>
    <w:rsid w:val="00740784"/>
    <w:rsid w:val="00747CB3"/>
    <w:rsid w:val="00753709"/>
    <w:rsid w:val="007537B1"/>
    <w:rsid w:val="0075389D"/>
    <w:rsid w:val="00754A54"/>
    <w:rsid w:val="00774187"/>
    <w:rsid w:val="00774DC1"/>
    <w:rsid w:val="007750FF"/>
    <w:rsid w:val="00775D13"/>
    <w:rsid w:val="00777A2E"/>
    <w:rsid w:val="00784E20"/>
    <w:rsid w:val="00785B8F"/>
    <w:rsid w:val="00791F10"/>
    <w:rsid w:val="007A30A4"/>
    <w:rsid w:val="007A6454"/>
    <w:rsid w:val="007A6D3C"/>
    <w:rsid w:val="007B0D69"/>
    <w:rsid w:val="007B392F"/>
    <w:rsid w:val="007B4BEF"/>
    <w:rsid w:val="007C10AC"/>
    <w:rsid w:val="007C5693"/>
    <w:rsid w:val="007C705A"/>
    <w:rsid w:val="007C75FB"/>
    <w:rsid w:val="007D0530"/>
    <w:rsid w:val="007D4361"/>
    <w:rsid w:val="007D5795"/>
    <w:rsid w:val="007D6220"/>
    <w:rsid w:val="007E3EC4"/>
    <w:rsid w:val="007E41A3"/>
    <w:rsid w:val="007E5850"/>
    <w:rsid w:val="007E5CA8"/>
    <w:rsid w:val="007E7781"/>
    <w:rsid w:val="007F1CB0"/>
    <w:rsid w:val="007F53B8"/>
    <w:rsid w:val="0080047E"/>
    <w:rsid w:val="00801A88"/>
    <w:rsid w:val="00805A0D"/>
    <w:rsid w:val="00810054"/>
    <w:rsid w:val="0081274D"/>
    <w:rsid w:val="008136E0"/>
    <w:rsid w:val="00813FF5"/>
    <w:rsid w:val="00816B7B"/>
    <w:rsid w:val="00816C52"/>
    <w:rsid w:val="00817E41"/>
    <w:rsid w:val="00820C9A"/>
    <w:rsid w:val="008224E9"/>
    <w:rsid w:val="00837F94"/>
    <w:rsid w:val="0084632B"/>
    <w:rsid w:val="00846FB6"/>
    <w:rsid w:val="008554A3"/>
    <w:rsid w:val="008560E8"/>
    <w:rsid w:val="00856C00"/>
    <w:rsid w:val="00857299"/>
    <w:rsid w:val="008641E8"/>
    <w:rsid w:val="00864F12"/>
    <w:rsid w:val="00872189"/>
    <w:rsid w:val="00873EB9"/>
    <w:rsid w:val="0087716D"/>
    <w:rsid w:val="00881A2B"/>
    <w:rsid w:val="00881AFE"/>
    <w:rsid w:val="00884F7D"/>
    <w:rsid w:val="008928BB"/>
    <w:rsid w:val="00892F3A"/>
    <w:rsid w:val="0089401C"/>
    <w:rsid w:val="0089477A"/>
    <w:rsid w:val="0089703C"/>
    <w:rsid w:val="0089761C"/>
    <w:rsid w:val="008A5396"/>
    <w:rsid w:val="008B2739"/>
    <w:rsid w:val="008B53F1"/>
    <w:rsid w:val="008B5E70"/>
    <w:rsid w:val="008C0686"/>
    <w:rsid w:val="008C106D"/>
    <w:rsid w:val="008C3271"/>
    <w:rsid w:val="008C3A3F"/>
    <w:rsid w:val="008C4701"/>
    <w:rsid w:val="008D48F8"/>
    <w:rsid w:val="008D4D50"/>
    <w:rsid w:val="008D782E"/>
    <w:rsid w:val="008D7BC8"/>
    <w:rsid w:val="008E3270"/>
    <w:rsid w:val="008F4439"/>
    <w:rsid w:val="008F48AD"/>
    <w:rsid w:val="008F4905"/>
    <w:rsid w:val="008F6E21"/>
    <w:rsid w:val="00900150"/>
    <w:rsid w:val="009016DE"/>
    <w:rsid w:val="00902DB0"/>
    <w:rsid w:val="009036FC"/>
    <w:rsid w:val="00903C16"/>
    <w:rsid w:val="009046CD"/>
    <w:rsid w:val="00904957"/>
    <w:rsid w:val="0090534C"/>
    <w:rsid w:val="00905EE9"/>
    <w:rsid w:val="00907D6C"/>
    <w:rsid w:val="0091279E"/>
    <w:rsid w:val="00913289"/>
    <w:rsid w:val="00916702"/>
    <w:rsid w:val="00917C5E"/>
    <w:rsid w:val="00921697"/>
    <w:rsid w:val="0092307C"/>
    <w:rsid w:val="00924297"/>
    <w:rsid w:val="00927E2E"/>
    <w:rsid w:val="00932976"/>
    <w:rsid w:val="00933E4B"/>
    <w:rsid w:val="00933F44"/>
    <w:rsid w:val="009375A2"/>
    <w:rsid w:val="0094334C"/>
    <w:rsid w:val="00943EDC"/>
    <w:rsid w:val="00946CC2"/>
    <w:rsid w:val="00947B48"/>
    <w:rsid w:val="00952041"/>
    <w:rsid w:val="00955CB5"/>
    <w:rsid w:val="009574E7"/>
    <w:rsid w:val="00957DF2"/>
    <w:rsid w:val="0096519C"/>
    <w:rsid w:val="009652F3"/>
    <w:rsid w:val="009654A1"/>
    <w:rsid w:val="00966CBF"/>
    <w:rsid w:val="00967C31"/>
    <w:rsid w:val="009702D7"/>
    <w:rsid w:val="009707F0"/>
    <w:rsid w:val="00972012"/>
    <w:rsid w:val="0097329E"/>
    <w:rsid w:val="0097345C"/>
    <w:rsid w:val="00975254"/>
    <w:rsid w:val="0098170D"/>
    <w:rsid w:val="009864CB"/>
    <w:rsid w:val="00987B2A"/>
    <w:rsid w:val="00987FBC"/>
    <w:rsid w:val="009A4801"/>
    <w:rsid w:val="009B7083"/>
    <w:rsid w:val="009B7739"/>
    <w:rsid w:val="009C1A28"/>
    <w:rsid w:val="009C520E"/>
    <w:rsid w:val="009C6601"/>
    <w:rsid w:val="009D3F92"/>
    <w:rsid w:val="009E0B5C"/>
    <w:rsid w:val="009E1C04"/>
    <w:rsid w:val="009E1C73"/>
    <w:rsid w:val="009E510A"/>
    <w:rsid w:val="009F022D"/>
    <w:rsid w:val="009F03C9"/>
    <w:rsid w:val="009F45DA"/>
    <w:rsid w:val="009F47E1"/>
    <w:rsid w:val="009F4F52"/>
    <w:rsid w:val="00A019E6"/>
    <w:rsid w:val="00A02279"/>
    <w:rsid w:val="00A05CEA"/>
    <w:rsid w:val="00A06A28"/>
    <w:rsid w:val="00A06EC9"/>
    <w:rsid w:val="00A07415"/>
    <w:rsid w:val="00A107DA"/>
    <w:rsid w:val="00A10E66"/>
    <w:rsid w:val="00A14119"/>
    <w:rsid w:val="00A20035"/>
    <w:rsid w:val="00A23C76"/>
    <w:rsid w:val="00A24497"/>
    <w:rsid w:val="00A267FB"/>
    <w:rsid w:val="00A327B0"/>
    <w:rsid w:val="00A3409F"/>
    <w:rsid w:val="00A41955"/>
    <w:rsid w:val="00A4306D"/>
    <w:rsid w:val="00A44A0D"/>
    <w:rsid w:val="00A44EEF"/>
    <w:rsid w:val="00A45EA1"/>
    <w:rsid w:val="00A45EA5"/>
    <w:rsid w:val="00A45F7D"/>
    <w:rsid w:val="00A46610"/>
    <w:rsid w:val="00A5196B"/>
    <w:rsid w:val="00A55089"/>
    <w:rsid w:val="00A55792"/>
    <w:rsid w:val="00A56B27"/>
    <w:rsid w:val="00A573F3"/>
    <w:rsid w:val="00A57571"/>
    <w:rsid w:val="00A57631"/>
    <w:rsid w:val="00A600AB"/>
    <w:rsid w:val="00A61790"/>
    <w:rsid w:val="00A63CC0"/>
    <w:rsid w:val="00A67294"/>
    <w:rsid w:val="00A677E9"/>
    <w:rsid w:val="00A678F8"/>
    <w:rsid w:val="00A76FD2"/>
    <w:rsid w:val="00A8130B"/>
    <w:rsid w:val="00A82035"/>
    <w:rsid w:val="00A83BE8"/>
    <w:rsid w:val="00A841EE"/>
    <w:rsid w:val="00A84B61"/>
    <w:rsid w:val="00A9408A"/>
    <w:rsid w:val="00A948D4"/>
    <w:rsid w:val="00AA23BE"/>
    <w:rsid w:val="00AA3040"/>
    <w:rsid w:val="00AA5029"/>
    <w:rsid w:val="00AA5413"/>
    <w:rsid w:val="00AA753F"/>
    <w:rsid w:val="00AB148D"/>
    <w:rsid w:val="00AB7DE4"/>
    <w:rsid w:val="00AC1770"/>
    <w:rsid w:val="00AC2F67"/>
    <w:rsid w:val="00AC73FB"/>
    <w:rsid w:val="00AD332E"/>
    <w:rsid w:val="00AD4B9B"/>
    <w:rsid w:val="00AD624C"/>
    <w:rsid w:val="00AD735F"/>
    <w:rsid w:val="00AD7F68"/>
    <w:rsid w:val="00AE0559"/>
    <w:rsid w:val="00AE0A7E"/>
    <w:rsid w:val="00AE2018"/>
    <w:rsid w:val="00AF3871"/>
    <w:rsid w:val="00AF3A07"/>
    <w:rsid w:val="00AF457F"/>
    <w:rsid w:val="00AF7019"/>
    <w:rsid w:val="00AF7A50"/>
    <w:rsid w:val="00B12089"/>
    <w:rsid w:val="00B1269A"/>
    <w:rsid w:val="00B14E82"/>
    <w:rsid w:val="00B15130"/>
    <w:rsid w:val="00B16FAE"/>
    <w:rsid w:val="00B2434E"/>
    <w:rsid w:val="00B278D9"/>
    <w:rsid w:val="00B316E4"/>
    <w:rsid w:val="00B41BAC"/>
    <w:rsid w:val="00B4429F"/>
    <w:rsid w:val="00B45C93"/>
    <w:rsid w:val="00B50D4A"/>
    <w:rsid w:val="00B549F1"/>
    <w:rsid w:val="00B557FE"/>
    <w:rsid w:val="00B612D6"/>
    <w:rsid w:val="00B62C5B"/>
    <w:rsid w:val="00B64DA7"/>
    <w:rsid w:val="00B66118"/>
    <w:rsid w:val="00B668A7"/>
    <w:rsid w:val="00B673B7"/>
    <w:rsid w:val="00B6747E"/>
    <w:rsid w:val="00B7253F"/>
    <w:rsid w:val="00B75552"/>
    <w:rsid w:val="00B77A0B"/>
    <w:rsid w:val="00B77C4B"/>
    <w:rsid w:val="00B80FC4"/>
    <w:rsid w:val="00B84010"/>
    <w:rsid w:val="00B84551"/>
    <w:rsid w:val="00B85BAB"/>
    <w:rsid w:val="00B929A9"/>
    <w:rsid w:val="00B94B8A"/>
    <w:rsid w:val="00B96677"/>
    <w:rsid w:val="00BA0174"/>
    <w:rsid w:val="00BA0C9C"/>
    <w:rsid w:val="00BA104E"/>
    <w:rsid w:val="00BA14B7"/>
    <w:rsid w:val="00BA1B6C"/>
    <w:rsid w:val="00BA2293"/>
    <w:rsid w:val="00BA424E"/>
    <w:rsid w:val="00BA6AFB"/>
    <w:rsid w:val="00BA751E"/>
    <w:rsid w:val="00BB09A2"/>
    <w:rsid w:val="00BB31C2"/>
    <w:rsid w:val="00BB3E93"/>
    <w:rsid w:val="00BB4445"/>
    <w:rsid w:val="00BB4DB4"/>
    <w:rsid w:val="00BB581B"/>
    <w:rsid w:val="00BC2057"/>
    <w:rsid w:val="00BC2541"/>
    <w:rsid w:val="00BC37DA"/>
    <w:rsid w:val="00BC43B5"/>
    <w:rsid w:val="00BC5C3D"/>
    <w:rsid w:val="00BC6EA7"/>
    <w:rsid w:val="00BD0817"/>
    <w:rsid w:val="00BD211F"/>
    <w:rsid w:val="00BD3347"/>
    <w:rsid w:val="00BD38BB"/>
    <w:rsid w:val="00BD3FDA"/>
    <w:rsid w:val="00BD4F0D"/>
    <w:rsid w:val="00BD52CB"/>
    <w:rsid w:val="00BD70C1"/>
    <w:rsid w:val="00BD7265"/>
    <w:rsid w:val="00BD7E6E"/>
    <w:rsid w:val="00BE0D72"/>
    <w:rsid w:val="00BE2332"/>
    <w:rsid w:val="00BE5CEE"/>
    <w:rsid w:val="00BE71A7"/>
    <w:rsid w:val="00BE797B"/>
    <w:rsid w:val="00BF18A2"/>
    <w:rsid w:val="00BF2BD5"/>
    <w:rsid w:val="00BF3A9C"/>
    <w:rsid w:val="00BF6216"/>
    <w:rsid w:val="00BF746C"/>
    <w:rsid w:val="00BF7A37"/>
    <w:rsid w:val="00C00FB0"/>
    <w:rsid w:val="00C060D1"/>
    <w:rsid w:val="00C061E8"/>
    <w:rsid w:val="00C118F5"/>
    <w:rsid w:val="00C14C59"/>
    <w:rsid w:val="00C21EB9"/>
    <w:rsid w:val="00C23324"/>
    <w:rsid w:val="00C24175"/>
    <w:rsid w:val="00C24706"/>
    <w:rsid w:val="00C2768D"/>
    <w:rsid w:val="00C277B0"/>
    <w:rsid w:val="00C4206C"/>
    <w:rsid w:val="00C423FE"/>
    <w:rsid w:val="00C440C7"/>
    <w:rsid w:val="00C51E20"/>
    <w:rsid w:val="00C5581E"/>
    <w:rsid w:val="00C606AC"/>
    <w:rsid w:val="00C6152C"/>
    <w:rsid w:val="00C61DFE"/>
    <w:rsid w:val="00C66B70"/>
    <w:rsid w:val="00C70BD8"/>
    <w:rsid w:val="00C712BF"/>
    <w:rsid w:val="00C727A5"/>
    <w:rsid w:val="00C77F3C"/>
    <w:rsid w:val="00C818FB"/>
    <w:rsid w:val="00C82E56"/>
    <w:rsid w:val="00C865C5"/>
    <w:rsid w:val="00C91302"/>
    <w:rsid w:val="00C967E4"/>
    <w:rsid w:val="00C967E6"/>
    <w:rsid w:val="00CA26CE"/>
    <w:rsid w:val="00CA431B"/>
    <w:rsid w:val="00CA59E1"/>
    <w:rsid w:val="00CA5E0D"/>
    <w:rsid w:val="00CA5F18"/>
    <w:rsid w:val="00CB1C74"/>
    <w:rsid w:val="00CB535F"/>
    <w:rsid w:val="00CC045C"/>
    <w:rsid w:val="00CC2772"/>
    <w:rsid w:val="00CD0630"/>
    <w:rsid w:val="00CD1028"/>
    <w:rsid w:val="00CD51F6"/>
    <w:rsid w:val="00CE1913"/>
    <w:rsid w:val="00CE2A40"/>
    <w:rsid w:val="00CE30FB"/>
    <w:rsid w:val="00CE5F76"/>
    <w:rsid w:val="00CE5FAC"/>
    <w:rsid w:val="00CE7735"/>
    <w:rsid w:val="00CF0221"/>
    <w:rsid w:val="00CF33DD"/>
    <w:rsid w:val="00CF4939"/>
    <w:rsid w:val="00CF60B2"/>
    <w:rsid w:val="00CF642D"/>
    <w:rsid w:val="00CF7745"/>
    <w:rsid w:val="00D11161"/>
    <w:rsid w:val="00D1453C"/>
    <w:rsid w:val="00D1608F"/>
    <w:rsid w:val="00D20C53"/>
    <w:rsid w:val="00D2273C"/>
    <w:rsid w:val="00D2488B"/>
    <w:rsid w:val="00D30207"/>
    <w:rsid w:val="00D35D2F"/>
    <w:rsid w:val="00D36236"/>
    <w:rsid w:val="00D3715A"/>
    <w:rsid w:val="00D4324E"/>
    <w:rsid w:val="00D46C81"/>
    <w:rsid w:val="00D545D2"/>
    <w:rsid w:val="00D56502"/>
    <w:rsid w:val="00D57303"/>
    <w:rsid w:val="00D61B2A"/>
    <w:rsid w:val="00D62E47"/>
    <w:rsid w:val="00D64530"/>
    <w:rsid w:val="00D67325"/>
    <w:rsid w:val="00D67B0B"/>
    <w:rsid w:val="00D73A39"/>
    <w:rsid w:val="00D74147"/>
    <w:rsid w:val="00D74E03"/>
    <w:rsid w:val="00D76EB5"/>
    <w:rsid w:val="00D82B7C"/>
    <w:rsid w:val="00D84F59"/>
    <w:rsid w:val="00D87907"/>
    <w:rsid w:val="00D93198"/>
    <w:rsid w:val="00D95951"/>
    <w:rsid w:val="00D95A83"/>
    <w:rsid w:val="00DA1FD8"/>
    <w:rsid w:val="00DA20F5"/>
    <w:rsid w:val="00DA384B"/>
    <w:rsid w:val="00DA41D4"/>
    <w:rsid w:val="00DA4631"/>
    <w:rsid w:val="00DB0207"/>
    <w:rsid w:val="00DB15EF"/>
    <w:rsid w:val="00DB1990"/>
    <w:rsid w:val="00DB6297"/>
    <w:rsid w:val="00DB62A7"/>
    <w:rsid w:val="00DB64E4"/>
    <w:rsid w:val="00DB6F74"/>
    <w:rsid w:val="00DB74B6"/>
    <w:rsid w:val="00DC2178"/>
    <w:rsid w:val="00DC45F5"/>
    <w:rsid w:val="00DC6422"/>
    <w:rsid w:val="00DD3CAB"/>
    <w:rsid w:val="00DE0615"/>
    <w:rsid w:val="00DE2A0E"/>
    <w:rsid w:val="00DE58B3"/>
    <w:rsid w:val="00DF0C87"/>
    <w:rsid w:val="00DF0F56"/>
    <w:rsid w:val="00DF6F09"/>
    <w:rsid w:val="00DF7742"/>
    <w:rsid w:val="00E00D05"/>
    <w:rsid w:val="00E011B0"/>
    <w:rsid w:val="00E01A4C"/>
    <w:rsid w:val="00E02931"/>
    <w:rsid w:val="00E04F43"/>
    <w:rsid w:val="00E05040"/>
    <w:rsid w:val="00E05A98"/>
    <w:rsid w:val="00E07959"/>
    <w:rsid w:val="00E07E9A"/>
    <w:rsid w:val="00E15837"/>
    <w:rsid w:val="00E166BA"/>
    <w:rsid w:val="00E16CD5"/>
    <w:rsid w:val="00E1779E"/>
    <w:rsid w:val="00E30A77"/>
    <w:rsid w:val="00E34DD6"/>
    <w:rsid w:val="00E52273"/>
    <w:rsid w:val="00E55F1D"/>
    <w:rsid w:val="00E578A4"/>
    <w:rsid w:val="00E61627"/>
    <w:rsid w:val="00E6183A"/>
    <w:rsid w:val="00E61D60"/>
    <w:rsid w:val="00E61F4F"/>
    <w:rsid w:val="00E626E5"/>
    <w:rsid w:val="00E65E25"/>
    <w:rsid w:val="00E7261A"/>
    <w:rsid w:val="00E77C1D"/>
    <w:rsid w:val="00E826CD"/>
    <w:rsid w:val="00E854A6"/>
    <w:rsid w:val="00E856FB"/>
    <w:rsid w:val="00E922EE"/>
    <w:rsid w:val="00E9306A"/>
    <w:rsid w:val="00E9503A"/>
    <w:rsid w:val="00E96991"/>
    <w:rsid w:val="00E9752D"/>
    <w:rsid w:val="00E97AA7"/>
    <w:rsid w:val="00EA15EF"/>
    <w:rsid w:val="00EA46F9"/>
    <w:rsid w:val="00EA5252"/>
    <w:rsid w:val="00EA7BA4"/>
    <w:rsid w:val="00EB06B7"/>
    <w:rsid w:val="00EB1A45"/>
    <w:rsid w:val="00EB4D7C"/>
    <w:rsid w:val="00EC00B4"/>
    <w:rsid w:val="00EC03AD"/>
    <w:rsid w:val="00EC0D36"/>
    <w:rsid w:val="00EC35DC"/>
    <w:rsid w:val="00EC39A4"/>
    <w:rsid w:val="00EC485E"/>
    <w:rsid w:val="00EC5E39"/>
    <w:rsid w:val="00EC5E5A"/>
    <w:rsid w:val="00EC7423"/>
    <w:rsid w:val="00EC7D8A"/>
    <w:rsid w:val="00ED6E55"/>
    <w:rsid w:val="00EE12C4"/>
    <w:rsid w:val="00EE62AA"/>
    <w:rsid w:val="00EE649C"/>
    <w:rsid w:val="00EE7D12"/>
    <w:rsid w:val="00EF3C22"/>
    <w:rsid w:val="00EF424D"/>
    <w:rsid w:val="00EF4577"/>
    <w:rsid w:val="00EF629C"/>
    <w:rsid w:val="00EF7A2A"/>
    <w:rsid w:val="00F01FFB"/>
    <w:rsid w:val="00F03124"/>
    <w:rsid w:val="00F060F5"/>
    <w:rsid w:val="00F06974"/>
    <w:rsid w:val="00F10156"/>
    <w:rsid w:val="00F14C7F"/>
    <w:rsid w:val="00F15625"/>
    <w:rsid w:val="00F25ED3"/>
    <w:rsid w:val="00F27607"/>
    <w:rsid w:val="00F30A23"/>
    <w:rsid w:val="00F311E9"/>
    <w:rsid w:val="00F3595B"/>
    <w:rsid w:val="00F42042"/>
    <w:rsid w:val="00F42178"/>
    <w:rsid w:val="00F4271C"/>
    <w:rsid w:val="00F44ADD"/>
    <w:rsid w:val="00F46AEA"/>
    <w:rsid w:val="00F51339"/>
    <w:rsid w:val="00F517A2"/>
    <w:rsid w:val="00F51F7C"/>
    <w:rsid w:val="00F52B9D"/>
    <w:rsid w:val="00F530F8"/>
    <w:rsid w:val="00F5528C"/>
    <w:rsid w:val="00F55DAD"/>
    <w:rsid w:val="00F56AD9"/>
    <w:rsid w:val="00F57A02"/>
    <w:rsid w:val="00F64A34"/>
    <w:rsid w:val="00F71206"/>
    <w:rsid w:val="00F73BA5"/>
    <w:rsid w:val="00F748B5"/>
    <w:rsid w:val="00F74955"/>
    <w:rsid w:val="00F839A3"/>
    <w:rsid w:val="00F853BB"/>
    <w:rsid w:val="00F923DA"/>
    <w:rsid w:val="00F9332E"/>
    <w:rsid w:val="00F9355E"/>
    <w:rsid w:val="00FA2AC3"/>
    <w:rsid w:val="00FA419C"/>
    <w:rsid w:val="00FA4F1A"/>
    <w:rsid w:val="00FA53FE"/>
    <w:rsid w:val="00FB1F09"/>
    <w:rsid w:val="00FB3B3D"/>
    <w:rsid w:val="00FB46B6"/>
    <w:rsid w:val="00FB5421"/>
    <w:rsid w:val="00FB6631"/>
    <w:rsid w:val="00FC558E"/>
    <w:rsid w:val="00FC7473"/>
    <w:rsid w:val="00FD019A"/>
    <w:rsid w:val="00FD5886"/>
    <w:rsid w:val="00FD5BF9"/>
    <w:rsid w:val="00FE03B6"/>
    <w:rsid w:val="00FE65BA"/>
    <w:rsid w:val="00FE73A8"/>
    <w:rsid w:val="00FE73D6"/>
    <w:rsid w:val="00FF11CA"/>
    <w:rsid w:val="00FF75F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4ea2,#5d9ef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1071E9"/>
    <w:pPr>
      <w:spacing w:line="288" w:lineRule="auto"/>
      <w:jc w:val="both"/>
    </w:pPr>
    <w:rPr>
      <w:rFonts w:ascii="Verdana" w:hAnsi="Verdana"/>
      <w:sz w:val="17"/>
      <w:szCs w:val="24"/>
      <w:lang w:val="en-GB" w:eastAsia="en-US"/>
    </w:rPr>
  </w:style>
  <w:style w:type="paragraph" w:styleId="Nadpis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Nadpis2">
    <w:name w:val="heading 2"/>
    <w:basedOn w:val="Normlny"/>
    <w:next w:val="Normlny"/>
    <w:semiHidden/>
    <w:qFormat/>
    <w:rsid w:val="009654A1"/>
    <w:pPr>
      <w:keepNext/>
      <w:spacing w:after="220" w:line="240" w:lineRule="auto"/>
      <w:outlineLvl w:val="1"/>
    </w:pPr>
    <w:rPr>
      <w:rFonts w:cs="Arial"/>
      <w:b/>
      <w:bCs/>
      <w:iCs/>
      <w:sz w:val="22"/>
      <w:szCs w:val="28"/>
    </w:rPr>
  </w:style>
  <w:style w:type="paragraph" w:styleId="Nadpis3">
    <w:name w:val="heading 3"/>
    <w:basedOn w:val="Normlny"/>
    <w:next w:val="Normlny"/>
    <w:qFormat/>
    <w:rsid w:val="009654A1"/>
    <w:pPr>
      <w:keepNext/>
      <w:spacing w:line="240" w:lineRule="auto"/>
      <w:outlineLvl w:val="2"/>
    </w:pPr>
    <w:rPr>
      <w:rFonts w:cs="Arial"/>
      <w:b/>
      <w:bCs/>
      <w:szCs w:val="26"/>
    </w:rPr>
  </w:style>
  <w:style w:type="paragraph" w:styleId="Nadpis4">
    <w:name w:val="heading 4"/>
    <w:basedOn w:val="Normlny"/>
    <w:next w:val="Normlny"/>
    <w:semiHidden/>
    <w:rsid w:val="00B673B7"/>
    <w:pPr>
      <w:keepNext/>
      <w:spacing w:before="240" w:after="60"/>
      <w:outlineLvl w:val="3"/>
    </w:pPr>
    <w:rPr>
      <w:b/>
      <w:bCs/>
      <w:sz w:val="28"/>
      <w:szCs w:val="28"/>
    </w:rPr>
  </w:style>
  <w:style w:type="paragraph" w:styleId="Nadpis5">
    <w:name w:val="heading 5"/>
    <w:basedOn w:val="Normlny"/>
    <w:next w:val="Normlny"/>
    <w:semiHidden/>
    <w:rsid w:val="00B673B7"/>
    <w:pPr>
      <w:spacing w:before="240" w:after="60"/>
      <w:outlineLvl w:val="4"/>
    </w:pPr>
    <w:rPr>
      <w:b/>
      <w:bCs/>
      <w:i/>
      <w:iCs/>
      <w:sz w:val="26"/>
      <w:szCs w:val="26"/>
    </w:rPr>
  </w:style>
  <w:style w:type="paragraph" w:styleId="Nadpis6">
    <w:name w:val="heading 6"/>
    <w:basedOn w:val="Normlny"/>
    <w:next w:val="Normlny"/>
    <w:semiHidden/>
    <w:rsid w:val="00B673B7"/>
    <w:pPr>
      <w:spacing w:before="240" w:after="60"/>
      <w:outlineLvl w:val="5"/>
    </w:pPr>
    <w:rPr>
      <w:b/>
      <w:bCs/>
      <w:sz w:val="22"/>
      <w:szCs w:val="22"/>
    </w:rPr>
  </w:style>
  <w:style w:type="paragraph" w:styleId="Nadpis7">
    <w:name w:val="heading 7"/>
    <w:basedOn w:val="Normlny"/>
    <w:next w:val="Normlny"/>
    <w:semiHidden/>
    <w:rsid w:val="00B673B7"/>
    <w:pPr>
      <w:spacing w:before="240" w:after="60"/>
      <w:outlineLvl w:val="6"/>
    </w:pPr>
  </w:style>
  <w:style w:type="paragraph" w:styleId="Nadpis8">
    <w:name w:val="heading 8"/>
    <w:basedOn w:val="Normlny"/>
    <w:next w:val="Normlny"/>
    <w:semiHidden/>
    <w:rsid w:val="00B673B7"/>
    <w:pPr>
      <w:spacing w:before="240" w:after="60"/>
      <w:outlineLvl w:val="7"/>
    </w:pPr>
    <w:rPr>
      <w:i/>
      <w:iCs/>
    </w:rPr>
  </w:style>
  <w:style w:type="paragraph" w:styleId="Nadpis9">
    <w:name w:val="heading 9"/>
    <w:basedOn w:val="Normlny"/>
    <w:next w:val="Normlny"/>
    <w:semiHidden/>
    <w:rsid w:val="00B673B7"/>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semiHidden/>
    <w:rsid w:val="00B316E4"/>
    <w:pPr>
      <w:tabs>
        <w:tab w:val="center" w:pos="4320"/>
        <w:tab w:val="right" w:pos="8640"/>
      </w:tabs>
    </w:pPr>
  </w:style>
  <w:style w:type="paragraph" w:styleId="Pta">
    <w:name w:val="footer"/>
    <w:basedOn w:val="Normlny"/>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textovprepojenie">
    <w:name w:val="Hyperlink"/>
    <w:basedOn w:val="Predvolenpsmoodseku"/>
    <w:semiHidden/>
    <w:rsid w:val="004C7ACC"/>
    <w:rPr>
      <w:color w:val="0000FF"/>
      <w:u w:val="single"/>
    </w:rPr>
  </w:style>
  <w:style w:type="character" w:styleId="slostrany">
    <w:name w:val="page number"/>
    <w:basedOn w:val="Predvolenpsmoodseku"/>
    <w:semiHidden/>
    <w:rsid w:val="000846C0"/>
  </w:style>
  <w:style w:type="paragraph" w:styleId="Textbubliny">
    <w:name w:val="Balloon Text"/>
    <w:basedOn w:val="Normlny"/>
    <w:semiHidden/>
    <w:rsid w:val="00813FF5"/>
    <w:rPr>
      <w:rFonts w:ascii="Tahoma" w:hAnsi="Tahoma" w:cs="Tahoma"/>
      <w:sz w:val="16"/>
      <w:szCs w:val="16"/>
    </w:rPr>
  </w:style>
  <w:style w:type="paragraph" w:styleId="Textpoznmkypodiarou">
    <w:name w:val="footnote text"/>
    <w:basedOn w:val="Normlny"/>
    <w:semiHidden/>
    <w:rsid w:val="005D14DF"/>
    <w:rPr>
      <w:szCs w:val="20"/>
      <w:lang w:eastAsia="fr-FR"/>
    </w:rPr>
  </w:style>
  <w:style w:type="numbering" w:styleId="111111">
    <w:name w:val="Outline List 2"/>
    <w:basedOn w:val="Bezzoznamu"/>
    <w:semiHidden/>
    <w:rsid w:val="00B673B7"/>
    <w:pPr>
      <w:numPr>
        <w:numId w:val="11"/>
      </w:numPr>
    </w:pPr>
  </w:style>
  <w:style w:type="numbering" w:styleId="1ai">
    <w:name w:val="Outline List 1"/>
    <w:basedOn w:val="Bezzoznamu"/>
    <w:semiHidden/>
    <w:rsid w:val="00B673B7"/>
    <w:pPr>
      <w:numPr>
        <w:numId w:val="12"/>
      </w:numPr>
    </w:pPr>
  </w:style>
  <w:style w:type="numbering" w:styleId="lnokalebosekcia">
    <w:name w:val="Outline List 3"/>
    <w:basedOn w:val="Bezzoznamu"/>
    <w:semiHidden/>
    <w:rsid w:val="00B673B7"/>
    <w:pPr>
      <w:numPr>
        <w:numId w:val="13"/>
      </w:numPr>
    </w:pPr>
  </w:style>
  <w:style w:type="paragraph" w:styleId="Oznaitext">
    <w:name w:val="Block Text"/>
    <w:basedOn w:val="Normlny"/>
    <w:semiHidden/>
    <w:rsid w:val="00B673B7"/>
    <w:pPr>
      <w:spacing w:after="120"/>
      <w:ind w:left="1440" w:right="1440"/>
    </w:pPr>
  </w:style>
  <w:style w:type="paragraph" w:styleId="Zkladntext">
    <w:name w:val="Body Text"/>
    <w:basedOn w:val="Normlny"/>
    <w:semiHidden/>
    <w:rsid w:val="00B673B7"/>
    <w:pPr>
      <w:spacing w:after="120"/>
    </w:pPr>
  </w:style>
  <w:style w:type="paragraph" w:styleId="Zkladntext2">
    <w:name w:val="Body Text 2"/>
    <w:basedOn w:val="Normlny"/>
    <w:semiHidden/>
    <w:rsid w:val="00B673B7"/>
    <w:pPr>
      <w:spacing w:after="120" w:line="480" w:lineRule="auto"/>
    </w:pPr>
  </w:style>
  <w:style w:type="paragraph" w:styleId="Zkladntext3">
    <w:name w:val="Body Text 3"/>
    <w:basedOn w:val="Normlny"/>
    <w:semiHidden/>
    <w:rsid w:val="00B673B7"/>
    <w:pPr>
      <w:spacing w:after="120"/>
    </w:pPr>
    <w:rPr>
      <w:sz w:val="16"/>
      <w:szCs w:val="16"/>
    </w:rPr>
  </w:style>
  <w:style w:type="paragraph" w:styleId="Prvzarkazkladnhotextu">
    <w:name w:val="Body Text First Indent"/>
    <w:basedOn w:val="Zkladntext"/>
    <w:semiHidden/>
    <w:rsid w:val="00B673B7"/>
    <w:pPr>
      <w:ind w:firstLine="210"/>
    </w:pPr>
  </w:style>
  <w:style w:type="paragraph" w:styleId="Zarkazkladnhotextu">
    <w:name w:val="Body Text Indent"/>
    <w:basedOn w:val="Normlny"/>
    <w:semiHidden/>
    <w:rsid w:val="00B673B7"/>
    <w:pPr>
      <w:spacing w:after="120"/>
      <w:ind w:left="283"/>
    </w:pPr>
  </w:style>
  <w:style w:type="paragraph" w:styleId="Prvzarkazkladnhotextu2">
    <w:name w:val="Body Text First Indent 2"/>
    <w:basedOn w:val="Zarkazkladnhotextu"/>
    <w:semiHidden/>
    <w:rsid w:val="00B673B7"/>
    <w:pPr>
      <w:ind w:firstLine="210"/>
    </w:pPr>
  </w:style>
  <w:style w:type="paragraph" w:styleId="Zarkazkladnhotextu2">
    <w:name w:val="Body Text Indent 2"/>
    <w:basedOn w:val="Normlny"/>
    <w:semiHidden/>
    <w:rsid w:val="00B673B7"/>
    <w:pPr>
      <w:spacing w:after="120" w:line="480" w:lineRule="auto"/>
      <w:ind w:left="283"/>
    </w:pPr>
  </w:style>
  <w:style w:type="paragraph" w:styleId="Zarkazkladnhotextu3">
    <w:name w:val="Body Text Indent 3"/>
    <w:basedOn w:val="Normlny"/>
    <w:semiHidden/>
    <w:rsid w:val="00B673B7"/>
    <w:pPr>
      <w:spacing w:after="120"/>
      <w:ind w:left="283"/>
    </w:pPr>
    <w:rPr>
      <w:sz w:val="16"/>
      <w:szCs w:val="16"/>
    </w:rPr>
  </w:style>
  <w:style w:type="paragraph" w:styleId="Zver">
    <w:name w:val="Closing"/>
    <w:basedOn w:val="Normlny"/>
    <w:semiHidden/>
    <w:rsid w:val="00B673B7"/>
    <w:pPr>
      <w:ind w:left="4252"/>
    </w:pPr>
  </w:style>
  <w:style w:type="paragraph" w:styleId="Obyajntext">
    <w:name w:val="Plain Text"/>
    <w:basedOn w:val="Normlny"/>
    <w:semiHidden/>
    <w:rsid w:val="00B673B7"/>
    <w:rPr>
      <w:rFonts w:ascii="Courier New" w:hAnsi="Courier New" w:cs="Courier New"/>
      <w:szCs w:val="20"/>
    </w:rPr>
  </w:style>
  <w:style w:type="paragraph" w:styleId="Oslovenie">
    <w:name w:val="Salutation"/>
    <w:basedOn w:val="Normlny"/>
    <w:next w:val="Normlny"/>
    <w:semiHidden/>
    <w:rsid w:val="00B673B7"/>
  </w:style>
  <w:style w:type="paragraph" w:styleId="Podpis">
    <w:name w:val="Signature"/>
    <w:basedOn w:val="Normlny"/>
    <w:semiHidden/>
    <w:rsid w:val="00B673B7"/>
    <w:pPr>
      <w:ind w:left="4252"/>
    </w:pPr>
  </w:style>
  <w:style w:type="table" w:styleId="Tabukaspriestorovmiefektmi1">
    <w:name w:val="Table 3D effects 1"/>
    <w:basedOn w:val="Normlnatabuka"/>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
    <w:name w:val="Table Grid"/>
    <w:basedOn w:val="Normlnatabuka"/>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riekatabuky1">
    <w:name w:val="Table Grid 1"/>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ukaakozoznam1">
    <w:name w:val="Table List 1"/>
    <w:basedOn w:val="Normlnatabuka"/>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atabuka">
    <w:name w:val="Table Professional"/>
    <w:basedOn w:val="Normlnatabuka"/>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ovtabuka1">
    <w:name w:val="Table Web 1"/>
    <w:basedOn w:val="Normlnatabuka"/>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tum">
    <w:name w:val="Date"/>
    <w:basedOn w:val="Normlny"/>
    <w:next w:val="Normlny"/>
    <w:semiHidden/>
    <w:rsid w:val="00B673B7"/>
  </w:style>
  <w:style w:type="paragraph" w:styleId="Podpise-mailu">
    <w:name w:val="E-mail Signature"/>
    <w:basedOn w:val="Normlny"/>
    <w:semiHidden/>
    <w:rsid w:val="00B673B7"/>
  </w:style>
  <w:style w:type="character" w:styleId="Zvraznenie">
    <w:name w:val="Emphasis"/>
    <w:basedOn w:val="Predvolenpsmoodseku"/>
    <w:semiHidden/>
    <w:qFormat/>
    <w:rsid w:val="009654A1"/>
    <w:rPr>
      <w:i/>
      <w:iCs/>
    </w:rPr>
  </w:style>
  <w:style w:type="paragraph" w:styleId="Adresanaoblke">
    <w:name w:val="envelope address"/>
    <w:basedOn w:val="Normlny"/>
    <w:semiHidden/>
    <w:rsid w:val="00B673B7"/>
    <w:pPr>
      <w:framePr w:w="7920" w:h="1980" w:hRule="exact" w:hSpace="180" w:wrap="auto" w:hAnchor="page" w:xAlign="center" w:yAlign="bottom"/>
      <w:ind w:left="2880"/>
    </w:pPr>
    <w:rPr>
      <w:rFonts w:ascii="Arial" w:hAnsi="Arial" w:cs="Arial"/>
    </w:rPr>
  </w:style>
  <w:style w:type="paragraph" w:styleId="Spiatonadresanaoblke">
    <w:name w:val="envelope return"/>
    <w:basedOn w:val="Normlny"/>
    <w:semiHidden/>
    <w:rsid w:val="00B673B7"/>
    <w:rPr>
      <w:rFonts w:ascii="Arial" w:hAnsi="Arial" w:cs="Arial"/>
      <w:szCs w:val="20"/>
    </w:rPr>
  </w:style>
  <w:style w:type="character" w:styleId="PouitHypertextovPrepojenie">
    <w:name w:val="FollowedHyperlink"/>
    <w:basedOn w:val="Predvolenpsmoodseku"/>
    <w:semiHidden/>
    <w:rsid w:val="00B673B7"/>
    <w:rPr>
      <w:color w:val="800080"/>
      <w:u w:val="single"/>
    </w:rPr>
  </w:style>
  <w:style w:type="character" w:styleId="SkratkaHTML">
    <w:name w:val="HTML Acronym"/>
    <w:basedOn w:val="Predvolenpsmoodseku"/>
    <w:semiHidden/>
    <w:rsid w:val="00B673B7"/>
  </w:style>
  <w:style w:type="paragraph" w:styleId="AdresaHTML">
    <w:name w:val="HTML Address"/>
    <w:basedOn w:val="Normlny"/>
    <w:semiHidden/>
    <w:rsid w:val="00B673B7"/>
    <w:rPr>
      <w:i/>
      <w:iCs/>
    </w:rPr>
  </w:style>
  <w:style w:type="character" w:styleId="CitciaHTML">
    <w:name w:val="HTML Cite"/>
    <w:basedOn w:val="Predvolenpsmoodseku"/>
    <w:semiHidden/>
    <w:rsid w:val="00B673B7"/>
    <w:rPr>
      <w:i/>
      <w:iCs/>
    </w:rPr>
  </w:style>
  <w:style w:type="character" w:styleId="KdHTML">
    <w:name w:val="HTML Code"/>
    <w:basedOn w:val="Predvolenpsmoodseku"/>
    <w:semiHidden/>
    <w:rsid w:val="00B673B7"/>
    <w:rPr>
      <w:rFonts w:ascii="Courier New" w:hAnsi="Courier New" w:cs="Courier New"/>
      <w:sz w:val="20"/>
      <w:szCs w:val="20"/>
    </w:rPr>
  </w:style>
  <w:style w:type="character" w:styleId="DefinciaHTML">
    <w:name w:val="HTML Definition"/>
    <w:basedOn w:val="Predvolenpsmoodseku"/>
    <w:semiHidden/>
    <w:rsid w:val="00B673B7"/>
    <w:rPr>
      <w:i/>
      <w:iCs/>
    </w:rPr>
  </w:style>
  <w:style w:type="character" w:styleId="KlvesnicaHTML">
    <w:name w:val="HTML Keyboard"/>
    <w:basedOn w:val="Predvolenpsmoodseku"/>
    <w:semiHidden/>
    <w:rsid w:val="00B673B7"/>
    <w:rPr>
      <w:rFonts w:ascii="Courier New" w:hAnsi="Courier New" w:cs="Courier New"/>
      <w:sz w:val="20"/>
      <w:szCs w:val="20"/>
    </w:rPr>
  </w:style>
  <w:style w:type="paragraph" w:styleId="PredformtovanHTML">
    <w:name w:val="HTML Preformatted"/>
    <w:basedOn w:val="Normlny"/>
    <w:semiHidden/>
    <w:rsid w:val="00B673B7"/>
    <w:rPr>
      <w:rFonts w:ascii="Courier New" w:hAnsi="Courier New" w:cs="Courier New"/>
      <w:szCs w:val="20"/>
    </w:rPr>
  </w:style>
  <w:style w:type="character" w:styleId="UkkaHTML">
    <w:name w:val="HTML Sample"/>
    <w:basedOn w:val="Predvolenpsmoodseku"/>
    <w:semiHidden/>
    <w:rsid w:val="00B673B7"/>
    <w:rPr>
      <w:rFonts w:ascii="Courier New" w:hAnsi="Courier New" w:cs="Courier New"/>
    </w:rPr>
  </w:style>
  <w:style w:type="character" w:styleId="PsacstrojHTML">
    <w:name w:val="HTML Typewriter"/>
    <w:basedOn w:val="Predvolenpsmoodseku"/>
    <w:semiHidden/>
    <w:rsid w:val="00B673B7"/>
    <w:rPr>
      <w:rFonts w:ascii="Courier New" w:hAnsi="Courier New" w:cs="Courier New"/>
      <w:sz w:val="20"/>
      <w:szCs w:val="20"/>
    </w:rPr>
  </w:style>
  <w:style w:type="character" w:styleId="PremennHTML">
    <w:name w:val="HTML Variable"/>
    <w:basedOn w:val="Predvolenpsmoodseku"/>
    <w:semiHidden/>
    <w:rsid w:val="00B673B7"/>
    <w:rPr>
      <w:i/>
      <w:iCs/>
    </w:rPr>
  </w:style>
  <w:style w:type="character" w:styleId="sloriadka">
    <w:name w:val="line number"/>
    <w:basedOn w:val="Predvolenpsmoodseku"/>
    <w:semiHidden/>
    <w:rsid w:val="00B673B7"/>
  </w:style>
  <w:style w:type="paragraph" w:styleId="Zoznam">
    <w:name w:val="List"/>
    <w:basedOn w:val="Normlny"/>
    <w:semiHidden/>
    <w:rsid w:val="00B673B7"/>
    <w:pPr>
      <w:ind w:left="283" w:hanging="283"/>
    </w:pPr>
  </w:style>
  <w:style w:type="paragraph" w:styleId="Zoznam2">
    <w:name w:val="List 2"/>
    <w:basedOn w:val="Normlny"/>
    <w:semiHidden/>
    <w:rsid w:val="00B673B7"/>
    <w:pPr>
      <w:ind w:left="566" w:hanging="283"/>
    </w:pPr>
  </w:style>
  <w:style w:type="paragraph" w:styleId="Zoznam3">
    <w:name w:val="List 3"/>
    <w:basedOn w:val="Normlny"/>
    <w:semiHidden/>
    <w:rsid w:val="00B673B7"/>
    <w:pPr>
      <w:ind w:left="849" w:hanging="283"/>
    </w:pPr>
  </w:style>
  <w:style w:type="paragraph" w:styleId="Zoznam4">
    <w:name w:val="List 4"/>
    <w:basedOn w:val="Normlny"/>
    <w:semiHidden/>
    <w:rsid w:val="00B673B7"/>
    <w:pPr>
      <w:ind w:left="1132" w:hanging="283"/>
    </w:pPr>
  </w:style>
  <w:style w:type="paragraph" w:styleId="Zoznam5">
    <w:name w:val="List 5"/>
    <w:basedOn w:val="Normlny"/>
    <w:semiHidden/>
    <w:rsid w:val="00B673B7"/>
    <w:pPr>
      <w:ind w:left="1415" w:hanging="283"/>
    </w:pPr>
  </w:style>
  <w:style w:type="paragraph" w:styleId="Zoznamsodrkami">
    <w:name w:val="List Bullet"/>
    <w:basedOn w:val="Normlny"/>
    <w:semiHidden/>
    <w:rsid w:val="00B673B7"/>
    <w:pPr>
      <w:numPr>
        <w:numId w:val="1"/>
      </w:numPr>
    </w:pPr>
  </w:style>
  <w:style w:type="paragraph" w:styleId="Zoznamsodrkami2">
    <w:name w:val="List Bullet 2"/>
    <w:basedOn w:val="Normlny"/>
    <w:semiHidden/>
    <w:rsid w:val="00B673B7"/>
    <w:pPr>
      <w:numPr>
        <w:numId w:val="2"/>
      </w:numPr>
    </w:pPr>
  </w:style>
  <w:style w:type="paragraph" w:styleId="Zoznamsodrkami3">
    <w:name w:val="List Bullet 3"/>
    <w:basedOn w:val="Normlny"/>
    <w:semiHidden/>
    <w:rsid w:val="00B673B7"/>
    <w:pPr>
      <w:numPr>
        <w:numId w:val="3"/>
      </w:numPr>
    </w:pPr>
  </w:style>
  <w:style w:type="paragraph" w:styleId="Zoznamsodrkami4">
    <w:name w:val="List Bullet 4"/>
    <w:basedOn w:val="Normlny"/>
    <w:semiHidden/>
    <w:rsid w:val="00B673B7"/>
    <w:pPr>
      <w:numPr>
        <w:numId w:val="4"/>
      </w:numPr>
    </w:pPr>
  </w:style>
  <w:style w:type="paragraph" w:styleId="Zoznamsodrkami5">
    <w:name w:val="List Bullet 5"/>
    <w:basedOn w:val="Normlny"/>
    <w:semiHidden/>
    <w:rsid w:val="00B673B7"/>
    <w:pPr>
      <w:numPr>
        <w:numId w:val="5"/>
      </w:numPr>
    </w:pPr>
  </w:style>
  <w:style w:type="paragraph" w:styleId="Pokraovaniezoznamu">
    <w:name w:val="List Continue"/>
    <w:basedOn w:val="Normlny"/>
    <w:semiHidden/>
    <w:rsid w:val="00B673B7"/>
    <w:pPr>
      <w:spacing w:after="120"/>
      <w:ind w:left="283"/>
    </w:pPr>
  </w:style>
  <w:style w:type="paragraph" w:styleId="Pokraovaniezoznamu2">
    <w:name w:val="List Continue 2"/>
    <w:basedOn w:val="Normlny"/>
    <w:semiHidden/>
    <w:rsid w:val="00B673B7"/>
    <w:pPr>
      <w:spacing w:after="120"/>
      <w:ind w:left="566"/>
    </w:pPr>
  </w:style>
  <w:style w:type="paragraph" w:styleId="Pokraovaniezoznamu3">
    <w:name w:val="List Continue 3"/>
    <w:basedOn w:val="Normlny"/>
    <w:semiHidden/>
    <w:rsid w:val="00B673B7"/>
    <w:pPr>
      <w:spacing w:after="120"/>
      <w:ind w:left="849"/>
    </w:pPr>
  </w:style>
  <w:style w:type="paragraph" w:styleId="Pokraovaniezoznamu4">
    <w:name w:val="List Continue 4"/>
    <w:basedOn w:val="Normlny"/>
    <w:semiHidden/>
    <w:rsid w:val="00B673B7"/>
    <w:pPr>
      <w:spacing w:after="120"/>
      <w:ind w:left="1132"/>
    </w:pPr>
  </w:style>
  <w:style w:type="paragraph" w:styleId="Pokraovaniezoznamu5">
    <w:name w:val="List Continue 5"/>
    <w:basedOn w:val="Normlny"/>
    <w:semiHidden/>
    <w:rsid w:val="00B673B7"/>
    <w:pPr>
      <w:spacing w:after="120"/>
      <w:ind w:left="1415"/>
    </w:pPr>
  </w:style>
  <w:style w:type="paragraph" w:styleId="slovanzoznam">
    <w:name w:val="List Number"/>
    <w:basedOn w:val="Normlny"/>
    <w:semiHidden/>
    <w:rsid w:val="00B673B7"/>
    <w:pPr>
      <w:numPr>
        <w:numId w:val="6"/>
      </w:numPr>
    </w:pPr>
  </w:style>
  <w:style w:type="paragraph" w:styleId="slovanzoznam2">
    <w:name w:val="List Number 2"/>
    <w:basedOn w:val="Normlny"/>
    <w:semiHidden/>
    <w:rsid w:val="00B673B7"/>
    <w:pPr>
      <w:numPr>
        <w:numId w:val="7"/>
      </w:numPr>
    </w:pPr>
  </w:style>
  <w:style w:type="paragraph" w:styleId="slovanzoznam3">
    <w:name w:val="List Number 3"/>
    <w:basedOn w:val="Normlny"/>
    <w:semiHidden/>
    <w:rsid w:val="00B673B7"/>
    <w:pPr>
      <w:numPr>
        <w:numId w:val="8"/>
      </w:numPr>
    </w:pPr>
  </w:style>
  <w:style w:type="paragraph" w:styleId="slovanzoznam4">
    <w:name w:val="List Number 4"/>
    <w:basedOn w:val="Normlny"/>
    <w:semiHidden/>
    <w:rsid w:val="00B673B7"/>
    <w:pPr>
      <w:numPr>
        <w:numId w:val="9"/>
      </w:numPr>
    </w:pPr>
  </w:style>
  <w:style w:type="paragraph" w:styleId="slovanzoznam5">
    <w:name w:val="List Number 5"/>
    <w:basedOn w:val="Normlny"/>
    <w:semiHidden/>
    <w:rsid w:val="00B673B7"/>
    <w:pPr>
      <w:numPr>
        <w:numId w:val="10"/>
      </w:numPr>
    </w:pPr>
  </w:style>
  <w:style w:type="paragraph" w:styleId="Hlavikasprvy">
    <w:name w:val="Message Header"/>
    <w:basedOn w:val="Normlny"/>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lnywebov">
    <w:name w:val="Normal (Web)"/>
    <w:basedOn w:val="Normlny"/>
    <w:semiHidden/>
    <w:rsid w:val="00B673B7"/>
  </w:style>
  <w:style w:type="paragraph" w:styleId="Normlnysozarkami">
    <w:name w:val="Normal Indent"/>
    <w:basedOn w:val="Normlny"/>
    <w:semiHidden/>
    <w:rsid w:val="00B673B7"/>
    <w:pPr>
      <w:ind w:left="720"/>
    </w:pPr>
  </w:style>
  <w:style w:type="paragraph" w:styleId="Nadpispoznmky">
    <w:name w:val="Note Heading"/>
    <w:basedOn w:val="Normlny"/>
    <w:next w:val="Normlny"/>
    <w:semiHidden/>
    <w:rsid w:val="00B673B7"/>
  </w:style>
  <w:style w:type="character" w:styleId="Odkaznapoznmkupodiarou">
    <w:name w:val="footnote reference"/>
    <w:basedOn w:val="Predvolenpsmoodseku"/>
    <w:semiHidden/>
    <w:rsid w:val="005D14DF"/>
    <w:rPr>
      <w:vertAlign w:val="superscript"/>
    </w:rPr>
  </w:style>
  <w:style w:type="paragraph" w:customStyle="1" w:styleId="Heading1CEA">
    <w:name w:val="Heading 1 (CEA)"/>
    <w:basedOn w:val="Normlny"/>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Predvolenpsmoodseku"/>
    <w:link w:val="Heading1CEA"/>
    <w:rsid w:val="00A9408A"/>
    <w:rPr>
      <w:rFonts w:ascii="Arial" w:hAnsi="Arial"/>
      <w:b/>
      <w:color w:val="034EA2"/>
      <w:sz w:val="32"/>
      <w:szCs w:val="32"/>
      <w:lang w:val="en-US" w:eastAsia="en-US" w:bidi="ar-SA"/>
    </w:rPr>
  </w:style>
  <w:style w:type="paragraph" w:customStyle="1" w:styleId="Heading2CEA">
    <w:name w:val="Heading 2 (CEA)"/>
    <w:basedOn w:val="Normlny"/>
    <w:semiHidden/>
    <w:rsid w:val="00A9408A"/>
    <w:pPr>
      <w:autoSpaceDE w:val="0"/>
      <w:autoSpaceDN w:val="0"/>
      <w:adjustRightInd w:val="0"/>
    </w:pPr>
    <w:rPr>
      <w:rFonts w:ascii="Arial" w:hAnsi="Arial"/>
      <w:sz w:val="28"/>
      <w:szCs w:val="28"/>
    </w:rPr>
  </w:style>
  <w:style w:type="character" w:styleId="Odkaznakomentr">
    <w:name w:val="annotation reference"/>
    <w:basedOn w:val="Predvolenpsmoodseku"/>
    <w:semiHidden/>
    <w:rsid w:val="00517FE2"/>
    <w:rPr>
      <w:sz w:val="16"/>
      <w:szCs w:val="16"/>
    </w:rPr>
  </w:style>
  <w:style w:type="paragraph" w:styleId="Textkomentra">
    <w:name w:val="annotation text"/>
    <w:basedOn w:val="Normlny"/>
    <w:semiHidden/>
    <w:rsid w:val="00517FE2"/>
    <w:rPr>
      <w:szCs w:val="20"/>
    </w:rPr>
  </w:style>
  <w:style w:type="paragraph" w:styleId="Predmetkomentra">
    <w:name w:val="annotation subject"/>
    <w:basedOn w:val="Textkomentra"/>
    <w:next w:val="Textkomentra"/>
    <w:semiHidden/>
    <w:rsid w:val="00517FE2"/>
    <w:rPr>
      <w:b/>
      <w:bCs/>
    </w:rPr>
  </w:style>
  <w:style w:type="paragraph" w:customStyle="1" w:styleId="CEALabel">
    <w:name w:val="CEA Label"/>
    <w:basedOn w:val="Normlny"/>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lny"/>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lny"/>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lny"/>
    <w:semiHidden/>
    <w:qFormat/>
    <w:rsid w:val="009654A1"/>
    <w:rPr>
      <w:rFonts w:cs="Arial"/>
      <w:b/>
      <w:szCs w:val="20"/>
    </w:rPr>
  </w:style>
  <w:style w:type="character" w:customStyle="1" w:styleId="CEAGraphX">
    <w:name w:val="CEA Graph X"/>
    <w:basedOn w:val="Predvolenpsmoodseku"/>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lny"/>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lny"/>
    <w:semiHidden/>
    <w:qFormat/>
    <w:rsid w:val="009654A1"/>
    <w:pPr>
      <w:spacing w:line="240" w:lineRule="auto"/>
    </w:pPr>
    <w:rPr>
      <w:sz w:val="16"/>
    </w:rPr>
  </w:style>
  <w:style w:type="paragraph" w:customStyle="1" w:styleId="CEABullet-Level1">
    <w:name w:val="CEA Bullet - Level 1"/>
    <w:basedOn w:val="Normlny"/>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lny"/>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71E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s>
</file>

<file path=word/webSettings.xml><?xml version="1.0" encoding="utf-8"?>
<w:webSettings xmlns:r="http://schemas.openxmlformats.org/officeDocument/2006/relationships" xmlns:w="http://schemas.openxmlformats.org/wordprocessingml/2006/main">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450441962">
      <w:bodyDiv w:val="1"/>
      <w:marLeft w:val="0"/>
      <w:marRight w:val="0"/>
      <w:marTop w:val="0"/>
      <w:marBottom w:val="0"/>
      <w:divBdr>
        <w:top w:val="none" w:sz="0" w:space="0" w:color="auto"/>
        <w:left w:val="none" w:sz="0" w:space="0" w:color="auto"/>
        <w:bottom w:val="none" w:sz="0" w:space="0" w:color="auto"/>
        <w:right w:val="none" w:sz="0" w:space="0" w:color="auto"/>
      </w:divBdr>
    </w:div>
    <w:div w:id="843056476">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0577F-B579-41F4-BAE8-F0649A713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5</TotalTime>
  <Pages>7</Pages>
  <Words>2208</Words>
  <Characters>12793</Characters>
  <Application>Microsoft Office Word</Application>
  <DocSecurity>4</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14972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Malene Rasmussen</dc:creator>
  <cp:lastModifiedBy>lehotska</cp:lastModifiedBy>
  <cp:revision>2</cp:revision>
  <cp:lastPrinted>2013-02-15T08:54:00Z</cp:lastPrinted>
  <dcterms:created xsi:type="dcterms:W3CDTF">2013-02-18T14:30:00Z</dcterms:created>
  <dcterms:modified xsi:type="dcterms:W3CDTF">2013-02-18T14:30:00Z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malener</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