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F01F3" w14:textId="0BF4DC79" w:rsidR="006D1A61" w:rsidRPr="00A76533" w:rsidRDefault="00364D59" w:rsidP="00F92B0E">
      <w:pPr>
        <w:spacing w:line="276" w:lineRule="auto"/>
        <w:jc w:val="center"/>
        <w:rPr>
          <w:b/>
          <w:color w:val="244061" w:themeColor="accent1" w:themeShade="80"/>
          <w:sz w:val="20"/>
          <w:szCs w:val="20"/>
        </w:rPr>
      </w:pPr>
      <w:bookmarkStart w:id="0" w:name="_GoBack"/>
      <w:r w:rsidRPr="00A76533">
        <w:rPr>
          <w:b/>
          <w:color w:val="244061" w:themeColor="accent1" w:themeShade="80"/>
          <w:sz w:val="20"/>
          <w:szCs w:val="20"/>
        </w:rPr>
        <w:t>Key messages following EIOPA’s final advice to the EC on the Solvency II review</w:t>
      </w:r>
    </w:p>
    <w:bookmarkEnd w:id="0"/>
    <w:p w14:paraId="4BBAB525" w14:textId="77777777" w:rsidR="00F92B0E" w:rsidRDefault="00F92B0E" w:rsidP="00711598">
      <w:pPr>
        <w:spacing w:line="276" w:lineRule="auto"/>
        <w:jc w:val="both"/>
        <w:rPr>
          <w:b/>
          <w:i/>
        </w:rPr>
      </w:pPr>
    </w:p>
    <w:p w14:paraId="029BD2E8" w14:textId="7D986835" w:rsidR="00364D59" w:rsidRPr="002E34AE" w:rsidRDefault="006D1A61" w:rsidP="00711598">
      <w:pPr>
        <w:pStyle w:val="Odsekzoznamu"/>
        <w:numPr>
          <w:ilvl w:val="0"/>
          <w:numId w:val="3"/>
        </w:numPr>
        <w:spacing w:line="276" w:lineRule="auto"/>
        <w:jc w:val="both"/>
        <w:rPr>
          <w:b/>
          <w:i/>
          <w:u w:val="single"/>
        </w:rPr>
      </w:pPr>
      <w:r w:rsidRPr="002E34AE">
        <w:rPr>
          <w:b/>
          <w:u w:val="single"/>
        </w:rPr>
        <w:t>General messages:</w:t>
      </w:r>
    </w:p>
    <w:p w14:paraId="0C985592" w14:textId="1018AEAE" w:rsidR="00667B6E" w:rsidRDefault="00811CC6" w:rsidP="00711598">
      <w:pPr>
        <w:pStyle w:val="CEABullet-Level1"/>
        <w:spacing w:line="276" w:lineRule="auto"/>
        <w:jc w:val="both"/>
      </w:pPr>
      <w:r>
        <w:t xml:space="preserve">With </w:t>
      </w:r>
      <w:r w:rsidR="00FE2D25">
        <w:t>more than €</w:t>
      </w:r>
      <w:r>
        <w:t>10</w:t>
      </w:r>
      <w:r w:rsidR="00FE2D25">
        <w:t>tn</w:t>
      </w:r>
      <w:r w:rsidR="00613E4D">
        <w:t xml:space="preserve"> </w:t>
      </w:r>
      <w:r>
        <w:t>of assets</w:t>
      </w:r>
      <w:r w:rsidR="00FE2D25">
        <w:t xml:space="preserve"> under management</w:t>
      </w:r>
      <w:r>
        <w:t>, i</w:t>
      </w:r>
      <w:r w:rsidR="00D4790A">
        <w:t xml:space="preserve">t is widely recognised that the insurance industry plays a key role in supporting the </w:t>
      </w:r>
      <w:r w:rsidR="00D4790A" w:rsidRPr="00667B6E">
        <w:t>Juncker Commission priority to boost growth and investment across the EU</w:t>
      </w:r>
      <w:r w:rsidR="00D4790A">
        <w:t xml:space="preserve">. </w:t>
      </w:r>
      <w:r w:rsidR="000703DE">
        <w:t xml:space="preserve"> </w:t>
      </w:r>
    </w:p>
    <w:p w14:paraId="1DF043E8" w14:textId="77777777" w:rsidR="00613E4D" w:rsidRDefault="00667B6E" w:rsidP="00711598">
      <w:pPr>
        <w:pStyle w:val="CEABullet-Level1"/>
        <w:spacing w:line="276" w:lineRule="auto"/>
        <w:jc w:val="both"/>
      </w:pPr>
      <w:r>
        <w:t xml:space="preserve">It is equally widely recognised that prudential rules, defined in the Solvency II framework, have a significant impact on insurers’ </w:t>
      </w:r>
      <w:r w:rsidR="00FD7B69">
        <w:t>product</w:t>
      </w:r>
      <w:r w:rsidR="003A4230">
        <w:t xml:space="preserve">s and </w:t>
      </w:r>
      <w:r>
        <w:t>investment decisions.</w:t>
      </w:r>
      <w:r w:rsidRPr="00667B6E">
        <w:t xml:space="preserve"> </w:t>
      </w:r>
    </w:p>
    <w:p w14:paraId="5A7CFE36" w14:textId="3EB00C39" w:rsidR="00667B6E" w:rsidRDefault="00667B6E" w:rsidP="00711598">
      <w:pPr>
        <w:pStyle w:val="CEABullet-Level1"/>
        <w:spacing w:line="276" w:lineRule="auto"/>
        <w:jc w:val="both"/>
      </w:pPr>
      <w:r>
        <w:t xml:space="preserve">The Commission already took a number of </w:t>
      </w:r>
      <w:r w:rsidR="00613E4D">
        <w:t xml:space="preserve">welcome </w:t>
      </w:r>
      <w:r>
        <w:t xml:space="preserve">steps as part of </w:t>
      </w:r>
      <w:r w:rsidRPr="00667B6E">
        <w:t xml:space="preserve">the </w:t>
      </w:r>
      <w:r w:rsidRPr="00551DFA">
        <w:rPr>
          <w:b/>
        </w:rPr>
        <w:t>Capital Markets Union (CMU)</w:t>
      </w:r>
      <w:r w:rsidRPr="00667B6E">
        <w:t xml:space="preserve">, </w:t>
      </w:r>
      <w:r>
        <w:t>aimed at tackling</w:t>
      </w:r>
      <w:r w:rsidRPr="00667B6E">
        <w:t xml:space="preserve"> investment </w:t>
      </w:r>
      <w:r>
        <w:t>barriers</w:t>
      </w:r>
      <w:r w:rsidR="00FE2D25">
        <w:t xml:space="preserve">. </w:t>
      </w:r>
      <w:r w:rsidR="00FE2D25" w:rsidRPr="00551DFA">
        <w:rPr>
          <w:b/>
        </w:rPr>
        <w:t>I</w:t>
      </w:r>
      <w:r w:rsidR="00811CC6" w:rsidRPr="00551DFA">
        <w:rPr>
          <w:b/>
        </w:rPr>
        <w:t>mprovements made</w:t>
      </w:r>
      <w:r w:rsidR="00613E4D" w:rsidRPr="00551DFA">
        <w:rPr>
          <w:b/>
        </w:rPr>
        <w:t xml:space="preserve"> sh</w:t>
      </w:r>
      <w:r w:rsidR="00811CC6" w:rsidRPr="00551DFA">
        <w:rPr>
          <w:b/>
        </w:rPr>
        <w:t xml:space="preserve">ould </w:t>
      </w:r>
      <w:r w:rsidR="00613E4D" w:rsidRPr="00551DFA">
        <w:rPr>
          <w:b/>
        </w:rPr>
        <w:t xml:space="preserve">not </w:t>
      </w:r>
      <w:r w:rsidR="00811CC6" w:rsidRPr="00551DFA">
        <w:rPr>
          <w:b/>
        </w:rPr>
        <w:t xml:space="preserve">be completely overshadowed and negated by </w:t>
      </w:r>
      <w:r w:rsidR="00FE2D25" w:rsidRPr="00551DFA">
        <w:rPr>
          <w:b/>
        </w:rPr>
        <w:t>upcoming</w:t>
      </w:r>
      <w:r w:rsidR="00811CC6" w:rsidRPr="00551DFA">
        <w:rPr>
          <w:b/>
        </w:rPr>
        <w:t xml:space="preserve"> decisions for the 2018 </w:t>
      </w:r>
      <w:r w:rsidR="00FE2D25" w:rsidRPr="00551DFA">
        <w:rPr>
          <w:b/>
        </w:rPr>
        <w:t xml:space="preserve">Solvency II </w:t>
      </w:r>
      <w:r w:rsidR="007E05EE">
        <w:rPr>
          <w:b/>
        </w:rPr>
        <w:t>r</w:t>
      </w:r>
      <w:r w:rsidR="00811CC6" w:rsidRPr="00551DFA">
        <w:rPr>
          <w:b/>
        </w:rPr>
        <w:t>eview.</w:t>
      </w:r>
      <w:r w:rsidR="00811CC6">
        <w:t xml:space="preserve"> </w:t>
      </w:r>
      <w:r w:rsidR="00FE2D25">
        <w:t>In fact, t</w:t>
      </w:r>
      <w:r>
        <w:t>h</w:t>
      </w:r>
      <w:r w:rsidR="00811CC6">
        <w:t>e positive</w:t>
      </w:r>
      <w:r>
        <w:t xml:space="preserve"> momentum </w:t>
      </w:r>
      <w:r w:rsidR="00811CC6">
        <w:t xml:space="preserve">from the CMU actions </w:t>
      </w:r>
      <w:r>
        <w:t>should be preserved and the Solvency II review should aim to further support long-term investments by insurers, and not harm them.</w:t>
      </w:r>
    </w:p>
    <w:p w14:paraId="5A7AD87C" w14:textId="029511D2" w:rsidR="00811CC6" w:rsidRDefault="006D1A61" w:rsidP="00711598">
      <w:pPr>
        <w:pStyle w:val="CEABullet-Level1"/>
        <w:jc w:val="both"/>
      </w:pPr>
      <w:r w:rsidRPr="006D1D8C">
        <w:t>Solvency II is probably the most sophisticated regime in the world</w:t>
      </w:r>
      <w:r w:rsidR="00FE2D25">
        <w:t>. I</w:t>
      </w:r>
      <w:r w:rsidR="003A4230">
        <w:t xml:space="preserve">ts focus on sound risk measurement is </w:t>
      </w:r>
      <w:r w:rsidR="00613E4D">
        <w:t>strongly supported</w:t>
      </w:r>
      <w:r w:rsidR="00FE2D25">
        <w:t>,</w:t>
      </w:r>
      <w:r w:rsidR="00613E4D">
        <w:t xml:space="preserve"> </w:t>
      </w:r>
      <w:r w:rsidR="003A4230">
        <w:t>but it does not currently measure long-term business and long-term investment risk correctly</w:t>
      </w:r>
      <w:r w:rsidR="00811CC6">
        <w:t>.</w:t>
      </w:r>
      <w:r w:rsidR="003A4230">
        <w:t xml:space="preserve"> </w:t>
      </w:r>
      <w:r w:rsidR="00811CC6">
        <w:t>A</w:t>
      </w:r>
      <w:r w:rsidR="003A4230">
        <w:t>s a result</w:t>
      </w:r>
      <w:r w:rsidR="00613E4D">
        <w:t>,</w:t>
      </w:r>
      <w:r w:rsidR="003A4230">
        <w:t xml:space="preserve"> </w:t>
      </w:r>
      <w:r w:rsidRPr="006D1D8C">
        <w:t xml:space="preserve">even well designed long-term products </w:t>
      </w:r>
      <w:r w:rsidR="00613E4D">
        <w:t xml:space="preserve">can be </w:t>
      </w:r>
      <w:r w:rsidRPr="006D1D8C">
        <w:t>too expensive or even unviable.</w:t>
      </w:r>
      <w:r w:rsidR="003A4230">
        <w:t xml:space="preserve"> </w:t>
      </w:r>
    </w:p>
    <w:p w14:paraId="74A55DC9" w14:textId="7D6F3DED" w:rsidR="00FE2D25" w:rsidRDefault="003A4230" w:rsidP="00711598">
      <w:pPr>
        <w:pStyle w:val="CEABullet-Level1"/>
        <w:jc w:val="both"/>
      </w:pPr>
      <w:r>
        <w:t xml:space="preserve">Insurers’ need and ability to invest long-term is driven by </w:t>
      </w:r>
      <w:r w:rsidR="00613E4D">
        <w:t>the</w:t>
      </w:r>
      <w:r>
        <w:t xml:space="preserve"> long-term liabilities that arise from long-term</w:t>
      </w:r>
      <w:r w:rsidR="00FE2D25">
        <w:t>-</w:t>
      </w:r>
      <w:r>
        <w:t>products.</w:t>
      </w:r>
      <w:r w:rsidR="00435A55">
        <w:t xml:space="preserve"> Over-estimation of capital for long-term </w:t>
      </w:r>
      <w:r w:rsidR="00811CC6">
        <w:t xml:space="preserve">business </w:t>
      </w:r>
      <w:r w:rsidR="00435A55">
        <w:t>impacts customers and the wider economy.</w:t>
      </w:r>
    </w:p>
    <w:p w14:paraId="7E183F79" w14:textId="2FA7A369" w:rsidR="00613E4D" w:rsidRDefault="00AD659E" w:rsidP="00711598">
      <w:pPr>
        <w:pStyle w:val="CEABullet-Level1"/>
        <w:jc w:val="both"/>
      </w:pPr>
      <w:r w:rsidRPr="006D1D8C">
        <w:t xml:space="preserve">The Solvency II 2018 review should </w:t>
      </w:r>
      <w:r w:rsidRPr="00AD659E">
        <w:t xml:space="preserve">be about </w:t>
      </w:r>
      <w:r w:rsidRPr="00551DFA">
        <w:rPr>
          <w:b/>
        </w:rPr>
        <w:t>improving the framework on the basis of evidence</w:t>
      </w:r>
      <w:r w:rsidRPr="006D1D8C">
        <w:t xml:space="preserve">, and </w:t>
      </w:r>
      <w:r w:rsidRPr="00551DFA">
        <w:rPr>
          <w:b/>
        </w:rPr>
        <w:t xml:space="preserve">not about making it more conservative on the basis of "more capital is always better".  </w:t>
      </w:r>
    </w:p>
    <w:p w14:paraId="47C65795" w14:textId="7C94BDA1" w:rsidR="00AD659E" w:rsidRPr="006D1D8C" w:rsidRDefault="00613E4D" w:rsidP="00711598">
      <w:pPr>
        <w:pStyle w:val="CEABullet-Level1"/>
        <w:jc w:val="both"/>
      </w:pPr>
      <w:r>
        <w:t>I</w:t>
      </w:r>
      <w:r w:rsidR="00D4790A">
        <w:t xml:space="preserve">t should </w:t>
      </w:r>
      <w:r>
        <w:t xml:space="preserve">also </w:t>
      </w:r>
      <w:r w:rsidR="00D4790A">
        <w:t xml:space="preserve">be recognised that the Solvency II package was a </w:t>
      </w:r>
      <w:r w:rsidR="00D4790A" w:rsidRPr="00551DFA">
        <w:rPr>
          <w:b/>
        </w:rPr>
        <w:t>political agreement</w:t>
      </w:r>
      <w:r w:rsidR="00D4790A">
        <w:t>, and changes now should not change the balance of this agreement.</w:t>
      </w:r>
    </w:p>
    <w:p w14:paraId="1F1AB87C" w14:textId="711C7247" w:rsidR="006D1A61" w:rsidRDefault="006D1A61" w:rsidP="00711598">
      <w:pPr>
        <w:pStyle w:val="CEABullet-Level1"/>
        <w:jc w:val="both"/>
      </w:pPr>
      <w:r>
        <w:t xml:space="preserve">The </w:t>
      </w:r>
      <w:r w:rsidR="000703DE">
        <w:t xml:space="preserve">Solvency II review offers </w:t>
      </w:r>
      <w:r w:rsidR="000703DE" w:rsidRPr="00551DFA">
        <w:rPr>
          <w:b/>
        </w:rPr>
        <w:t>opportunities</w:t>
      </w:r>
      <w:r w:rsidR="000703DE">
        <w:t xml:space="preserve"> for European policymakers to</w:t>
      </w:r>
      <w:r>
        <w:t>:</w:t>
      </w:r>
    </w:p>
    <w:p w14:paraId="5F244037" w14:textId="4F23CB78" w:rsidR="006D1A61" w:rsidRDefault="000703DE" w:rsidP="00711598">
      <w:pPr>
        <w:pStyle w:val="CEABullet-Level2"/>
        <w:jc w:val="both"/>
      </w:pPr>
      <w:r>
        <w:t>im</w:t>
      </w:r>
      <w:r w:rsidR="006D1A61">
        <w:t>prove the framework</w:t>
      </w:r>
    </w:p>
    <w:p w14:paraId="0CC06FA6" w14:textId="19541D35" w:rsidR="006D1A61" w:rsidRDefault="006D1A61" w:rsidP="00711598">
      <w:pPr>
        <w:pStyle w:val="CEABullet-Level2"/>
        <w:jc w:val="both"/>
      </w:pPr>
      <w:r>
        <w:t>enhance insurers’ role in the society</w:t>
      </w:r>
      <w:r w:rsidR="00667B6E">
        <w:t>, and their ability to support Europe’s growth objectives</w:t>
      </w:r>
    </w:p>
    <w:p w14:paraId="4D87FBD6" w14:textId="77777777" w:rsidR="000703DE" w:rsidRDefault="006D1A61" w:rsidP="00711598">
      <w:pPr>
        <w:pStyle w:val="CEABullet-Level2"/>
        <w:jc w:val="both"/>
      </w:pPr>
      <w:r>
        <w:t>support the competitiveness of the European industry in a global context</w:t>
      </w:r>
    </w:p>
    <w:p w14:paraId="74D513FC" w14:textId="713BD53A" w:rsidR="006D1A61" w:rsidRDefault="006D1A61" w:rsidP="00711598">
      <w:pPr>
        <w:pStyle w:val="CEABullet-Level1"/>
        <w:jc w:val="both"/>
      </w:pPr>
      <w:r>
        <w:t>Unfortunately, some of the recent proposals o</w:t>
      </w:r>
      <w:r w:rsidRPr="006D1D8C">
        <w:t xml:space="preserve">f EIOPA and national supervisors </w:t>
      </w:r>
      <w:r>
        <w:t xml:space="preserve">could have the </w:t>
      </w:r>
      <w:r w:rsidRPr="00551DFA">
        <w:rPr>
          <w:b/>
        </w:rPr>
        <w:t>opposite effect</w:t>
      </w:r>
      <w:r>
        <w:t xml:space="preserve"> of:</w:t>
      </w:r>
    </w:p>
    <w:p w14:paraId="2D6CA32F" w14:textId="4F78C86E" w:rsidR="006D1A61" w:rsidRDefault="006D1A61" w:rsidP="00711598">
      <w:pPr>
        <w:pStyle w:val="CEABullet-Level2"/>
        <w:jc w:val="both"/>
      </w:pPr>
      <w:r>
        <w:t>Making Solvency II even more conservative</w:t>
      </w:r>
      <w:r w:rsidR="00D4790A">
        <w:t xml:space="preserve"> </w:t>
      </w:r>
    </w:p>
    <w:p w14:paraId="3BBD06A2" w14:textId="281B28F5" w:rsidR="006D1A61" w:rsidRPr="006D1A61" w:rsidRDefault="006D1A61" w:rsidP="00711598">
      <w:pPr>
        <w:pStyle w:val="CEABullet-Level2"/>
        <w:jc w:val="both"/>
      </w:pPr>
      <w:r>
        <w:t>P</w:t>
      </w:r>
      <w:r w:rsidRPr="006D1D8C">
        <w:t>ut</w:t>
      </w:r>
      <w:r>
        <w:t>ting</w:t>
      </w:r>
      <w:r w:rsidRPr="006D1D8C">
        <w:t xml:space="preserve"> unnecessary high burden</w:t>
      </w:r>
      <w:r w:rsidR="00F77A13">
        <w:t xml:space="preserve"> on the industry</w:t>
      </w:r>
      <w:r w:rsidR="00FC7375">
        <w:t>, and ultimately</w:t>
      </w:r>
      <w:r w:rsidR="00695528">
        <w:t xml:space="preserve"> </w:t>
      </w:r>
      <w:r w:rsidR="00D4790A">
        <w:t xml:space="preserve">negatively </w:t>
      </w:r>
      <w:r w:rsidR="00695528">
        <w:t xml:space="preserve">impacting the costs and provision of products </w:t>
      </w:r>
      <w:r w:rsidR="00FC7375">
        <w:t xml:space="preserve">to </w:t>
      </w:r>
      <w:r w:rsidR="00F77A13">
        <w:t>customers</w:t>
      </w:r>
      <w:r w:rsidR="00FC7375">
        <w:t xml:space="preserve"> </w:t>
      </w:r>
      <w:r w:rsidR="00695528">
        <w:t>and reducing the industry’s capacity for long-term and stable</w:t>
      </w:r>
      <w:r w:rsidR="00FC7375">
        <w:t xml:space="preserve"> investment</w:t>
      </w:r>
      <w:r w:rsidR="00695528">
        <w:t xml:space="preserve"> </w:t>
      </w:r>
    </w:p>
    <w:p w14:paraId="4BF0F30C" w14:textId="38931108" w:rsidR="004B76D5" w:rsidRDefault="006D1A61" w:rsidP="00711598">
      <w:pPr>
        <w:pStyle w:val="CEABullet-Level2"/>
        <w:jc w:val="both"/>
      </w:pPr>
      <w:r>
        <w:t>Weaken the competitiveness of European (re)insurers in a global context</w:t>
      </w:r>
    </w:p>
    <w:p w14:paraId="33760A94" w14:textId="7D013C97" w:rsidR="007E05EE" w:rsidRDefault="006D1A61" w:rsidP="00711598">
      <w:pPr>
        <w:pStyle w:val="CEABullet-Level1"/>
        <w:jc w:val="both"/>
      </w:pPr>
      <w:r>
        <w:t xml:space="preserve">European policymakers need to carefully </w:t>
      </w:r>
      <w:r w:rsidR="00695528">
        <w:t xml:space="preserve">consider whether </w:t>
      </w:r>
      <w:r>
        <w:t xml:space="preserve">EIOPA’s proposals </w:t>
      </w:r>
      <w:r w:rsidR="00695528">
        <w:t xml:space="preserve">are justified </w:t>
      </w:r>
      <w:r w:rsidR="000414E5">
        <w:t xml:space="preserve">from a prudential point of view </w:t>
      </w:r>
      <w:r w:rsidR="00695528">
        <w:t xml:space="preserve">and also balance them </w:t>
      </w:r>
      <w:r>
        <w:t xml:space="preserve">against </w:t>
      </w:r>
      <w:r w:rsidR="00FE2D25">
        <w:t xml:space="preserve">potential </w:t>
      </w:r>
      <w:r w:rsidR="00695528">
        <w:t xml:space="preserve">customer impact and </w:t>
      </w:r>
      <w:r>
        <w:t>Europe’s long-term investment and growth objectives</w:t>
      </w:r>
      <w:r w:rsidR="00D4790A">
        <w:t xml:space="preserve">. </w:t>
      </w:r>
    </w:p>
    <w:p w14:paraId="6A63C0A6" w14:textId="72747881" w:rsidR="006D1A61" w:rsidRDefault="00D4790A" w:rsidP="00711598">
      <w:pPr>
        <w:pStyle w:val="CEABullet-Level1"/>
        <w:jc w:val="both"/>
      </w:pPr>
      <w:r>
        <w:t xml:space="preserve">Unfortunately, EIOPA’s </w:t>
      </w:r>
      <w:r w:rsidRPr="00551DFA">
        <w:rPr>
          <w:b/>
        </w:rPr>
        <w:t>impact assessment</w:t>
      </w:r>
      <w:r>
        <w:t xml:space="preserve"> </w:t>
      </w:r>
      <w:r w:rsidR="00811CC6">
        <w:t xml:space="preserve">is based on questionable assumptions </w:t>
      </w:r>
      <w:r w:rsidR="00FE2D25">
        <w:t>and</w:t>
      </w:r>
      <w:r w:rsidR="00811CC6">
        <w:t xml:space="preserve"> simplifications, is inconsistent across the different areas of advice and does not examine the potential impact on cost and availability of products</w:t>
      </w:r>
      <w:r w:rsidR="00FE2D25">
        <w:t>,</w:t>
      </w:r>
      <w:r w:rsidR="00811CC6">
        <w:t xml:space="preserve"> </w:t>
      </w:r>
      <w:r w:rsidR="00FE2D25">
        <w:t>n</w:t>
      </w:r>
      <w:r w:rsidR="00811CC6">
        <w:t>or on long-term investment.</w:t>
      </w:r>
      <w:r w:rsidR="00811CC6" w:rsidRPr="00811CC6">
        <w:t xml:space="preserve"> </w:t>
      </w:r>
      <w:r w:rsidR="00811CC6">
        <w:t xml:space="preserve">It is therefore imperative that </w:t>
      </w:r>
      <w:r w:rsidR="00613E4D">
        <w:t>before the EC finalise</w:t>
      </w:r>
      <w:r w:rsidR="00FE2D25">
        <w:t>s</w:t>
      </w:r>
      <w:r w:rsidR="00613E4D">
        <w:t xml:space="preserve"> </w:t>
      </w:r>
      <w:r w:rsidR="00FE2D25">
        <w:t>its</w:t>
      </w:r>
      <w:r w:rsidR="00613E4D">
        <w:t xml:space="preserve"> views</w:t>
      </w:r>
      <w:r w:rsidR="00FE2D25">
        <w:t>, it</w:t>
      </w:r>
      <w:r w:rsidR="00811CC6">
        <w:t xml:space="preserve"> </w:t>
      </w:r>
      <w:r w:rsidR="00613E4D">
        <w:t>undertake</w:t>
      </w:r>
      <w:r w:rsidR="00FE2D25">
        <w:t>s</w:t>
      </w:r>
      <w:r w:rsidR="00811CC6">
        <w:t xml:space="preserve"> a </w:t>
      </w:r>
      <w:r w:rsidR="00811CC6" w:rsidRPr="00711598">
        <w:rPr>
          <w:b/>
          <w:u w:val="single"/>
        </w:rPr>
        <w:t>comprehensive impact assessment</w:t>
      </w:r>
      <w:r w:rsidR="00613E4D">
        <w:t xml:space="preserve">, </w:t>
      </w:r>
      <w:r w:rsidR="00811CC6">
        <w:t xml:space="preserve">looking at the cumulative impact </w:t>
      </w:r>
      <w:r w:rsidR="00613E4D">
        <w:t>o</w:t>
      </w:r>
      <w:r w:rsidR="00FE2D25">
        <w:t>f proposed changes</w:t>
      </w:r>
      <w:r w:rsidR="00811CC6">
        <w:t xml:space="preserve">. </w:t>
      </w:r>
    </w:p>
    <w:p w14:paraId="6E2954FB" w14:textId="54C6924A" w:rsidR="004B76D5" w:rsidRDefault="004B76D5" w:rsidP="00711598">
      <w:pPr>
        <w:pStyle w:val="CEABullet-Level1"/>
        <w:jc w:val="both"/>
      </w:pPr>
      <w:r>
        <w:t xml:space="preserve">The </w:t>
      </w:r>
      <w:r w:rsidRPr="00551DFA">
        <w:rPr>
          <w:b/>
        </w:rPr>
        <w:t xml:space="preserve">following actions in the Solvency II 2018 review </w:t>
      </w:r>
      <w:r w:rsidR="00613E4D" w:rsidRPr="00551DFA">
        <w:rPr>
          <w:b/>
        </w:rPr>
        <w:t xml:space="preserve">have sound prudential justification and </w:t>
      </w:r>
      <w:r w:rsidRPr="00551DFA">
        <w:rPr>
          <w:b/>
        </w:rPr>
        <w:t xml:space="preserve">would </w:t>
      </w:r>
      <w:r w:rsidR="00FE2D25" w:rsidRPr="00551DFA">
        <w:rPr>
          <w:b/>
          <w:u w:val="single"/>
        </w:rPr>
        <w:t>support</w:t>
      </w:r>
      <w:r w:rsidRPr="00551DFA">
        <w:rPr>
          <w:b/>
        </w:rPr>
        <w:t xml:space="preserve"> the objectives of growth of the Juncker Commission</w:t>
      </w:r>
      <w:r>
        <w:t>:</w:t>
      </w:r>
    </w:p>
    <w:p w14:paraId="293A170D" w14:textId="793FF41B" w:rsidR="004B76D5" w:rsidRDefault="004B76D5" w:rsidP="00711598">
      <w:pPr>
        <w:pStyle w:val="CEABullet-Level2"/>
        <w:jc w:val="both"/>
      </w:pPr>
      <w:r>
        <w:t xml:space="preserve">Review the </w:t>
      </w:r>
      <w:r w:rsidRPr="00551DFA">
        <w:rPr>
          <w:b/>
        </w:rPr>
        <w:t>risk margin</w:t>
      </w:r>
      <w:r>
        <w:t>, in particular the cost of capital, on the basis of evidence, to free up capital that could then be directed towards more long-term investment.</w:t>
      </w:r>
    </w:p>
    <w:p w14:paraId="0DEE366A" w14:textId="7AF3E1C0" w:rsidR="004B76D5" w:rsidRPr="00CB46FC" w:rsidRDefault="004B76D5" w:rsidP="00711598">
      <w:pPr>
        <w:pStyle w:val="CEABullet-Level2"/>
        <w:jc w:val="both"/>
      </w:pPr>
      <w:r>
        <w:t xml:space="preserve">Review the capital requirements for long-term investment in </w:t>
      </w:r>
      <w:r w:rsidRPr="00551DFA">
        <w:rPr>
          <w:b/>
        </w:rPr>
        <w:t>equity</w:t>
      </w:r>
      <w:r>
        <w:t xml:space="preserve">, to </w:t>
      </w:r>
      <w:r w:rsidR="009742B3">
        <w:t xml:space="preserve">better </w:t>
      </w:r>
      <w:r>
        <w:t xml:space="preserve">recognise long-term risks and </w:t>
      </w:r>
      <w:r w:rsidR="009742B3">
        <w:t xml:space="preserve">reduce unnecessary barriers </w:t>
      </w:r>
      <w:r w:rsidR="00FE2D25">
        <w:t>to</w:t>
      </w:r>
      <w:r w:rsidR="009742B3">
        <w:t xml:space="preserve"> equity investment</w:t>
      </w:r>
      <w:r>
        <w:t>.</w:t>
      </w:r>
    </w:p>
    <w:p w14:paraId="7D5C6B41" w14:textId="38F9D3F3" w:rsidR="004B76D5" w:rsidRPr="00551DFA" w:rsidRDefault="004B76D5" w:rsidP="00711598">
      <w:pPr>
        <w:pStyle w:val="CEABullet-Level1"/>
        <w:jc w:val="both"/>
        <w:rPr>
          <w:b/>
        </w:rPr>
      </w:pPr>
      <w:r w:rsidRPr="00551DFA">
        <w:rPr>
          <w:b/>
        </w:rPr>
        <w:t>The following proposals by EIOPA</w:t>
      </w:r>
      <w:r w:rsidR="0011648F" w:rsidRPr="00551DFA">
        <w:rPr>
          <w:b/>
        </w:rPr>
        <w:t>, on which the Commission</w:t>
      </w:r>
      <w:r w:rsidRPr="00551DFA">
        <w:rPr>
          <w:b/>
        </w:rPr>
        <w:t xml:space="preserve"> </w:t>
      </w:r>
      <w:r w:rsidR="0011648F" w:rsidRPr="00551DFA">
        <w:rPr>
          <w:b/>
        </w:rPr>
        <w:t xml:space="preserve">– for good reasons - did not ask for advice, </w:t>
      </w:r>
      <w:r w:rsidRPr="00551DFA">
        <w:rPr>
          <w:b/>
        </w:rPr>
        <w:t xml:space="preserve">are </w:t>
      </w:r>
      <w:r w:rsidRPr="00551DFA">
        <w:rPr>
          <w:b/>
          <w:u w:val="single"/>
        </w:rPr>
        <w:t>conflicting</w:t>
      </w:r>
      <w:r w:rsidRPr="00551DFA">
        <w:rPr>
          <w:b/>
        </w:rPr>
        <w:t xml:space="preserve"> with the Juncker Commission growth objectives:</w:t>
      </w:r>
    </w:p>
    <w:p w14:paraId="726A7B43" w14:textId="095CAA66" w:rsidR="004B76D5" w:rsidRDefault="009742B3" w:rsidP="00711598">
      <w:pPr>
        <w:pStyle w:val="CEABullet-Level2"/>
        <w:jc w:val="both"/>
      </w:pPr>
      <w:r>
        <w:t>C</w:t>
      </w:r>
      <w:r w:rsidR="004B76D5">
        <w:t xml:space="preserve">hanges in the </w:t>
      </w:r>
      <w:r w:rsidR="004B76D5" w:rsidRPr="00551DFA">
        <w:rPr>
          <w:b/>
        </w:rPr>
        <w:t>interest rate risk</w:t>
      </w:r>
      <w:r w:rsidR="004B76D5">
        <w:t xml:space="preserve"> calibrations</w:t>
      </w:r>
      <w:r w:rsidR="00FE2D25">
        <w:t>,</w:t>
      </w:r>
      <w:r>
        <w:t xml:space="preserve"> which would increase barriers for long-term business.</w:t>
      </w:r>
    </w:p>
    <w:p w14:paraId="5926B32B" w14:textId="66AF1B57" w:rsidR="004B76D5" w:rsidRPr="00CB46FC" w:rsidRDefault="000901C6" w:rsidP="00711598">
      <w:pPr>
        <w:pStyle w:val="CEABullet-Level2"/>
        <w:jc w:val="both"/>
      </w:pPr>
      <w:r>
        <w:rPr>
          <w:b/>
        </w:rPr>
        <w:lastRenderedPageBreak/>
        <w:t>Imposing a</w:t>
      </w:r>
      <w:r w:rsidR="004B76D5" w:rsidRPr="00551DFA">
        <w:rPr>
          <w:b/>
        </w:rPr>
        <w:t xml:space="preserve">rbitrary </w:t>
      </w:r>
      <w:r w:rsidRPr="00551DFA">
        <w:rPr>
          <w:b/>
        </w:rPr>
        <w:t>limits on LAC DT</w:t>
      </w:r>
      <w:r>
        <w:rPr>
          <w:b/>
        </w:rPr>
        <w:t>,</w:t>
      </w:r>
      <w:r w:rsidRPr="000901C6">
        <w:rPr>
          <w:b/>
        </w:rPr>
        <w:t xml:space="preserve"> </w:t>
      </w:r>
      <w:r>
        <w:rPr>
          <w:b/>
        </w:rPr>
        <w:t>not reflective</w:t>
      </w:r>
      <w:r w:rsidRPr="000901C6">
        <w:rPr>
          <w:b/>
        </w:rPr>
        <w:t xml:space="preserve"> of local market specificities, conditions and risks</w:t>
      </w:r>
      <w:r w:rsidR="004B76D5">
        <w:t xml:space="preserve">, </w:t>
      </w:r>
      <w:r w:rsidR="00FE2D25">
        <w:t xml:space="preserve">which </w:t>
      </w:r>
      <w:r w:rsidR="004B76D5">
        <w:t xml:space="preserve">would </w:t>
      </w:r>
      <w:r w:rsidR="009742B3">
        <w:t>put further unnecessary capital pressures on insurers.</w:t>
      </w:r>
    </w:p>
    <w:p w14:paraId="545101CF" w14:textId="77777777" w:rsidR="004B76D5" w:rsidRPr="006D1A61" w:rsidRDefault="004B76D5" w:rsidP="00711598">
      <w:pPr>
        <w:pStyle w:val="CEABullet-Level1"/>
        <w:numPr>
          <w:ilvl w:val="0"/>
          <w:numId w:val="0"/>
        </w:numPr>
        <w:jc w:val="both"/>
      </w:pPr>
    </w:p>
    <w:p w14:paraId="03C451F2" w14:textId="77777777" w:rsidR="006D1A61" w:rsidRDefault="006D1A61" w:rsidP="00711598">
      <w:pPr>
        <w:pStyle w:val="CEABullet-Level1"/>
        <w:numPr>
          <w:ilvl w:val="0"/>
          <w:numId w:val="0"/>
        </w:numPr>
        <w:jc w:val="both"/>
      </w:pPr>
    </w:p>
    <w:p w14:paraId="1D886B36" w14:textId="031E1E71" w:rsidR="006D1A61" w:rsidRPr="00695528" w:rsidRDefault="006D1A61" w:rsidP="00711598">
      <w:pPr>
        <w:pStyle w:val="CEABullet-Level1"/>
        <w:numPr>
          <w:ilvl w:val="0"/>
          <w:numId w:val="3"/>
        </w:numPr>
        <w:jc w:val="both"/>
        <w:rPr>
          <w:b/>
          <w:u w:val="single"/>
        </w:rPr>
      </w:pPr>
      <w:r w:rsidRPr="00695528">
        <w:rPr>
          <w:b/>
          <w:u w:val="single"/>
        </w:rPr>
        <w:t>Targeted messages on key areas of concern in the review:</w:t>
      </w:r>
    </w:p>
    <w:p w14:paraId="16BF0EEB" w14:textId="77777777" w:rsidR="000703DE" w:rsidRDefault="000703DE" w:rsidP="00711598">
      <w:pPr>
        <w:pStyle w:val="CEABullet-Level1"/>
        <w:numPr>
          <w:ilvl w:val="0"/>
          <w:numId w:val="0"/>
        </w:numPr>
        <w:jc w:val="both"/>
        <w:rPr>
          <w:i/>
        </w:rPr>
      </w:pPr>
    </w:p>
    <w:p w14:paraId="3AAC1E12" w14:textId="77777777" w:rsidR="00AD659E" w:rsidRPr="00695528" w:rsidRDefault="00AD659E" w:rsidP="00711598">
      <w:pPr>
        <w:pStyle w:val="CEABullet-Level1"/>
        <w:numPr>
          <w:ilvl w:val="0"/>
          <w:numId w:val="0"/>
        </w:numPr>
        <w:jc w:val="both"/>
      </w:pPr>
      <w:r w:rsidRPr="00695528">
        <w:t>With respect to EIOPA’s final advice on the Solvency II review, the industry believes that:</w:t>
      </w:r>
    </w:p>
    <w:p w14:paraId="780A6410" w14:textId="77777777" w:rsidR="00AD659E" w:rsidRDefault="00AD659E" w:rsidP="00711598">
      <w:pPr>
        <w:pStyle w:val="CEABullet-Level1"/>
        <w:numPr>
          <w:ilvl w:val="0"/>
          <w:numId w:val="0"/>
        </w:numPr>
        <w:jc w:val="both"/>
        <w:rPr>
          <w:b/>
        </w:rPr>
      </w:pPr>
    </w:p>
    <w:p w14:paraId="41ADBD9D" w14:textId="77777777" w:rsidR="00AD659E" w:rsidRPr="00695528" w:rsidRDefault="00AD659E" w:rsidP="00711598">
      <w:pPr>
        <w:pStyle w:val="CEABullet-Level1"/>
        <w:numPr>
          <w:ilvl w:val="0"/>
          <w:numId w:val="0"/>
        </w:numPr>
        <w:jc w:val="both"/>
        <w:rPr>
          <w:i/>
          <w:u w:val="single"/>
        </w:rPr>
      </w:pPr>
      <w:r w:rsidRPr="00695528">
        <w:rPr>
          <w:i/>
          <w:u w:val="single"/>
        </w:rPr>
        <w:t>Interest rate risk:</w:t>
      </w:r>
    </w:p>
    <w:p w14:paraId="414FF6FE" w14:textId="34382049" w:rsidR="00AD659E" w:rsidRPr="00695528" w:rsidRDefault="006A19D8" w:rsidP="00711598">
      <w:pPr>
        <w:pStyle w:val="CEABullet-Level1"/>
        <w:jc w:val="both"/>
        <w:rPr>
          <w:b/>
        </w:rPr>
      </w:pPr>
      <w:r>
        <w:rPr>
          <w:b/>
        </w:rPr>
        <w:t>I</w:t>
      </w:r>
      <w:r w:rsidR="00AD659E" w:rsidRPr="00695528">
        <w:rPr>
          <w:b/>
        </w:rPr>
        <w:t xml:space="preserve">ssues related to interest rate risk calibrations </w:t>
      </w:r>
      <w:r>
        <w:rPr>
          <w:b/>
        </w:rPr>
        <w:t xml:space="preserve">should be covered </w:t>
      </w:r>
      <w:r w:rsidR="00AD659E" w:rsidRPr="00695528">
        <w:rPr>
          <w:b/>
        </w:rPr>
        <w:t>as part of the 2020 review</w:t>
      </w:r>
      <w:r w:rsidR="00AD659E" w:rsidRPr="00C24C58">
        <w:rPr>
          <w:b/>
        </w:rPr>
        <w:t>, when wider issue</w:t>
      </w:r>
      <w:r>
        <w:rPr>
          <w:b/>
        </w:rPr>
        <w:t>s</w:t>
      </w:r>
      <w:r w:rsidR="00AD659E" w:rsidRPr="00C24C58">
        <w:rPr>
          <w:b/>
        </w:rPr>
        <w:t xml:space="preserve"> related to discounting and interest</w:t>
      </w:r>
      <w:r w:rsidR="00AD659E" w:rsidRPr="00AD659E">
        <w:rPr>
          <w:b/>
        </w:rPr>
        <w:t xml:space="preserve"> rates will be addressed</w:t>
      </w:r>
      <w:r w:rsidR="00AD659E" w:rsidRPr="00695528">
        <w:rPr>
          <w:b/>
        </w:rPr>
        <w:t xml:space="preserve">. </w:t>
      </w:r>
    </w:p>
    <w:p w14:paraId="6230CFB0" w14:textId="1418B11B" w:rsidR="00D84C7D" w:rsidRPr="00D84C7D" w:rsidRDefault="002104C9" w:rsidP="00711598">
      <w:pPr>
        <w:pStyle w:val="CEABullet-Level1"/>
        <w:jc w:val="both"/>
        <w:rPr>
          <w:b/>
        </w:rPr>
      </w:pPr>
      <w:r w:rsidRPr="00695528">
        <w:rPr>
          <w:b/>
        </w:rPr>
        <w:t>Any changes to interest rate risk now woul</w:t>
      </w:r>
      <w:r w:rsidRPr="002E34AE">
        <w:rPr>
          <w:b/>
        </w:rPr>
        <w:t xml:space="preserve">d </w:t>
      </w:r>
      <w:r>
        <w:rPr>
          <w:b/>
        </w:rPr>
        <w:t xml:space="preserve">have a negative </w:t>
      </w:r>
      <w:r w:rsidRPr="002E34AE">
        <w:rPr>
          <w:b/>
        </w:rPr>
        <w:t xml:space="preserve">impact </w:t>
      </w:r>
      <w:r>
        <w:rPr>
          <w:b/>
        </w:rPr>
        <w:t xml:space="preserve">on </w:t>
      </w:r>
      <w:r w:rsidRPr="002E34AE">
        <w:rPr>
          <w:b/>
        </w:rPr>
        <w:t>insurers’ long-term products and long-term investment, as well as their ability to invest in non-fixed income assets, such as equity</w:t>
      </w:r>
      <w:r>
        <w:rPr>
          <w:b/>
        </w:rPr>
        <w:t xml:space="preserve">. </w:t>
      </w:r>
      <w:r w:rsidR="00D84C7D">
        <w:rPr>
          <w:b/>
        </w:rPr>
        <w:t>EIOPA’s impact assessment on this area is based on simplifications</w:t>
      </w:r>
      <w:r w:rsidR="00CA0CE7">
        <w:rPr>
          <w:b/>
        </w:rPr>
        <w:t xml:space="preserve"> and proxies, and underestimates</w:t>
      </w:r>
      <w:r w:rsidR="00D84C7D">
        <w:rPr>
          <w:b/>
        </w:rPr>
        <w:t xml:space="preserve"> t</w:t>
      </w:r>
      <w:r w:rsidR="00CA0CE7">
        <w:rPr>
          <w:b/>
        </w:rPr>
        <w:t>he actual negative impact of the</w:t>
      </w:r>
      <w:r w:rsidR="00D84C7D">
        <w:rPr>
          <w:b/>
        </w:rPr>
        <w:t xml:space="preserve"> proposals.</w:t>
      </w:r>
    </w:p>
    <w:p w14:paraId="2421D60D" w14:textId="3896B418" w:rsidR="002104C9" w:rsidRDefault="002104C9" w:rsidP="00711598">
      <w:pPr>
        <w:pStyle w:val="CEABullet-Level1"/>
        <w:jc w:val="both"/>
        <w:rPr>
          <w:b/>
        </w:rPr>
      </w:pPr>
      <w:r>
        <w:rPr>
          <w:b/>
        </w:rPr>
        <w:t>For good reasons, the EC didn’t ask for advice on this area, and the industry supported the EC decision.</w:t>
      </w:r>
    </w:p>
    <w:p w14:paraId="6D4BBCF4" w14:textId="77777777" w:rsidR="00AD659E" w:rsidRPr="002E34AE" w:rsidRDefault="00AD659E" w:rsidP="00711598">
      <w:pPr>
        <w:pStyle w:val="CEABullet-Level1"/>
        <w:jc w:val="both"/>
        <w:rPr>
          <w:rFonts w:eastAsia="Calibri"/>
          <w:lang w:eastAsia="en-GB"/>
        </w:rPr>
      </w:pPr>
      <w:r w:rsidRPr="00695528">
        <w:rPr>
          <w:rFonts w:eastAsia="Calibri"/>
          <w:lang w:eastAsia="en-GB"/>
        </w:rPr>
        <w:t xml:space="preserve">Solvency </w:t>
      </w:r>
      <w:r w:rsidRPr="00FC7375">
        <w:rPr>
          <w:rFonts w:eastAsia="Calibri"/>
          <w:lang w:eastAsia="en-GB"/>
        </w:rPr>
        <w:t xml:space="preserve">II already takes a conservative approach to interest rates and the existing valuation approach, capital requirements, stress testing and reporting obligations are powerful tools to ensure that </w:t>
      </w:r>
      <w:r w:rsidRPr="00F77A13">
        <w:rPr>
          <w:rFonts w:eastAsia="Calibri"/>
          <w:lang w:eastAsia="en-GB"/>
        </w:rPr>
        <w:t xml:space="preserve">companies and supervisors can deal with the low interest rate environment. There is, therefore, no prudential urgency to make </w:t>
      </w:r>
      <w:r w:rsidRPr="002E34AE">
        <w:rPr>
          <w:rFonts w:eastAsia="Calibri"/>
          <w:lang w:eastAsia="en-GB"/>
        </w:rPr>
        <w:t>changes to the interest rate risk calibrations now.</w:t>
      </w:r>
    </w:p>
    <w:p w14:paraId="0D9CD833" w14:textId="52F210B0" w:rsidR="00AD659E" w:rsidRPr="00695528" w:rsidRDefault="00AD659E" w:rsidP="00711598">
      <w:pPr>
        <w:pStyle w:val="CEABullet-Level1"/>
        <w:jc w:val="both"/>
        <w:rPr>
          <w:rFonts w:eastAsia="Calibri"/>
          <w:lang w:eastAsia="en-GB"/>
        </w:rPr>
      </w:pPr>
      <w:r w:rsidRPr="00FC7375">
        <w:rPr>
          <w:rFonts w:eastAsia="Calibri"/>
          <w:lang w:eastAsia="en-GB"/>
        </w:rPr>
        <w:t xml:space="preserve">EIOPA's proposal to assume capital requirements for interest rates going </w:t>
      </w:r>
      <w:r w:rsidR="00695528" w:rsidRPr="00FC7375">
        <w:rPr>
          <w:rFonts w:eastAsia="Calibri"/>
          <w:lang w:eastAsia="en-GB"/>
        </w:rPr>
        <w:t xml:space="preserve">and staying permanently </w:t>
      </w:r>
      <w:r w:rsidRPr="00FC7375">
        <w:rPr>
          <w:rFonts w:eastAsia="Calibri"/>
          <w:lang w:eastAsia="en-GB"/>
        </w:rPr>
        <w:t xml:space="preserve">negative </w:t>
      </w:r>
      <w:r w:rsidR="00FC7375" w:rsidRPr="00FC7375">
        <w:rPr>
          <w:rFonts w:eastAsia="Calibri"/>
          <w:lang w:eastAsia="en-GB"/>
        </w:rPr>
        <w:t xml:space="preserve">at eg </w:t>
      </w:r>
      <w:r w:rsidR="00FC7375">
        <w:rPr>
          <w:rFonts w:eastAsia="Calibri"/>
          <w:lang w:eastAsia="en-GB"/>
        </w:rPr>
        <w:t>down to -2%</w:t>
      </w:r>
      <w:r w:rsidRPr="00FC7375">
        <w:rPr>
          <w:rFonts w:eastAsia="Calibri"/>
          <w:lang w:eastAsia="en-GB"/>
        </w:rPr>
        <w:t xml:space="preserve"> do</w:t>
      </w:r>
      <w:r w:rsidR="00FC7375" w:rsidRPr="002E34AE">
        <w:rPr>
          <w:rFonts w:eastAsia="Calibri"/>
          <w:lang w:eastAsia="en-GB"/>
        </w:rPr>
        <w:t>es</w:t>
      </w:r>
      <w:r w:rsidRPr="00FC7375">
        <w:rPr>
          <w:rFonts w:eastAsia="Calibri"/>
          <w:lang w:eastAsia="en-GB"/>
        </w:rPr>
        <w:t xml:space="preserve"> not make economic sense. This is the equivalent of assuming that if interest rates dropped to these levels all insurance companies</w:t>
      </w:r>
      <w:r w:rsidRPr="00695528">
        <w:rPr>
          <w:rFonts w:eastAsia="Calibri"/>
          <w:lang w:eastAsia="en-GB"/>
        </w:rPr>
        <w:t xml:space="preserve"> would sell all their assets and re-invest at these low levels.</w:t>
      </w:r>
      <w:r w:rsidRPr="00AD659E">
        <w:rPr>
          <w:rFonts w:eastAsia="Calibri"/>
          <w:lang w:eastAsia="en-GB"/>
        </w:rPr>
        <w:t xml:space="preserve"> </w:t>
      </w:r>
      <w:r w:rsidRPr="00695528">
        <w:rPr>
          <w:rFonts w:eastAsia="Calibri"/>
          <w:lang w:eastAsia="en-GB"/>
        </w:rPr>
        <w:t xml:space="preserve">In practice companies would not invest in such negative rates.  </w:t>
      </w:r>
    </w:p>
    <w:p w14:paraId="551EE43C" w14:textId="77777777" w:rsidR="00AD659E" w:rsidRDefault="00AD659E" w:rsidP="00711598">
      <w:pPr>
        <w:pStyle w:val="CEABullet-Level1"/>
        <w:numPr>
          <w:ilvl w:val="0"/>
          <w:numId w:val="0"/>
        </w:numPr>
        <w:jc w:val="both"/>
      </w:pPr>
    </w:p>
    <w:p w14:paraId="1D26A51F" w14:textId="77777777" w:rsidR="00AD659E" w:rsidRPr="00695528" w:rsidRDefault="00AD659E" w:rsidP="00711598">
      <w:pPr>
        <w:pStyle w:val="CEABullet-Level1"/>
        <w:numPr>
          <w:ilvl w:val="0"/>
          <w:numId w:val="0"/>
        </w:numPr>
        <w:jc w:val="both"/>
        <w:rPr>
          <w:i/>
          <w:u w:val="single"/>
        </w:rPr>
      </w:pPr>
      <w:r w:rsidRPr="00695528">
        <w:rPr>
          <w:i/>
          <w:u w:val="single"/>
        </w:rPr>
        <w:t>Risk margin:</w:t>
      </w:r>
    </w:p>
    <w:p w14:paraId="6E994923" w14:textId="13934861" w:rsidR="00C24C58" w:rsidRDefault="00AD659E" w:rsidP="00711598">
      <w:pPr>
        <w:pStyle w:val="CEABullet-Level1"/>
        <w:jc w:val="both"/>
        <w:rPr>
          <w:rFonts w:eastAsia="Calibri"/>
          <w:b/>
          <w:lang w:eastAsia="en-GB"/>
        </w:rPr>
      </w:pPr>
      <w:r w:rsidRPr="008530C3">
        <w:rPr>
          <w:rFonts w:eastAsia="Calibri"/>
          <w:b/>
          <w:lang w:eastAsia="en-GB"/>
        </w:rPr>
        <w:t>The excessive risk margin</w:t>
      </w:r>
      <w:r w:rsidR="00695528">
        <w:rPr>
          <w:rFonts w:eastAsia="Calibri"/>
          <w:b/>
          <w:lang w:eastAsia="en-GB"/>
        </w:rPr>
        <w:t xml:space="preserve">, which wipes </w:t>
      </w:r>
      <w:r w:rsidR="00695528" w:rsidRPr="006A19D8">
        <w:rPr>
          <w:rFonts w:eastAsia="Calibri"/>
          <w:b/>
          <w:lang w:eastAsia="en-GB"/>
        </w:rPr>
        <w:t xml:space="preserve">over </w:t>
      </w:r>
      <w:r w:rsidR="00FC7375" w:rsidRPr="002E34AE">
        <w:rPr>
          <w:rFonts w:eastAsia="Calibri"/>
          <w:b/>
          <w:lang w:eastAsia="en-GB"/>
        </w:rPr>
        <w:t>€</w:t>
      </w:r>
      <w:r w:rsidR="00695528" w:rsidRPr="006A19D8">
        <w:rPr>
          <w:rFonts w:eastAsia="Calibri"/>
          <w:b/>
          <w:lang w:eastAsia="en-GB"/>
        </w:rPr>
        <w:t>200bn</w:t>
      </w:r>
      <w:r w:rsidR="00695528">
        <w:rPr>
          <w:rFonts w:eastAsia="Calibri"/>
          <w:b/>
          <w:lang w:eastAsia="en-GB"/>
        </w:rPr>
        <w:t xml:space="preserve"> of potentially productive capital off insurers’ balance sheet</w:t>
      </w:r>
      <w:r w:rsidR="00E02C4E">
        <w:rPr>
          <w:rFonts w:eastAsia="Calibri"/>
          <w:b/>
          <w:lang w:eastAsia="en-GB"/>
        </w:rPr>
        <w:t>,</w:t>
      </w:r>
      <w:r w:rsidRPr="008530C3">
        <w:rPr>
          <w:rFonts w:eastAsia="Calibri"/>
          <w:b/>
          <w:lang w:eastAsia="en-GB"/>
        </w:rPr>
        <w:t xml:space="preserve"> causes problems </w:t>
      </w:r>
      <w:r w:rsidRPr="008530C3">
        <w:rPr>
          <w:rFonts w:eastAsia="Calibri"/>
          <w:b/>
          <w:u w:val="single"/>
          <w:lang w:eastAsia="en-GB"/>
        </w:rPr>
        <w:t>now</w:t>
      </w:r>
      <w:r w:rsidR="00695528" w:rsidRPr="00551DFA">
        <w:rPr>
          <w:rFonts w:eastAsia="Calibri"/>
          <w:b/>
          <w:lang w:eastAsia="en-GB"/>
        </w:rPr>
        <w:t xml:space="preserve">, </w:t>
      </w:r>
      <w:r w:rsidR="00695528" w:rsidRPr="002E34AE">
        <w:rPr>
          <w:rFonts w:eastAsia="Calibri"/>
          <w:b/>
          <w:lang w:eastAsia="en-GB"/>
        </w:rPr>
        <w:t>especially</w:t>
      </w:r>
      <w:r w:rsidRPr="008530C3">
        <w:rPr>
          <w:rFonts w:eastAsia="Calibri"/>
          <w:b/>
          <w:lang w:eastAsia="en-GB"/>
        </w:rPr>
        <w:t xml:space="preserve"> for long-term products.</w:t>
      </w:r>
    </w:p>
    <w:p w14:paraId="0997AA5F" w14:textId="76AA02A8" w:rsidR="00AD659E" w:rsidRDefault="00FC7375" w:rsidP="00711598">
      <w:pPr>
        <w:pStyle w:val="CEABullet-Level1"/>
        <w:jc w:val="both"/>
        <w:rPr>
          <w:rFonts w:eastAsia="Calibri"/>
          <w:b/>
          <w:lang w:eastAsia="en-GB"/>
        </w:rPr>
      </w:pPr>
      <w:r>
        <w:rPr>
          <w:rFonts w:eastAsia="Calibri"/>
          <w:b/>
          <w:lang w:eastAsia="en-GB"/>
        </w:rPr>
        <w:t>Therefore, i</w:t>
      </w:r>
      <w:r w:rsidR="0054359C">
        <w:rPr>
          <w:rFonts w:eastAsia="Calibri"/>
          <w:b/>
          <w:lang w:eastAsia="en-GB"/>
        </w:rPr>
        <w:t>mprovements should not wait until 2020</w:t>
      </w:r>
      <w:r w:rsidR="00E02C4E">
        <w:rPr>
          <w:rFonts w:eastAsia="Calibri"/>
          <w:b/>
          <w:lang w:eastAsia="en-GB"/>
        </w:rPr>
        <w:t>. T</w:t>
      </w:r>
      <w:r w:rsidR="00AD659E" w:rsidRPr="00695528">
        <w:rPr>
          <w:rFonts w:eastAsia="Calibri"/>
          <w:b/>
          <w:lang w:eastAsia="en-GB"/>
        </w:rPr>
        <w:t xml:space="preserve">he </w:t>
      </w:r>
      <w:r w:rsidR="00AD659E">
        <w:rPr>
          <w:rFonts w:eastAsia="Calibri"/>
          <w:b/>
          <w:lang w:eastAsia="en-GB"/>
        </w:rPr>
        <w:t xml:space="preserve">cost of capital in the </w:t>
      </w:r>
      <w:r w:rsidR="00AD659E" w:rsidRPr="00695528">
        <w:rPr>
          <w:rFonts w:eastAsia="Calibri"/>
          <w:b/>
          <w:lang w:eastAsia="en-GB"/>
        </w:rPr>
        <w:t xml:space="preserve">risk margin should be reviewed </w:t>
      </w:r>
      <w:r w:rsidR="00AD659E" w:rsidRPr="00695528">
        <w:rPr>
          <w:rFonts w:eastAsia="Calibri"/>
          <w:b/>
          <w:u w:val="single"/>
          <w:lang w:eastAsia="en-GB"/>
        </w:rPr>
        <w:t>now</w:t>
      </w:r>
      <w:r w:rsidR="00AD659E">
        <w:rPr>
          <w:rFonts w:eastAsia="Calibri"/>
          <w:b/>
          <w:lang w:eastAsia="en-GB"/>
        </w:rPr>
        <w:t>, and the design of the risk margin should be a priority area of the 2020 review.</w:t>
      </w:r>
    </w:p>
    <w:p w14:paraId="1A6FAC4C" w14:textId="77777777" w:rsidR="00C24C58" w:rsidRDefault="00C24C58" w:rsidP="00711598">
      <w:pPr>
        <w:pStyle w:val="CEABullet-Level1"/>
        <w:jc w:val="both"/>
        <w:rPr>
          <w:rFonts w:eastAsia="Calibri"/>
          <w:b/>
          <w:lang w:eastAsia="en-GB"/>
        </w:rPr>
      </w:pPr>
      <w:r w:rsidRPr="00C24C58">
        <w:rPr>
          <w:rFonts w:eastAsia="Calibri"/>
          <w:b/>
          <w:lang w:eastAsia="en-GB"/>
        </w:rPr>
        <w:t xml:space="preserve">A decrease in the 6% cost of capital would release capital, in particular for long-term products. This capital could then be used to support more long-term investment. </w:t>
      </w:r>
    </w:p>
    <w:p w14:paraId="0DCAA5D5" w14:textId="49BE0437" w:rsidR="00AD659E" w:rsidRPr="00695528" w:rsidRDefault="00AD659E" w:rsidP="00711598">
      <w:pPr>
        <w:pStyle w:val="CEABullet-Level1"/>
        <w:jc w:val="both"/>
        <w:rPr>
          <w:rFonts w:eastAsia="Calibri"/>
          <w:lang w:eastAsia="en-GB"/>
        </w:rPr>
      </w:pPr>
      <w:r w:rsidRPr="00695528">
        <w:rPr>
          <w:rFonts w:eastAsia="Calibri"/>
          <w:lang w:eastAsia="en-GB"/>
        </w:rPr>
        <w:t>The risk margin is a theoretical concept developed for Solvency II, and is not needed to cover any policyholder commitments. For some long-term products it can be even greater than the solvency capital requirements. The industry has highlighted that such levels do not make economic sense, but EIOPA d</w:t>
      </w:r>
      <w:r w:rsidR="00C24C58">
        <w:rPr>
          <w:rFonts w:eastAsia="Calibri"/>
          <w:lang w:eastAsia="en-GB"/>
        </w:rPr>
        <w:t>id</w:t>
      </w:r>
      <w:r w:rsidRPr="00695528">
        <w:rPr>
          <w:rFonts w:eastAsia="Calibri"/>
          <w:lang w:eastAsia="en-GB"/>
        </w:rPr>
        <w:t xml:space="preserve"> not </w:t>
      </w:r>
      <w:r w:rsidR="006A19D8">
        <w:rPr>
          <w:rFonts w:eastAsia="Calibri"/>
          <w:lang w:eastAsia="en-GB"/>
        </w:rPr>
        <w:t>investigate this issue</w:t>
      </w:r>
      <w:r w:rsidRPr="00695528">
        <w:rPr>
          <w:rFonts w:eastAsia="Calibri"/>
          <w:lang w:eastAsia="en-GB"/>
        </w:rPr>
        <w:t xml:space="preserve">. Such an analysis should be a key element of the discussion. </w:t>
      </w:r>
    </w:p>
    <w:p w14:paraId="32488E22" w14:textId="77777777" w:rsidR="00AD659E" w:rsidRPr="00695528" w:rsidRDefault="00AD659E" w:rsidP="00711598">
      <w:pPr>
        <w:pStyle w:val="CEABullet-Level1"/>
        <w:jc w:val="both"/>
      </w:pPr>
      <w:r w:rsidRPr="00695528">
        <w:rPr>
          <w:rFonts w:eastAsia="Calibri"/>
          <w:lang w:eastAsia="en-GB"/>
        </w:rPr>
        <w:t xml:space="preserve">The industry provided extensive evidence that shows that the cost of capital, which is a key element in the calculation, could be significantly lower than 6%, and such evidence should not be ignored.  </w:t>
      </w:r>
      <w:r w:rsidRPr="00695528">
        <w:t xml:space="preserve"> </w:t>
      </w:r>
    </w:p>
    <w:p w14:paraId="24817935" w14:textId="77777777" w:rsidR="00AD659E" w:rsidRDefault="00AD659E" w:rsidP="00711598">
      <w:pPr>
        <w:pStyle w:val="CEABullet-Level1"/>
        <w:numPr>
          <w:ilvl w:val="0"/>
          <w:numId w:val="0"/>
        </w:numPr>
        <w:jc w:val="both"/>
      </w:pPr>
    </w:p>
    <w:p w14:paraId="1613AB57" w14:textId="77777777" w:rsidR="00AD659E" w:rsidRPr="00695528" w:rsidRDefault="00C24C58" w:rsidP="00711598">
      <w:pPr>
        <w:pStyle w:val="CEABullet-Level1"/>
        <w:numPr>
          <w:ilvl w:val="0"/>
          <w:numId w:val="0"/>
        </w:numPr>
        <w:jc w:val="both"/>
        <w:rPr>
          <w:i/>
          <w:u w:val="single"/>
        </w:rPr>
      </w:pPr>
      <w:r w:rsidRPr="00695528">
        <w:rPr>
          <w:i/>
          <w:u w:val="single"/>
        </w:rPr>
        <w:t>LAC DT:</w:t>
      </w:r>
    </w:p>
    <w:p w14:paraId="60C1A82F" w14:textId="0198E35E" w:rsidR="002104C9" w:rsidRPr="00CB46FC" w:rsidRDefault="006A19D8" w:rsidP="00711598">
      <w:pPr>
        <w:pStyle w:val="CEABullet-Level1"/>
        <w:jc w:val="both"/>
        <w:rPr>
          <w:rFonts w:eastAsia="Calibri"/>
          <w:b/>
          <w:lang w:eastAsia="en-GB"/>
        </w:rPr>
      </w:pPr>
      <w:r>
        <w:rPr>
          <w:rFonts w:eastAsia="Calibri"/>
          <w:b/>
          <w:lang w:eastAsia="en-GB"/>
        </w:rPr>
        <w:t>The EC</w:t>
      </w:r>
      <w:r w:rsidR="00C24C58" w:rsidRPr="006A19D8">
        <w:rPr>
          <w:rFonts w:eastAsia="Calibri"/>
          <w:b/>
          <w:lang w:eastAsia="en-GB"/>
        </w:rPr>
        <w:t xml:space="preserve"> should reject </w:t>
      </w:r>
      <w:r w:rsidR="0054359C" w:rsidRPr="006A19D8">
        <w:rPr>
          <w:rFonts w:eastAsia="Calibri"/>
          <w:b/>
          <w:lang w:eastAsia="en-GB"/>
        </w:rPr>
        <w:t xml:space="preserve">the </w:t>
      </w:r>
      <w:r w:rsidR="00C24C58" w:rsidRPr="006A19D8">
        <w:rPr>
          <w:b/>
        </w:rPr>
        <w:t>artificial and conservative limits</w:t>
      </w:r>
      <w:r w:rsidR="00C24C58" w:rsidRPr="00F77A13">
        <w:rPr>
          <w:b/>
        </w:rPr>
        <w:t xml:space="preserve"> </w:t>
      </w:r>
      <w:r w:rsidR="00670412">
        <w:rPr>
          <w:b/>
        </w:rPr>
        <w:t xml:space="preserve">that were </w:t>
      </w:r>
      <w:r w:rsidR="00C24C58" w:rsidRPr="00F77A13">
        <w:rPr>
          <w:b/>
        </w:rPr>
        <w:t xml:space="preserve">proposed by EIOPA under the pretext of convergence. </w:t>
      </w:r>
      <w:r w:rsidR="00B17DBC" w:rsidRPr="00B17DBC">
        <w:rPr>
          <w:b/>
        </w:rPr>
        <w:t xml:space="preserve">There are legitimate reasons, </w:t>
      </w:r>
      <w:r w:rsidR="00B17DBC">
        <w:rPr>
          <w:b/>
        </w:rPr>
        <w:t xml:space="preserve">strongly linked </w:t>
      </w:r>
      <w:r w:rsidR="00B17DBC" w:rsidRPr="00B17DBC">
        <w:rPr>
          <w:b/>
        </w:rPr>
        <w:t>to local market specificities, for keeping the cur</w:t>
      </w:r>
      <w:r w:rsidR="00B25453">
        <w:rPr>
          <w:b/>
        </w:rPr>
        <w:t>rent principle-</w:t>
      </w:r>
      <w:r w:rsidR="00B17DBC">
        <w:rPr>
          <w:b/>
        </w:rPr>
        <w:t>based approach.</w:t>
      </w:r>
      <w:r w:rsidR="00B17DBC" w:rsidRPr="00B17DBC">
        <w:rPr>
          <w:b/>
        </w:rPr>
        <w:t xml:space="preserve"> </w:t>
      </w:r>
    </w:p>
    <w:p w14:paraId="1F226DB9" w14:textId="00DBF013" w:rsidR="006A19D8" w:rsidRPr="002E34AE" w:rsidRDefault="002104C9" w:rsidP="00711598">
      <w:pPr>
        <w:pStyle w:val="CEABullet-Level1"/>
        <w:jc w:val="both"/>
        <w:rPr>
          <w:rFonts w:eastAsia="Calibri"/>
          <w:b/>
          <w:lang w:eastAsia="en-GB"/>
        </w:rPr>
      </w:pPr>
      <w:r w:rsidRPr="00CB46FC">
        <w:rPr>
          <w:rFonts w:eastAsia="Calibri"/>
          <w:b/>
          <w:lang w:eastAsia="en-GB"/>
        </w:rPr>
        <w:t xml:space="preserve">For good reasons, the EC did not ask EIOPA to provide </w:t>
      </w:r>
      <w:r w:rsidR="00613E4D">
        <w:rPr>
          <w:rFonts w:eastAsia="Calibri"/>
          <w:b/>
          <w:lang w:eastAsia="en-GB"/>
        </w:rPr>
        <w:t xml:space="preserve">advice on adding to the rules </w:t>
      </w:r>
      <w:r w:rsidRPr="00CB46FC">
        <w:rPr>
          <w:rFonts w:eastAsia="Calibri"/>
          <w:b/>
          <w:lang w:eastAsia="en-GB"/>
        </w:rPr>
        <w:t xml:space="preserve">on LAC DT – and the industry supported the EC decision. </w:t>
      </w:r>
    </w:p>
    <w:p w14:paraId="78CAF77F" w14:textId="4DEE2919" w:rsidR="0054359C" w:rsidRPr="006A19D8" w:rsidRDefault="0054359C" w:rsidP="00711598">
      <w:pPr>
        <w:pStyle w:val="CEABullet-Level1"/>
        <w:jc w:val="both"/>
        <w:rPr>
          <w:rFonts w:eastAsia="Calibri"/>
          <w:b/>
          <w:lang w:eastAsia="en-GB"/>
        </w:rPr>
      </w:pPr>
      <w:r w:rsidRPr="002E34AE">
        <w:rPr>
          <w:rFonts w:eastAsia="Calibri"/>
          <w:b/>
          <w:lang w:eastAsia="en-GB"/>
        </w:rPr>
        <w:t xml:space="preserve">Increased convergence should not mean </w:t>
      </w:r>
      <w:r w:rsidRPr="006A19D8">
        <w:rPr>
          <w:rFonts w:eastAsia="Calibri"/>
          <w:b/>
          <w:lang w:eastAsia="en-GB"/>
        </w:rPr>
        <w:t>that the</w:t>
      </w:r>
      <w:r w:rsidRPr="002E34AE">
        <w:rPr>
          <w:rFonts w:eastAsia="Calibri"/>
          <w:b/>
          <w:lang w:eastAsia="en-GB"/>
        </w:rPr>
        <w:t xml:space="preserve"> most prudent and restrictive approach</w:t>
      </w:r>
      <w:r w:rsidRPr="006A19D8">
        <w:rPr>
          <w:rFonts w:eastAsia="Calibri"/>
          <w:b/>
          <w:lang w:eastAsia="en-GB"/>
        </w:rPr>
        <w:t xml:space="preserve"> applied by one supervisor is </w:t>
      </w:r>
      <w:r w:rsidR="00FE2D25">
        <w:rPr>
          <w:rFonts w:eastAsia="Calibri"/>
          <w:b/>
          <w:lang w:eastAsia="en-GB"/>
        </w:rPr>
        <w:t>ex</w:t>
      </w:r>
      <w:r w:rsidR="007E05EE">
        <w:rPr>
          <w:rFonts w:eastAsia="Calibri"/>
          <w:b/>
          <w:lang w:eastAsia="en-GB"/>
        </w:rPr>
        <w:t xml:space="preserve">trapolated </w:t>
      </w:r>
      <w:r w:rsidRPr="006A19D8">
        <w:rPr>
          <w:rFonts w:eastAsia="Calibri"/>
          <w:b/>
          <w:lang w:eastAsia="en-GB"/>
        </w:rPr>
        <w:t>to all markets</w:t>
      </w:r>
      <w:r w:rsidR="006A19D8">
        <w:rPr>
          <w:rFonts w:eastAsia="Calibri"/>
          <w:b/>
          <w:lang w:eastAsia="en-GB"/>
        </w:rPr>
        <w:t>.</w:t>
      </w:r>
    </w:p>
    <w:p w14:paraId="37DF8401" w14:textId="2A9B9F9A" w:rsidR="00C24C58" w:rsidRDefault="00C24C58" w:rsidP="00711598">
      <w:pPr>
        <w:pStyle w:val="CEABullet-Level1"/>
        <w:jc w:val="both"/>
        <w:rPr>
          <w:rFonts w:eastAsia="Calibri"/>
          <w:lang w:eastAsia="en-GB"/>
        </w:rPr>
      </w:pPr>
      <w:r>
        <w:rPr>
          <w:rFonts w:eastAsia="Calibri"/>
          <w:lang w:eastAsia="en-GB"/>
        </w:rPr>
        <w:t>Solvency II already provides a very high level of harmonisation in Europe, and increasing convergence in practice is expected over time, as companies and supervisors gather more experience with the framework</w:t>
      </w:r>
      <w:r w:rsidR="0036381E">
        <w:rPr>
          <w:rFonts w:eastAsia="Calibri"/>
          <w:lang w:eastAsia="en-GB"/>
        </w:rPr>
        <w:t>.</w:t>
      </w:r>
    </w:p>
    <w:p w14:paraId="5D6FD908" w14:textId="77777777" w:rsidR="006A19D8" w:rsidRPr="002E34AE" w:rsidRDefault="0054359C" w:rsidP="00711598">
      <w:pPr>
        <w:pStyle w:val="CEABullet-Level1"/>
        <w:jc w:val="both"/>
        <w:rPr>
          <w:rFonts w:eastAsia="Calibri" w:cs="Calibri"/>
          <w:szCs w:val="17"/>
          <w:lang w:eastAsia="en-GB"/>
        </w:rPr>
      </w:pPr>
      <w:r w:rsidRPr="002E34AE">
        <w:rPr>
          <w:rFonts w:eastAsia="Calibri"/>
          <w:lang w:eastAsia="en-GB"/>
        </w:rPr>
        <w:t xml:space="preserve">Convergence does not mean applying arbitrary limitations </w:t>
      </w:r>
      <w:r w:rsidRPr="002E34AE">
        <w:rPr>
          <w:rFonts w:eastAsia="Calibri" w:cs="Calibri"/>
          <w:szCs w:val="17"/>
          <w:lang w:eastAsia="en-GB"/>
        </w:rPr>
        <w:t xml:space="preserve">irrespective of local market specificities, conditions and risks. </w:t>
      </w:r>
      <w:r w:rsidRPr="002E34AE">
        <w:rPr>
          <w:rFonts w:eastAsia="Calibri"/>
          <w:szCs w:val="22"/>
          <w:lang w:val="en-US"/>
        </w:rPr>
        <w:t>Such an approach defeats the risk-based nature of the framework and risks making the framework significantly more conservative than it already is</w:t>
      </w:r>
      <w:r w:rsidR="006A19D8" w:rsidRPr="002E34AE">
        <w:rPr>
          <w:rFonts w:eastAsia="Calibri"/>
          <w:szCs w:val="22"/>
          <w:lang w:val="en-US"/>
        </w:rPr>
        <w:t>.</w:t>
      </w:r>
    </w:p>
    <w:p w14:paraId="3BB4C115" w14:textId="66B8CC4B" w:rsidR="00C24C58" w:rsidRPr="002751E2" w:rsidRDefault="00E91049" w:rsidP="00711598">
      <w:pPr>
        <w:pStyle w:val="CEABullet-Level1"/>
        <w:jc w:val="both"/>
        <w:rPr>
          <w:rFonts w:eastAsia="Calibri"/>
          <w:lang w:val="en-US"/>
        </w:rPr>
      </w:pPr>
      <w:r>
        <w:rPr>
          <w:rFonts w:eastAsia="Calibri"/>
        </w:rPr>
        <w:lastRenderedPageBreak/>
        <w:t>T</w:t>
      </w:r>
      <w:r w:rsidRPr="00E91049">
        <w:rPr>
          <w:rFonts w:eastAsia="Calibri"/>
        </w:rPr>
        <w:t>here is no single right answer to potential prudential concerns on LAC DT. In fact, a number of considerations impact the decisions on LAC DT, including the nature of the business, the profile of undertakings, the tax regimes, pull-to par assumptions etc. Therefore</w:t>
      </w:r>
      <w:r>
        <w:rPr>
          <w:rFonts w:eastAsia="Calibri"/>
        </w:rPr>
        <w:t>, a</w:t>
      </w:r>
      <w:r w:rsidR="00C24C58" w:rsidRPr="002751E2">
        <w:rPr>
          <w:rFonts w:eastAsia="Calibri"/>
          <w:lang w:val="en-US"/>
        </w:rPr>
        <w:t xml:space="preserve">ny supervisory concerns should be addressed via appropriate supervisory dialogue, with appropriate knowledge of and </w:t>
      </w:r>
      <w:r w:rsidR="0054359C">
        <w:rPr>
          <w:rFonts w:eastAsia="Calibri"/>
          <w:lang w:val="en-US"/>
        </w:rPr>
        <w:t>account</w:t>
      </w:r>
      <w:r w:rsidR="0054359C" w:rsidRPr="002751E2">
        <w:rPr>
          <w:rFonts w:eastAsia="Calibri"/>
          <w:lang w:val="en-US"/>
        </w:rPr>
        <w:t xml:space="preserve"> </w:t>
      </w:r>
      <w:r w:rsidR="00C24C58" w:rsidRPr="002751E2">
        <w:rPr>
          <w:rFonts w:eastAsia="Calibri"/>
          <w:lang w:val="en-US"/>
        </w:rPr>
        <w:t xml:space="preserve">for undertaking's specific business models. </w:t>
      </w:r>
      <w:r w:rsidR="00C24C58">
        <w:rPr>
          <w:rFonts w:eastAsia="Calibri"/>
          <w:lang w:val="en-US"/>
        </w:rPr>
        <w:t xml:space="preserve">The Solvency II framework </w:t>
      </w:r>
      <w:r w:rsidR="00C24C58" w:rsidRPr="002751E2">
        <w:rPr>
          <w:rFonts w:eastAsia="Calibri"/>
          <w:lang w:val="en-US"/>
        </w:rPr>
        <w:t xml:space="preserve">should allow and encourage supervisory judgement and dialogue, and not </w:t>
      </w:r>
      <w:r w:rsidR="00C24C58">
        <w:rPr>
          <w:rFonts w:eastAsia="Calibri"/>
          <w:lang w:val="en-US"/>
        </w:rPr>
        <w:t xml:space="preserve">artificially </w:t>
      </w:r>
      <w:r w:rsidR="00C24C58" w:rsidRPr="002751E2">
        <w:rPr>
          <w:rFonts w:eastAsia="Calibri"/>
          <w:lang w:val="en-US"/>
        </w:rPr>
        <w:t>limit it.</w:t>
      </w:r>
    </w:p>
    <w:p w14:paraId="20600624" w14:textId="77777777" w:rsidR="00C24C58" w:rsidRPr="00695528" w:rsidRDefault="00C24C58" w:rsidP="00711598">
      <w:pPr>
        <w:pStyle w:val="CEABullet-Level1"/>
        <w:numPr>
          <w:ilvl w:val="0"/>
          <w:numId w:val="0"/>
        </w:numPr>
        <w:jc w:val="both"/>
        <w:rPr>
          <w:rFonts w:eastAsia="Calibri" w:cs="Calibri"/>
          <w:szCs w:val="17"/>
          <w:lang w:val="en-US" w:eastAsia="en-GB"/>
        </w:rPr>
      </w:pPr>
    </w:p>
    <w:p w14:paraId="1ED85FCF" w14:textId="77777777" w:rsidR="00C24C58" w:rsidRPr="00695528" w:rsidRDefault="001064D3" w:rsidP="00711598">
      <w:pPr>
        <w:pStyle w:val="CEABullet-Level1"/>
        <w:numPr>
          <w:ilvl w:val="0"/>
          <w:numId w:val="0"/>
        </w:numPr>
        <w:jc w:val="both"/>
        <w:rPr>
          <w:i/>
          <w:u w:val="single"/>
        </w:rPr>
      </w:pPr>
      <w:r w:rsidRPr="00695528">
        <w:rPr>
          <w:i/>
          <w:u w:val="single"/>
        </w:rPr>
        <w:t>Long-term investment:</w:t>
      </w:r>
    </w:p>
    <w:p w14:paraId="6DE03BAC" w14:textId="6E54AC62" w:rsidR="001064D3" w:rsidRPr="00551DFA" w:rsidRDefault="001064D3" w:rsidP="00711598">
      <w:pPr>
        <w:pStyle w:val="CEABullet-Level1"/>
        <w:jc w:val="both"/>
        <w:rPr>
          <w:b/>
        </w:rPr>
      </w:pPr>
      <w:r w:rsidRPr="00551DFA">
        <w:rPr>
          <w:b/>
        </w:rPr>
        <w:t>Assessing the impact of the Solvency II review on insurers’ ability to provide long-term products and invest in long-term assets should be a key priority of European policymakers</w:t>
      </w:r>
      <w:r w:rsidR="002104C9" w:rsidRPr="00551DFA">
        <w:rPr>
          <w:b/>
        </w:rPr>
        <w:t>.</w:t>
      </w:r>
    </w:p>
    <w:p w14:paraId="5ADB8769" w14:textId="44AB7D06" w:rsidR="0054359C" w:rsidRDefault="001064D3" w:rsidP="00711598">
      <w:pPr>
        <w:pStyle w:val="CEABullet-Level1"/>
        <w:jc w:val="both"/>
      </w:pPr>
      <w:r>
        <w:t xml:space="preserve">Unfortunately, the </w:t>
      </w:r>
      <w:r w:rsidR="002104C9">
        <w:t xml:space="preserve">EIOPA </w:t>
      </w:r>
      <w:r>
        <w:t>advice appear</w:t>
      </w:r>
      <w:r w:rsidR="0054359C">
        <w:t>s</w:t>
      </w:r>
      <w:r>
        <w:t xml:space="preserve"> to have </w:t>
      </w:r>
      <w:r w:rsidR="008A2236">
        <w:t xml:space="preserve">generally ignored </w:t>
      </w:r>
      <w:r>
        <w:t xml:space="preserve">both: </w:t>
      </w:r>
    </w:p>
    <w:p w14:paraId="54647919" w14:textId="77777777" w:rsidR="0054359C" w:rsidRDefault="001064D3" w:rsidP="00711598">
      <w:pPr>
        <w:pStyle w:val="CEABullet-Level1"/>
        <w:numPr>
          <w:ilvl w:val="0"/>
          <w:numId w:val="0"/>
        </w:numPr>
        <w:ind w:left="426"/>
        <w:jc w:val="both"/>
      </w:pPr>
      <w:r>
        <w:t xml:space="preserve">1) </w:t>
      </w:r>
      <w:r w:rsidR="008A2236">
        <w:t xml:space="preserve">the ongoing </w:t>
      </w:r>
      <w:r>
        <w:t xml:space="preserve">industry </w:t>
      </w:r>
      <w:r w:rsidR="008A2236">
        <w:t xml:space="preserve">concerns around </w:t>
      </w:r>
      <w:r>
        <w:t xml:space="preserve">the overall impact of </w:t>
      </w:r>
      <w:r w:rsidR="008A2236">
        <w:t>S</w:t>
      </w:r>
      <w:r>
        <w:t xml:space="preserve">olvency </w:t>
      </w:r>
      <w:r w:rsidR="008A2236">
        <w:t xml:space="preserve">II </w:t>
      </w:r>
      <w:r>
        <w:t xml:space="preserve">on long-term investment and </w:t>
      </w:r>
    </w:p>
    <w:p w14:paraId="184A24A7" w14:textId="5C513043" w:rsidR="001064D3" w:rsidRDefault="001064D3" w:rsidP="00711598">
      <w:pPr>
        <w:pStyle w:val="CEABullet-Level1"/>
        <w:numPr>
          <w:ilvl w:val="0"/>
          <w:numId w:val="0"/>
        </w:numPr>
        <w:ind w:left="426"/>
        <w:jc w:val="both"/>
      </w:pPr>
      <w:r>
        <w:t xml:space="preserve">2) </w:t>
      </w:r>
      <w:r w:rsidR="008A2236">
        <w:t xml:space="preserve">the European imperative for insurers to increase their role in </w:t>
      </w:r>
      <w:r w:rsidR="0054359C">
        <w:t>supporting</w:t>
      </w:r>
      <w:r>
        <w:t xml:space="preserve"> long-term growth</w:t>
      </w:r>
      <w:r w:rsidR="008A2236">
        <w:t xml:space="preserve">. </w:t>
      </w:r>
    </w:p>
    <w:p w14:paraId="78A49DA8" w14:textId="01E819F6" w:rsidR="002104C9" w:rsidRDefault="008638C5" w:rsidP="00711598">
      <w:pPr>
        <w:pStyle w:val="CEABullet-Level1"/>
        <w:jc w:val="both"/>
      </w:pPr>
      <w:r>
        <w:t>While t</w:t>
      </w:r>
      <w:r w:rsidR="0054359C">
        <w:t>he 2020 review</w:t>
      </w:r>
      <w:r w:rsidR="002C6EDA">
        <w:t xml:space="preserve"> needs </w:t>
      </w:r>
      <w:r w:rsidR="006A19D8">
        <w:t xml:space="preserve">to </w:t>
      </w:r>
      <w:r w:rsidR="002C6EDA">
        <w:t xml:space="preserve">examine </w:t>
      </w:r>
      <w:r>
        <w:t xml:space="preserve">holistically </w:t>
      </w:r>
      <w:r w:rsidR="002C6EDA">
        <w:t>improvements that allow Solvency II to reflect properly the long-term nature of the business</w:t>
      </w:r>
      <w:r w:rsidR="006A19D8">
        <w:t xml:space="preserve">. </w:t>
      </w:r>
    </w:p>
    <w:p w14:paraId="6F6CC779" w14:textId="4038B07C" w:rsidR="008A2236" w:rsidRDefault="006A19D8" w:rsidP="00711598">
      <w:pPr>
        <w:pStyle w:val="CEABullet-Level1"/>
        <w:jc w:val="both"/>
      </w:pPr>
      <w:r>
        <w:t>However,</w:t>
      </w:r>
      <w:r w:rsidR="002C6EDA">
        <w:t xml:space="preserve"> </w:t>
      </w:r>
      <w:r>
        <w:t>t</w:t>
      </w:r>
      <w:r w:rsidR="001064D3">
        <w:t xml:space="preserve">here are </w:t>
      </w:r>
      <w:r w:rsidR="008A2236">
        <w:t xml:space="preserve">concrete steps </w:t>
      </w:r>
      <w:r w:rsidR="001064D3">
        <w:t xml:space="preserve">that </w:t>
      </w:r>
      <w:r w:rsidR="008A2236">
        <w:t>the EC</w:t>
      </w:r>
      <w:r w:rsidR="002C6EDA">
        <w:t xml:space="preserve"> should</w:t>
      </w:r>
      <w:r w:rsidR="008A2236">
        <w:t xml:space="preserve"> take </w:t>
      </w:r>
      <w:r w:rsidR="002C6EDA" w:rsidRPr="00CB46FC">
        <w:rPr>
          <w:u w:val="single"/>
        </w:rPr>
        <w:t>now</w:t>
      </w:r>
      <w:r w:rsidR="002C6EDA">
        <w:t xml:space="preserve"> </w:t>
      </w:r>
      <w:r w:rsidR="008A2236">
        <w:t>as part of th</w:t>
      </w:r>
      <w:r w:rsidR="002C6EDA">
        <w:t>is</w:t>
      </w:r>
      <w:r w:rsidR="008A2236">
        <w:t xml:space="preserve"> </w:t>
      </w:r>
      <w:r w:rsidR="002C6EDA">
        <w:t xml:space="preserve">2018 </w:t>
      </w:r>
      <w:r w:rsidR="008A2236">
        <w:t xml:space="preserve">review to support European </w:t>
      </w:r>
      <w:r w:rsidR="002C6EDA">
        <w:t xml:space="preserve">growth and investment </w:t>
      </w:r>
      <w:r w:rsidR="008A2236">
        <w:t>ambitions:</w:t>
      </w:r>
    </w:p>
    <w:p w14:paraId="3B2D5EA0" w14:textId="2647A63A" w:rsidR="008A2236" w:rsidRDefault="008A2236" w:rsidP="00711598">
      <w:pPr>
        <w:pStyle w:val="Odsekzoznamu"/>
        <w:numPr>
          <w:ilvl w:val="1"/>
          <w:numId w:val="1"/>
        </w:numPr>
        <w:jc w:val="both"/>
      </w:pPr>
      <w:r>
        <w:t xml:space="preserve">Recognise the impact that changes in </w:t>
      </w:r>
      <w:r w:rsidR="001064D3">
        <w:t>interest rate risk</w:t>
      </w:r>
      <w:r>
        <w:t xml:space="preserve"> and the currently high </w:t>
      </w:r>
      <w:r w:rsidR="001064D3">
        <w:t>risk margin</w:t>
      </w:r>
      <w:r>
        <w:t xml:space="preserve"> have on companies’ long-term products and ability to invest </w:t>
      </w:r>
      <w:r w:rsidR="001064D3">
        <w:t>long-term</w:t>
      </w:r>
      <w:r>
        <w:t xml:space="preserve">. This gives additional </w:t>
      </w:r>
      <w:r w:rsidR="002C6EDA">
        <w:t xml:space="preserve">reasons </w:t>
      </w:r>
      <w:r>
        <w:t>for the EC to:</w:t>
      </w:r>
    </w:p>
    <w:p w14:paraId="03542827" w14:textId="27948D63" w:rsidR="001064D3" w:rsidRDefault="008A2236" w:rsidP="00711598">
      <w:pPr>
        <w:pStyle w:val="Odsekzoznamu"/>
        <w:numPr>
          <w:ilvl w:val="2"/>
          <w:numId w:val="1"/>
        </w:numPr>
        <w:jc w:val="both"/>
      </w:pPr>
      <w:r>
        <w:t xml:space="preserve">Make no changes on </w:t>
      </w:r>
      <w:r w:rsidR="001064D3">
        <w:t>interest rate risk</w:t>
      </w:r>
    </w:p>
    <w:p w14:paraId="465F06CA" w14:textId="3E6FE1FA" w:rsidR="001064D3" w:rsidRDefault="008A2236" w:rsidP="00711598">
      <w:pPr>
        <w:pStyle w:val="Odsekzoznamu"/>
        <w:numPr>
          <w:ilvl w:val="2"/>
          <w:numId w:val="1"/>
        </w:numPr>
        <w:jc w:val="both"/>
      </w:pPr>
      <w:r>
        <w:t xml:space="preserve">Reduce </w:t>
      </w:r>
      <w:r w:rsidR="001064D3">
        <w:t>the cost of capital of the risk margin</w:t>
      </w:r>
    </w:p>
    <w:p w14:paraId="46945A7C" w14:textId="5A824478" w:rsidR="008A2236" w:rsidRPr="00CB46FC" w:rsidRDefault="008312E6" w:rsidP="00711598">
      <w:pPr>
        <w:pStyle w:val="Odsekzoznamu"/>
        <w:numPr>
          <w:ilvl w:val="1"/>
          <w:numId w:val="1"/>
        </w:numPr>
        <w:jc w:val="both"/>
        <w:rPr>
          <w:b/>
        </w:rPr>
      </w:pPr>
      <w:r w:rsidRPr="00CB46FC">
        <w:rPr>
          <w:b/>
        </w:rPr>
        <w:t xml:space="preserve">Investigate ways to reduce the current excessive capital charges for </w:t>
      </w:r>
      <w:r w:rsidR="000703DE" w:rsidRPr="00CB46FC">
        <w:rPr>
          <w:b/>
        </w:rPr>
        <w:t xml:space="preserve">long-term </w:t>
      </w:r>
      <w:r w:rsidRPr="00CB46FC">
        <w:rPr>
          <w:b/>
        </w:rPr>
        <w:t xml:space="preserve">investment </w:t>
      </w:r>
      <w:r w:rsidR="000703DE" w:rsidRPr="00CB46FC">
        <w:rPr>
          <w:b/>
        </w:rPr>
        <w:t xml:space="preserve">strategies </w:t>
      </w:r>
      <w:r w:rsidRPr="00CB46FC">
        <w:rPr>
          <w:b/>
        </w:rPr>
        <w:t>in equities, beyond the very limited scope of unlisted equity</w:t>
      </w:r>
      <w:r w:rsidR="000703DE" w:rsidRPr="00CB46FC">
        <w:rPr>
          <w:b/>
        </w:rPr>
        <w:t xml:space="preserve">. </w:t>
      </w:r>
    </w:p>
    <w:p w14:paraId="44601E7D" w14:textId="10809FD8" w:rsidR="00440FEE" w:rsidRDefault="00440FEE" w:rsidP="00711598">
      <w:pPr>
        <w:jc w:val="both"/>
      </w:pPr>
    </w:p>
    <w:sectPr w:rsidR="00440FE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41FFC" w14:textId="77777777" w:rsidR="00811CC6" w:rsidRDefault="00811CC6" w:rsidP="00F77A13">
      <w:pPr>
        <w:spacing w:after="0" w:line="240" w:lineRule="auto"/>
      </w:pPr>
      <w:r>
        <w:separator/>
      </w:r>
    </w:p>
  </w:endnote>
  <w:endnote w:type="continuationSeparator" w:id="0">
    <w:p w14:paraId="3E0E1DE7" w14:textId="77777777" w:rsidR="00811CC6" w:rsidRDefault="00811CC6" w:rsidP="00F7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107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45575" w14:textId="5F9E1BC8" w:rsidR="00811CC6" w:rsidRDefault="00811CC6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8BA070" w14:textId="77777777" w:rsidR="00811CC6" w:rsidRDefault="00811C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0E2A" w14:textId="77777777" w:rsidR="00811CC6" w:rsidRDefault="00811CC6" w:rsidP="00F77A13">
      <w:pPr>
        <w:spacing w:after="0" w:line="240" w:lineRule="auto"/>
      </w:pPr>
      <w:r>
        <w:separator/>
      </w:r>
    </w:p>
  </w:footnote>
  <w:footnote w:type="continuationSeparator" w:id="0">
    <w:p w14:paraId="72ABA89E" w14:textId="77777777" w:rsidR="00811CC6" w:rsidRDefault="00811CC6" w:rsidP="00F7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799E5" w14:textId="2B6699BD" w:rsidR="00811CC6" w:rsidRPr="00551DFA" w:rsidRDefault="00811CC6" w:rsidP="000901C6">
    <w:pPr>
      <w:pStyle w:val="Hlavika"/>
      <w:jc w:val="right"/>
      <w:rPr>
        <w:color w:val="FF0000"/>
      </w:rPr>
    </w:pPr>
    <w:r w:rsidRPr="00551DFA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14602"/>
    <w:multiLevelType w:val="hybridMultilevel"/>
    <w:tmpl w:val="BDF4DBDA"/>
    <w:lvl w:ilvl="0" w:tplc="8E0A95A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E2B88"/>
    <w:multiLevelType w:val="hybridMultilevel"/>
    <w:tmpl w:val="0E52A974"/>
    <w:lvl w:ilvl="0" w:tplc="E5AA4F82">
      <w:start w:val="165"/>
      <w:numFmt w:val="bullet"/>
      <w:pStyle w:val="CEABullet-Level1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59"/>
    <w:rsid w:val="0001763C"/>
    <w:rsid w:val="000414E5"/>
    <w:rsid w:val="000703DE"/>
    <w:rsid w:val="000901C6"/>
    <w:rsid w:val="001064D3"/>
    <w:rsid w:val="0011648F"/>
    <w:rsid w:val="0013380A"/>
    <w:rsid w:val="00152D64"/>
    <w:rsid w:val="002104C9"/>
    <w:rsid w:val="002C6EDA"/>
    <w:rsid w:val="002E34AE"/>
    <w:rsid w:val="002F274E"/>
    <w:rsid w:val="0036381E"/>
    <w:rsid w:val="00364D59"/>
    <w:rsid w:val="003A4230"/>
    <w:rsid w:val="003C71C4"/>
    <w:rsid w:val="00432812"/>
    <w:rsid w:val="00435A55"/>
    <w:rsid w:val="00440FEE"/>
    <w:rsid w:val="004B4A34"/>
    <w:rsid w:val="004B76D5"/>
    <w:rsid w:val="0054359C"/>
    <w:rsid w:val="00551DFA"/>
    <w:rsid w:val="005D1708"/>
    <w:rsid w:val="00613E4D"/>
    <w:rsid w:val="00667B6E"/>
    <w:rsid w:val="00670412"/>
    <w:rsid w:val="00674531"/>
    <w:rsid w:val="00695528"/>
    <w:rsid w:val="006A19D8"/>
    <w:rsid w:val="006C5B6B"/>
    <w:rsid w:val="006D1A61"/>
    <w:rsid w:val="00711598"/>
    <w:rsid w:val="007E05EE"/>
    <w:rsid w:val="00811CC6"/>
    <w:rsid w:val="008312E6"/>
    <w:rsid w:val="008638C5"/>
    <w:rsid w:val="008A2236"/>
    <w:rsid w:val="009278B3"/>
    <w:rsid w:val="009742B3"/>
    <w:rsid w:val="00A76533"/>
    <w:rsid w:val="00AD659E"/>
    <w:rsid w:val="00B17DBC"/>
    <w:rsid w:val="00B25453"/>
    <w:rsid w:val="00C24C58"/>
    <w:rsid w:val="00CA0CE7"/>
    <w:rsid w:val="00CB46FC"/>
    <w:rsid w:val="00D4790A"/>
    <w:rsid w:val="00D74587"/>
    <w:rsid w:val="00D84C7D"/>
    <w:rsid w:val="00D84C99"/>
    <w:rsid w:val="00E02C4E"/>
    <w:rsid w:val="00E91049"/>
    <w:rsid w:val="00F77A13"/>
    <w:rsid w:val="00F8705B"/>
    <w:rsid w:val="00F92B0E"/>
    <w:rsid w:val="00FC7375"/>
    <w:rsid w:val="00FD695B"/>
    <w:rsid w:val="00FD7B69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F64E"/>
  <w15:chartTrackingRefBased/>
  <w15:docId w15:val="{7A7DE7BB-8EC4-4A3D-A855-014F855D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05B"/>
    <w:pPr>
      <w:spacing w:line="288" w:lineRule="auto"/>
    </w:pPr>
    <w:rPr>
      <w:rFonts w:ascii="Verdana" w:hAnsi="Verdana"/>
      <w:sz w:val="17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EABullet-Level1">
    <w:name w:val="CEA Bullet - Level 1"/>
    <w:basedOn w:val="Normlny"/>
    <w:qFormat/>
    <w:rsid w:val="00364D59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Frutiger LT Std 45 Light"/>
      <w:color w:val="000000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364D59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8A223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528"/>
    <w:rPr>
      <w:rFonts w:ascii="Segoe UI" w:hAnsi="Segoe UI" w:cs="Segoe UI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F77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A13"/>
    <w:rPr>
      <w:rFonts w:ascii="Verdana" w:hAnsi="Verdana"/>
      <w:sz w:val="17"/>
      <w:lang w:val="en-GB"/>
    </w:rPr>
  </w:style>
  <w:style w:type="paragraph" w:styleId="Pta">
    <w:name w:val="footer"/>
    <w:basedOn w:val="Normlny"/>
    <w:link w:val="PtaChar"/>
    <w:uiPriority w:val="99"/>
    <w:unhideWhenUsed/>
    <w:rsid w:val="00F77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A13"/>
    <w:rPr>
      <w:rFonts w:ascii="Verdana" w:hAnsi="Verdana"/>
      <w:sz w:val="17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D84C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4C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4C99"/>
    <w:rPr>
      <w:rFonts w:ascii="Verdana" w:hAnsi="Verdana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4C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4C99"/>
    <w:rPr>
      <w:rFonts w:ascii="Verdana" w:hAnsi="Verdan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34d7415f-f1a4-44df-8e35-2ceaafd480dc" xsi:nil="true"/>
    <Type_x0020_of_x0020_memo xmlns="70f7eb82-310d-4963-bf1e-a4c2a37fd81c" xsi:nil="true"/>
    <Linked_x0020_files xmlns="$ListId:PublishedDocuments;">a2882208-4a30-460e-80ea-c14fdc9e8c8a@2</Linked_x0020_files>
    <ValidationComment xmlns="e092deee-a6f6-4f89-8a6c-e2a43e9fb5cf" xsi:nil="true"/>
    <isAnnex xmlns="0db322c1-ecdf-4c8f-bade-e13d7e7097d4">False</isAnnex>
    <Can_x0020_be_x0020_edited xmlns="$ListId:PublishedDocuments;">false</Can_x0020_be_x0020_edited>
    <AllowComments xmlns="e092deee-a6f6-4f89-8a6c-e2a43e9fb5cf">false</AllowComments>
    <Validated xmlns="e092deee-a6f6-4f89-8a6c-e2a43e9fb5cf">false</Validated>
    <Deadline xmlns="0db322c1-ecdf-4c8f-bade-e13d7e7097d4" xsi:nil="true"/>
    <Uploads xmlns="0db322c1-ecdf-4c8f-bade-e13d7e7097d4">false</Uploads>
    <Display_x0020_validated_x0020_documents_x0020_library_x0020_button xmlns="70f7eb82-310d-4963-bf1e-a4c2a37fd81c">false</Display_x0020_validated_x0020_documents_x0020_library_x0020_butt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0FCF08F96A5A2F428D34FBFBBCC0A573" ma:contentTypeVersion="0" ma:contentTypeDescription="Published Documents Content types for Insurance Europe" ma:contentTypeScope="" ma:versionID="5e78fb665628ea15f5ff0aab78559a20">
  <xsd:schema xmlns:xsd="http://www.w3.org/2001/XMLSchema" xmlns:xs="http://www.w3.org/2001/XMLSchema" xmlns:p="http://schemas.microsoft.com/office/2006/metadata/properties" xmlns:ns2="e092deee-a6f6-4f89-8a6c-e2a43e9fb5cf" xmlns:ns3="$ListId:PublishedDocuments;" xmlns:ns4="34d7415f-f1a4-44df-8e35-2ceaafd480dc" xmlns:ns5="0db322c1-ecdf-4c8f-bade-e13d7e7097d4" xmlns:ns6="70f7eb82-310d-4963-bf1e-a4c2a37fd81c" targetNamespace="http://schemas.microsoft.com/office/2006/metadata/properties" ma:root="true" ma:fieldsID="b1f8455f3cc5d4230a6a0b3884076d77" ns2:_="" ns3:_="" ns4:_="" ns5:_="" ns6:_="">
    <xsd:import namespace="e092deee-a6f6-4f89-8a6c-e2a43e9fb5cf"/>
    <xsd:import namespace="$ListId:PublishedDocuments;"/>
    <xsd:import namespace="34d7415f-f1a4-44df-8e35-2ceaafd480dc"/>
    <xsd:import namespace="0db322c1-ecdf-4c8f-bade-e13d7e7097d4"/>
    <xsd:import namespace="70f7eb82-310d-4963-bf1e-a4c2a37fd81c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3:Can_x0020_be_x0020_edited" minOccurs="0"/>
                <xsd:element ref="ns3:Linked_x0020_files" minOccurs="0"/>
                <xsd:element ref="ns4:Type_x0020_of_x0020_document" minOccurs="0"/>
                <xsd:element ref="ns5:Deadline" minOccurs="0"/>
                <xsd:element ref="ns6:Type_x0020_of_x0020_memo" minOccurs="0"/>
                <xsd:element ref="ns6:Display_x0020_validated_x0020_documents_x0020_library_x0020_button" minOccurs="0"/>
                <xsd:element ref="ns5:isAnnex" minOccurs="0"/>
                <xsd:element ref="ns5:Up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deee-a6f6-4f89-8a6c-e2a43e9fb5cf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>
      <xsd:simpleType>
        <xsd:restriction base="dms:Boolean"/>
      </xsd:simpleType>
    </xsd:element>
    <xsd:element name="Validated" ma:index="9" nillable="true" ma:displayName="Validated" ma:default="0" ma:internalName="Validated">
      <xsd:simpleType>
        <xsd:restriction base="dms:Boolean"/>
      </xsd:simpleType>
    </xsd:element>
    <xsd:element name="ValidationComment" ma:index="10" nillable="true" ma:displayName="ValidationComment" ma:internalName="Validation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ublishedDocuments;" elementFormDefault="qualified">
    <xsd:import namespace="http://schemas.microsoft.com/office/2006/documentManagement/types"/>
    <xsd:import namespace="http://schemas.microsoft.com/office/infopath/2007/PartnerControls"/>
    <xsd:element name="Can_x0020_be_x0020_edited" ma:index="11" nillable="true" ma:displayName="Can be edited" ma:default="0" ma:internalName="Can_x0020_be_x0020_edited">
      <xsd:simpleType>
        <xsd:restriction base="dms:Boolean"/>
      </xsd:simpleType>
    </xsd:element>
    <xsd:element name="Linked_x0020_files" ma:index="12" nillable="true" ma:displayName="Linked files" ma:internalName="Linked_x0020_fil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415f-f1a4-44df-8e35-2ceaafd480dc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13" nillable="true" ma:displayName="Type of document" ma:format="Dropdown" ma:internalName="Type_x0020_of_x0020_document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22c1-ecdf-4c8f-bade-e13d7e7097d4" elementFormDefault="qualified">
    <xsd:import namespace="http://schemas.microsoft.com/office/2006/documentManagement/types"/>
    <xsd:import namespace="http://schemas.microsoft.com/office/infopath/2007/PartnerControls"/>
    <xsd:element name="Deadline" ma:index="14" nillable="true" ma:displayName="Deadline" ma:format="DateTime" ma:internalName="Deadline">
      <xsd:simpleType>
        <xsd:restriction base="dms:DateTime"/>
      </xsd:simpleType>
    </xsd:element>
    <xsd:element name="isAnnex" ma:index="17" nillable="true" ma:displayName="isAnnex" ma:internalName="isAnnex">
      <xsd:simpleType>
        <xsd:restriction base="dms:Text"/>
      </xsd:simpleType>
    </xsd:element>
    <xsd:element name="Uploads" ma:index="18" nillable="true" ma:displayName="Uploads" ma:internalName="Upload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eb82-310d-4963-bf1e-a4c2a37fd81c" elementFormDefault="qualified">
    <xsd:import namespace="http://schemas.microsoft.com/office/2006/documentManagement/types"/>
    <xsd:import namespace="http://schemas.microsoft.com/office/infopath/2007/PartnerControls"/>
    <xsd:element name="Type_x0020_of_x0020_memo" ma:index="15" nillable="true" ma:displayName="Type of memo" ma:format="Dropdown" ma:internalName="Type_x0020_of_x0020_memo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6" nillable="true" ma:displayName="Display validated documents library button" ma:default="0" ma:internalName="Display_x0020_validated_x0020_documents_x0020_library_x0020_butt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6848-C4CB-4626-9A20-CC724F359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D1A79-955D-4186-8501-D5AD6545D720}">
  <ds:schemaRefs>
    <ds:schemaRef ds:uri="http://schemas.microsoft.com/office/2006/documentManagement/types"/>
    <ds:schemaRef ds:uri="http://purl.org/dc/terms/"/>
    <ds:schemaRef ds:uri="0db322c1-ecdf-4c8f-bade-e13d7e7097d4"/>
    <ds:schemaRef ds:uri="http://purl.org/dc/elements/1.1/"/>
    <ds:schemaRef ds:uri="$ListId:PublishedDocuments;"/>
    <ds:schemaRef ds:uri="http://purl.org/dc/dcmitype/"/>
    <ds:schemaRef ds:uri="http://www.w3.org/XML/1998/namespace"/>
    <ds:schemaRef ds:uri="http://schemas.microsoft.com/office/infopath/2007/PartnerControls"/>
    <ds:schemaRef ds:uri="70f7eb82-310d-4963-bf1e-a4c2a37fd81c"/>
    <ds:schemaRef ds:uri="http://schemas.microsoft.com/office/2006/metadata/properties"/>
    <ds:schemaRef ds:uri="http://schemas.openxmlformats.org/package/2006/metadata/core-properties"/>
    <ds:schemaRef ds:uri="34d7415f-f1a4-44df-8e35-2ceaafd480dc"/>
    <ds:schemaRef ds:uri="e092deee-a6f6-4f89-8a6c-e2a43e9fb5cf"/>
  </ds:schemaRefs>
</ds:datastoreItem>
</file>

<file path=customXml/itemProps3.xml><?xml version="1.0" encoding="utf-8"?>
<ds:datastoreItem xmlns:ds="http://schemas.openxmlformats.org/officeDocument/2006/customXml" ds:itemID="{BBF21B1F-EC4E-414B-90F7-C2CF0F3A1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deee-a6f6-4f89-8a6c-e2a43e9fb5cf"/>
    <ds:schemaRef ds:uri="$ListId:PublishedDocuments;"/>
    <ds:schemaRef ds:uri="34d7415f-f1a4-44df-8e35-2ceaafd480dc"/>
    <ds:schemaRef ds:uri="0db322c1-ecdf-4c8f-bade-e13d7e7097d4"/>
    <ds:schemaRef ds:uri="70f7eb82-310d-4963-bf1e-a4c2a37fd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AA840-66CF-4314-AE91-E98C7FEF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8159</Characters>
  <Application>Microsoft Office Word</Application>
  <DocSecurity>4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Final key messages on SII review following EIOPA's advice - clean</vt:lpstr>
      <vt:lpstr>Final key messages on SII review following EIOPA's advice - track changes</vt:lpstr>
    </vt:vector>
  </TitlesOfParts>
  <Company/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key messages on SII review following EIOPA's advice - clean</dc:title>
  <dc:subject/>
  <dc:creator>Cristina Mihai</dc:creator>
  <cp:keywords/>
  <dc:description/>
  <cp:lastModifiedBy>Bachníček Jozef</cp:lastModifiedBy>
  <cp:revision>2</cp:revision>
  <dcterms:created xsi:type="dcterms:W3CDTF">2018-03-14T10:34:00Z</dcterms:created>
  <dcterms:modified xsi:type="dcterms:W3CDTF">2018-03-14T10:34:00Z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0x0101000FCF08F96A5A2F428D34FBFBBCC0A573</vt:lpwstr>
  </property>
</Properties>
</file>