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8EEB4" w14:textId="77777777" w:rsidR="009176FF" w:rsidRPr="00FA4DAB" w:rsidRDefault="009176FF" w:rsidP="009176FF">
      <w:pPr>
        <w:spacing w:line="240" w:lineRule="auto"/>
        <w:jc w:val="left"/>
        <w:rPr>
          <w:rStyle w:val="CEAGraphTitle"/>
          <w:szCs w:val="17"/>
        </w:rPr>
      </w:pPr>
    </w:p>
    <w:p w14:paraId="360FE499" w14:textId="36938A90" w:rsidR="00F7112E" w:rsidRPr="00655696" w:rsidRDefault="0006143E" w:rsidP="00655696">
      <w:pPr>
        <w:jc w:val="center"/>
        <w:rPr>
          <w:rFonts w:cs="Arial"/>
          <w:b/>
          <w:color w:val="002957"/>
          <w:sz w:val="20"/>
          <w:szCs w:val="20"/>
          <w:lang w:val="en"/>
        </w:rPr>
      </w:pPr>
      <w:r w:rsidRPr="7B488A8B">
        <w:rPr>
          <w:rFonts w:cs="Arial"/>
          <w:b/>
          <w:color w:val="002957"/>
          <w:sz w:val="20"/>
          <w:szCs w:val="20"/>
          <w:lang w:val="en"/>
        </w:rPr>
        <w:t>Insurance E</w:t>
      </w:r>
      <w:r w:rsidR="00327A14" w:rsidRPr="7B488A8B">
        <w:rPr>
          <w:rFonts w:cs="Arial"/>
          <w:b/>
          <w:color w:val="002957"/>
          <w:sz w:val="20"/>
          <w:szCs w:val="20"/>
          <w:lang w:val="en"/>
        </w:rPr>
        <w:t xml:space="preserve">urope first draft response to </w:t>
      </w:r>
      <w:r w:rsidR="00F7112E" w:rsidRPr="7B488A8B">
        <w:rPr>
          <w:rFonts w:cs="Arial"/>
          <w:b/>
          <w:color w:val="002957"/>
          <w:sz w:val="20"/>
          <w:szCs w:val="20"/>
          <w:lang w:val="en"/>
        </w:rPr>
        <w:t>EIOPA’s consultation paper on the prudential treatment of sustainability risk</w:t>
      </w:r>
    </w:p>
    <w:p w14:paraId="5DD0A903" w14:textId="77777777" w:rsidR="00E04888" w:rsidRDefault="00E04888" w:rsidP="00E04888">
      <w:pPr>
        <w:pStyle w:val="CEAStandardHeading"/>
        <w:rPr>
          <w:szCs w:val="17"/>
          <w:lang w:val="en"/>
        </w:rPr>
      </w:pPr>
    </w:p>
    <w:p w14:paraId="382B4380" w14:textId="77777777" w:rsidR="00E04888" w:rsidRDefault="00E04888" w:rsidP="00E04888">
      <w:pPr>
        <w:pStyle w:val="CEAStandardHeading"/>
        <w:rPr>
          <w:szCs w:val="17"/>
          <w:lang w:val="en"/>
        </w:rPr>
      </w:pPr>
    </w:p>
    <w:p w14:paraId="6EC954EC" w14:textId="77777777" w:rsidR="00E04888" w:rsidRPr="0092499C" w:rsidRDefault="00E04888" w:rsidP="00E04888">
      <w:pPr>
        <w:pStyle w:val="CEAStandardHeading"/>
        <w:numPr>
          <w:ilvl w:val="0"/>
          <w:numId w:val="4"/>
        </w:numPr>
        <w:ind w:left="360"/>
        <w:rPr>
          <w:b/>
          <w:bCs/>
          <w:color w:val="auto"/>
          <w:sz w:val="17"/>
          <w:szCs w:val="17"/>
          <w:lang w:val="en"/>
        </w:rPr>
      </w:pPr>
      <w:r w:rsidRPr="0092499C">
        <w:rPr>
          <w:b/>
          <w:bCs/>
          <w:color w:val="auto"/>
          <w:sz w:val="17"/>
          <w:szCs w:val="17"/>
          <w:lang w:val="en"/>
        </w:rPr>
        <w:t>What are your views regarding the analysis of equity and spread risk?</w:t>
      </w:r>
    </w:p>
    <w:p w14:paraId="3CCBD041" w14:textId="77777777" w:rsidR="00E04888" w:rsidRDefault="00E04888" w:rsidP="00E04888">
      <w:pPr>
        <w:pStyle w:val="CEAStandardHeading"/>
        <w:rPr>
          <w:color w:val="auto"/>
          <w:sz w:val="17"/>
          <w:szCs w:val="17"/>
          <w:lang w:val="en"/>
        </w:rPr>
      </w:pPr>
    </w:p>
    <w:p w14:paraId="68C0B315" w14:textId="38D03964" w:rsidR="00354A52" w:rsidRDefault="00652FF6" w:rsidP="00B3759F">
      <w:pPr>
        <w:pStyle w:val="CEABullet-Level1"/>
        <w:ind w:left="360"/>
      </w:pPr>
      <w:r w:rsidRPr="004B6691">
        <w:rPr>
          <w:b/>
          <w:bCs/>
        </w:rPr>
        <w:t>The paper falls short in demonstrating the adequacy or the necessity of an additional prudential treatment</w:t>
      </w:r>
      <w:r w:rsidRPr="00840FA6">
        <w:t xml:space="preserve">. As mentioned by EIOPA, the </w:t>
      </w:r>
      <w:r w:rsidRPr="004B6691">
        <w:rPr>
          <w:b/>
          <w:bCs/>
        </w:rPr>
        <w:t>data used in certain areas is insufficient and lacking in robustness</w:t>
      </w:r>
      <w:r w:rsidRPr="00840FA6">
        <w:t xml:space="preserve">. </w:t>
      </w:r>
      <w:r w:rsidR="00453247">
        <w:t xml:space="preserve">EIOPA’s analysis is flawed, </w:t>
      </w:r>
      <w:r w:rsidR="0038462A">
        <w:t>therefore</w:t>
      </w:r>
      <w:r w:rsidR="003D3CC7">
        <w:t xml:space="preserve"> a change to Pilar 1 requirements is no</w:t>
      </w:r>
      <w:r w:rsidR="00843A2E">
        <w:t>t</w:t>
      </w:r>
      <w:r w:rsidR="003D3CC7">
        <w:t xml:space="preserve"> justifie</w:t>
      </w:r>
      <w:r w:rsidR="00E63777">
        <w:t>d</w:t>
      </w:r>
      <w:r w:rsidR="003D3CC7">
        <w:t>.</w:t>
      </w:r>
      <w:r w:rsidR="00B3759F" w:rsidRPr="00B3759F">
        <w:rPr>
          <w:b/>
          <w:bCs/>
        </w:rPr>
        <w:t xml:space="preserve"> </w:t>
      </w:r>
    </w:p>
    <w:p w14:paraId="3234F4DA" w14:textId="77777777" w:rsidR="00BC666E" w:rsidRPr="00BC666E" w:rsidRDefault="00E2701C" w:rsidP="00AF573D">
      <w:pPr>
        <w:pStyle w:val="CEABullet-Level1"/>
        <w:tabs>
          <w:tab w:val="left" w:pos="709"/>
          <w:tab w:val="left" w:pos="851"/>
        </w:tabs>
        <w:ind w:left="360"/>
      </w:pPr>
      <w:r>
        <w:t>I</w:t>
      </w:r>
      <w:r w:rsidR="00651ED0" w:rsidRPr="00144B53">
        <w:rPr>
          <w:b/>
          <w:bCs/>
        </w:rPr>
        <w:t>t is important to follow a risk-based and evidence-based approach</w:t>
      </w:r>
      <w:r w:rsidR="00142D9B">
        <w:rPr>
          <w:b/>
          <w:bCs/>
        </w:rPr>
        <w:t xml:space="preserve"> to preserve SII’s </w:t>
      </w:r>
      <w:r w:rsidR="00327A14">
        <w:rPr>
          <w:b/>
          <w:bCs/>
        </w:rPr>
        <w:t>risk-based</w:t>
      </w:r>
      <w:r w:rsidR="00142D9B">
        <w:rPr>
          <w:b/>
          <w:bCs/>
        </w:rPr>
        <w:t xml:space="preserve"> nature</w:t>
      </w:r>
      <w:r w:rsidR="00F804D2">
        <w:t>,</w:t>
      </w:r>
      <w:r w:rsidR="00651ED0" w:rsidRPr="008B141A">
        <w:t xml:space="preserve"> </w:t>
      </w:r>
      <w:r w:rsidR="00F804D2" w:rsidRPr="00F804D2">
        <w:t>relying on high quality and robust data before considering any changes to the calibration of the Solvency II shocks. However, the data used contains a high level of noise, non-linearities, which makes the isolation of the effect of different levels of potential transition impossible.</w:t>
      </w:r>
      <w:r w:rsidR="00F804D2" w:rsidRPr="00C5315A">
        <w:rPr>
          <w:b/>
          <w:bCs/>
        </w:rPr>
        <w:t xml:space="preserve"> </w:t>
      </w:r>
      <w:r w:rsidR="00357728">
        <w:rPr>
          <w:b/>
          <w:bCs/>
        </w:rPr>
        <w:t xml:space="preserve"> </w:t>
      </w:r>
    </w:p>
    <w:p w14:paraId="011DEB75" w14:textId="5DB14FAB" w:rsidR="00C7479D" w:rsidRPr="00C7479D" w:rsidRDefault="00A71461" w:rsidP="00E93A6A">
      <w:pPr>
        <w:pStyle w:val="CEABullet-Level1"/>
        <w:ind w:left="360"/>
      </w:pPr>
      <w:r>
        <w:rPr>
          <w:b/>
          <w:bCs/>
        </w:rPr>
        <w:t xml:space="preserve">The industry </w:t>
      </w:r>
      <w:r w:rsidR="00F94205">
        <w:rPr>
          <w:b/>
          <w:bCs/>
        </w:rPr>
        <w:t>highlights the following concerns</w:t>
      </w:r>
      <w:r w:rsidR="00C7479D">
        <w:rPr>
          <w:b/>
          <w:bCs/>
        </w:rPr>
        <w:t>:</w:t>
      </w:r>
    </w:p>
    <w:p w14:paraId="2F251E92" w14:textId="6736A299" w:rsidR="007D00F5" w:rsidRDefault="00A072DC" w:rsidP="00603FC2">
      <w:pPr>
        <w:pStyle w:val="CEABullet-Level2"/>
      </w:pPr>
      <w:r>
        <w:t>T</w:t>
      </w:r>
      <w:r w:rsidRPr="00840FA6">
        <w:t xml:space="preserve">he </w:t>
      </w:r>
      <w:r w:rsidRPr="007D00F5">
        <w:rPr>
          <w:b/>
          <w:bCs/>
        </w:rPr>
        <w:t>identification of transition risks in bonds and equities is mainly assumed ex ante</w:t>
      </w:r>
      <w:r w:rsidRPr="00840FA6">
        <w:t xml:space="preserve"> by EIOPA in the construction of the portfolios analysed, rather than observed through data. </w:t>
      </w:r>
      <w:r w:rsidR="007D00F5">
        <w:t>EIOPA attributes a</w:t>
      </w:r>
      <w:r w:rsidR="007D00F5" w:rsidRPr="007D00F5">
        <w:t>dditional volatility for fossil fuel assets to transition risks, yet other factors may contribute.</w:t>
      </w:r>
    </w:p>
    <w:p w14:paraId="390D91BC" w14:textId="77A30A73" w:rsidR="00C567D0" w:rsidRPr="00840FA6" w:rsidRDefault="00C567D0" w:rsidP="00603FC2">
      <w:pPr>
        <w:pStyle w:val="CEABullet-Level2"/>
      </w:pPr>
      <w:r w:rsidRPr="007D00F5">
        <w:rPr>
          <w:b/>
          <w:bCs/>
        </w:rPr>
        <w:t>The approaches taken on the forward-looking perspective implies</w:t>
      </w:r>
      <w:r w:rsidRPr="00840FA6">
        <w:t xml:space="preserve"> </w:t>
      </w:r>
      <w:r w:rsidRPr="007D00F5">
        <w:rPr>
          <w:b/>
          <w:bCs/>
        </w:rPr>
        <w:t>circular reasoning</w:t>
      </w:r>
      <w:r w:rsidRPr="00840FA6">
        <w:t xml:space="preserve">, as stress tests presume a transition risk. Consequently, assumptions made in the context of the stress test would be considered as basis for transition risk assessment. </w:t>
      </w:r>
    </w:p>
    <w:p w14:paraId="05E10493" w14:textId="77777777" w:rsidR="007636B8" w:rsidRDefault="000A6361" w:rsidP="00603FC2">
      <w:pPr>
        <w:pStyle w:val="CEABullet-Level2"/>
      </w:pPr>
      <w:proofErr w:type="gramStart"/>
      <w:r>
        <w:rPr>
          <w:b/>
          <w:bCs/>
        </w:rPr>
        <w:t xml:space="preserve">SII </w:t>
      </w:r>
      <w:r w:rsidR="00F804D2" w:rsidRPr="00C5315A">
        <w:rPr>
          <w:b/>
          <w:bCs/>
        </w:rPr>
        <w:t xml:space="preserve"> </w:t>
      </w:r>
      <w:r>
        <w:rPr>
          <w:b/>
          <w:bCs/>
        </w:rPr>
        <w:t>approach</w:t>
      </w:r>
      <w:proofErr w:type="gramEnd"/>
      <w:r>
        <w:rPr>
          <w:b/>
          <w:bCs/>
        </w:rPr>
        <w:t xml:space="preserve"> consists </w:t>
      </w:r>
      <w:r w:rsidRPr="00C567D0">
        <w:t xml:space="preserve">of </w:t>
      </w:r>
      <w:r w:rsidR="00357728" w:rsidRPr="00C567D0">
        <w:t>the use of market values as the best valuation available</w:t>
      </w:r>
      <w:r w:rsidR="00357728">
        <w:t>. Questioning market consistency in specific instances without demonstrating that prices are not derived from efficient markets deviates from the nature of the S2 framework.</w:t>
      </w:r>
      <w:r w:rsidR="007636B8" w:rsidRPr="007636B8">
        <w:t xml:space="preserve"> </w:t>
      </w:r>
    </w:p>
    <w:p w14:paraId="127B890E" w14:textId="77777777" w:rsidR="005A2642" w:rsidRDefault="007636B8" w:rsidP="00603FC2">
      <w:pPr>
        <w:pStyle w:val="CEABullet-Level2"/>
      </w:pPr>
      <w:r w:rsidRPr="005A2642">
        <w:rPr>
          <w:b/>
          <w:bCs/>
        </w:rPr>
        <w:t xml:space="preserve">Solvency II capital requirements are determined based on a 99.5% </w:t>
      </w:r>
      <w:proofErr w:type="spellStart"/>
      <w:r w:rsidR="003605E8" w:rsidRPr="005A2642">
        <w:rPr>
          <w:b/>
          <w:bCs/>
        </w:rPr>
        <w:t>VaR</w:t>
      </w:r>
      <w:proofErr w:type="spellEnd"/>
      <w:r w:rsidRPr="005A2642">
        <w:rPr>
          <w:b/>
          <w:bCs/>
        </w:rPr>
        <w:t xml:space="preserve"> measure over one year.</w:t>
      </w:r>
      <w:r w:rsidRPr="008B141A">
        <w:t xml:space="preserve"> Multi-year forward-looking assessments or scenarios with a different confidence level are part of the ORSA and should remain so. </w:t>
      </w:r>
      <w:r w:rsidRPr="005A2642">
        <w:rPr>
          <w:b/>
          <w:bCs/>
        </w:rPr>
        <w:t>Therefore, the ORSA seems to be the best option to address transition risk concerns</w:t>
      </w:r>
      <w:r w:rsidRPr="008B141A">
        <w:t>.</w:t>
      </w:r>
      <w:r w:rsidR="00C567D0" w:rsidRPr="005A2642">
        <w:rPr>
          <w:b/>
          <w:bCs/>
        </w:rPr>
        <w:t xml:space="preserve"> </w:t>
      </w:r>
      <w:r w:rsidR="00C54F6B">
        <w:t>In particular</w:t>
      </w:r>
      <w:r w:rsidR="00C54F6B" w:rsidRPr="00C54F6B">
        <w:t xml:space="preserve">, in the forward-looking analysis the one-year perspective and the multi-year perspective is mixed leading to wrong conclusions. </w:t>
      </w:r>
    </w:p>
    <w:p w14:paraId="34F86920" w14:textId="2E9D6E43" w:rsidR="00144B53" w:rsidRDefault="002A15AA" w:rsidP="00603FC2">
      <w:pPr>
        <w:pStyle w:val="CEABullet-Level2"/>
      </w:pPr>
      <w:r w:rsidRPr="002A15AA">
        <w:t xml:space="preserve">Transition risk's reflection in current market prices is </w:t>
      </w:r>
      <w:r>
        <w:t xml:space="preserve">generally </w:t>
      </w:r>
      <w:r w:rsidRPr="002A15AA">
        <w:t>acknowledged, though disentangling it from other risks is challenging</w:t>
      </w:r>
      <w:r w:rsidR="00C567D0">
        <w:t>. Market values are the result of the endless interconnections of numerous factors</w:t>
      </w:r>
      <w:r w:rsidR="00BC0970">
        <w:t xml:space="preserve"> including</w:t>
      </w:r>
      <w:r w:rsidR="00C567D0">
        <w:t xml:space="preserve"> monetary policies, inflation, geopolitics, technologies, demography, health, productivity not being the least.</w:t>
      </w:r>
    </w:p>
    <w:p w14:paraId="118019C8" w14:textId="4DD10C48" w:rsidR="00651ED0" w:rsidRDefault="0029189D" w:rsidP="00603FC2">
      <w:pPr>
        <w:pStyle w:val="CEABullet-Level2"/>
      </w:pPr>
      <w:r>
        <w:t>T</w:t>
      </w:r>
      <w:r w:rsidR="00651ED0" w:rsidRPr="00C27FC1">
        <w:t xml:space="preserve">he data used in certain areas </w:t>
      </w:r>
      <w:r w:rsidR="00C27FC1" w:rsidRPr="00C27FC1">
        <w:t xml:space="preserve">of </w:t>
      </w:r>
      <w:r w:rsidR="00DD711A">
        <w:t xml:space="preserve">EIOPA’s </w:t>
      </w:r>
      <w:r w:rsidR="00C27FC1" w:rsidRPr="00C27FC1">
        <w:t>analysis is</w:t>
      </w:r>
      <w:r w:rsidR="00651ED0" w:rsidRPr="00C27FC1">
        <w:t xml:space="preserve"> sparse and not sufficiently standardised</w:t>
      </w:r>
      <w:r w:rsidR="00651ED0" w:rsidRPr="008B141A">
        <w:t xml:space="preserve">. </w:t>
      </w:r>
      <w:r w:rsidR="00651ED0">
        <w:t>T</w:t>
      </w:r>
      <w:r w:rsidR="00651ED0" w:rsidRPr="008B141A">
        <w:t>hree time periods are used which do not allow for empirical evidence. For example, using the COVID period as a time series, which, due to its particularity and impact on certain sectors such as transport, implies a sampling bias that does not allow for empirical evidence to support the results.</w:t>
      </w:r>
      <w:r w:rsidR="00A072DC" w:rsidRPr="00A072DC">
        <w:t xml:space="preserve"> </w:t>
      </w:r>
    </w:p>
    <w:p w14:paraId="63F07F7E" w14:textId="77777777" w:rsidR="007B5ECA" w:rsidRDefault="00651ED0" w:rsidP="00603FC2">
      <w:pPr>
        <w:pStyle w:val="CEABullet-Level2"/>
      </w:pPr>
      <w:r w:rsidRPr="00703094">
        <w:t xml:space="preserve">The </w:t>
      </w:r>
      <w:r w:rsidRPr="007B5ECA">
        <w:rPr>
          <w:b/>
          <w:bCs/>
        </w:rPr>
        <w:t xml:space="preserve">assessment of transition risk should consider that the </w:t>
      </w:r>
      <w:r w:rsidR="00BD4BB8" w:rsidRPr="007B5ECA">
        <w:rPr>
          <w:b/>
          <w:bCs/>
        </w:rPr>
        <w:t xml:space="preserve">dynamic </w:t>
      </w:r>
      <w:r w:rsidRPr="007B5ECA">
        <w:rPr>
          <w:b/>
          <w:bCs/>
        </w:rPr>
        <w:t>economy</w:t>
      </w:r>
      <w:r w:rsidR="007041A5" w:rsidRPr="007041A5">
        <w:t xml:space="preserve"> where companies evolve</w:t>
      </w:r>
      <w:r w:rsidR="007041A5">
        <w:t>/transition</w:t>
      </w:r>
      <w:r w:rsidR="007041A5" w:rsidRPr="007041A5">
        <w:t xml:space="preserve"> due to influences from investors, policyholders, and competition</w:t>
      </w:r>
      <w:r w:rsidRPr="00703094">
        <w:t xml:space="preserve">. </w:t>
      </w:r>
      <w:r w:rsidR="007B5ECA" w:rsidRPr="007B5ECA">
        <w:t>We believe EIOPA's analysis inadequately reflects this dynamism, potentially leading to inappropriate conclusions.</w:t>
      </w:r>
    </w:p>
    <w:p w14:paraId="18F64E4C" w14:textId="77777777" w:rsidR="007D5831" w:rsidRDefault="00651ED0" w:rsidP="00603FC2">
      <w:pPr>
        <w:pStyle w:val="CEABullet-Level2"/>
      </w:pPr>
      <w:r w:rsidRPr="00703094">
        <w:t xml:space="preserve">In terms of asset exposures and transition risks, the </w:t>
      </w:r>
      <w:r w:rsidRPr="007D5831">
        <w:rPr>
          <w:b/>
          <w:bCs/>
        </w:rPr>
        <w:t>sectoral</w:t>
      </w:r>
      <w:r w:rsidR="00A62F29" w:rsidRPr="007D5831">
        <w:rPr>
          <w:b/>
          <w:bCs/>
        </w:rPr>
        <w:t>/NACE</w:t>
      </w:r>
      <w:r w:rsidRPr="007D5831">
        <w:rPr>
          <w:b/>
          <w:bCs/>
        </w:rPr>
        <w:t xml:space="preserve"> classification </w:t>
      </w:r>
      <w:proofErr w:type="gramStart"/>
      <w:r w:rsidR="007B5ECA" w:rsidRPr="007D5831">
        <w:rPr>
          <w:b/>
          <w:bCs/>
        </w:rPr>
        <w:t xml:space="preserve">overlooks </w:t>
      </w:r>
      <w:r w:rsidR="00FB4F44" w:rsidRPr="007D5831">
        <w:rPr>
          <w:b/>
          <w:bCs/>
        </w:rPr>
        <w:t xml:space="preserve"> insurers</w:t>
      </w:r>
      <w:proofErr w:type="gramEnd"/>
      <w:r w:rsidR="00FB4F44" w:rsidRPr="007D5831">
        <w:rPr>
          <w:b/>
          <w:bCs/>
        </w:rPr>
        <w:t xml:space="preserve">’ </w:t>
      </w:r>
      <w:r w:rsidR="00BA5FCF" w:rsidRPr="007D5831">
        <w:rPr>
          <w:b/>
          <w:bCs/>
        </w:rPr>
        <w:t>increasing</w:t>
      </w:r>
      <w:r w:rsidR="00FB4F44" w:rsidRPr="007D5831">
        <w:rPr>
          <w:b/>
          <w:bCs/>
        </w:rPr>
        <w:t xml:space="preserve"> consider</w:t>
      </w:r>
      <w:r w:rsidR="00BA5FCF" w:rsidRPr="007D5831">
        <w:rPr>
          <w:b/>
          <w:bCs/>
        </w:rPr>
        <w:t>ation of</w:t>
      </w:r>
      <w:r w:rsidR="00FB4F44" w:rsidRPr="007D5831">
        <w:rPr>
          <w:b/>
          <w:bCs/>
        </w:rPr>
        <w:t xml:space="preserve"> ESG factors</w:t>
      </w:r>
      <w:r w:rsidR="00BA5FCF" w:rsidRPr="007D5831">
        <w:rPr>
          <w:b/>
          <w:bCs/>
        </w:rPr>
        <w:t xml:space="preserve"> in investment policies. </w:t>
      </w:r>
      <w:r w:rsidR="007D5831" w:rsidRPr="007D5831">
        <w:t>may overestimate transition risk for well-performing companies and underestimate it for worse-performing ones. NACE codes, not designed for identifying transition risks, are often ambiguous.</w:t>
      </w:r>
    </w:p>
    <w:p w14:paraId="232741C5" w14:textId="15E11C39" w:rsidR="00C61ECB" w:rsidRDefault="00C61ECB" w:rsidP="00603FC2">
      <w:pPr>
        <w:pStyle w:val="CEABullet-Level2"/>
      </w:pPr>
      <w:r w:rsidRPr="007D5831">
        <w:rPr>
          <w:b/>
          <w:bCs/>
        </w:rPr>
        <w:lastRenderedPageBreak/>
        <w:t xml:space="preserve">On bonds, </w:t>
      </w:r>
      <w:r w:rsidR="00732D07" w:rsidRPr="00732D07">
        <w:t>credit quality rankings by rating agencies already encompass all pertinent information on counterparties' debt repayment capacity</w:t>
      </w:r>
      <w:r w:rsidRPr="00732D07">
        <w:t>.</w:t>
      </w:r>
      <w:r>
        <w:t xml:space="preserve"> </w:t>
      </w:r>
      <w:r w:rsidR="00164F85" w:rsidRPr="00164F85">
        <w:t>Attempting to extract proof of higher risk from insufficient data discredits the entire exercise.</w:t>
      </w:r>
    </w:p>
    <w:p w14:paraId="340C1BF4" w14:textId="77777777" w:rsidR="0090275D" w:rsidRPr="0090275D" w:rsidRDefault="0090275D" w:rsidP="00603FC2">
      <w:pPr>
        <w:pStyle w:val="CEABullet-Level2"/>
      </w:pPr>
      <w:r w:rsidRPr="0090275D">
        <w:rPr>
          <w:b/>
          <w:bCs/>
        </w:rPr>
        <w:t xml:space="preserve">The analysis of the equity </w:t>
      </w:r>
      <w:r w:rsidRPr="0090275D">
        <w:t>shock indicates increased volatility for fossil fuel-based issuers. However, it remains unclear whether this additional volatility is directly linked to transition risk.</w:t>
      </w:r>
    </w:p>
    <w:p w14:paraId="0D0CA71A" w14:textId="740662E0" w:rsidR="009201FA" w:rsidRPr="009201FA" w:rsidRDefault="00AF573D" w:rsidP="00603FC2">
      <w:pPr>
        <w:pStyle w:val="CEABullet-Level2"/>
      </w:pPr>
      <w:r>
        <w:t>Regarding the f</w:t>
      </w:r>
      <w:r w:rsidRPr="00FE7A03">
        <w:t>orward-looking</w:t>
      </w:r>
      <w:r w:rsidR="009201FA" w:rsidRPr="00FE7A03">
        <w:t xml:space="preserve"> analysis</w:t>
      </w:r>
      <w:r w:rsidR="009201FA" w:rsidRPr="009201FA">
        <w:t xml:space="preserve"> (both equites and bonds):</w:t>
      </w:r>
    </w:p>
    <w:p w14:paraId="25DBEBF4" w14:textId="77777777" w:rsidR="00692405" w:rsidRDefault="00692405" w:rsidP="00603FC2">
      <w:pPr>
        <w:pStyle w:val="CEABullet-Level3"/>
      </w:pPr>
      <w:r w:rsidRPr="00692405">
        <w:t>The analysis relies on numerous assumptions, resulting in high uncertainty. Changing parameters would yield significantly different results.</w:t>
      </w:r>
    </w:p>
    <w:p w14:paraId="193D612A" w14:textId="67D0FFD8" w:rsidR="009201FA" w:rsidRPr="009201FA" w:rsidRDefault="009201FA" w:rsidP="00603FC2">
      <w:pPr>
        <w:pStyle w:val="CEABullet-Level3"/>
      </w:pPr>
      <w:r w:rsidRPr="009201FA">
        <w:t>The probabilities of scenarios are not based on any research or scientific paper - a range between [0,5% and 4,5%] was chosen without any justification.</w:t>
      </w:r>
    </w:p>
    <w:p w14:paraId="67BAD87F" w14:textId="5F6C2AE3" w:rsidR="00E04888" w:rsidRDefault="0046513F" w:rsidP="00603FC2">
      <w:pPr>
        <w:pStyle w:val="CEABullet-Level3"/>
      </w:pPr>
      <w:r w:rsidRPr="0046513F">
        <w:t>Forward-looking simulations, based on expert judgment, should not be integrated into Standard Formula SCR calculations (Pillar I). Risk weight assessment should stick to proven quantitative measures from historical realizations. The paper argues for forward-looking simulations due to a lack of robust historical data on environmental impacts. However, their use should be limited and considered a supplementary tool for Pillar II analysis under Solvency II.</w:t>
      </w:r>
    </w:p>
    <w:p w14:paraId="1E2B66EE" w14:textId="77777777" w:rsidR="0046513F" w:rsidRPr="0046513F" w:rsidRDefault="0046513F" w:rsidP="008A5F91">
      <w:pPr>
        <w:pStyle w:val="CEABullet-Level1"/>
        <w:numPr>
          <w:ilvl w:val="0"/>
          <w:numId w:val="0"/>
        </w:numPr>
        <w:ind w:left="1713"/>
      </w:pPr>
    </w:p>
    <w:p w14:paraId="06105D6D" w14:textId="77777777" w:rsidR="00E04888" w:rsidRPr="0092499C" w:rsidRDefault="00E04888" w:rsidP="00E04888">
      <w:pPr>
        <w:pStyle w:val="CEAStandardHeading"/>
        <w:numPr>
          <w:ilvl w:val="0"/>
          <w:numId w:val="4"/>
        </w:numPr>
        <w:ind w:left="360"/>
        <w:rPr>
          <w:b/>
          <w:bCs/>
          <w:color w:val="auto"/>
          <w:sz w:val="17"/>
          <w:szCs w:val="17"/>
          <w:lang w:val="en"/>
        </w:rPr>
      </w:pPr>
      <w:r w:rsidRPr="0092499C">
        <w:rPr>
          <w:b/>
          <w:bCs/>
          <w:color w:val="auto"/>
          <w:sz w:val="17"/>
          <w:szCs w:val="17"/>
          <w:lang w:val="en"/>
        </w:rPr>
        <w:t>What are your views regarding the results, and in particular regarding the findings concerning fossil fuel-related stocks and bonds?</w:t>
      </w:r>
    </w:p>
    <w:p w14:paraId="3CDCD78B" w14:textId="77777777" w:rsidR="00E04888" w:rsidRPr="00E56C96" w:rsidRDefault="00E04888" w:rsidP="00E04888">
      <w:pPr>
        <w:pStyle w:val="CEABullet-Level1"/>
        <w:numPr>
          <w:ilvl w:val="0"/>
          <w:numId w:val="0"/>
        </w:numPr>
        <w:ind w:left="360"/>
      </w:pPr>
    </w:p>
    <w:p w14:paraId="6FDF18C1" w14:textId="77777777" w:rsidR="00FF7724" w:rsidRDefault="00F40F67" w:rsidP="00E56C96">
      <w:pPr>
        <w:pStyle w:val="CEABullet-Level1"/>
        <w:ind w:left="360"/>
      </w:pPr>
      <w:r>
        <w:t xml:space="preserve">EIOPA’s </w:t>
      </w:r>
      <w:r w:rsidR="00791BD8">
        <w:t xml:space="preserve">backward/forward </w:t>
      </w:r>
      <w:r w:rsidR="00E56C96" w:rsidRPr="00DE57A3">
        <w:t xml:space="preserve">analysis of equity risk and spread risk </w:t>
      </w:r>
      <w:r w:rsidR="00791BD8">
        <w:t>suggests</w:t>
      </w:r>
      <w:r w:rsidR="00E56C96" w:rsidRPr="00DE57A3">
        <w:t xml:space="preserve"> that the selection made of fossil fuel equities and bonds present a differentiated risk profile compared with other economic activities. </w:t>
      </w:r>
    </w:p>
    <w:p w14:paraId="681E6AD1" w14:textId="1867796D" w:rsidR="004418E3" w:rsidRPr="00A23484" w:rsidRDefault="00FD286E" w:rsidP="00E56C96">
      <w:pPr>
        <w:pStyle w:val="CEABullet-Level1"/>
        <w:ind w:left="360"/>
        <w:rPr>
          <w:b/>
          <w:bCs/>
        </w:rPr>
      </w:pPr>
      <w:r>
        <w:rPr>
          <w:b/>
          <w:bCs/>
        </w:rPr>
        <w:t>EIOPA’s analysis has several flaws</w:t>
      </w:r>
      <w:r w:rsidR="004418E3" w:rsidRPr="00A23484">
        <w:rPr>
          <w:b/>
          <w:bCs/>
        </w:rPr>
        <w:t>:</w:t>
      </w:r>
    </w:p>
    <w:p w14:paraId="5C9633FA" w14:textId="369F617D" w:rsidR="00E56C96" w:rsidRPr="00DE57A3" w:rsidRDefault="004418E3" w:rsidP="00603FC2">
      <w:pPr>
        <w:pStyle w:val="CEABullet-Level2"/>
      </w:pPr>
      <w:r>
        <w:t xml:space="preserve">It </w:t>
      </w:r>
      <w:r w:rsidR="00FA645A">
        <w:t>relies</w:t>
      </w:r>
      <w:r w:rsidR="00FF7724">
        <w:t xml:space="preserve"> on </w:t>
      </w:r>
      <w:proofErr w:type="gramStart"/>
      <w:r w:rsidR="00FF7724">
        <w:t xml:space="preserve">a </w:t>
      </w:r>
      <w:r w:rsidR="00FF7724" w:rsidRPr="00DE57A3">
        <w:t xml:space="preserve"> small</w:t>
      </w:r>
      <w:proofErr w:type="gramEnd"/>
      <w:r w:rsidR="00FF7724" w:rsidRPr="00DE57A3">
        <w:t xml:space="preserve"> </w:t>
      </w:r>
      <w:r w:rsidR="00FF7724">
        <w:t>sample analysis</w:t>
      </w:r>
      <w:r w:rsidR="00FF7724" w:rsidRPr="00DE57A3">
        <w:t>,</w:t>
      </w:r>
    </w:p>
    <w:p w14:paraId="0954ECF1" w14:textId="1398F640" w:rsidR="00E56C96" w:rsidRPr="00DE57A3" w:rsidRDefault="00E56C96" w:rsidP="00603FC2">
      <w:pPr>
        <w:pStyle w:val="CEABullet-Level2"/>
      </w:pPr>
      <w:r w:rsidRPr="00DE57A3">
        <w:rPr>
          <w:b/>
          <w:bCs/>
        </w:rPr>
        <w:t>EIOPA</w:t>
      </w:r>
      <w:r w:rsidR="00485D10">
        <w:rPr>
          <w:b/>
          <w:bCs/>
        </w:rPr>
        <w:t>’s data</w:t>
      </w:r>
      <w:r w:rsidRPr="00DE57A3">
        <w:rPr>
          <w:b/>
          <w:bCs/>
        </w:rPr>
        <w:t xml:space="preserve"> </w:t>
      </w:r>
      <w:r w:rsidR="00FA645A">
        <w:rPr>
          <w:b/>
          <w:bCs/>
        </w:rPr>
        <w:t>fails to</w:t>
      </w:r>
      <w:r w:rsidRPr="00DE57A3">
        <w:rPr>
          <w:b/>
          <w:bCs/>
        </w:rPr>
        <w:t xml:space="preserve"> clearly</w:t>
      </w:r>
      <w:r w:rsidR="00485D10">
        <w:rPr>
          <w:b/>
          <w:bCs/>
        </w:rPr>
        <w:t xml:space="preserve"> </w:t>
      </w:r>
      <w:r w:rsidRPr="00DE57A3">
        <w:rPr>
          <w:b/>
          <w:bCs/>
        </w:rPr>
        <w:t>isolate the impact of transition risks on spread movements or equity prices</w:t>
      </w:r>
      <w:r w:rsidRPr="00DE57A3">
        <w:t xml:space="preserve">, as </w:t>
      </w:r>
      <w:r w:rsidR="00613EF0">
        <w:t>these risks</w:t>
      </w:r>
      <w:r w:rsidRPr="00DE57A3">
        <w:t xml:space="preserve"> are intertwined with </w:t>
      </w:r>
      <w:r w:rsidR="00613EF0">
        <w:t>broader</w:t>
      </w:r>
      <w:r w:rsidRPr="00DE57A3">
        <w:t xml:space="preserve"> trends. Additionally, transition risks are temporary and will</w:t>
      </w:r>
      <w:r w:rsidR="00352F51" w:rsidRPr="00352F51">
        <w:t xml:space="preserve"> diminish as the climate transition </w:t>
      </w:r>
      <w:r w:rsidR="001F18D7" w:rsidRPr="00352F51">
        <w:t>progresses.</w:t>
      </w:r>
      <w:r w:rsidRPr="00DE57A3">
        <w:t xml:space="preserve"> </w:t>
      </w:r>
    </w:p>
    <w:p w14:paraId="1001E407" w14:textId="45594B38" w:rsidR="009E51A3" w:rsidRPr="00495BB9" w:rsidRDefault="00BB4513" w:rsidP="009E51A3">
      <w:pPr>
        <w:pStyle w:val="CEABullet-Level1"/>
        <w:ind w:left="360"/>
        <w:rPr>
          <w:b/>
          <w:bCs/>
        </w:rPr>
      </w:pPr>
      <w:proofErr w:type="gramStart"/>
      <w:r>
        <w:rPr>
          <w:b/>
          <w:bCs/>
        </w:rPr>
        <w:t>Specifically</w:t>
      </w:r>
      <w:proofErr w:type="gramEnd"/>
      <w:r>
        <w:rPr>
          <w:b/>
          <w:bCs/>
        </w:rPr>
        <w:t xml:space="preserve"> regarding the </w:t>
      </w:r>
      <w:r w:rsidRPr="002B12FD">
        <w:rPr>
          <w:b/>
          <w:bCs/>
          <w:u w:val="single"/>
        </w:rPr>
        <w:t>forward-looking</w:t>
      </w:r>
      <w:r w:rsidR="009E51A3" w:rsidRPr="002B12FD">
        <w:rPr>
          <w:b/>
          <w:bCs/>
          <w:u w:val="single"/>
        </w:rPr>
        <w:t xml:space="preserve"> analysis</w:t>
      </w:r>
      <w:r w:rsidR="009E51A3" w:rsidRPr="00495BB9">
        <w:rPr>
          <w:b/>
          <w:bCs/>
        </w:rPr>
        <w:t xml:space="preserve"> (both equites and bonds):</w:t>
      </w:r>
    </w:p>
    <w:p w14:paraId="0FB1FF95" w14:textId="7CB135C0" w:rsidR="009E51A3" w:rsidRPr="00A53D08" w:rsidRDefault="0027082C" w:rsidP="00603FC2">
      <w:pPr>
        <w:pStyle w:val="CEABullet-Level2"/>
      </w:pPr>
      <w:r w:rsidRPr="0027082C">
        <w:rPr>
          <w:b/>
          <w:bCs/>
        </w:rPr>
        <w:t>EIOPA assumes, rather than observes, the identification of transition risks in bonds and equities</w:t>
      </w:r>
      <w:r>
        <w:rPr>
          <w:b/>
          <w:bCs/>
        </w:rPr>
        <w:t xml:space="preserve"> </w:t>
      </w:r>
      <w:r w:rsidR="009E51A3" w:rsidRPr="00DE57A3">
        <w:t xml:space="preserve">in the construction of the portfolios analysed. </w:t>
      </w:r>
      <w:r w:rsidR="00532334" w:rsidRPr="00532334">
        <w:t>Additional volatility for fossil fuel assets is attributed to transition risks, though other factors may be involved.</w:t>
      </w:r>
      <w:r w:rsidR="00532334">
        <w:t xml:space="preserve"> </w:t>
      </w:r>
      <w:r w:rsidR="004B0562" w:rsidRPr="00A53D08">
        <w:t xml:space="preserve">Higher marker risk measures might be just a characteristic of these assets (high sensitivity to macroeconomic events) and might have no connection with transitional risk. </w:t>
      </w:r>
    </w:p>
    <w:p w14:paraId="339590CC" w14:textId="692D2A41" w:rsidR="009E51A3" w:rsidRPr="00A53D08" w:rsidRDefault="00861806" w:rsidP="00603FC2">
      <w:pPr>
        <w:pStyle w:val="CEABullet-Level2"/>
      </w:pPr>
      <w:r w:rsidRPr="00861806">
        <w:t>The analysis is based on numerous assumptions, leading to high uncertainty</w:t>
      </w:r>
      <w:r w:rsidR="009E51A3" w:rsidRPr="00A53D08">
        <w:t xml:space="preserve">. </w:t>
      </w:r>
      <w:r>
        <w:t>Changing</w:t>
      </w:r>
      <w:r w:rsidR="009E51A3" w:rsidRPr="00A53D08">
        <w:t xml:space="preserve"> parameters both in the chosen scenarios and probability of occurrence </w:t>
      </w:r>
      <w:r w:rsidR="001F18D7">
        <w:t>would yield vastly different results</w:t>
      </w:r>
      <w:r w:rsidR="009E51A3" w:rsidRPr="00A53D08">
        <w:t>.</w:t>
      </w:r>
    </w:p>
    <w:p w14:paraId="0BE0BB0E" w14:textId="77777777" w:rsidR="009E51A3" w:rsidRPr="00A53D08" w:rsidRDefault="009E51A3" w:rsidP="00603FC2">
      <w:pPr>
        <w:pStyle w:val="CEABullet-Level2"/>
      </w:pPr>
      <w:r w:rsidRPr="00A53D08">
        <w:t>The probabilities of the scenarios are not based on any research or scientific paper - a range between [0,5 and 4,5%] was chosen without any justification.</w:t>
      </w:r>
    </w:p>
    <w:p w14:paraId="620A8EFA" w14:textId="44D9741D" w:rsidR="009E51A3" w:rsidRPr="00DE57A3" w:rsidRDefault="007A01CE" w:rsidP="00603FC2">
      <w:pPr>
        <w:pStyle w:val="CEABullet-Level2"/>
      </w:pPr>
      <w:proofErr w:type="spellStart"/>
      <w:r w:rsidRPr="006930F7">
        <w:rPr>
          <w:b/>
          <w:bCs/>
        </w:rPr>
        <w:t>VaR</w:t>
      </w:r>
      <w:proofErr w:type="spellEnd"/>
      <w:r w:rsidRPr="006930F7">
        <w:rPr>
          <w:b/>
          <w:bCs/>
        </w:rPr>
        <w:t xml:space="preserve"> parameters in equity portfolios show discrepancies between transition risk levels</w:t>
      </w:r>
      <w:r w:rsidRPr="007A01CE">
        <w:t>,</w:t>
      </w:r>
      <w:r w:rsidR="006930F7">
        <w:t xml:space="preserve"> indicating a lack of connection between market risk and transition risk. </w:t>
      </w:r>
      <w:r w:rsidRPr="007A01CE">
        <w:t xml:space="preserve"> </w:t>
      </w:r>
      <w:r w:rsidR="004F5B61">
        <w:t>I</w:t>
      </w:r>
      <w:r w:rsidR="009E51A3" w:rsidRPr="00DE57A3">
        <w:t xml:space="preserve">n Table 1. </w:t>
      </w:r>
      <w:proofErr w:type="spellStart"/>
      <w:r w:rsidR="009E51A3" w:rsidRPr="00DE57A3">
        <w:t>VaR</w:t>
      </w:r>
      <w:proofErr w:type="spellEnd"/>
      <w:r w:rsidR="009E51A3" w:rsidRPr="00DE57A3">
        <w:t xml:space="preserve"> parameters of three equity portfolios of different transition risk (NACE code selection; low, medium, high) are shown. </w:t>
      </w:r>
      <w:proofErr w:type="spellStart"/>
      <w:r w:rsidR="009E51A3" w:rsidRPr="00DE57A3">
        <w:t>VaR</w:t>
      </w:r>
      <w:proofErr w:type="spellEnd"/>
      <w:r w:rsidR="009E51A3" w:rsidRPr="00DE57A3">
        <w:t xml:space="preserve"> of ‘medium sample’ is larger than the </w:t>
      </w:r>
      <w:proofErr w:type="spellStart"/>
      <w:r w:rsidR="009E51A3" w:rsidRPr="00DE57A3">
        <w:t>VaR</w:t>
      </w:r>
      <w:proofErr w:type="spellEnd"/>
      <w:r w:rsidR="009E51A3" w:rsidRPr="00DE57A3">
        <w:t xml:space="preserve"> of the ‘high sample’. Further in the consultation paper, the </w:t>
      </w:r>
      <w:proofErr w:type="spellStart"/>
      <w:r w:rsidR="009E51A3" w:rsidRPr="00DE57A3">
        <w:t>VaR</w:t>
      </w:r>
      <w:proofErr w:type="spellEnd"/>
      <w:r w:rsidR="009E51A3" w:rsidRPr="00DE57A3">
        <w:t xml:space="preserve"> of several sectors showing that Energy/Fossil Fuels had elevated market risk between 2010-2021 is computed. There are however empirical uncertainties, such as a limited sample size and as such, high market risk associated with fossil fuels might be just an idiosyncratic feature of given instruments. </w:t>
      </w:r>
    </w:p>
    <w:p w14:paraId="4A1BFCEA" w14:textId="1D999F53" w:rsidR="009E51A3" w:rsidRPr="00C1228A" w:rsidRDefault="009E51A3" w:rsidP="00603FC2">
      <w:pPr>
        <w:pStyle w:val="CEABullet-Level2"/>
      </w:pPr>
      <w:r w:rsidRPr="00DE57A3">
        <w:t xml:space="preserve">Similar </w:t>
      </w:r>
      <w:r w:rsidR="000758D8">
        <w:t>uncertainties</w:t>
      </w:r>
      <w:r w:rsidRPr="00DE57A3">
        <w:t xml:space="preserve"> apply to bond portfolio and spread analysis. </w:t>
      </w:r>
      <w:r w:rsidR="00427601" w:rsidRPr="00DE57A3">
        <w:t xml:space="preserve">While low transition risk activities show the lowest levels of spread risk across the different rating categories assessed, the portfolios comprising bonds associated with a medium level of transition risks </w:t>
      </w:r>
      <w:r w:rsidR="00427601" w:rsidRPr="00DE57A3">
        <w:lastRenderedPageBreak/>
        <w:t xml:space="preserve">and those with a high level of transition risks </w:t>
      </w:r>
      <w:r w:rsidR="00427601" w:rsidRPr="00C1228A">
        <w:t xml:space="preserve">alternate in their risk profiles across ratings relative to each other.  </w:t>
      </w:r>
    </w:p>
    <w:p w14:paraId="2EC26CA8" w14:textId="77777777" w:rsidR="009E51A3" w:rsidRPr="00C1228A" w:rsidRDefault="009E51A3" w:rsidP="00603FC2">
      <w:pPr>
        <w:pStyle w:val="CEABullet-Level2"/>
      </w:pPr>
      <w:r w:rsidRPr="00C1228A">
        <w:t>Forward-looking simulations assume eight disorderly transition shock scenarios created by authors with 1/8 probability attributed to each. Under this assumption, the market risk of “brown” sectors is greater than “green” alternatives for each instrument class. It is important to note that the findings in the forward-looking analysis have limitations as sustainable finance is an emerging area for quantitative-based risk analysis.</w:t>
      </w:r>
    </w:p>
    <w:p w14:paraId="1AB29312" w14:textId="2707FC36" w:rsidR="0023773C" w:rsidRPr="00495BB9" w:rsidRDefault="002309D5" w:rsidP="00495BB9">
      <w:pPr>
        <w:pStyle w:val="CEABullet-Level1"/>
        <w:ind w:left="360"/>
        <w:rPr>
          <w:b/>
          <w:bCs/>
        </w:rPr>
      </w:pPr>
      <w:proofErr w:type="gramStart"/>
      <w:r>
        <w:rPr>
          <w:b/>
          <w:bCs/>
        </w:rPr>
        <w:t>Specifically</w:t>
      </w:r>
      <w:proofErr w:type="gramEnd"/>
      <w:r>
        <w:rPr>
          <w:b/>
          <w:bCs/>
        </w:rPr>
        <w:t xml:space="preserve"> regarding the </w:t>
      </w:r>
      <w:r w:rsidR="00B23E48" w:rsidRPr="0078750A">
        <w:rPr>
          <w:b/>
          <w:bCs/>
          <w:u w:val="single"/>
        </w:rPr>
        <w:t>backward-looking</w:t>
      </w:r>
      <w:r w:rsidR="0023773C" w:rsidRPr="0078750A">
        <w:rPr>
          <w:b/>
          <w:bCs/>
          <w:u w:val="single"/>
        </w:rPr>
        <w:t xml:space="preserve"> analysis</w:t>
      </w:r>
      <w:r w:rsidR="0023773C" w:rsidRPr="00495BB9">
        <w:rPr>
          <w:b/>
          <w:bCs/>
        </w:rPr>
        <w:t xml:space="preserve"> (equities):</w:t>
      </w:r>
    </w:p>
    <w:p w14:paraId="2F61D3D1" w14:textId="6F837D55" w:rsidR="006832A5" w:rsidRPr="0078750A" w:rsidRDefault="006553AC" w:rsidP="00603FC2">
      <w:pPr>
        <w:pStyle w:val="CEABullet-Level2"/>
      </w:pPr>
      <w:r w:rsidRPr="00DE57A3">
        <w:t xml:space="preserve">The </w:t>
      </w:r>
      <w:r w:rsidR="0023773C" w:rsidRPr="00DE57A3">
        <w:t>analysis states that the overall equity risk decreased compared to the standard formula shock of 39% (</w:t>
      </w:r>
      <w:proofErr w:type="spellStart"/>
      <w:r w:rsidR="0023773C" w:rsidRPr="00DE57A3">
        <w:t>VaR</w:t>
      </w:r>
      <w:proofErr w:type="spellEnd"/>
      <w:r w:rsidR="0023773C" w:rsidRPr="00DE57A3">
        <w:t xml:space="preserve"> 99.5 estimated as equal to 14.5% - Table 1 on page 30</w:t>
      </w:r>
      <w:r w:rsidR="0023773C" w:rsidRPr="00DE57A3">
        <w:rPr>
          <w:b/>
          <w:bCs/>
        </w:rPr>
        <w:t xml:space="preserve">). </w:t>
      </w:r>
      <w:r w:rsidR="0023773C" w:rsidRPr="0078750A">
        <w:t>Based on this analysis the Type 1 Equity Shock should be revised (decreased).</w:t>
      </w:r>
    </w:p>
    <w:p w14:paraId="20E49EE4" w14:textId="77777777" w:rsidR="00E04888" w:rsidRDefault="00E04888" w:rsidP="00E04888">
      <w:pPr>
        <w:pStyle w:val="CEAStandardHeading"/>
        <w:rPr>
          <w:color w:val="auto"/>
          <w:sz w:val="17"/>
          <w:szCs w:val="17"/>
          <w:lang w:val="en"/>
        </w:rPr>
      </w:pPr>
    </w:p>
    <w:p w14:paraId="7DB04C8B" w14:textId="77777777" w:rsidR="00E04888" w:rsidRPr="00D01F3B" w:rsidRDefault="00E04888" w:rsidP="00E04888">
      <w:pPr>
        <w:pStyle w:val="CEAStandardHeading"/>
        <w:numPr>
          <w:ilvl w:val="0"/>
          <w:numId w:val="4"/>
        </w:numPr>
        <w:ind w:left="360"/>
        <w:rPr>
          <w:b/>
          <w:bCs/>
          <w:color w:val="auto"/>
          <w:sz w:val="17"/>
          <w:szCs w:val="17"/>
          <w:lang w:val="en"/>
        </w:rPr>
      </w:pPr>
      <w:r w:rsidRPr="00D01F3B">
        <w:rPr>
          <w:b/>
          <w:bCs/>
          <w:color w:val="auto"/>
          <w:sz w:val="17"/>
          <w:szCs w:val="17"/>
          <w:lang w:val="en"/>
        </w:rPr>
        <w:t>What is your view on the proposed policy options on introducing a dedicated prudential treatment regarding equity risk?</w:t>
      </w:r>
    </w:p>
    <w:p w14:paraId="507DC358" w14:textId="41E2A49C" w:rsidR="00777C6D" w:rsidRPr="00971796" w:rsidRDefault="00CF6E75" w:rsidP="000D2DFB">
      <w:pPr>
        <w:pStyle w:val="CEABullet-Level1"/>
        <w:ind w:left="360"/>
      </w:pPr>
      <w:r w:rsidRPr="00971796">
        <w:rPr>
          <w:b/>
          <w:bCs/>
        </w:rPr>
        <w:t>The industry prefers</w:t>
      </w:r>
      <w:r w:rsidRPr="00D01F3B">
        <w:t xml:space="preserve"> </w:t>
      </w:r>
      <w:r w:rsidR="001C1A13">
        <w:rPr>
          <w:b/>
          <w:bCs/>
        </w:rPr>
        <w:t>O</w:t>
      </w:r>
      <w:r w:rsidRPr="001C1A13">
        <w:rPr>
          <w:b/>
          <w:bCs/>
        </w:rPr>
        <w:t>ption I</w:t>
      </w:r>
      <w:r w:rsidRPr="00D01F3B">
        <w:t xml:space="preserve"> </w:t>
      </w:r>
      <w:r w:rsidRPr="00D01F3B">
        <w:rPr>
          <w:b/>
          <w:bCs/>
        </w:rPr>
        <w:t xml:space="preserve">no change, </w:t>
      </w:r>
      <w:r w:rsidR="00266172" w:rsidRPr="00D01F3B">
        <w:t>g</w:t>
      </w:r>
      <w:r w:rsidR="00900639" w:rsidRPr="00D01F3B">
        <w:t xml:space="preserve">iven the </w:t>
      </w:r>
      <w:r w:rsidR="006C3317" w:rsidRPr="00D01F3B">
        <w:t xml:space="preserve">previously mentioned </w:t>
      </w:r>
      <w:r w:rsidR="00900639" w:rsidRPr="00D01F3B">
        <w:t xml:space="preserve">shortcomings of the </w:t>
      </w:r>
      <w:r w:rsidR="006C3317" w:rsidRPr="00D01F3B">
        <w:t>EIOPA-</w:t>
      </w:r>
      <w:r w:rsidR="00900639" w:rsidRPr="00D01F3B">
        <w:t xml:space="preserve">analysis, </w:t>
      </w:r>
      <w:r w:rsidR="00900639" w:rsidRPr="00971796">
        <w:t xml:space="preserve">the adequacy of the policy options is questionable and not substantiated enough to satisfy the </w:t>
      </w:r>
      <w:r w:rsidR="002F0363" w:rsidRPr="00971796">
        <w:t xml:space="preserve">evidence and </w:t>
      </w:r>
      <w:r w:rsidR="00900639" w:rsidRPr="00971796">
        <w:t>risk-based nature of Solvency II</w:t>
      </w:r>
      <w:r w:rsidR="00777C6D" w:rsidRPr="00971796">
        <w:t xml:space="preserve">. </w:t>
      </w:r>
    </w:p>
    <w:p w14:paraId="4649533C" w14:textId="60DFEE78" w:rsidR="00F6489E" w:rsidRPr="00D01F3B" w:rsidRDefault="00F6489E" w:rsidP="000D2DFB">
      <w:pPr>
        <w:pStyle w:val="CEABullet-Level1"/>
        <w:ind w:left="360"/>
      </w:pPr>
      <w:r w:rsidRPr="00D01F3B">
        <w:t>In addition, the industry notes the following:</w:t>
      </w:r>
    </w:p>
    <w:p w14:paraId="03BBECCD" w14:textId="5BA8C102" w:rsidR="00777C6D" w:rsidRPr="00D01F3B" w:rsidRDefault="00BF6579" w:rsidP="00603FC2">
      <w:pPr>
        <w:pStyle w:val="CEABullet-Level2"/>
      </w:pPr>
      <w:r w:rsidRPr="00D01F3B">
        <w:t>T</w:t>
      </w:r>
      <w:r w:rsidR="00E31AC5" w:rsidRPr="00D01F3B">
        <w:t xml:space="preserve">he consequences for Internal Model users are unclear. </w:t>
      </w:r>
    </w:p>
    <w:p w14:paraId="5A835C89" w14:textId="67C4C5CD" w:rsidR="009B41C3" w:rsidRPr="00D01F3B" w:rsidRDefault="009B41C3" w:rsidP="00603FC2">
      <w:pPr>
        <w:pStyle w:val="CEABullet-Level2"/>
      </w:pPr>
      <w:r w:rsidRPr="00D01F3B">
        <w:t>Additional shocks could encourage buyers to turn away from these securities issued by companies linked to fossil fuels.</w:t>
      </w:r>
    </w:p>
    <w:p w14:paraId="0296DED7" w14:textId="012E76F5" w:rsidR="00E04888" w:rsidRPr="009F2CAD" w:rsidRDefault="009F2CAD" w:rsidP="00603FC2">
      <w:pPr>
        <w:pStyle w:val="CEABullet-Level2"/>
      </w:pPr>
      <w:r w:rsidRPr="009F2CAD">
        <w:t xml:space="preserve">If EIOPA suggests increasing the capital requirement for fossil fuel issuers, a corresponding decrease should be considered for other types of issuers. Otherwise, the proposed overall market risk calibration may not align consistently with the one-year horizon 99.5% </w:t>
      </w:r>
      <w:proofErr w:type="spellStart"/>
      <w:r w:rsidRPr="009F2CAD">
        <w:t>VaR.</w:t>
      </w:r>
      <w:proofErr w:type="spellEnd"/>
    </w:p>
    <w:p w14:paraId="70EFA2D0" w14:textId="77777777" w:rsidR="00E04888" w:rsidRDefault="00E04888" w:rsidP="00E04888">
      <w:pPr>
        <w:pStyle w:val="CEAStandardHeading"/>
        <w:rPr>
          <w:color w:val="auto"/>
          <w:sz w:val="17"/>
          <w:szCs w:val="17"/>
          <w:lang w:val="en"/>
        </w:rPr>
      </w:pPr>
    </w:p>
    <w:p w14:paraId="7AD715CA" w14:textId="7BA085EA" w:rsidR="00E04888" w:rsidRDefault="00E04888" w:rsidP="009441A8">
      <w:pPr>
        <w:pStyle w:val="CEAStandardHeading"/>
        <w:numPr>
          <w:ilvl w:val="0"/>
          <w:numId w:val="4"/>
        </w:numPr>
        <w:ind w:left="360"/>
        <w:rPr>
          <w:b/>
          <w:bCs/>
          <w:color w:val="auto"/>
          <w:sz w:val="17"/>
          <w:szCs w:val="17"/>
          <w:lang w:val="en"/>
        </w:rPr>
      </w:pPr>
      <w:r w:rsidRPr="0092499C">
        <w:rPr>
          <w:b/>
          <w:bCs/>
          <w:color w:val="auto"/>
          <w:sz w:val="17"/>
          <w:szCs w:val="17"/>
          <w:lang w:val="en"/>
        </w:rPr>
        <w:t>What is your view on the proposed poli</w:t>
      </w:r>
      <w:r w:rsidR="00495BB9">
        <w:rPr>
          <w:b/>
          <w:bCs/>
          <w:color w:val="auto"/>
          <w:sz w:val="17"/>
          <w:szCs w:val="17"/>
          <w:lang w:val="en"/>
        </w:rPr>
        <w:t>c</w:t>
      </w:r>
      <w:r w:rsidRPr="0092499C">
        <w:rPr>
          <w:b/>
          <w:bCs/>
          <w:color w:val="auto"/>
          <w:sz w:val="17"/>
          <w:szCs w:val="17"/>
          <w:lang w:val="en"/>
        </w:rPr>
        <w:t xml:space="preserve">y options on introducing a dedicated prudential treatment </w:t>
      </w:r>
      <w:r>
        <w:rPr>
          <w:b/>
          <w:bCs/>
          <w:color w:val="auto"/>
          <w:sz w:val="17"/>
          <w:szCs w:val="17"/>
          <w:lang w:val="en"/>
        </w:rPr>
        <w:t>r</w:t>
      </w:r>
      <w:r w:rsidRPr="0092499C">
        <w:rPr>
          <w:b/>
          <w:bCs/>
          <w:color w:val="auto"/>
          <w:sz w:val="17"/>
          <w:szCs w:val="17"/>
          <w:lang w:val="en"/>
        </w:rPr>
        <w:t>egarding spread risk?</w:t>
      </w:r>
    </w:p>
    <w:p w14:paraId="1542537C" w14:textId="77777777" w:rsidR="009441A8" w:rsidRPr="009441A8" w:rsidRDefault="009441A8" w:rsidP="009441A8">
      <w:pPr>
        <w:pStyle w:val="CEAStandardHeading"/>
        <w:ind w:left="360"/>
        <w:rPr>
          <w:b/>
          <w:bCs/>
          <w:color w:val="auto"/>
          <w:sz w:val="17"/>
          <w:szCs w:val="17"/>
          <w:lang w:val="en"/>
        </w:rPr>
      </w:pPr>
    </w:p>
    <w:p w14:paraId="1EC2766D" w14:textId="32B1A20A" w:rsidR="00A76E02" w:rsidRDefault="00A76E02" w:rsidP="00896339">
      <w:pPr>
        <w:pStyle w:val="CEABullet-Level1"/>
        <w:ind w:left="360"/>
      </w:pPr>
      <w:r w:rsidRPr="0096198D">
        <w:rPr>
          <w:b/>
          <w:bCs/>
        </w:rPr>
        <w:t>The industry prefers</w:t>
      </w:r>
      <w:r w:rsidRPr="00B23E48">
        <w:rPr>
          <w:b/>
          <w:bCs/>
        </w:rPr>
        <w:t xml:space="preserve"> option I</w:t>
      </w:r>
      <w:r w:rsidRPr="00D01F3B">
        <w:t xml:space="preserve"> </w:t>
      </w:r>
      <w:r w:rsidRPr="00D01F3B">
        <w:rPr>
          <w:b/>
          <w:bCs/>
        </w:rPr>
        <w:t xml:space="preserve">no change, </w:t>
      </w:r>
      <w:r w:rsidRPr="00D01F3B">
        <w:t xml:space="preserve">given the previously mentioned shortcomings of the EIOPA-analysis, </w:t>
      </w:r>
      <w:r w:rsidRPr="0096198D">
        <w:t xml:space="preserve">the adequacy of the policy options is questionable and not substantiated enough to satisfy the evidence and risk-based nature of Solvency II. </w:t>
      </w:r>
      <w:r w:rsidR="00022831" w:rsidRPr="0096198D">
        <w:t>The industry did not find evidence in the study to demonstrate the implementation of options 2 and 3.</w:t>
      </w:r>
    </w:p>
    <w:p w14:paraId="52DD39AB" w14:textId="7785ED24" w:rsidR="00A25D0B" w:rsidRPr="00FB0078" w:rsidRDefault="00862F4C" w:rsidP="00A25D0B">
      <w:pPr>
        <w:pStyle w:val="CEABullet-Level1"/>
        <w:ind w:left="360"/>
      </w:pPr>
      <w:r>
        <w:t xml:space="preserve">The </w:t>
      </w:r>
      <w:r w:rsidR="00E14E73">
        <w:t xml:space="preserve">perspective </w:t>
      </w:r>
      <w:r w:rsidR="00E5668E">
        <w:t>on</w:t>
      </w:r>
      <w:r w:rsidR="00E14E73">
        <w:t xml:space="preserve"> </w:t>
      </w:r>
      <w:r w:rsidR="007604F0">
        <w:t xml:space="preserve">spread risk aligns with the reasoning </w:t>
      </w:r>
      <w:r w:rsidR="00E82A1E">
        <w:t xml:space="preserve">applied to equity risk, </w:t>
      </w:r>
      <w:r w:rsidR="00CD6C52">
        <w:t xml:space="preserve">with </w:t>
      </w:r>
      <w:r w:rsidR="00E5668E">
        <w:t>heightened</w:t>
      </w:r>
      <w:r w:rsidR="00CD6C52">
        <w:t xml:space="preserve"> concern due to </w:t>
      </w:r>
      <w:r w:rsidR="00297187">
        <w:t xml:space="preserve">even </w:t>
      </w:r>
      <w:r w:rsidR="00621751">
        <w:t>less compelling evidence</w:t>
      </w:r>
      <w:r w:rsidR="00DC4A24" w:rsidRPr="006E736F">
        <w:t>.</w:t>
      </w:r>
      <w:r w:rsidR="00A25D0B" w:rsidRPr="006E736F">
        <w:t xml:space="preserve"> As </w:t>
      </w:r>
      <w:r w:rsidR="00E5668E">
        <w:t>mentioned</w:t>
      </w:r>
      <w:r w:rsidR="00A25D0B" w:rsidRPr="006E736F">
        <w:t xml:space="preserve"> in the </w:t>
      </w:r>
      <w:r w:rsidR="009C3DC7" w:rsidRPr="006E736F">
        <w:t>consultation paper</w:t>
      </w:r>
      <w:r w:rsidR="00A25D0B" w:rsidRPr="006E736F">
        <w:t xml:space="preserve">, future developments </w:t>
      </w:r>
      <w:r w:rsidR="009C3DC7" w:rsidRPr="006E736F">
        <w:t xml:space="preserve">in the area of </w:t>
      </w:r>
      <w:r w:rsidR="00A25D0B" w:rsidRPr="006E736F">
        <w:t>credit rating</w:t>
      </w:r>
      <w:r w:rsidR="006E736F" w:rsidRPr="006E736F">
        <w:t>s</w:t>
      </w:r>
      <w:r w:rsidR="00A25D0B" w:rsidRPr="006E736F">
        <w:t xml:space="preserve"> </w:t>
      </w:r>
      <w:r w:rsidR="00326256">
        <w:t>may</w:t>
      </w:r>
      <w:r w:rsidR="00A25D0B" w:rsidRPr="006E736F">
        <w:t xml:space="preserve"> capture transition risk exposure of </w:t>
      </w:r>
      <w:proofErr w:type="gramStart"/>
      <w:r w:rsidR="00A25D0B" w:rsidRPr="006E736F">
        <w:t>a</w:t>
      </w:r>
      <w:r w:rsidR="00F06E1C">
        <w:t>n</w:t>
      </w:r>
      <w:proofErr w:type="gramEnd"/>
      <w:r w:rsidR="00F06E1C">
        <w:t xml:space="preserve"> u/taking/</w:t>
      </w:r>
      <w:r w:rsidR="00A25D0B" w:rsidRPr="006E736F">
        <w:t xml:space="preserve">sector and there is no need to </w:t>
      </w:r>
      <w:r w:rsidR="007B091E">
        <w:t xml:space="preserve">special adjustments to </w:t>
      </w:r>
      <w:r w:rsidR="0029782F">
        <w:t>s</w:t>
      </w:r>
      <w:r w:rsidR="00A25D0B" w:rsidRPr="006E736F">
        <w:t xml:space="preserve">pread risk models. Moreover, there is no additional complexity and costs of implementing </w:t>
      </w:r>
      <w:r w:rsidR="002A158F">
        <w:t>O</w:t>
      </w:r>
      <w:r w:rsidR="00A25D0B" w:rsidRPr="006E736F">
        <w:t xml:space="preserve">ption I. </w:t>
      </w:r>
      <w:r w:rsidR="00EF2D84">
        <w:t>Finaly we note that</w:t>
      </w:r>
      <w:r w:rsidR="00EF2D84" w:rsidRPr="00EF2D84">
        <w:t>, on average, the market risk of bonds is significantly lower than equity instruments, thus extraordinary measures may not be adequate.</w:t>
      </w:r>
    </w:p>
    <w:p w14:paraId="59F0947F" w14:textId="0BFA42E5" w:rsidR="00B60DF5" w:rsidRDefault="00B60DF5" w:rsidP="000F4504">
      <w:pPr>
        <w:pStyle w:val="CEABullet-Level1"/>
        <w:numPr>
          <w:ilvl w:val="0"/>
          <w:numId w:val="0"/>
        </w:numPr>
      </w:pPr>
    </w:p>
    <w:p w14:paraId="23982B2E" w14:textId="7F406265" w:rsidR="00175C9B" w:rsidRPr="00D01F3B" w:rsidRDefault="00175C9B" w:rsidP="00175C9B">
      <w:pPr>
        <w:pStyle w:val="CEABullet-Level1"/>
        <w:ind w:left="360"/>
      </w:pPr>
      <w:r w:rsidRPr="00D01F3B">
        <w:t xml:space="preserve">In addition, the industry </w:t>
      </w:r>
      <w:r w:rsidR="003C32CB">
        <w:t>highlight</w:t>
      </w:r>
      <w:r w:rsidRPr="00D01F3B">
        <w:t>s the following:</w:t>
      </w:r>
    </w:p>
    <w:p w14:paraId="7D7DB1E3" w14:textId="5BC4A4DF" w:rsidR="00B60DF5" w:rsidRPr="002C6D77" w:rsidRDefault="00B60DF5" w:rsidP="00603FC2">
      <w:pPr>
        <w:pStyle w:val="CEABullet-Level2"/>
      </w:pPr>
    </w:p>
    <w:p w14:paraId="04D1B9FA" w14:textId="77777777" w:rsidR="008E6E61" w:rsidRPr="000F4504" w:rsidRDefault="008E6E61" w:rsidP="00603FC2">
      <w:pPr>
        <w:pStyle w:val="CEABullet-Level2"/>
      </w:pPr>
      <w:r w:rsidRPr="000F4504">
        <w:t>Despite the limited impact of the proposed policy options on the solvency ratio, the introduction of a differentiated prudential treatment may impact the transition efforts of affected fossil fuel-related companies.</w:t>
      </w:r>
    </w:p>
    <w:p w14:paraId="24FE9A4A" w14:textId="77777777" w:rsidR="00B66F95" w:rsidRDefault="00B66F95" w:rsidP="00603FC2">
      <w:pPr>
        <w:pStyle w:val="CEABullet-Level2"/>
      </w:pPr>
      <w:r w:rsidRPr="00B66F95">
        <w:t>The introduction of additional shocks may discourage buyers from securities issued by companies linked to fossil fuels.</w:t>
      </w:r>
    </w:p>
    <w:p w14:paraId="7204F137" w14:textId="6C167C95" w:rsidR="00FB0078" w:rsidRDefault="00B66F95" w:rsidP="00603FC2">
      <w:pPr>
        <w:pStyle w:val="CEABullet-Level2"/>
      </w:pPr>
      <w:r>
        <w:t>Specifically</w:t>
      </w:r>
      <w:r w:rsidR="009B0A9B">
        <w:t xml:space="preserve"> concerning</w:t>
      </w:r>
      <w:r w:rsidR="006F4E8D">
        <w:t xml:space="preserve"> </w:t>
      </w:r>
      <w:r w:rsidR="00FB0078" w:rsidRPr="000E12B0">
        <w:t>the proposal to downgrade fossil fuel issuers</w:t>
      </w:r>
      <w:r w:rsidR="006F4E8D">
        <w:t xml:space="preserve">, it is noted that </w:t>
      </w:r>
      <w:r w:rsidR="00FB0078" w:rsidRPr="000E12B0">
        <w:t>rating agencies</w:t>
      </w:r>
      <w:r w:rsidR="009B0A9B">
        <w:t xml:space="preserve"> consistently</w:t>
      </w:r>
      <w:r w:rsidR="00FB0078" w:rsidRPr="000E12B0">
        <w:t xml:space="preserve"> </w:t>
      </w:r>
      <w:r w:rsidR="009B0A9B">
        <w:t>consider</w:t>
      </w:r>
      <w:r w:rsidR="00FB0078" w:rsidRPr="000E12B0">
        <w:t xml:space="preserve"> probabilities of default across industries</w:t>
      </w:r>
      <w:r w:rsidR="00235287">
        <w:t xml:space="preserve">, </w:t>
      </w:r>
      <w:r w:rsidR="00AB35D9">
        <w:t>leading to</w:t>
      </w:r>
      <w:r w:rsidR="00235287">
        <w:t xml:space="preserve"> </w:t>
      </w:r>
      <w:r w:rsidR="00FB0078" w:rsidRPr="000E12B0">
        <w:t>potential transition risks.</w:t>
      </w:r>
      <w:r w:rsidR="00FB0078" w:rsidRPr="00FB0078">
        <w:t xml:space="preserve"> In case an additional downgrade would be added for fossil fuel issuers this might result </w:t>
      </w:r>
      <w:r w:rsidR="004F4163">
        <w:t xml:space="preserve">in </w:t>
      </w:r>
      <w:r w:rsidR="009F7C1B">
        <w:t xml:space="preserve">double counting of </w:t>
      </w:r>
      <w:r w:rsidR="004D2006">
        <w:t xml:space="preserve">the same transition risk. </w:t>
      </w:r>
    </w:p>
    <w:p w14:paraId="2FEDF663" w14:textId="77777777" w:rsidR="00AB35D9" w:rsidRDefault="00AB35D9" w:rsidP="00AB35D9">
      <w:pPr>
        <w:pStyle w:val="CEABullet-Level1"/>
        <w:numPr>
          <w:ilvl w:val="0"/>
          <w:numId w:val="0"/>
        </w:numPr>
        <w:ind w:left="720" w:hanging="360"/>
      </w:pPr>
    </w:p>
    <w:p w14:paraId="6E5997CD" w14:textId="77777777" w:rsidR="00AB35D9" w:rsidRPr="00FB0078" w:rsidRDefault="00AB35D9" w:rsidP="00AB35D9">
      <w:pPr>
        <w:pStyle w:val="CEABullet-Level1"/>
        <w:numPr>
          <w:ilvl w:val="0"/>
          <w:numId w:val="0"/>
        </w:numPr>
        <w:ind w:left="720" w:hanging="360"/>
      </w:pPr>
    </w:p>
    <w:p w14:paraId="229EE4C1" w14:textId="77777777" w:rsidR="00E04888" w:rsidRDefault="00E04888" w:rsidP="00E04888">
      <w:pPr>
        <w:pStyle w:val="CEAStandardHeading"/>
        <w:rPr>
          <w:color w:val="auto"/>
          <w:sz w:val="17"/>
          <w:szCs w:val="17"/>
          <w:lang w:val="en"/>
        </w:rPr>
      </w:pPr>
    </w:p>
    <w:p w14:paraId="44BA9588" w14:textId="77777777" w:rsidR="00E04888" w:rsidRDefault="00E04888" w:rsidP="00E04888">
      <w:pPr>
        <w:pStyle w:val="CEAStandardHeading"/>
        <w:numPr>
          <w:ilvl w:val="0"/>
          <w:numId w:val="4"/>
        </w:numPr>
        <w:ind w:left="360"/>
        <w:rPr>
          <w:b/>
          <w:bCs/>
          <w:color w:val="auto"/>
          <w:sz w:val="17"/>
          <w:szCs w:val="17"/>
          <w:lang w:val="en"/>
        </w:rPr>
      </w:pPr>
      <w:r w:rsidRPr="0092499C">
        <w:rPr>
          <w:b/>
          <w:bCs/>
          <w:color w:val="auto"/>
          <w:sz w:val="17"/>
          <w:szCs w:val="17"/>
          <w:lang w:val="en"/>
        </w:rPr>
        <w:t>What is your view on the current potential of credit ratings to capture transition risk?</w:t>
      </w:r>
    </w:p>
    <w:p w14:paraId="45075EF1" w14:textId="77777777" w:rsidR="00E04888" w:rsidRPr="0092499C" w:rsidRDefault="00E04888" w:rsidP="00E04888">
      <w:pPr>
        <w:pStyle w:val="CEAStandardHeading"/>
        <w:ind w:left="360"/>
        <w:rPr>
          <w:b/>
          <w:bCs/>
          <w:color w:val="auto"/>
          <w:sz w:val="17"/>
          <w:szCs w:val="17"/>
          <w:lang w:val="en"/>
        </w:rPr>
      </w:pPr>
    </w:p>
    <w:p w14:paraId="66FB7200" w14:textId="09F3144B" w:rsidR="00514D3B" w:rsidRPr="007F0139" w:rsidRDefault="00514D3B" w:rsidP="00514D3B">
      <w:pPr>
        <w:pStyle w:val="CEABullet-Level1"/>
        <w:ind w:left="360"/>
        <w:rPr>
          <w:b/>
          <w:bCs/>
        </w:rPr>
      </w:pPr>
      <w:r w:rsidRPr="007F0139">
        <w:rPr>
          <w:b/>
          <w:bCs/>
        </w:rPr>
        <w:t>ESG Ratings Regulation</w:t>
      </w:r>
      <w:r w:rsidRPr="00633E90">
        <w:t xml:space="preserve"> will have an impact on the market and, if done properly, will be an important step towards improving market confidence and strengthening investor protection. European ESG Rating Regulation will </w:t>
      </w:r>
      <w:r w:rsidR="00A713D5">
        <w:t>enhance</w:t>
      </w:r>
      <w:r w:rsidRPr="00633E90">
        <w:t xml:space="preserve"> credit transparency at the European level, so we </w:t>
      </w:r>
      <w:r w:rsidRPr="007F0139">
        <w:rPr>
          <w:b/>
          <w:bCs/>
        </w:rPr>
        <w:t>consider it appropriate to await the implementation of this Regulation.</w:t>
      </w:r>
    </w:p>
    <w:p w14:paraId="2C6690B1" w14:textId="77777777" w:rsidR="00D911B5" w:rsidRDefault="004611D9" w:rsidP="00123C8C">
      <w:pPr>
        <w:pStyle w:val="CEABullet-Level1"/>
        <w:ind w:left="360"/>
      </w:pPr>
      <w:r>
        <w:t xml:space="preserve">In their assessment process, rating agencies are including all relevant information on companies, including their medium- and long-term strategies. </w:t>
      </w:r>
      <w:r w:rsidR="00D911B5" w:rsidRPr="00D911B5">
        <w:t>This includes assessing probabilities of default consistently across industries, considering potential transition risks.</w:t>
      </w:r>
    </w:p>
    <w:p w14:paraId="6F72406A" w14:textId="1F819E80" w:rsidR="00E04888" w:rsidRPr="002A0090" w:rsidRDefault="009E0663" w:rsidP="00123C8C">
      <w:pPr>
        <w:pStyle w:val="CEABullet-Level1"/>
        <w:ind w:left="360"/>
        <w:rPr>
          <w:color w:val="auto"/>
          <w:szCs w:val="17"/>
          <w:lang w:val="en"/>
        </w:rPr>
      </w:pPr>
      <w:r w:rsidRPr="009E0663">
        <w:t xml:space="preserve">Major credit rating providers recognize the increasing necessity of incorporating ESG characteristics into their products. For instance, in 2021, S&amp;P Global Ratings began publishing alphanumeric ESG credit indicators for publicly rated entities in </w:t>
      </w:r>
      <w:r w:rsidR="006C3899">
        <w:t>certain</w:t>
      </w:r>
      <w:r w:rsidRPr="009E0663">
        <w:t xml:space="preserve"> sectors and asset classes. </w:t>
      </w:r>
      <w:r w:rsidR="002A0090" w:rsidRPr="002A0090">
        <w:t xml:space="preserve">Although the current methodology may not fully capture an entity's transition risk, credit rating providers are moving towards more accurate representation, </w:t>
      </w:r>
      <w:r w:rsidR="002A0090">
        <w:t>making</w:t>
      </w:r>
      <w:r w:rsidR="002A0090" w:rsidRPr="002A0090">
        <w:t xml:space="preserve"> the </w:t>
      </w:r>
      <w:r w:rsidR="00AE5595">
        <w:t>artificial downgrade of</w:t>
      </w:r>
      <w:r w:rsidR="002A0090" w:rsidRPr="002A0090">
        <w:t xml:space="preserve"> assets in the Standard Formula</w:t>
      </w:r>
      <w:r w:rsidR="00AE5595">
        <w:t xml:space="preserve"> redundant</w:t>
      </w:r>
      <w:r w:rsidR="002A0090" w:rsidRPr="002A0090">
        <w:t>.</w:t>
      </w:r>
    </w:p>
    <w:p w14:paraId="279D4027" w14:textId="77777777" w:rsidR="002A0090" w:rsidRPr="002A0090" w:rsidRDefault="002A0090" w:rsidP="00AE5595">
      <w:pPr>
        <w:pStyle w:val="CEABullet-Level1"/>
        <w:numPr>
          <w:ilvl w:val="0"/>
          <w:numId w:val="0"/>
        </w:numPr>
        <w:ind w:left="360"/>
        <w:rPr>
          <w:color w:val="auto"/>
          <w:szCs w:val="17"/>
          <w:lang w:val="en"/>
        </w:rPr>
      </w:pPr>
    </w:p>
    <w:p w14:paraId="0D1E07F7" w14:textId="77777777" w:rsidR="00E04888" w:rsidRPr="00FF6F1A" w:rsidRDefault="00E04888" w:rsidP="00E04888">
      <w:pPr>
        <w:pStyle w:val="CEAStandardHeading"/>
        <w:numPr>
          <w:ilvl w:val="0"/>
          <w:numId w:val="4"/>
        </w:numPr>
        <w:ind w:left="360"/>
        <w:rPr>
          <w:b/>
          <w:bCs/>
          <w:color w:val="auto"/>
          <w:sz w:val="17"/>
          <w:szCs w:val="17"/>
          <w:lang w:val="en"/>
        </w:rPr>
      </w:pPr>
      <w:r w:rsidRPr="0092499C">
        <w:rPr>
          <w:b/>
          <w:bCs/>
          <w:color w:val="auto"/>
          <w:sz w:val="17"/>
          <w:szCs w:val="17"/>
          <w:lang w:val="en"/>
        </w:rPr>
        <w:t xml:space="preserve">What is </w:t>
      </w:r>
      <w:r w:rsidRPr="00FF6F1A">
        <w:rPr>
          <w:b/>
          <w:bCs/>
          <w:color w:val="auto"/>
          <w:sz w:val="17"/>
          <w:szCs w:val="17"/>
          <w:lang w:val="en"/>
        </w:rPr>
        <w:t>your view on the analysis of property risk and EIOPA's recommendation?</w:t>
      </w:r>
    </w:p>
    <w:p w14:paraId="5424401B" w14:textId="77777777" w:rsidR="00E04888" w:rsidRPr="00FF6F1A" w:rsidRDefault="00E04888" w:rsidP="00E04888">
      <w:pPr>
        <w:pStyle w:val="CEAStandardHeading"/>
        <w:rPr>
          <w:b/>
          <w:bCs/>
          <w:color w:val="auto"/>
          <w:sz w:val="17"/>
          <w:szCs w:val="17"/>
          <w:lang w:val="en"/>
        </w:rPr>
      </w:pPr>
    </w:p>
    <w:p w14:paraId="31AFD510" w14:textId="05E53135" w:rsidR="00565C41" w:rsidRPr="00075E1C" w:rsidRDefault="00691530" w:rsidP="00565C41">
      <w:pPr>
        <w:pStyle w:val="CEABullet-Level1"/>
        <w:ind w:left="360"/>
      </w:pPr>
      <w:r>
        <w:rPr>
          <w:b/>
          <w:bCs/>
        </w:rPr>
        <w:t>The industry</w:t>
      </w:r>
      <w:r w:rsidR="00565C41" w:rsidRPr="00FF6F1A">
        <w:rPr>
          <w:b/>
          <w:bCs/>
        </w:rPr>
        <w:t xml:space="preserve"> support</w:t>
      </w:r>
      <w:r>
        <w:rPr>
          <w:b/>
          <w:bCs/>
        </w:rPr>
        <w:t>s</w:t>
      </w:r>
      <w:r w:rsidR="00565C41" w:rsidRPr="00FF6F1A">
        <w:rPr>
          <w:b/>
          <w:bCs/>
        </w:rPr>
        <w:t xml:space="preserve"> EIOPA’s recommendation </w:t>
      </w:r>
      <w:r w:rsidR="004A2288" w:rsidRPr="00FF6F1A">
        <w:rPr>
          <w:b/>
          <w:bCs/>
        </w:rPr>
        <w:t>to have no</w:t>
      </w:r>
      <w:r w:rsidR="00565C41" w:rsidRPr="00FF6F1A">
        <w:rPr>
          <w:b/>
          <w:bCs/>
        </w:rPr>
        <w:t xml:space="preserve"> changes in Pillar I treatment of property risk in context of energy efficiency.</w:t>
      </w:r>
      <w:r w:rsidR="00565C41" w:rsidRPr="00FF6F1A">
        <w:t xml:space="preserve"> Both backward- and forward-looking analysis of the real estate market and the influence of emissivity of buildings on their price do not </w:t>
      </w:r>
      <w:r w:rsidR="008C3157" w:rsidRPr="00FF6F1A">
        <w:t xml:space="preserve">clearly </w:t>
      </w:r>
      <w:r w:rsidR="00565C41" w:rsidRPr="00FF6F1A">
        <w:t>identify</w:t>
      </w:r>
      <w:r w:rsidR="008C3157" w:rsidRPr="00FF6F1A">
        <w:t xml:space="preserve"> </w:t>
      </w:r>
      <w:r w:rsidR="00565C41" w:rsidRPr="00FF6F1A">
        <w:t xml:space="preserve">property risk. The studied subject exhibits a high level of complexity. </w:t>
      </w:r>
      <w:r w:rsidR="00565C41" w:rsidRPr="00075E1C">
        <w:t xml:space="preserve">Moreover, </w:t>
      </w:r>
      <w:proofErr w:type="spellStart"/>
      <w:r w:rsidR="00565C41" w:rsidRPr="00075E1C">
        <w:t>VaR</w:t>
      </w:r>
      <w:proofErr w:type="spellEnd"/>
      <w:r w:rsidR="00565C41" w:rsidRPr="00075E1C">
        <w:t xml:space="preserve"> analysis shows that very energy efficient buildings with labels A/B have similar loss potential in terms of Value at Risk as energy inefficient properties labelled E, G or H. Forward-looking risk differentials were found only in case of two least energy-efficient classes of buildings. Mixed results provide a rationale for no change of current prudential treatment of property risk.</w:t>
      </w:r>
    </w:p>
    <w:p w14:paraId="465299BA" w14:textId="027B11B3" w:rsidR="005F6C00" w:rsidRPr="00FF6F1A" w:rsidRDefault="00835AFE" w:rsidP="005F6C00">
      <w:pPr>
        <w:pStyle w:val="CEABullet-Level1"/>
        <w:ind w:left="360"/>
      </w:pPr>
      <w:r>
        <w:t>It is noted that r</w:t>
      </w:r>
      <w:r w:rsidR="00503041" w:rsidRPr="00FF6F1A">
        <w:t>eal</w:t>
      </w:r>
      <w:r w:rsidR="005F6C00" w:rsidRPr="00FF6F1A">
        <w:t xml:space="preserve"> estate is mainly impacted by physical risk</w:t>
      </w:r>
      <w:r w:rsidR="00A46F56">
        <w:t>.</w:t>
      </w:r>
    </w:p>
    <w:p w14:paraId="54A62251" w14:textId="0D268780" w:rsidR="00852318" w:rsidRPr="00FF6F1A" w:rsidRDefault="00166E3D" w:rsidP="00852318">
      <w:pPr>
        <w:pStyle w:val="CEABullet-Level1"/>
        <w:ind w:left="360"/>
      </w:pPr>
      <w:r w:rsidRPr="00FF6F1A">
        <w:rPr>
          <w:u w:val="single"/>
        </w:rPr>
        <w:t>Regarding</w:t>
      </w:r>
      <w:r w:rsidR="00852318" w:rsidRPr="00FF6F1A">
        <w:rPr>
          <w:u w:val="single"/>
        </w:rPr>
        <w:t xml:space="preserve"> the </w:t>
      </w:r>
      <w:r w:rsidR="00FF6F1A" w:rsidRPr="00FF6F1A">
        <w:rPr>
          <w:u w:val="single"/>
        </w:rPr>
        <w:t>backward-looking</w:t>
      </w:r>
      <w:r w:rsidRPr="00FF6F1A">
        <w:rPr>
          <w:u w:val="single"/>
        </w:rPr>
        <w:t xml:space="preserve"> ana</w:t>
      </w:r>
      <w:r w:rsidR="002B6920" w:rsidRPr="00FF6F1A">
        <w:rPr>
          <w:u w:val="single"/>
        </w:rPr>
        <w:t>lysis:</w:t>
      </w:r>
      <w:r w:rsidR="002B6920" w:rsidRPr="00FF6F1A">
        <w:t xml:space="preserve"> </w:t>
      </w:r>
      <w:r w:rsidR="00814ACF" w:rsidRPr="00FF6F1A">
        <w:t>the absence of a</w:t>
      </w:r>
      <w:r w:rsidR="00852318" w:rsidRPr="00FF6F1A">
        <w:t xml:space="preserve"> </w:t>
      </w:r>
      <w:r w:rsidR="00814ACF" w:rsidRPr="00FF6F1A">
        <w:t xml:space="preserve">correlation </w:t>
      </w:r>
      <w:r w:rsidR="00852318" w:rsidRPr="00FF6F1A">
        <w:t>between</w:t>
      </w:r>
      <w:r w:rsidR="00763A26" w:rsidRPr="00FF6F1A">
        <w:t xml:space="preserve"> price</w:t>
      </w:r>
      <w:r w:rsidR="00852318" w:rsidRPr="00FF6F1A">
        <w:t xml:space="preserve"> volatility and energy labels </w:t>
      </w:r>
      <w:r w:rsidR="00D212DA" w:rsidRPr="00FF6F1A">
        <w:t>may</w:t>
      </w:r>
      <w:r w:rsidR="00852318" w:rsidRPr="00FF6F1A">
        <w:t xml:space="preserve"> be due to its </w:t>
      </w:r>
      <w:r w:rsidR="00E32A51" w:rsidRPr="00FF6F1A">
        <w:t xml:space="preserve">assimilation by property markets, </w:t>
      </w:r>
      <w:r w:rsidR="007C1769" w:rsidRPr="00FF6F1A">
        <w:t xml:space="preserve">suggesting </w:t>
      </w:r>
      <w:r w:rsidR="00852318" w:rsidRPr="00FF6F1A">
        <w:t xml:space="preserve">it is no </w:t>
      </w:r>
      <w:r w:rsidR="007F787D" w:rsidRPr="00FF6F1A">
        <w:t>longer a significant factor</w:t>
      </w:r>
      <w:r w:rsidR="0020747D" w:rsidRPr="00FF6F1A">
        <w:t xml:space="preserve"> </w:t>
      </w:r>
      <w:r w:rsidR="00852318" w:rsidRPr="00FF6F1A">
        <w:t xml:space="preserve">compared to other price setting mechanisms, or </w:t>
      </w:r>
      <w:r w:rsidR="0020747D" w:rsidRPr="00FF6F1A">
        <w:t xml:space="preserve">the possibility </w:t>
      </w:r>
      <w:r w:rsidR="00852318" w:rsidRPr="00FF6F1A">
        <w:t>that energy consideration</w:t>
      </w:r>
      <w:r w:rsidR="0020747D" w:rsidRPr="00FF6F1A">
        <w:t>s</w:t>
      </w:r>
      <w:r w:rsidR="00852318" w:rsidRPr="00FF6F1A">
        <w:t xml:space="preserve"> </w:t>
      </w:r>
      <w:r w:rsidR="0020747D" w:rsidRPr="00FF6F1A">
        <w:t xml:space="preserve">are at the bottom of </w:t>
      </w:r>
      <w:r w:rsidR="00852318" w:rsidRPr="00FF6F1A">
        <w:t>buyers</w:t>
      </w:r>
      <w:r w:rsidR="0020747D" w:rsidRPr="00FF6F1A">
        <w:t>’</w:t>
      </w:r>
      <w:r w:rsidR="00852318" w:rsidRPr="00FF6F1A">
        <w:t xml:space="preserve"> criteria that</w:t>
      </w:r>
      <w:r w:rsidR="00D6658A" w:rsidRPr="00FF6F1A">
        <w:t xml:space="preserve"> so </w:t>
      </w:r>
      <w:r w:rsidR="00FF6F1A" w:rsidRPr="00FF6F1A">
        <w:t>far,</w:t>
      </w:r>
      <w:r w:rsidR="00852318" w:rsidRPr="00FF6F1A">
        <w:t xml:space="preserve"> </w:t>
      </w:r>
      <w:r w:rsidR="00D6658A" w:rsidRPr="00FF6F1A">
        <w:t>they have had</w:t>
      </w:r>
      <w:r w:rsidR="00852318" w:rsidRPr="00FF6F1A">
        <w:t xml:space="preserve"> no material impact on volatility.</w:t>
      </w:r>
    </w:p>
    <w:p w14:paraId="7FF228F4" w14:textId="77777777" w:rsidR="00E04888" w:rsidRPr="00655696" w:rsidRDefault="00E04888" w:rsidP="00655696">
      <w:pPr>
        <w:pStyle w:val="CEABullet-Level1"/>
        <w:numPr>
          <w:ilvl w:val="0"/>
          <w:numId w:val="0"/>
        </w:numPr>
        <w:ind w:left="360"/>
        <w:rPr>
          <w:lang w:val="en"/>
        </w:rPr>
      </w:pPr>
    </w:p>
    <w:p w14:paraId="081A20A4" w14:textId="77777777" w:rsidR="00E04888" w:rsidRDefault="00E04888" w:rsidP="00E04888">
      <w:pPr>
        <w:pStyle w:val="CEAStandardHeading"/>
        <w:rPr>
          <w:color w:val="auto"/>
          <w:sz w:val="17"/>
          <w:szCs w:val="17"/>
          <w:lang w:val="en"/>
        </w:rPr>
      </w:pPr>
    </w:p>
    <w:p w14:paraId="6D62DAC3" w14:textId="77777777" w:rsidR="00E04888" w:rsidRPr="0092499C" w:rsidRDefault="00E04888" w:rsidP="00E04888">
      <w:pPr>
        <w:pStyle w:val="CEAStandardHeading"/>
        <w:numPr>
          <w:ilvl w:val="0"/>
          <w:numId w:val="4"/>
        </w:numPr>
        <w:ind w:left="360"/>
        <w:rPr>
          <w:b/>
          <w:bCs/>
          <w:color w:val="auto"/>
          <w:sz w:val="17"/>
          <w:szCs w:val="17"/>
          <w:lang w:val="en"/>
        </w:rPr>
      </w:pPr>
      <w:r w:rsidRPr="0092499C">
        <w:rPr>
          <w:b/>
          <w:bCs/>
          <w:color w:val="auto"/>
          <w:sz w:val="17"/>
          <w:szCs w:val="17"/>
          <w:lang w:val="en"/>
        </w:rPr>
        <w:t>What is your view on the analysis of underwriting risk and EIOPA's recommendation?</w:t>
      </w:r>
    </w:p>
    <w:p w14:paraId="21EAF043" w14:textId="77777777" w:rsidR="00420957" w:rsidRDefault="00420957" w:rsidP="00420957">
      <w:pPr>
        <w:pStyle w:val="CEABullet-Level1"/>
        <w:numPr>
          <w:ilvl w:val="0"/>
          <w:numId w:val="0"/>
        </w:numPr>
      </w:pPr>
    </w:p>
    <w:p w14:paraId="306A2C8F" w14:textId="77777777" w:rsidR="00420957" w:rsidRDefault="00420957" w:rsidP="0099203B">
      <w:pPr>
        <w:pStyle w:val="CEABullet-Level1"/>
        <w:numPr>
          <w:ilvl w:val="0"/>
          <w:numId w:val="0"/>
        </w:numPr>
        <w:ind w:left="360"/>
      </w:pPr>
      <w:r>
        <w:t>Insurance Europe supports EIOPA’s approach to the analysis and the proposed strategy for drawing conclusions and taking policy actions concerning adaptation measures and the prudential treatment of non-life underwriting risks.</w:t>
      </w:r>
    </w:p>
    <w:p w14:paraId="23228F3E" w14:textId="77777777" w:rsidR="00420957" w:rsidRDefault="00420957" w:rsidP="00420957">
      <w:pPr>
        <w:pStyle w:val="CEABullet-Level1"/>
        <w:numPr>
          <w:ilvl w:val="0"/>
          <w:numId w:val="0"/>
        </w:numPr>
        <w:ind w:left="360"/>
      </w:pPr>
    </w:p>
    <w:p w14:paraId="743C2404" w14:textId="1141C4AB" w:rsidR="00420957" w:rsidRDefault="00420957" w:rsidP="00420957">
      <w:pPr>
        <w:pStyle w:val="CEABullet-Level1"/>
        <w:numPr>
          <w:ilvl w:val="0"/>
          <w:numId w:val="0"/>
        </w:numPr>
        <w:ind w:left="360"/>
      </w:pPr>
      <w:r>
        <w:t>In particular, using the Undertaking Specific Parameter (USP) methodology to assess the potential for recalibrating non-life SCR parameters for premium risk in the Standard Formula (SF) appears to be a reasonable approach.</w:t>
      </w:r>
    </w:p>
    <w:p w14:paraId="4C3F2304" w14:textId="77777777" w:rsidR="00420957" w:rsidRDefault="00420957" w:rsidP="00420957">
      <w:pPr>
        <w:pStyle w:val="CEABullet-Level1"/>
        <w:numPr>
          <w:ilvl w:val="0"/>
          <w:numId w:val="0"/>
        </w:numPr>
        <w:ind w:left="360"/>
      </w:pPr>
    </w:p>
    <w:p w14:paraId="423EA4E4" w14:textId="3494D1BE" w:rsidR="00420957" w:rsidRDefault="00420957" w:rsidP="00420957">
      <w:pPr>
        <w:pStyle w:val="CEABullet-Level1"/>
        <w:numPr>
          <w:ilvl w:val="0"/>
          <w:numId w:val="0"/>
        </w:numPr>
        <w:ind w:left="360"/>
      </w:pPr>
      <w:r>
        <w:t>According to EIOPA's analysis, incorporating climate-related adaptations into the model may result in a lower standard deviation of the loss ratio, thereby reducing premium risk. We broadly agree that adaptation measures could impact the SCR. Insurers' climate adaptation initiatives (e.g., through advice, incentives, and other services to policyholders) or measures taken by policyholders, such as concrete construction to enhance resilience against natural catastrophes, have the potential to reduce risks.</w:t>
      </w:r>
    </w:p>
    <w:p w14:paraId="0F7B2451" w14:textId="77777777" w:rsidR="00420957" w:rsidRDefault="00420957" w:rsidP="00420957">
      <w:pPr>
        <w:pStyle w:val="CEABullet-Level1"/>
        <w:numPr>
          <w:ilvl w:val="0"/>
          <w:numId w:val="0"/>
        </w:numPr>
        <w:ind w:left="360"/>
      </w:pPr>
    </w:p>
    <w:p w14:paraId="784886FB" w14:textId="4A282029" w:rsidR="00420957" w:rsidRDefault="00420957" w:rsidP="00420957">
      <w:pPr>
        <w:pStyle w:val="CEABullet-Level1"/>
        <w:numPr>
          <w:ilvl w:val="0"/>
          <w:numId w:val="0"/>
        </w:numPr>
        <w:ind w:left="360"/>
      </w:pPr>
      <w:r>
        <w:t xml:space="preserve">At the same time, we support EIOPA’s call for caution in drawing conclusions from the results of the conducted analysis, as </w:t>
      </w:r>
      <w:r w:rsidR="008E72F4">
        <w:t xml:space="preserve">at this stage </w:t>
      </w:r>
      <w:r>
        <w:t xml:space="preserve">the data collected is insufficient to draw such conclusions. Therefore, we agree with EIOPA’s recommendation not to change the prudential treatment and advocate for further analysis </w:t>
      </w:r>
      <w:r>
        <w:lastRenderedPageBreak/>
        <w:t>when more data becomes available. If relevant and substantiated, an adapted prudential treatment may be considered for specific types of business lines.</w:t>
      </w:r>
    </w:p>
    <w:p w14:paraId="0233E8B8" w14:textId="77777777" w:rsidR="00E04888" w:rsidRDefault="00E04888" w:rsidP="00E04888">
      <w:pPr>
        <w:pStyle w:val="CEAStandardHeading"/>
        <w:rPr>
          <w:color w:val="auto"/>
          <w:sz w:val="17"/>
          <w:szCs w:val="17"/>
          <w:lang w:val="en"/>
        </w:rPr>
      </w:pPr>
    </w:p>
    <w:p w14:paraId="1C738E06" w14:textId="77777777" w:rsidR="00E04888" w:rsidRPr="0092499C" w:rsidRDefault="00E04888" w:rsidP="00E04888">
      <w:pPr>
        <w:pStyle w:val="CEAStandardHeading"/>
        <w:numPr>
          <w:ilvl w:val="0"/>
          <w:numId w:val="4"/>
        </w:numPr>
        <w:ind w:left="360"/>
        <w:rPr>
          <w:b/>
          <w:bCs/>
          <w:color w:val="auto"/>
          <w:sz w:val="17"/>
          <w:szCs w:val="17"/>
          <w:lang w:val="en"/>
        </w:rPr>
      </w:pPr>
      <w:r w:rsidRPr="0092499C">
        <w:rPr>
          <w:b/>
          <w:bCs/>
          <w:color w:val="auto"/>
          <w:sz w:val="17"/>
          <w:szCs w:val="17"/>
          <w:lang w:val="en"/>
        </w:rPr>
        <w:t>What is your view on EIOPA's proposed recommendation with regard to the prudential treatment of social risks and impacts?</w:t>
      </w:r>
    </w:p>
    <w:p w14:paraId="181C31FC" w14:textId="77777777" w:rsidR="00E04888" w:rsidRDefault="00E04888" w:rsidP="00E04888">
      <w:pPr>
        <w:pStyle w:val="CEAStandardHeading"/>
        <w:rPr>
          <w:color w:val="auto"/>
          <w:sz w:val="17"/>
          <w:szCs w:val="17"/>
          <w:lang w:val="en"/>
        </w:rPr>
      </w:pPr>
    </w:p>
    <w:p w14:paraId="75E8E6EA" w14:textId="77777777" w:rsidR="00CA0E9B" w:rsidRDefault="00CA0E9B" w:rsidP="00CA0E9B">
      <w:pPr>
        <w:pStyle w:val="CEABullet-Level1"/>
        <w:ind w:left="360"/>
      </w:pPr>
      <w:r w:rsidRPr="00CA0E9B">
        <w:rPr>
          <w:b/>
          <w:bCs/>
        </w:rPr>
        <w:t>The industry agrees with EIOPA’s proposal not to recommend a Pillar I treatment and to work on providing guidance</w:t>
      </w:r>
      <w:r>
        <w:t>.</w:t>
      </w:r>
      <w:r w:rsidRPr="00CA0E9B">
        <w:t xml:space="preserve"> </w:t>
      </w:r>
    </w:p>
    <w:p w14:paraId="4C5D2CB0" w14:textId="394484CE" w:rsidR="0030646B" w:rsidRPr="00CA0E9B" w:rsidRDefault="0030646B" w:rsidP="0030646B">
      <w:pPr>
        <w:pStyle w:val="CEABullet-Level1"/>
        <w:ind w:left="360"/>
      </w:pPr>
      <w:r w:rsidRPr="00CA0E9B">
        <w:t xml:space="preserve">For the time being, the analysis of social risks should remain at a prospective/identification stage, </w:t>
      </w:r>
      <w:r>
        <w:t>as</w:t>
      </w:r>
      <w:r w:rsidRPr="00CA0E9B">
        <w:t xml:space="preserve"> a meaningful quantification is not feasible</w:t>
      </w:r>
      <w:r>
        <w:t xml:space="preserve"> due to</w:t>
      </w:r>
      <w:r w:rsidRPr="00CA0E9B">
        <w:t xml:space="preserve"> limited (standardised) data availability and studies on social risk and objectives. </w:t>
      </w:r>
      <w:r w:rsidR="006E4E35">
        <w:t xml:space="preserve">Therefore, </w:t>
      </w:r>
      <w:r w:rsidRPr="00CA0E9B">
        <w:t>the assessment of social risks should be of a qualitative nature.</w:t>
      </w:r>
    </w:p>
    <w:p w14:paraId="1E3580B9" w14:textId="024460C3" w:rsidR="00A2715C" w:rsidRDefault="00A2715C" w:rsidP="00A2715C">
      <w:pPr>
        <w:pStyle w:val="CEABullet-Level1"/>
        <w:ind w:left="360"/>
      </w:pPr>
      <w:r>
        <w:t>From a governance perspective, it is important to ensure that social risks are adequately managed. The SII requirements (</w:t>
      </w:r>
      <w:proofErr w:type="spellStart"/>
      <w:r>
        <w:t>ie</w:t>
      </w:r>
      <w:proofErr w:type="spellEnd"/>
      <w:r>
        <w:t xml:space="preserve"> internal controls, independent key functions) are considered important and sufficient. </w:t>
      </w:r>
    </w:p>
    <w:p w14:paraId="59D38276" w14:textId="77777777" w:rsidR="009D4B4F" w:rsidRDefault="00CA0E9B" w:rsidP="00123C8C">
      <w:pPr>
        <w:pStyle w:val="CEABullet-Level1"/>
        <w:ind w:left="360"/>
      </w:pPr>
      <w:r w:rsidRPr="00390F1F">
        <w:t xml:space="preserve">EIOPA emphasizes </w:t>
      </w:r>
      <w:r w:rsidR="00A43ED3">
        <w:t>the interconnectedness of</w:t>
      </w:r>
      <w:r w:rsidRPr="00390F1F">
        <w:t xml:space="preserve"> social</w:t>
      </w:r>
      <w:r w:rsidR="00BB5DAA">
        <w:t xml:space="preserve"> </w:t>
      </w:r>
      <w:r w:rsidRPr="00390F1F">
        <w:t xml:space="preserve">and environmental risk, and </w:t>
      </w:r>
      <w:r w:rsidR="00BB5DAA">
        <w:t xml:space="preserve">recommends for </w:t>
      </w:r>
      <w:r w:rsidRPr="00390F1F">
        <w:t xml:space="preserve">prudential policy </w:t>
      </w:r>
      <w:r w:rsidR="00BB5DAA">
        <w:t>to</w:t>
      </w:r>
      <w:r w:rsidRPr="00390F1F">
        <w:t xml:space="preserve"> consider them jointly. This </w:t>
      </w:r>
      <w:r w:rsidR="00BB5DAA">
        <w:t>aligns</w:t>
      </w:r>
      <w:r w:rsidRPr="00390F1F">
        <w:t xml:space="preserve"> with Solvency II Prudent Person Principle which requires inclusion of sustainability factors in long-term investment strategy. However, </w:t>
      </w:r>
      <w:r w:rsidR="009D4B4F" w:rsidRPr="009D4B4F">
        <w:t xml:space="preserve">the specificity of each insurer's investment exposure, a </w:t>
      </w:r>
      <w:r w:rsidR="009D4B4F">
        <w:t>global</w:t>
      </w:r>
      <w:r w:rsidR="009D4B4F" w:rsidRPr="009D4B4F">
        <w:t xml:space="preserve"> Solvency II adjustment focusing on social objectives is deemed unnecessary. Instead, EIOPA could conduct an information campaign to guide insurers on detecting social risks.</w:t>
      </w:r>
    </w:p>
    <w:p w14:paraId="201C1C9A" w14:textId="1D19B7AC" w:rsidR="00E04888" w:rsidRPr="0084718D" w:rsidRDefault="00B55121" w:rsidP="003274B4">
      <w:pPr>
        <w:pStyle w:val="CEABullet-Level1"/>
        <w:ind w:left="284"/>
        <w:rPr>
          <w:lang w:val="en"/>
        </w:rPr>
      </w:pPr>
      <w:r w:rsidRPr="0084718D">
        <w:t xml:space="preserve">Comparing climate change impact to social risks seems to </w:t>
      </w:r>
      <w:r w:rsidR="003612AB" w:rsidRPr="0084718D">
        <w:t>suggest</w:t>
      </w:r>
      <w:r w:rsidRPr="0084718D">
        <w:t xml:space="preserve"> that a transition would similarly exist in </w:t>
      </w:r>
      <w:r w:rsidR="003612AB" w:rsidRPr="0084718D">
        <w:t>both</w:t>
      </w:r>
      <w:r w:rsidRPr="0084718D">
        <w:t xml:space="preserve"> cases. </w:t>
      </w:r>
      <w:proofErr w:type="gramStart"/>
      <w:r w:rsidRPr="0084718D">
        <w:t>However</w:t>
      </w:r>
      <w:proofErr w:type="gramEnd"/>
      <w:r w:rsidRPr="0084718D">
        <w:t xml:space="preserve"> looking at historical evolutions, social risks have always been present and are </w:t>
      </w:r>
      <w:r w:rsidR="00A2715C" w:rsidRPr="0084718D">
        <w:t>implicitly</w:t>
      </w:r>
      <w:r w:rsidRPr="0084718D">
        <w:t xml:space="preserve"> embedded in different risk measures used for prudential purposes</w:t>
      </w:r>
      <w:r w:rsidR="00280996" w:rsidRPr="0084718D">
        <w:t xml:space="preserve">. </w:t>
      </w:r>
      <w:r w:rsidR="003274B4" w:rsidRPr="0084718D">
        <w:t>While not explicitly isolated in formulas, there is no need to do so as there is sufficient capitalization to cover them.</w:t>
      </w:r>
    </w:p>
    <w:p w14:paraId="7182118A" w14:textId="77777777" w:rsidR="00E04888" w:rsidRDefault="00E04888" w:rsidP="00E04888">
      <w:pPr>
        <w:pStyle w:val="CEAStandardHeading"/>
        <w:rPr>
          <w:color w:val="auto"/>
          <w:sz w:val="17"/>
          <w:szCs w:val="17"/>
          <w:lang w:val="en"/>
        </w:rPr>
      </w:pPr>
    </w:p>
    <w:p w14:paraId="25E7D3EB" w14:textId="77777777" w:rsidR="00E04888" w:rsidRPr="00701746" w:rsidRDefault="00E04888" w:rsidP="00E04888">
      <w:pPr>
        <w:pStyle w:val="CEAStandardHeading"/>
        <w:rPr>
          <w:color w:val="auto"/>
          <w:sz w:val="17"/>
          <w:szCs w:val="17"/>
          <w:lang w:val="en"/>
        </w:rPr>
      </w:pPr>
    </w:p>
    <w:p w14:paraId="6F142221" w14:textId="77777777" w:rsidR="00F7112E" w:rsidRPr="00FA4DAB" w:rsidRDefault="00F7112E"/>
    <w:sectPr w:rsidR="00F7112E" w:rsidRPr="00FA4DAB" w:rsidSect="009176FF">
      <w:headerReference w:type="default" r:id="rId11"/>
      <w:footerReference w:type="default" r:id="rId12"/>
      <w:pgSz w:w="11907" w:h="16839" w:code="9"/>
      <w:pgMar w:top="2410" w:right="902" w:bottom="1418" w:left="1418" w:header="1276"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77524" w14:textId="77777777" w:rsidR="00385C46" w:rsidRDefault="00385C46">
      <w:pPr>
        <w:spacing w:line="240" w:lineRule="auto"/>
      </w:pPr>
      <w:r>
        <w:separator/>
      </w:r>
    </w:p>
  </w:endnote>
  <w:endnote w:type="continuationSeparator" w:id="0">
    <w:p w14:paraId="7601799A" w14:textId="77777777" w:rsidR="00385C46" w:rsidRDefault="00385C46">
      <w:pPr>
        <w:spacing w:line="240" w:lineRule="auto"/>
      </w:pPr>
      <w:r>
        <w:continuationSeparator/>
      </w:r>
    </w:p>
  </w:endnote>
  <w:endnote w:type="continuationNotice" w:id="1">
    <w:p w14:paraId="572CC258" w14:textId="77777777" w:rsidR="00BA557A" w:rsidRDefault="00BA557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Frutiger LT Std 55 Roman">
    <w:altName w:val="Calibri"/>
    <w:panose1 w:val="00000000000000000000"/>
    <w:charset w:val="00"/>
    <w:family w:val="swiss"/>
    <w:notTrueType/>
    <w:pitch w:val="variable"/>
    <w:sig w:usb0="800000AF" w:usb1="4000204A" w:usb2="00000000" w:usb3="00000000" w:csb0="00000001" w:csb1="00000000"/>
  </w:font>
  <w:font w:name="Frutiger LT Com 45 Light">
    <w:altName w:val="Corbel"/>
    <w:charset w:val="00"/>
    <w:family w:val="swiss"/>
    <w:pitch w:val="variable"/>
    <w:sig w:usb0="00000001"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6817905"/>
      <w:docPartObj>
        <w:docPartGallery w:val="Page Numbers (Bottom of Page)"/>
        <w:docPartUnique/>
      </w:docPartObj>
    </w:sdtPr>
    <w:sdtEndPr>
      <w:rPr>
        <w:noProof/>
      </w:rPr>
    </w:sdtEndPr>
    <w:sdtContent>
      <w:p w14:paraId="20C7B2BE" w14:textId="51B644AD" w:rsidR="004C4446" w:rsidRDefault="004C4446">
        <w:pPr>
          <w:pStyle w:val="Pta"/>
          <w:jc w:val="right"/>
        </w:pPr>
        <w:r>
          <w:fldChar w:fldCharType="begin"/>
        </w:r>
        <w:r>
          <w:instrText xml:space="preserve"> PAGE   \* MERGEFORMAT </w:instrText>
        </w:r>
        <w:r>
          <w:fldChar w:fldCharType="separate"/>
        </w:r>
        <w:r>
          <w:rPr>
            <w:noProof/>
          </w:rPr>
          <w:t>2</w:t>
        </w:r>
        <w:r>
          <w:rPr>
            <w:noProof/>
          </w:rPr>
          <w:fldChar w:fldCharType="end"/>
        </w:r>
      </w:p>
    </w:sdtContent>
  </w:sdt>
  <w:p w14:paraId="6AC8EEBD" w14:textId="77777777" w:rsidR="00E04888" w:rsidRPr="00CD51F6" w:rsidRDefault="00E04888" w:rsidP="00C15B4A">
    <w:pPr>
      <w:pStyle w:val="Pta"/>
      <w:ind w:left="546"/>
      <w:rPr>
        <w:rFonts w:cs="Arial"/>
        <w:b/>
        <w:color w:val="0032FF"/>
        <w:sz w:val="16"/>
        <w:szCs w:val="16"/>
        <w:lang w:val="pt-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AB4E0" w14:textId="77777777" w:rsidR="00385C46" w:rsidRDefault="00385C46">
      <w:pPr>
        <w:spacing w:line="240" w:lineRule="auto"/>
      </w:pPr>
      <w:r>
        <w:separator/>
      </w:r>
    </w:p>
  </w:footnote>
  <w:footnote w:type="continuationSeparator" w:id="0">
    <w:p w14:paraId="09CA5650" w14:textId="77777777" w:rsidR="00385C46" w:rsidRDefault="00385C46">
      <w:pPr>
        <w:spacing w:line="240" w:lineRule="auto"/>
      </w:pPr>
      <w:r>
        <w:continuationSeparator/>
      </w:r>
    </w:p>
  </w:footnote>
  <w:footnote w:type="continuationNotice" w:id="1">
    <w:p w14:paraId="5A66A0DA" w14:textId="77777777" w:rsidR="00BA557A" w:rsidRDefault="00BA557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8EEBA" w14:textId="0D6C0F50" w:rsidR="00E04888" w:rsidRPr="00127A47" w:rsidRDefault="00A71461" w:rsidP="00C15B4A">
    <w:pPr>
      <w:pStyle w:val="Noparagraphstyle"/>
      <w:jc w:val="right"/>
      <w:rPr>
        <w:rFonts w:ascii="Verdana" w:hAnsi="Verdana"/>
        <w:b/>
        <w:bCs/>
        <w:color w:val="FF0000"/>
        <w:sz w:val="17"/>
        <w:szCs w:val="17"/>
      </w:rPr>
    </w:pPr>
    <w:r>
      <w:rPr>
        <w:rFonts w:ascii="Verdana" w:hAnsi="Verdana"/>
        <w:b/>
        <w:bCs/>
        <w:color w:val="FF0000"/>
        <w:sz w:val="17"/>
        <w:szCs w:val="17"/>
      </w:rPr>
      <w:t xml:space="preserve">For feedback by </w:t>
    </w:r>
    <w:r w:rsidR="00127A47" w:rsidRPr="00127A47">
      <w:rPr>
        <w:rFonts w:ascii="Verdana" w:hAnsi="Verdana"/>
        <w:b/>
        <w:bCs/>
        <w:color w:val="FF0000"/>
        <w:sz w:val="17"/>
        <w:szCs w:val="17"/>
      </w:rPr>
      <w:t xml:space="preserve">Deadline by </w:t>
    </w:r>
    <w:r w:rsidR="0006143E">
      <w:rPr>
        <w:rFonts w:ascii="Verdana" w:hAnsi="Verdana"/>
        <w:b/>
        <w:bCs/>
        <w:color w:val="FF0000"/>
        <w:sz w:val="17"/>
        <w:szCs w:val="17"/>
      </w:rPr>
      <w:t>5 February</w:t>
    </w:r>
    <w:r w:rsidR="00127A47" w:rsidRPr="00127A47">
      <w:rPr>
        <w:rFonts w:ascii="Verdana" w:hAnsi="Verdana"/>
        <w:b/>
        <w:bCs/>
        <w:color w:val="FF0000"/>
        <w:sz w:val="17"/>
        <w:szCs w:val="17"/>
      </w:rPr>
      <w:t xml:space="preserve"> </w:t>
    </w:r>
    <w:proofErr w:type="spellStart"/>
    <w:r w:rsidR="00676EB0">
      <w:rPr>
        <w:rFonts w:ascii="Verdana" w:hAnsi="Verdana"/>
        <w:b/>
        <w:bCs/>
        <w:color w:val="FF0000"/>
        <w:sz w:val="17"/>
        <w:szCs w:val="17"/>
      </w:rPr>
      <w:t>C</w:t>
    </w:r>
    <w:r w:rsidR="00127A47" w:rsidRPr="00127A47">
      <w:rPr>
        <w:rFonts w:ascii="Verdana" w:hAnsi="Verdana"/>
        <w:b/>
        <w:bCs/>
        <w:color w:val="FF0000"/>
        <w:sz w:val="17"/>
        <w:szCs w:val="17"/>
      </w:rPr>
      <w:t>o</w:t>
    </w:r>
    <w:r w:rsidR="00676EB0">
      <w:rPr>
        <w:rFonts w:ascii="Verdana" w:hAnsi="Verdana"/>
        <w:b/>
        <w:bCs/>
        <w:color w:val="FF0000"/>
        <w:sz w:val="17"/>
        <w:szCs w:val="17"/>
      </w:rPr>
      <w:t>B</w:t>
    </w:r>
    <w:proofErr w:type="spellEnd"/>
  </w:p>
  <w:p w14:paraId="6AC8EEBB" w14:textId="77777777" w:rsidR="00E04888" w:rsidRPr="00CD51F6" w:rsidRDefault="009176FF" w:rsidP="00C15B4A">
    <w:pPr>
      <w:pStyle w:val="Noparagraphstyle"/>
      <w:jc w:val="right"/>
      <w:rPr>
        <w:rFonts w:ascii="Arial" w:hAnsi="Arial" w:cs="Arial"/>
        <w:i/>
        <w:iCs/>
        <w:color w:val="034EA2"/>
      </w:rPr>
    </w:pPr>
    <w:r>
      <w:tab/>
    </w:r>
  </w:p>
  <w:p w14:paraId="6AC8EEBC" w14:textId="77777777" w:rsidR="00E04888" w:rsidRPr="007349E1" w:rsidRDefault="009176FF" w:rsidP="00C15B4A">
    <w:pPr>
      <w:pStyle w:val="Hlavika"/>
      <w:tabs>
        <w:tab w:val="clear" w:pos="4320"/>
        <w:tab w:val="clear" w:pos="8640"/>
        <w:tab w:val="center" w:pos="0"/>
        <w:tab w:val="right" w:pos="10440"/>
      </w:tabs>
      <w:rPr>
        <w:b/>
        <w:sz w:val="40"/>
        <w:szCs w:val="40"/>
      </w:rPr>
    </w:pPr>
    <w:r w:rsidRPr="00164309">
      <w:rPr>
        <w:b/>
        <w:noProof/>
        <w:sz w:val="40"/>
        <w:szCs w:val="40"/>
        <w:lang w:eastAsia="en-GB"/>
      </w:rPr>
      <w:drawing>
        <wp:anchor distT="0" distB="0" distL="114300" distR="114300" simplePos="0" relativeHeight="251658240" behindDoc="0" locked="0" layoutInCell="1" allowOverlap="1" wp14:anchorId="6AC8EEBE" wp14:editId="6AC8EEBF">
          <wp:simplePos x="0" y="0"/>
          <wp:positionH relativeFrom="page">
            <wp:posOffset>524888</wp:posOffset>
          </wp:positionH>
          <wp:positionV relativeFrom="page">
            <wp:posOffset>525294</wp:posOffset>
          </wp:positionV>
          <wp:extent cx="1459555" cy="894944"/>
          <wp:effectExtent l="19050" t="0" r="0" b="0"/>
          <wp:wrapSquare wrapText="bothSides"/>
          <wp:docPr id="1" name="Picture 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CEA - Bullets Rounded Squares_BulletLevel1_forMS"/>
      </v:shape>
    </w:pict>
  </w:numPicBullet>
  <w:numPicBullet w:numPicBulletId="1">
    <w:pict>
      <v:shape id="_x0000_i1027" type="#_x0000_t75" style="width:7.5pt;height:7.5pt" o:bullet="t">
        <v:imagedata r:id="rId2" o:title="CEA - Bullets Rounded Squares_BulletLevel2_forMS"/>
      </v:shape>
    </w:pict>
  </w:numPicBullet>
  <w:numPicBullet w:numPicBulletId="2">
    <w:pict>
      <v:shape id="_x0000_i1028" type="#_x0000_t75" style="width:9pt;height:8.25pt" o:bullet="t">
        <v:imagedata r:id="rId3" o:title="CEA - Bullets Rounded Squares_BulletLevel3_forMS"/>
      </v:shape>
    </w:pict>
  </w:numPicBullet>
  <w:abstractNum w:abstractNumId="0" w15:restartNumberingAfterBreak="0">
    <w:nsid w:val="1054071E"/>
    <w:multiLevelType w:val="hybridMultilevel"/>
    <w:tmpl w:val="EBE65710"/>
    <w:lvl w:ilvl="0" w:tplc="A0240652">
      <w:start w:val="165"/>
      <w:numFmt w:val="bullet"/>
      <w:pStyle w:val="CEABullet-Level2"/>
      <w:lvlText w:val=""/>
      <w:lvlPicBulletId w:val="1"/>
      <w:lvlJc w:val="left"/>
      <w:pPr>
        <w:ind w:left="1800" w:hanging="360"/>
      </w:pPr>
      <w:rPr>
        <w:rFonts w:ascii="Symbol" w:hAnsi="Symbol" w:hint="default"/>
        <w:color w:val="auto"/>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1" w15:restartNumberingAfterBreak="0">
    <w:nsid w:val="22972276"/>
    <w:multiLevelType w:val="hybridMultilevel"/>
    <w:tmpl w:val="A4EA34DE"/>
    <w:lvl w:ilvl="0" w:tplc="20000005">
      <w:start w:val="1"/>
      <w:numFmt w:val="bullet"/>
      <w:lvlText w:val=""/>
      <w:lvlJc w:val="left"/>
      <w:pPr>
        <w:ind w:left="1713" w:hanging="360"/>
      </w:pPr>
      <w:rPr>
        <w:rFonts w:ascii="Wingdings" w:hAnsi="Wingdings" w:hint="default"/>
      </w:rPr>
    </w:lvl>
    <w:lvl w:ilvl="1" w:tplc="20000003" w:tentative="1">
      <w:start w:val="1"/>
      <w:numFmt w:val="bullet"/>
      <w:lvlText w:val="o"/>
      <w:lvlJc w:val="left"/>
      <w:pPr>
        <w:ind w:left="2433" w:hanging="360"/>
      </w:pPr>
      <w:rPr>
        <w:rFonts w:ascii="Courier New" w:hAnsi="Courier New" w:cs="Courier New" w:hint="default"/>
      </w:rPr>
    </w:lvl>
    <w:lvl w:ilvl="2" w:tplc="20000005" w:tentative="1">
      <w:start w:val="1"/>
      <w:numFmt w:val="bullet"/>
      <w:lvlText w:val=""/>
      <w:lvlJc w:val="left"/>
      <w:pPr>
        <w:ind w:left="3153" w:hanging="360"/>
      </w:pPr>
      <w:rPr>
        <w:rFonts w:ascii="Wingdings" w:hAnsi="Wingdings" w:hint="default"/>
      </w:rPr>
    </w:lvl>
    <w:lvl w:ilvl="3" w:tplc="20000001" w:tentative="1">
      <w:start w:val="1"/>
      <w:numFmt w:val="bullet"/>
      <w:lvlText w:val=""/>
      <w:lvlJc w:val="left"/>
      <w:pPr>
        <w:ind w:left="3873" w:hanging="360"/>
      </w:pPr>
      <w:rPr>
        <w:rFonts w:ascii="Symbol" w:hAnsi="Symbol" w:hint="default"/>
      </w:rPr>
    </w:lvl>
    <w:lvl w:ilvl="4" w:tplc="20000003" w:tentative="1">
      <w:start w:val="1"/>
      <w:numFmt w:val="bullet"/>
      <w:lvlText w:val="o"/>
      <w:lvlJc w:val="left"/>
      <w:pPr>
        <w:ind w:left="4593" w:hanging="360"/>
      </w:pPr>
      <w:rPr>
        <w:rFonts w:ascii="Courier New" w:hAnsi="Courier New" w:cs="Courier New" w:hint="default"/>
      </w:rPr>
    </w:lvl>
    <w:lvl w:ilvl="5" w:tplc="20000005" w:tentative="1">
      <w:start w:val="1"/>
      <w:numFmt w:val="bullet"/>
      <w:lvlText w:val=""/>
      <w:lvlJc w:val="left"/>
      <w:pPr>
        <w:ind w:left="5313" w:hanging="360"/>
      </w:pPr>
      <w:rPr>
        <w:rFonts w:ascii="Wingdings" w:hAnsi="Wingdings" w:hint="default"/>
      </w:rPr>
    </w:lvl>
    <w:lvl w:ilvl="6" w:tplc="20000001" w:tentative="1">
      <w:start w:val="1"/>
      <w:numFmt w:val="bullet"/>
      <w:lvlText w:val=""/>
      <w:lvlJc w:val="left"/>
      <w:pPr>
        <w:ind w:left="6033" w:hanging="360"/>
      </w:pPr>
      <w:rPr>
        <w:rFonts w:ascii="Symbol" w:hAnsi="Symbol" w:hint="default"/>
      </w:rPr>
    </w:lvl>
    <w:lvl w:ilvl="7" w:tplc="20000003" w:tentative="1">
      <w:start w:val="1"/>
      <w:numFmt w:val="bullet"/>
      <w:lvlText w:val="o"/>
      <w:lvlJc w:val="left"/>
      <w:pPr>
        <w:ind w:left="6753" w:hanging="360"/>
      </w:pPr>
      <w:rPr>
        <w:rFonts w:ascii="Courier New" w:hAnsi="Courier New" w:cs="Courier New" w:hint="default"/>
      </w:rPr>
    </w:lvl>
    <w:lvl w:ilvl="8" w:tplc="20000005" w:tentative="1">
      <w:start w:val="1"/>
      <w:numFmt w:val="bullet"/>
      <w:lvlText w:val=""/>
      <w:lvlJc w:val="left"/>
      <w:pPr>
        <w:ind w:left="7473" w:hanging="360"/>
      </w:pPr>
      <w:rPr>
        <w:rFonts w:ascii="Wingdings" w:hAnsi="Wingdings" w:hint="default"/>
      </w:rPr>
    </w:lvl>
  </w:abstractNum>
  <w:abstractNum w:abstractNumId="2" w15:restartNumberingAfterBreak="0">
    <w:nsid w:val="29C46C34"/>
    <w:multiLevelType w:val="hybridMultilevel"/>
    <w:tmpl w:val="40743490"/>
    <w:lvl w:ilvl="0" w:tplc="20000003">
      <w:start w:val="1"/>
      <w:numFmt w:val="bullet"/>
      <w:lvlText w:val="o"/>
      <w:lvlJc w:val="left"/>
      <w:pPr>
        <w:ind w:left="720" w:hanging="360"/>
      </w:pPr>
      <w:rPr>
        <w:rFonts w:ascii="Courier New" w:hAnsi="Courier New" w:cs="Courier New"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5222588"/>
    <w:multiLevelType w:val="hybridMultilevel"/>
    <w:tmpl w:val="36C80C4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447E4D85"/>
    <w:multiLevelType w:val="hybridMultilevel"/>
    <w:tmpl w:val="36024468"/>
    <w:lvl w:ilvl="0" w:tplc="37180294">
      <w:start w:val="165"/>
      <w:numFmt w:val="bullet"/>
      <w:pStyle w:val="CEABullet-Level3"/>
      <w:lvlText w:val=""/>
      <w:lvlPicBulletId w:val="2"/>
      <w:lvlJc w:val="left"/>
      <w:pPr>
        <w:ind w:left="2673" w:hanging="360"/>
      </w:pPr>
      <w:rPr>
        <w:rFonts w:ascii="Symbol" w:hAnsi="Symbol" w:hint="default"/>
        <w:color w:val="auto"/>
      </w:rPr>
    </w:lvl>
    <w:lvl w:ilvl="1" w:tplc="080C0003" w:tentative="1">
      <w:start w:val="1"/>
      <w:numFmt w:val="bullet"/>
      <w:lvlText w:val="o"/>
      <w:lvlJc w:val="left"/>
      <w:pPr>
        <w:ind w:left="3393" w:hanging="360"/>
      </w:pPr>
      <w:rPr>
        <w:rFonts w:ascii="Courier New" w:hAnsi="Courier New" w:cs="Courier New" w:hint="default"/>
      </w:rPr>
    </w:lvl>
    <w:lvl w:ilvl="2" w:tplc="080C0005" w:tentative="1">
      <w:start w:val="1"/>
      <w:numFmt w:val="bullet"/>
      <w:lvlText w:val=""/>
      <w:lvlJc w:val="left"/>
      <w:pPr>
        <w:ind w:left="4113" w:hanging="360"/>
      </w:pPr>
      <w:rPr>
        <w:rFonts w:ascii="Wingdings" w:hAnsi="Wingdings" w:hint="default"/>
      </w:rPr>
    </w:lvl>
    <w:lvl w:ilvl="3" w:tplc="080C0001" w:tentative="1">
      <w:start w:val="1"/>
      <w:numFmt w:val="bullet"/>
      <w:lvlText w:val=""/>
      <w:lvlJc w:val="left"/>
      <w:pPr>
        <w:ind w:left="4833" w:hanging="360"/>
      </w:pPr>
      <w:rPr>
        <w:rFonts w:ascii="Symbol" w:hAnsi="Symbol" w:hint="default"/>
      </w:rPr>
    </w:lvl>
    <w:lvl w:ilvl="4" w:tplc="080C0003" w:tentative="1">
      <w:start w:val="1"/>
      <w:numFmt w:val="bullet"/>
      <w:lvlText w:val="o"/>
      <w:lvlJc w:val="left"/>
      <w:pPr>
        <w:ind w:left="5553" w:hanging="360"/>
      </w:pPr>
      <w:rPr>
        <w:rFonts w:ascii="Courier New" w:hAnsi="Courier New" w:cs="Courier New" w:hint="default"/>
      </w:rPr>
    </w:lvl>
    <w:lvl w:ilvl="5" w:tplc="080C0005" w:tentative="1">
      <w:start w:val="1"/>
      <w:numFmt w:val="bullet"/>
      <w:lvlText w:val=""/>
      <w:lvlJc w:val="left"/>
      <w:pPr>
        <w:ind w:left="6273" w:hanging="360"/>
      </w:pPr>
      <w:rPr>
        <w:rFonts w:ascii="Wingdings" w:hAnsi="Wingdings" w:hint="default"/>
      </w:rPr>
    </w:lvl>
    <w:lvl w:ilvl="6" w:tplc="080C0001" w:tentative="1">
      <w:start w:val="1"/>
      <w:numFmt w:val="bullet"/>
      <w:lvlText w:val=""/>
      <w:lvlJc w:val="left"/>
      <w:pPr>
        <w:ind w:left="6993" w:hanging="360"/>
      </w:pPr>
      <w:rPr>
        <w:rFonts w:ascii="Symbol" w:hAnsi="Symbol" w:hint="default"/>
      </w:rPr>
    </w:lvl>
    <w:lvl w:ilvl="7" w:tplc="080C0003" w:tentative="1">
      <w:start w:val="1"/>
      <w:numFmt w:val="bullet"/>
      <w:lvlText w:val="o"/>
      <w:lvlJc w:val="left"/>
      <w:pPr>
        <w:ind w:left="7713" w:hanging="360"/>
      </w:pPr>
      <w:rPr>
        <w:rFonts w:ascii="Courier New" w:hAnsi="Courier New" w:cs="Courier New" w:hint="default"/>
      </w:rPr>
    </w:lvl>
    <w:lvl w:ilvl="8" w:tplc="080C0005" w:tentative="1">
      <w:start w:val="1"/>
      <w:numFmt w:val="bullet"/>
      <w:lvlText w:val=""/>
      <w:lvlJc w:val="left"/>
      <w:pPr>
        <w:ind w:left="8433" w:hanging="360"/>
      </w:pPr>
      <w:rPr>
        <w:rFonts w:ascii="Wingdings" w:hAnsi="Wingdings" w:hint="default"/>
      </w:rPr>
    </w:lvl>
  </w:abstractNum>
  <w:abstractNum w:abstractNumId="5" w15:restartNumberingAfterBreak="0">
    <w:nsid w:val="5257196C"/>
    <w:multiLevelType w:val="hybridMultilevel"/>
    <w:tmpl w:val="4F56247C"/>
    <w:lvl w:ilvl="0" w:tplc="20000003">
      <w:start w:val="1"/>
      <w:numFmt w:val="bullet"/>
      <w:lvlText w:val="o"/>
      <w:lvlJc w:val="left"/>
      <w:pPr>
        <w:ind w:left="720" w:hanging="360"/>
      </w:pPr>
      <w:rPr>
        <w:rFonts w:ascii="Courier New" w:hAnsi="Courier New" w:cs="Courier New"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99E2B88"/>
    <w:multiLevelType w:val="hybridMultilevel"/>
    <w:tmpl w:val="636CBA02"/>
    <w:lvl w:ilvl="0" w:tplc="2CF65F2A">
      <w:start w:val="165"/>
      <w:numFmt w:val="bullet"/>
      <w:pStyle w:val="CEABullet-Level1"/>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44084954">
    <w:abstractNumId w:val="6"/>
  </w:num>
  <w:num w:numId="2" w16cid:durableId="1625497006">
    <w:abstractNumId w:val="0"/>
  </w:num>
  <w:num w:numId="3" w16cid:durableId="438256424">
    <w:abstractNumId w:val="4"/>
  </w:num>
  <w:num w:numId="4" w16cid:durableId="1904096050">
    <w:abstractNumId w:val="3"/>
  </w:num>
  <w:num w:numId="5" w16cid:durableId="1105346972">
    <w:abstractNumId w:val="6"/>
  </w:num>
  <w:num w:numId="6" w16cid:durableId="2012027040">
    <w:abstractNumId w:val="6"/>
  </w:num>
  <w:num w:numId="7" w16cid:durableId="2039623455">
    <w:abstractNumId w:val="6"/>
  </w:num>
  <w:num w:numId="8" w16cid:durableId="511993824">
    <w:abstractNumId w:val="6"/>
  </w:num>
  <w:num w:numId="9" w16cid:durableId="847789790">
    <w:abstractNumId w:val="6"/>
  </w:num>
  <w:num w:numId="10" w16cid:durableId="101342911">
    <w:abstractNumId w:val="6"/>
  </w:num>
  <w:num w:numId="11" w16cid:durableId="1995260098">
    <w:abstractNumId w:val="6"/>
  </w:num>
  <w:num w:numId="12" w16cid:durableId="689335227">
    <w:abstractNumId w:val="6"/>
  </w:num>
  <w:num w:numId="13" w16cid:durableId="134372660">
    <w:abstractNumId w:val="6"/>
  </w:num>
  <w:num w:numId="14" w16cid:durableId="928583290">
    <w:abstractNumId w:val="6"/>
  </w:num>
  <w:num w:numId="15" w16cid:durableId="1493447293">
    <w:abstractNumId w:val="6"/>
  </w:num>
  <w:num w:numId="16" w16cid:durableId="1112282129">
    <w:abstractNumId w:val="6"/>
  </w:num>
  <w:num w:numId="17" w16cid:durableId="1714428851">
    <w:abstractNumId w:val="6"/>
  </w:num>
  <w:num w:numId="18" w16cid:durableId="1800345155">
    <w:abstractNumId w:val="6"/>
  </w:num>
  <w:num w:numId="19" w16cid:durableId="1291746188">
    <w:abstractNumId w:val="6"/>
  </w:num>
  <w:num w:numId="20" w16cid:durableId="66926058">
    <w:abstractNumId w:val="6"/>
  </w:num>
  <w:num w:numId="21" w16cid:durableId="909343273">
    <w:abstractNumId w:val="6"/>
  </w:num>
  <w:num w:numId="22" w16cid:durableId="1276445931">
    <w:abstractNumId w:val="6"/>
  </w:num>
  <w:num w:numId="23" w16cid:durableId="2134129865">
    <w:abstractNumId w:val="6"/>
  </w:num>
  <w:num w:numId="24" w16cid:durableId="999817501">
    <w:abstractNumId w:val="6"/>
  </w:num>
  <w:num w:numId="25" w16cid:durableId="1671909630">
    <w:abstractNumId w:val="6"/>
  </w:num>
  <w:num w:numId="26" w16cid:durableId="1837726438">
    <w:abstractNumId w:val="6"/>
  </w:num>
  <w:num w:numId="27" w16cid:durableId="1531644197">
    <w:abstractNumId w:val="6"/>
  </w:num>
  <w:num w:numId="28" w16cid:durableId="527375205">
    <w:abstractNumId w:val="6"/>
  </w:num>
  <w:num w:numId="29" w16cid:durableId="1980569987">
    <w:abstractNumId w:val="6"/>
  </w:num>
  <w:num w:numId="30" w16cid:durableId="2096628783">
    <w:abstractNumId w:val="5"/>
  </w:num>
  <w:num w:numId="31" w16cid:durableId="1221287028">
    <w:abstractNumId w:val="2"/>
  </w:num>
  <w:num w:numId="32" w16cid:durableId="1425955022">
    <w:abstractNumId w:val="1"/>
  </w:num>
  <w:num w:numId="33" w16cid:durableId="1426465118">
    <w:abstractNumId w:val="6"/>
  </w:num>
  <w:num w:numId="34" w16cid:durableId="1600219036">
    <w:abstractNumId w:val="6"/>
  </w:num>
  <w:num w:numId="35" w16cid:durableId="1174149235">
    <w:abstractNumId w:val="6"/>
  </w:num>
  <w:num w:numId="36" w16cid:durableId="557474831">
    <w:abstractNumId w:val="0"/>
  </w:num>
  <w:num w:numId="37" w16cid:durableId="1376736119">
    <w:abstractNumId w:val="4"/>
  </w:num>
  <w:num w:numId="38" w16cid:durableId="430588618">
    <w:abstractNumId w:val="6"/>
  </w:num>
  <w:num w:numId="39" w16cid:durableId="1650210457">
    <w:abstractNumId w:val="0"/>
  </w:num>
  <w:num w:numId="40" w16cid:durableId="3073671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6FF"/>
    <w:rsid w:val="000053D7"/>
    <w:rsid w:val="000058C8"/>
    <w:rsid w:val="00007F52"/>
    <w:rsid w:val="00021CC6"/>
    <w:rsid w:val="00022831"/>
    <w:rsid w:val="00025816"/>
    <w:rsid w:val="00044C2A"/>
    <w:rsid w:val="00047C4B"/>
    <w:rsid w:val="00057445"/>
    <w:rsid w:val="0006143E"/>
    <w:rsid w:val="00063916"/>
    <w:rsid w:val="00067ED9"/>
    <w:rsid w:val="000724E8"/>
    <w:rsid w:val="00072AE1"/>
    <w:rsid w:val="000758D8"/>
    <w:rsid w:val="00075E1C"/>
    <w:rsid w:val="00076196"/>
    <w:rsid w:val="00082335"/>
    <w:rsid w:val="000851DA"/>
    <w:rsid w:val="000854C7"/>
    <w:rsid w:val="000904D8"/>
    <w:rsid w:val="00091E69"/>
    <w:rsid w:val="000A18F5"/>
    <w:rsid w:val="000A32F2"/>
    <w:rsid w:val="000A6361"/>
    <w:rsid w:val="000B13C1"/>
    <w:rsid w:val="000B2028"/>
    <w:rsid w:val="000B349C"/>
    <w:rsid w:val="000C1F18"/>
    <w:rsid w:val="000C2DCF"/>
    <w:rsid w:val="000C5783"/>
    <w:rsid w:val="000C6899"/>
    <w:rsid w:val="000D2DFB"/>
    <w:rsid w:val="000E12B0"/>
    <w:rsid w:val="000E7FB6"/>
    <w:rsid w:val="000F2DF0"/>
    <w:rsid w:val="000F3572"/>
    <w:rsid w:val="000F4504"/>
    <w:rsid w:val="000F56A1"/>
    <w:rsid w:val="000F74E2"/>
    <w:rsid w:val="001126A0"/>
    <w:rsid w:val="00112840"/>
    <w:rsid w:val="001138B8"/>
    <w:rsid w:val="00116754"/>
    <w:rsid w:val="001233BD"/>
    <w:rsid w:val="00123C8C"/>
    <w:rsid w:val="001275E9"/>
    <w:rsid w:val="00127A47"/>
    <w:rsid w:val="0013449C"/>
    <w:rsid w:val="00141F1D"/>
    <w:rsid w:val="00142D9B"/>
    <w:rsid w:val="00143266"/>
    <w:rsid w:val="00144B53"/>
    <w:rsid w:val="00147B6E"/>
    <w:rsid w:val="00150814"/>
    <w:rsid w:val="001628EC"/>
    <w:rsid w:val="00164F85"/>
    <w:rsid w:val="00166E3D"/>
    <w:rsid w:val="00175C9B"/>
    <w:rsid w:val="001774B3"/>
    <w:rsid w:val="00180100"/>
    <w:rsid w:val="001827E9"/>
    <w:rsid w:val="001A191D"/>
    <w:rsid w:val="001A3188"/>
    <w:rsid w:val="001A3EAF"/>
    <w:rsid w:val="001A4FCF"/>
    <w:rsid w:val="001B1AC5"/>
    <w:rsid w:val="001B57A0"/>
    <w:rsid w:val="001B6C7C"/>
    <w:rsid w:val="001C1A13"/>
    <w:rsid w:val="001E29E9"/>
    <w:rsid w:val="001E3BED"/>
    <w:rsid w:val="001F0667"/>
    <w:rsid w:val="001F18D7"/>
    <w:rsid w:val="0020658F"/>
    <w:rsid w:val="0020747D"/>
    <w:rsid w:val="0021712C"/>
    <w:rsid w:val="0021767C"/>
    <w:rsid w:val="002207D9"/>
    <w:rsid w:val="002233E5"/>
    <w:rsid w:val="002309D5"/>
    <w:rsid w:val="00235287"/>
    <w:rsid w:val="0023773C"/>
    <w:rsid w:val="0024172A"/>
    <w:rsid w:val="00241FF7"/>
    <w:rsid w:val="002438BD"/>
    <w:rsid w:val="00245493"/>
    <w:rsid w:val="0025329C"/>
    <w:rsid w:val="00253E2C"/>
    <w:rsid w:val="00254D4F"/>
    <w:rsid w:val="00260B5E"/>
    <w:rsid w:val="00261E78"/>
    <w:rsid w:val="00262C27"/>
    <w:rsid w:val="00266172"/>
    <w:rsid w:val="0027082C"/>
    <w:rsid w:val="002720E4"/>
    <w:rsid w:val="0027490A"/>
    <w:rsid w:val="00280996"/>
    <w:rsid w:val="0028638E"/>
    <w:rsid w:val="00290A58"/>
    <w:rsid w:val="0029189D"/>
    <w:rsid w:val="002943B0"/>
    <w:rsid w:val="00297187"/>
    <w:rsid w:val="0029782F"/>
    <w:rsid w:val="00297F21"/>
    <w:rsid w:val="002A0090"/>
    <w:rsid w:val="002A158F"/>
    <w:rsid w:val="002A15AA"/>
    <w:rsid w:val="002A1C73"/>
    <w:rsid w:val="002A5EA9"/>
    <w:rsid w:val="002B12FD"/>
    <w:rsid w:val="002B38B9"/>
    <w:rsid w:val="002B6920"/>
    <w:rsid w:val="002C188A"/>
    <w:rsid w:val="002C6D77"/>
    <w:rsid w:val="002D0885"/>
    <w:rsid w:val="002D5FDD"/>
    <w:rsid w:val="002D7CCD"/>
    <w:rsid w:val="002F0363"/>
    <w:rsid w:val="002F054A"/>
    <w:rsid w:val="002F0999"/>
    <w:rsid w:val="00306279"/>
    <w:rsid w:val="0030646B"/>
    <w:rsid w:val="003222A2"/>
    <w:rsid w:val="00326256"/>
    <w:rsid w:val="003274B4"/>
    <w:rsid w:val="00327A14"/>
    <w:rsid w:val="003330ED"/>
    <w:rsid w:val="0033374E"/>
    <w:rsid w:val="003351C9"/>
    <w:rsid w:val="00347EDA"/>
    <w:rsid w:val="00352F51"/>
    <w:rsid w:val="00354A52"/>
    <w:rsid w:val="00357728"/>
    <w:rsid w:val="003605E8"/>
    <w:rsid w:val="003612AB"/>
    <w:rsid w:val="003726BF"/>
    <w:rsid w:val="00373DC2"/>
    <w:rsid w:val="003753FA"/>
    <w:rsid w:val="00382446"/>
    <w:rsid w:val="00383716"/>
    <w:rsid w:val="0038462A"/>
    <w:rsid w:val="00384A9E"/>
    <w:rsid w:val="00385C46"/>
    <w:rsid w:val="00390F1F"/>
    <w:rsid w:val="00390F87"/>
    <w:rsid w:val="00391569"/>
    <w:rsid w:val="00391AA7"/>
    <w:rsid w:val="003A215D"/>
    <w:rsid w:val="003B19BA"/>
    <w:rsid w:val="003C32CB"/>
    <w:rsid w:val="003C34B4"/>
    <w:rsid w:val="003C53B1"/>
    <w:rsid w:val="003D3CC7"/>
    <w:rsid w:val="003D53D0"/>
    <w:rsid w:val="003D6B1A"/>
    <w:rsid w:val="003E110B"/>
    <w:rsid w:val="003E77B2"/>
    <w:rsid w:val="003F6AE0"/>
    <w:rsid w:val="00407A1C"/>
    <w:rsid w:val="0041373A"/>
    <w:rsid w:val="00420957"/>
    <w:rsid w:val="004271B3"/>
    <w:rsid w:val="00427601"/>
    <w:rsid w:val="00434D27"/>
    <w:rsid w:val="00440EBD"/>
    <w:rsid w:val="00440FEE"/>
    <w:rsid w:val="004418E3"/>
    <w:rsid w:val="00442DDD"/>
    <w:rsid w:val="0044569C"/>
    <w:rsid w:val="00453247"/>
    <w:rsid w:val="004555A0"/>
    <w:rsid w:val="004611D9"/>
    <w:rsid w:val="00463E84"/>
    <w:rsid w:val="0046513F"/>
    <w:rsid w:val="0046669A"/>
    <w:rsid w:val="00467917"/>
    <w:rsid w:val="00472468"/>
    <w:rsid w:val="00473BCD"/>
    <w:rsid w:val="00481BFC"/>
    <w:rsid w:val="00482161"/>
    <w:rsid w:val="00485D10"/>
    <w:rsid w:val="004877C2"/>
    <w:rsid w:val="00494E91"/>
    <w:rsid w:val="00495BB9"/>
    <w:rsid w:val="004967A8"/>
    <w:rsid w:val="004A2288"/>
    <w:rsid w:val="004A4DA1"/>
    <w:rsid w:val="004A786C"/>
    <w:rsid w:val="004B0562"/>
    <w:rsid w:val="004B4589"/>
    <w:rsid w:val="004B4878"/>
    <w:rsid w:val="004B4DFE"/>
    <w:rsid w:val="004B6691"/>
    <w:rsid w:val="004B6FD9"/>
    <w:rsid w:val="004C4446"/>
    <w:rsid w:val="004D2006"/>
    <w:rsid w:val="004E0A2E"/>
    <w:rsid w:val="004E0D47"/>
    <w:rsid w:val="004F4163"/>
    <w:rsid w:val="004F5B61"/>
    <w:rsid w:val="004F7AD3"/>
    <w:rsid w:val="00503041"/>
    <w:rsid w:val="00503489"/>
    <w:rsid w:val="00505869"/>
    <w:rsid w:val="00506999"/>
    <w:rsid w:val="005112DD"/>
    <w:rsid w:val="00514D3B"/>
    <w:rsid w:val="00514E74"/>
    <w:rsid w:val="005174CC"/>
    <w:rsid w:val="00526602"/>
    <w:rsid w:val="00532334"/>
    <w:rsid w:val="00532DC6"/>
    <w:rsid w:val="00533C2C"/>
    <w:rsid w:val="00543B8B"/>
    <w:rsid w:val="00551141"/>
    <w:rsid w:val="00565C41"/>
    <w:rsid w:val="00567245"/>
    <w:rsid w:val="00570092"/>
    <w:rsid w:val="0058022B"/>
    <w:rsid w:val="005A2642"/>
    <w:rsid w:val="005A7772"/>
    <w:rsid w:val="005D619E"/>
    <w:rsid w:val="005F196C"/>
    <w:rsid w:val="005F1A41"/>
    <w:rsid w:val="005F429D"/>
    <w:rsid w:val="005F6C00"/>
    <w:rsid w:val="00603FC2"/>
    <w:rsid w:val="00611C7C"/>
    <w:rsid w:val="00613EF0"/>
    <w:rsid w:val="00621751"/>
    <w:rsid w:val="006227C5"/>
    <w:rsid w:val="00623D1E"/>
    <w:rsid w:val="00625ADC"/>
    <w:rsid w:val="00627A21"/>
    <w:rsid w:val="0063170E"/>
    <w:rsid w:val="00631CED"/>
    <w:rsid w:val="00633314"/>
    <w:rsid w:val="006368B7"/>
    <w:rsid w:val="00646491"/>
    <w:rsid w:val="00647179"/>
    <w:rsid w:val="00651ED0"/>
    <w:rsid w:val="00652FF6"/>
    <w:rsid w:val="0065398D"/>
    <w:rsid w:val="006553AC"/>
    <w:rsid w:val="00655696"/>
    <w:rsid w:val="00666991"/>
    <w:rsid w:val="0067477D"/>
    <w:rsid w:val="00676EB0"/>
    <w:rsid w:val="006832A5"/>
    <w:rsid w:val="006841B4"/>
    <w:rsid w:val="00685EC0"/>
    <w:rsid w:val="00691530"/>
    <w:rsid w:val="00692405"/>
    <w:rsid w:val="006930F7"/>
    <w:rsid w:val="006976D4"/>
    <w:rsid w:val="00697D02"/>
    <w:rsid w:val="006A64C1"/>
    <w:rsid w:val="006A6F77"/>
    <w:rsid w:val="006B3D58"/>
    <w:rsid w:val="006C3317"/>
    <w:rsid w:val="006C3899"/>
    <w:rsid w:val="006E3598"/>
    <w:rsid w:val="006E3FDE"/>
    <w:rsid w:val="006E4E35"/>
    <w:rsid w:val="006E6634"/>
    <w:rsid w:val="006E736F"/>
    <w:rsid w:val="006F02AF"/>
    <w:rsid w:val="006F208C"/>
    <w:rsid w:val="006F4E8D"/>
    <w:rsid w:val="007041A5"/>
    <w:rsid w:val="00710AAE"/>
    <w:rsid w:val="00710FD3"/>
    <w:rsid w:val="007137B9"/>
    <w:rsid w:val="0072595B"/>
    <w:rsid w:val="00732D07"/>
    <w:rsid w:val="00736048"/>
    <w:rsid w:val="00742FA6"/>
    <w:rsid w:val="00743D2A"/>
    <w:rsid w:val="00743E89"/>
    <w:rsid w:val="00745BAB"/>
    <w:rsid w:val="00746992"/>
    <w:rsid w:val="00751A2E"/>
    <w:rsid w:val="00756F11"/>
    <w:rsid w:val="007604F0"/>
    <w:rsid w:val="00762083"/>
    <w:rsid w:val="007636B8"/>
    <w:rsid w:val="00763A26"/>
    <w:rsid w:val="00764956"/>
    <w:rsid w:val="00765DA8"/>
    <w:rsid w:val="007733B4"/>
    <w:rsid w:val="007735B8"/>
    <w:rsid w:val="0077400D"/>
    <w:rsid w:val="00777C6D"/>
    <w:rsid w:val="0078750A"/>
    <w:rsid w:val="00791BD8"/>
    <w:rsid w:val="007970EB"/>
    <w:rsid w:val="007A01CE"/>
    <w:rsid w:val="007A443D"/>
    <w:rsid w:val="007A505C"/>
    <w:rsid w:val="007B091E"/>
    <w:rsid w:val="007B4E02"/>
    <w:rsid w:val="007B54AE"/>
    <w:rsid w:val="007B5ECA"/>
    <w:rsid w:val="007C0B00"/>
    <w:rsid w:val="007C1769"/>
    <w:rsid w:val="007C457D"/>
    <w:rsid w:val="007D00F5"/>
    <w:rsid w:val="007D0439"/>
    <w:rsid w:val="007D1417"/>
    <w:rsid w:val="007D5831"/>
    <w:rsid w:val="007E28D9"/>
    <w:rsid w:val="007E297D"/>
    <w:rsid w:val="007F0139"/>
    <w:rsid w:val="007F787D"/>
    <w:rsid w:val="00803CF0"/>
    <w:rsid w:val="0080512F"/>
    <w:rsid w:val="00806F27"/>
    <w:rsid w:val="00807EF0"/>
    <w:rsid w:val="00811CE5"/>
    <w:rsid w:val="00814ACF"/>
    <w:rsid w:val="00825F5E"/>
    <w:rsid w:val="00831492"/>
    <w:rsid w:val="00834EFD"/>
    <w:rsid w:val="00835AFE"/>
    <w:rsid w:val="00837C91"/>
    <w:rsid w:val="00843A2E"/>
    <w:rsid w:val="00846CC4"/>
    <w:rsid w:val="0084718D"/>
    <w:rsid w:val="00851EA3"/>
    <w:rsid w:val="00852318"/>
    <w:rsid w:val="0085714A"/>
    <w:rsid w:val="00861806"/>
    <w:rsid w:val="008627A5"/>
    <w:rsid w:val="00862F4C"/>
    <w:rsid w:val="00865D78"/>
    <w:rsid w:val="008663E9"/>
    <w:rsid w:val="008732A5"/>
    <w:rsid w:val="00874EB4"/>
    <w:rsid w:val="00883294"/>
    <w:rsid w:val="008865FF"/>
    <w:rsid w:val="00890F79"/>
    <w:rsid w:val="00896339"/>
    <w:rsid w:val="008A5F91"/>
    <w:rsid w:val="008B0FC6"/>
    <w:rsid w:val="008B3CF5"/>
    <w:rsid w:val="008C3157"/>
    <w:rsid w:val="008C5B21"/>
    <w:rsid w:val="008C74B7"/>
    <w:rsid w:val="008D48DF"/>
    <w:rsid w:val="008E6E61"/>
    <w:rsid w:val="008E72F4"/>
    <w:rsid w:val="008F4182"/>
    <w:rsid w:val="008F576A"/>
    <w:rsid w:val="00900639"/>
    <w:rsid w:val="0090275D"/>
    <w:rsid w:val="00902ECE"/>
    <w:rsid w:val="00903356"/>
    <w:rsid w:val="00904217"/>
    <w:rsid w:val="00915490"/>
    <w:rsid w:val="009173EB"/>
    <w:rsid w:val="009176FF"/>
    <w:rsid w:val="00917F52"/>
    <w:rsid w:val="009201FA"/>
    <w:rsid w:val="0092283D"/>
    <w:rsid w:val="009264B4"/>
    <w:rsid w:val="00934130"/>
    <w:rsid w:val="009367F7"/>
    <w:rsid w:val="00936EB1"/>
    <w:rsid w:val="009441A8"/>
    <w:rsid w:val="00946830"/>
    <w:rsid w:val="00951186"/>
    <w:rsid w:val="00953F7B"/>
    <w:rsid w:val="00954837"/>
    <w:rsid w:val="00957A20"/>
    <w:rsid w:val="0096198D"/>
    <w:rsid w:val="009710F9"/>
    <w:rsid w:val="0097176D"/>
    <w:rsid w:val="00971796"/>
    <w:rsid w:val="00972253"/>
    <w:rsid w:val="009802B6"/>
    <w:rsid w:val="00980B24"/>
    <w:rsid w:val="0098537C"/>
    <w:rsid w:val="009864C2"/>
    <w:rsid w:val="0099203B"/>
    <w:rsid w:val="00994FDC"/>
    <w:rsid w:val="00996A0E"/>
    <w:rsid w:val="009A6EAB"/>
    <w:rsid w:val="009A7469"/>
    <w:rsid w:val="009B0A9B"/>
    <w:rsid w:val="009B166B"/>
    <w:rsid w:val="009B41C3"/>
    <w:rsid w:val="009B4E33"/>
    <w:rsid w:val="009B4E4A"/>
    <w:rsid w:val="009C3DC7"/>
    <w:rsid w:val="009D1C94"/>
    <w:rsid w:val="009D2C52"/>
    <w:rsid w:val="009D4B4F"/>
    <w:rsid w:val="009D5359"/>
    <w:rsid w:val="009D6052"/>
    <w:rsid w:val="009E0663"/>
    <w:rsid w:val="009E51A3"/>
    <w:rsid w:val="009F2CAD"/>
    <w:rsid w:val="009F347A"/>
    <w:rsid w:val="009F4398"/>
    <w:rsid w:val="009F7C1B"/>
    <w:rsid w:val="00A02BF9"/>
    <w:rsid w:val="00A0622B"/>
    <w:rsid w:val="00A072DC"/>
    <w:rsid w:val="00A07BDA"/>
    <w:rsid w:val="00A11102"/>
    <w:rsid w:val="00A12CCF"/>
    <w:rsid w:val="00A23484"/>
    <w:rsid w:val="00A24C84"/>
    <w:rsid w:val="00A25A95"/>
    <w:rsid w:val="00A25D0B"/>
    <w:rsid w:val="00A26A8D"/>
    <w:rsid w:val="00A2715C"/>
    <w:rsid w:val="00A31353"/>
    <w:rsid w:val="00A3155B"/>
    <w:rsid w:val="00A3258F"/>
    <w:rsid w:val="00A37040"/>
    <w:rsid w:val="00A414A3"/>
    <w:rsid w:val="00A4173D"/>
    <w:rsid w:val="00A42C47"/>
    <w:rsid w:val="00A43ED3"/>
    <w:rsid w:val="00A45893"/>
    <w:rsid w:val="00A46F56"/>
    <w:rsid w:val="00A50D3D"/>
    <w:rsid w:val="00A5336D"/>
    <w:rsid w:val="00A53D08"/>
    <w:rsid w:val="00A62F29"/>
    <w:rsid w:val="00A6358B"/>
    <w:rsid w:val="00A713D5"/>
    <w:rsid w:val="00A71461"/>
    <w:rsid w:val="00A741AD"/>
    <w:rsid w:val="00A76AA4"/>
    <w:rsid w:val="00A76E02"/>
    <w:rsid w:val="00A80D2C"/>
    <w:rsid w:val="00A9568A"/>
    <w:rsid w:val="00AA581C"/>
    <w:rsid w:val="00AA6C38"/>
    <w:rsid w:val="00AB350D"/>
    <w:rsid w:val="00AB35D9"/>
    <w:rsid w:val="00AC3681"/>
    <w:rsid w:val="00AC6BDD"/>
    <w:rsid w:val="00AD4D82"/>
    <w:rsid w:val="00AE430E"/>
    <w:rsid w:val="00AE4C63"/>
    <w:rsid w:val="00AE5595"/>
    <w:rsid w:val="00AF0D9A"/>
    <w:rsid w:val="00AF573D"/>
    <w:rsid w:val="00AF59AE"/>
    <w:rsid w:val="00B0186D"/>
    <w:rsid w:val="00B076F9"/>
    <w:rsid w:val="00B12079"/>
    <w:rsid w:val="00B12C42"/>
    <w:rsid w:val="00B16393"/>
    <w:rsid w:val="00B23E48"/>
    <w:rsid w:val="00B3759F"/>
    <w:rsid w:val="00B379A2"/>
    <w:rsid w:val="00B40E7D"/>
    <w:rsid w:val="00B46B3E"/>
    <w:rsid w:val="00B54193"/>
    <w:rsid w:val="00B55121"/>
    <w:rsid w:val="00B60DF5"/>
    <w:rsid w:val="00B60FC7"/>
    <w:rsid w:val="00B66F95"/>
    <w:rsid w:val="00B771B4"/>
    <w:rsid w:val="00B80500"/>
    <w:rsid w:val="00B82EDF"/>
    <w:rsid w:val="00B846FB"/>
    <w:rsid w:val="00B86700"/>
    <w:rsid w:val="00B87686"/>
    <w:rsid w:val="00B91625"/>
    <w:rsid w:val="00B920B3"/>
    <w:rsid w:val="00B93610"/>
    <w:rsid w:val="00B93BED"/>
    <w:rsid w:val="00BA306C"/>
    <w:rsid w:val="00BA557A"/>
    <w:rsid w:val="00BA5FCF"/>
    <w:rsid w:val="00BB3DD0"/>
    <w:rsid w:val="00BB4513"/>
    <w:rsid w:val="00BB5DAA"/>
    <w:rsid w:val="00BC0970"/>
    <w:rsid w:val="00BC2882"/>
    <w:rsid w:val="00BC46E2"/>
    <w:rsid w:val="00BC666E"/>
    <w:rsid w:val="00BD4BB8"/>
    <w:rsid w:val="00BE2504"/>
    <w:rsid w:val="00BE5D81"/>
    <w:rsid w:val="00BF0562"/>
    <w:rsid w:val="00BF6579"/>
    <w:rsid w:val="00C045CB"/>
    <w:rsid w:val="00C067EC"/>
    <w:rsid w:val="00C1228A"/>
    <w:rsid w:val="00C13121"/>
    <w:rsid w:val="00C13B52"/>
    <w:rsid w:val="00C14B8C"/>
    <w:rsid w:val="00C15B4A"/>
    <w:rsid w:val="00C20F57"/>
    <w:rsid w:val="00C27FC1"/>
    <w:rsid w:val="00C30913"/>
    <w:rsid w:val="00C327FA"/>
    <w:rsid w:val="00C37C22"/>
    <w:rsid w:val="00C4077D"/>
    <w:rsid w:val="00C476E2"/>
    <w:rsid w:val="00C5315A"/>
    <w:rsid w:val="00C54CF3"/>
    <w:rsid w:val="00C54F6B"/>
    <w:rsid w:val="00C567D0"/>
    <w:rsid w:val="00C61ECB"/>
    <w:rsid w:val="00C7479D"/>
    <w:rsid w:val="00C8010C"/>
    <w:rsid w:val="00C817DD"/>
    <w:rsid w:val="00C921E3"/>
    <w:rsid w:val="00C94907"/>
    <w:rsid w:val="00C94C13"/>
    <w:rsid w:val="00CA0E9B"/>
    <w:rsid w:val="00CB370B"/>
    <w:rsid w:val="00CB482B"/>
    <w:rsid w:val="00CB5695"/>
    <w:rsid w:val="00CB68CB"/>
    <w:rsid w:val="00CC0C5F"/>
    <w:rsid w:val="00CC61CF"/>
    <w:rsid w:val="00CC7374"/>
    <w:rsid w:val="00CD6C52"/>
    <w:rsid w:val="00CD70F0"/>
    <w:rsid w:val="00CD75EA"/>
    <w:rsid w:val="00CE08E9"/>
    <w:rsid w:val="00CE3162"/>
    <w:rsid w:val="00CF6E75"/>
    <w:rsid w:val="00D01F3B"/>
    <w:rsid w:val="00D047DE"/>
    <w:rsid w:val="00D06278"/>
    <w:rsid w:val="00D10F99"/>
    <w:rsid w:val="00D152A7"/>
    <w:rsid w:val="00D212DA"/>
    <w:rsid w:val="00D22302"/>
    <w:rsid w:val="00D35FAC"/>
    <w:rsid w:val="00D37353"/>
    <w:rsid w:val="00D45D88"/>
    <w:rsid w:val="00D47FA5"/>
    <w:rsid w:val="00D5216A"/>
    <w:rsid w:val="00D60851"/>
    <w:rsid w:val="00D63596"/>
    <w:rsid w:val="00D6658A"/>
    <w:rsid w:val="00D809E0"/>
    <w:rsid w:val="00D8417B"/>
    <w:rsid w:val="00D911B5"/>
    <w:rsid w:val="00DA44B5"/>
    <w:rsid w:val="00DA5EDF"/>
    <w:rsid w:val="00DB5F15"/>
    <w:rsid w:val="00DC2696"/>
    <w:rsid w:val="00DC34BC"/>
    <w:rsid w:val="00DC4A24"/>
    <w:rsid w:val="00DD033F"/>
    <w:rsid w:val="00DD0C28"/>
    <w:rsid w:val="00DD1AB0"/>
    <w:rsid w:val="00DD6821"/>
    <w:rsid w:val="00DD69BF"/>
    <w:rsid w:val="00DD711A"/>
    <w:rsid w:val="00DD74DA"/>
    <w:rsid w:val="00DE1D41"/>
    <w:rsid w:val="00DE3D4A"/>
    <w:rsid w:val="00DE47EF"/>
    <w:rsid w:val="00DE57A3"/>
    <w:rsid w:val="00DE60CB"/>
    <w:rsid w:val="00DE7E4F"/>
    <w:rsid w:val="00DF232A"/>
    <w:rsid w:val="00DF458B"/>
    <w:rsid w:val="00DF6B09"/>
    <w:rsid w:val="00E04888"/>
    <w:rsid w:val="00E1280D"/>
    <w:rsid w:val="00E14ADB"/>
    <w:rsid w:val="00E14E73"/>
    <w:rsid w:val="00E2701C"/>
    <w:rsid w:val="00E31AC5"/>
    <w:rsid w:val="00E32A51"/>
    <w:rsid w:val="00E346EA"/>
    <w:rsid w:val="00E401D2"/>
    <w:rsid w:val="00E45C22"/>
    <w:rsid w:val="00E463BC"/>
    <w:rsid w:val="00E50DF0"/>
    <w:rsid w:val="00E53A2B"/>
    <w:rsid w:val="00E55ACF"/>
    <w:rsid w:val="00E5668E"/>
    <w:rsid w:val="00E56C96"/>
    <w:rsid w:val="00E60142"/>
    <w:rsid w:val="00E63777"/>
    <w:rsid w:val="00E72A9C"/>
    <w:rsid w:val="00E75B4A"/>
    <w:rsid w:val="00E82A1E"/>
    <w:rsid w:val="00E86A86"/>
    <w:rsid w:val="00E93A6A"/>
    <w:rsid w:val="00EA0FC5"/>
    <w:rsid w:val="00EA5E43"/>
    <w:rsid w:val="00EB6380"/>
    <w:rsid w:val="00EC263A"/>
    <w:rsid w:val="00EC2AC7"/>
    <w:rsid w:val="00EC2F53"/>
    <w:rsid w:val="00EC7B19"/>
    <w:rsid w:val="00ED4772"/>
    <w:rsid w:val="00ED5297"/>
    <w:rsid w:val="00ED63FC"/>
    <w:rsid w:val="00EE2F4F"/>
    <w:rsid w:val="00EE4C59"/>
    <w:rsid w:val="00EF2D84"/>
    <w:rsid w:val="00F03F1D"/>
    <w:rsid w:val="00F06E1C"/>
    <w:rsid w:val="00F1420B"/>
    <w:rsid w:val="00F23A0D"/>
    <w:rsid w:val="00F31408"/>
    <w:rsid w:val="00F40089"/>
    <w:rsid w:val="00F40F67"/>
    <w:rsid w:val="00F41E22"/>
    <w:rsid w:val="00F51872"/>
    <w:rsid w:val="00F5654B"/>
    <w:rsid w:val="00F6489E"/>
    <w:rsid w:val="00F7112E"/>
    <w:rsid w:val="00F72DC9"/>
    <w:rsid w:val="00F7304D"/>
    <w:rsid w:val="00F7451C"/>
    <w:rsid w:val="00F804D2"/>
    <w:rsid w:val="00F8705B"/>
    <w:rsid w:val="00F94205"/>
    <w:rsid w:val="00F943CB"/>
    <w:rsid w:val="00F961F9"/>
    <w:rsid w:val="00F96349"/>
    <w:rsid w:val="00FA4C33"/>
    <w:rsid w:val="00FA4C35"/>
    <w:rsid w:val="00FA4DAB"/>
    <w:rsid w:val="00FA645A"/>
    <w:rsid w:val="00FA6E62"/>
    <w:rsid w:val="00FB0078"/>
    <w:rsid w:val="00FB4F44"/>
    <w:rsid w:val="00FB5B03"/>
    <w:rsid w:val="00FD286E"/>
    <w:rsid w:val="00FD47F9"/>
    <w:rsid w:val="00FD708E"/>
    <w:rsid w:val="00FD76DA"/>
    <w:rsid w:val="00FE7A03"/>
    <w:rsid w:val="00FF6F1A"/>
    <w:rsid w:val="00FF7724"/>
    <w:rsid w:val="1624C6AA"/>
    <w:rsid w:val="49BDCD5F"/>
    <w:rsid w:val="5844DFA4"/>
    <w:rsid w:val="7B488A8B"/>
    <w:rsid w:val="7B9BDC89"/>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AC8EEB4"/>
  <w15:docId w15:val="{F5349290-0482-4CBE-BBE7-2F5181328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176FF"/>
    <w:pPr>
      <w:spacing w:after="0" w:line="288" w:lineRule="auto"/>
      <w:jc w:val="both"/>
    </w:pPr>
    <w:rPr>
      <w:rFonts w:ascii="Verdana" w:eastAsia="Times New Roman" w:hAnsi="Verdana" w:cs="Times New Roman"/>
      <w:sz w:val="17"/>
      <w:szCs w:val="24"/>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semiHidden/>
    <w:rsid w:val="009176FF"/>
    <w:pPr>
      <w:tabs>
        <w:tab w:val="center" w:pos="4320"/>
        <w:tab w:val="right" w:pos="8640"/>
      </w:tabs>
    </w:pPr>
  </w:style>
  <w:style w:type="character" w:customStyle="1" w:styleId="HlavikaChar">
    <w:name w:val="Hlavička Char"/>
    <w:basedOn w:val="Predvolenpsmoodseku"/>
    <w:link w:val="Hlavika"/>
    <w:semiHidden/>
    <w:rsid w:val="009176FF"/>
    <w:rPr>
      <w:rFonts w:ascii="Verdana" w:eastAsia="Times New Roman" w:hAnsi="Verdana" w:cs="Times New Roman"/>
      <w:sz w:val="17"/>
      <w:szCs w:val="24"/>
      <w:lang w:val="en-GB"/>
    </w:rPr>
  </w:style>
  <w:style w:type="paragraph" w:styleId="Pta">
    <w:name w:val="footer"/>
    <w:basedOn w:val="Normlny"/>
    <w:link w:val="PtaChar"/>
    <w:uiPriority w:val="99"/>
    <w:rsid w:val="009176FF"/>
    <w:pPr>
      <w:tabs>
        <w:tab w:val="center" w:pos="4320"/>
        <w:tab w:val="right" w:pos="8640"/>
      </w:tabs>
    </w:pPr>
  </w:style>
  <w:style w:type="character" w:customStyle="1" w:styleId="PtaChar">
    <w:name w:val="Päta Char"/>
    <w:basedOn w:val="Predvolenpsmoodseku"/>
    <w:link w:val="Pta"/>
    <w:uiPriority w:val="99"/>
    <w:rsid w:val="009176FF"/>
    <w:rPr>
      <w:rFonts w:ascii="Verdana" w:eastAsia="Times New Roman" w:hAnsi="Verdana" w:cs="Times New Roman"/>
      <w:sz w:val="17"/>
      <w:szCs w:val="24"/>
      <w:lang w:val="en-GB"/>
    </w:rPr>
  </w:style>
  <w:style w:type="paragraph" w:customStyle="1" w:styleId="Noparagraphstyle">
    <w:name w:val="[No paragraph style]"/>
    <w:semiHidden/>
    <w:rsid w:val="009176F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GB"/>
    </w:rPr>
  </w:style>
  <w:style w:type="character" w:customStyle="1" w:styleId="CEAGraphTitle">
    <w:name w:val="CEA Graph Title"/>
    <w:basedOn w:val="Predvolenpsmoodseku"/>
    <w:uiPriority w:val="1"/>
    <w:qFormat/>
    <w:rsid w:val="009176FF"/>
    <w:rPr>
      <w:rFonts w:ascii="Verdana" w:hAnsi="Verdana"/>
      <w:smallCaps w:val="0"/>
      <w:sz w:val="17"/>
      <w:lang w:val="en-GB"/>
    </w:rPr>
  </w:style>
  <w:style w:type="paragraph" w:customStyle="1" w:styleId="CEABullet-Level1">
    <w:name w:val="CEA Bullet - Level 1"/>
    <w:basedOn w:val="Normlny"/>
    <w:link w:val="CEABullet-Level1Char"/>
    <w:qFormat/>
    <w:rsid w:val="00666991"/>
    <w:pPr>
      <w:numPr>
        <w:numId w:val="38"/>
      </w:numPr>
      <w:autoSpaceDE w:val="0"/>
      <w:autoSpaceDN w:val="0"/>
      <w:adjustRightInd w:val="0"/>
    </w:pPr>
    <w:rPr>
      <w:rFonts w:cs="Frutiger LT Std 45 Light"/>
      <w:color w:val="000000"/>
      <w:szCs w:val="20"/>
    </w:rPr>
  </w:style>
  <w:style w:type="paragraph" w:customStyle="1" w:styleId="CEABullet-Level2">
    <w:name w:val="CEA Bullet - Level 2"/>
    <w:basedOn w:val="CEABullet-Level1"/>
    <w:next w:val="Normlny"/>
    <w:qFormat/>
    <w:rsid w:val="00666991"/>
    <w:pPr>
      <w:numPr>
        <w:numId w:val="39"/>
      </w:numPr>
    </w:pPr>
  </w:style>
  <w:style w:type="paragraph" w:customStyle="1" w:styleId="CEABullet-Level3">
    <w:name w:val="CEA Bullet - Level 3"/>
    <w:basedOn w:val="Normlny"/>
    <w:qFormat/>
    <w:rsid w:val="00666991"/>
    <w:pPr>
      <w:numPr>
        <w:numId w:val="40"/>
      </w:numPr>
      <w:autoSpaceDE w:val="0"/>
      <w:autoSpaceDN w:val="0"/>
      <w:adjustRightInd w:val="0"/>
    </w:pPr>
    <w:rPr>
      <w:rFonts w:cs="Frutiger LT Std 45 Light"/>
      <w:color w:val="000000"/>
      <w:szCs w:val="20"/>
    </w:rPr>
  </w:style>
  <w:style w:type="paragraph" w:customStyle="1" w:styleId="CEADirectorGeneral">
    <w:name w:val="CEA Director General"/>
    <w:basedOn w:val="Normlny"/>
    <w:semiHidden/>
    <w:qFormat/>
    <w:rsid w:val="001126A0"/>
    <w:pPr>
      <w:tabs>
        <w:tab w:val="right" w:pos="360"/>
        <w:tab w:val="left" w:pos="540"/>
      </w:tabs>
      <w:autoSpaceDE w:val="0"/>
      <w:autoSpaceDN w:val="0"/>
      <w:adjustRightInd w:val="0"/>
      <w:textAlignment w:val="center"/>
    </w:pPr>
    <w:rPr>
      <w:sz w:val="22"/>
      <w:szCs w:val="22"/>
    </w:rPr>
  </w:style>
  <w:style w:type="paragraph" w:customStyle="1" w:styleId="CEADocumentType">
    <w:name w:val="CEA Document Type"/>
    <w:basedOn w:val="Normlny"/>
    <w:semiHidden/>
    <w:qFormat/>
    <w:rsid w:val="001126A0"/>
    <w:pPr>
      <w:jc w:val="right"/>
    </w:pPr>
    <w:rPr>
      <w:rFonts w:cs="Frutiger LT Std 55 Roman"/>
      <w:b/>
      <w:color w:val="0032FF"/>
      <w:sz w:val="40"/>
      <w:szCs w:val="40"/>
    </w:rPr>
  </w:style>
  <w:style w:type="paragraph" w:customStyle="1" w:styleId="CEADraft">
    <w:name w:val="CEA Draft"/>
    <w:basedOn w:val="Normlny"/>
    <w:semiHidden/>
    <w:qFormat/>
    <w:rsid w:val="001126A0"/>
    <w:pPr>
      <w:jc w:val="right"/>
    </w:pPr>
    <w:rPr>
      <w:rFonts w:cs="Arial"/>
      <w:b/>
      <w:i/>
      <w:color w:val="034EA2"/>
      <w:sz w:val="32"/>
      <w:szCs w:val="40"/>
    </w:rPr>
  </w:style>
  <w:style w:type="paragraph" w:customStyle="1" w:styleId="CEAFooterauthorinfo">
    <w:name w:val="CEA Footer (author info)"/>
    <w:basedOn w:val="Normlny"/>
    <w:semiHidden/>
    <w:qFormat/>
    <w:rsid w:val="001126A0"/>
    <w:pPr>
      <w:autoSpaceDE w:val="0"/>
      <w:autoSpaceDN w:val="0"/>
      <w:adjustRightInd w:val="0"/>
      <w:textAlignment w:val="center"/>
    </w:pPr>
    <w:rPr>
      <w:rFonts w:cs="Arial"/>
      <w:b/>
      <w:color w:val="034EA2"/>
      <w:sz w:val="16"/>
      <w:szCs w:val="16"/>
    </w:rPr>
  </w:style>
  <w:style w:type="paragraph" w:customStyle="1" w:styleId="CEAFootnote">
    <w:name w:val="CEA Footnote"/>
    <w:basedOn w:val="Normlny"/>
    <w:semiHidden/>
    <w:qFormat/>
    <w:rsid w:val="001126A0"/>
    <w:pPr>
      <w:spacing w:line="240" w:lineRule="auto"/>
    </w:pPr>
    <w:rPr>
      <w:sz w:val="16"/>
    </w:rPr>
  </w:style>
  <w:style w:type="character" w:customStyle="1" w:styleId="CEAGraphX">
    <w:name w:val="CEA Graph X"/>
    <w:uiPriority w:val="1"/>
    <w:qFormat/>
    <w:rsid w:val="001126A0"/>
    <w:rPr>
      <w:rFonts w:ascii="Verdana" w:hAnsi="Verdana"/>
      <w:smallCaps/>
      <w:sz w:val="19"/>
      <w:lang w:val="en-GB"/>
    </w:rPr>
  </w:style>
  <w:style w:type="paragraph" w:customStyle="1" w:styleId="CEALabel">
    <w:name w:val="CEA Label"/>
    <w:basedOn w:val="Normlny"/>
    <w:semiHidden/>
    <w:qFormat/>
    <w:rsid w:val="001126A0"/>
    <w:rPr>
      <w:rFonts w:cs="Arial"/>
      <w:b/>
      <w:color w:val="034EA2"/>
      <w:sz w:val="18"/>
      <w:szCs w:val="18"/>
    </w:rPr>
  </w:style>
  <w:style w:type="paragraph" w:customStyle="1" w:styleId="CEAPositionPaperTitle">
    <w:name w:val="CEA Position Paper Title"/>
    <w:basedOn w:val="Normlny"/>
    <w:semiHidden/>
    <w:qFormat/>
    <w:rsid w:val="001126A0"/>
    <w:pPr>
      <w:ind w:left="-27"/>
    </w:pPr>
    <w:rPr>
      <w:b/>
      <w:color w:val="034EA2"/>
      <w:sz w:val="32"/>
      <w:szCs w:val="32"/>
    </w:rPr>
  </w:style>
  <w:style w:type="paragraph" w:customStyle="1" w:styleId="CEAPressReleaseSubtitle">
    <w:name w:val="CEA Press Release Subtitle"/>
    <w:basedOn w:val="Normlny"/>
    <w:semiHidden/>
    <w:qFormat/>
    <w:rsid w:val="001126A0"/>
    <w:rPr>
      <w:sz w:val="22"/>
      <w:szCs w:val="22"/>
    </w:rPr>
  </w:style>
  <w:style w:type="paragraph" w:customStyle="1" w:styleId="CEAPressReleaseTitle">
    <w:name w:val="CEA Press Release Title"/>
    <w:basedOn w:val="Normlny"/>
    <w:semiHidden/>
    <w:qFormat/>
    <w:rsid w:val="001126A0"/>
    <w:pPr>
      <w:autoSpaceDE w:val="0"/>
      <w:autoSpaceDN w:val="0"/>
      <w:adjustRightInd w:val="0"/>
      <w:spacing w:line="240" w:lineRule="auto"/>
    </w:pPr>
    <w:rPr>
      <w:rFonts w:ascii="Frutiger LT Com 45 Light" w:hAnsi="Frutiger LT Com 45 Light"/>
      <w:b/>
      <w:color w:val="034EA2"/>
      <w:sz w:val="36"/>
      <w:szCs w:val="36"/>
    </w:rPr>
  </w:style>
  <w:style w:type="paragraph" w:customStyle="1" w:styleId="CEASubjectLine">
    <w:name w:val="CEA Subject Line"/>
    <w:basedOn w:val="Normlny"/>
    <w:semiHidden/>
    <w:qFormat/>
    <w:rsid w:val="001126A0"/>
    <w:rPr>
      <w:rFonts w:cs="Frutiger LT Std 55 Roman"/>
      <w:b/>
      <w:szCs w:val="20"/>
    </w:rPr>
  </w:style>
  <w:style w:type="paragraph" w:customStyle="1" w:styleId="CEAStandardHeading">
    <w:name w:val="CEA Standard Heading"/>
    <w:basedOn w:val="Normlny"/>
    <w:qFormat/>
    <w:rsid w:val="00E04888"/>
    <w:pPr>
      <w:autoSpaceDE w:val="0"/>
      <w:autoSpaceDN w:val="0"/>
      <w:adjustRightInd w:val="0"/>
      <w:textAlignment w:val="center"/>
    </w:pPr>
    <w:rPr>
      <w:rFonts w:cs="Arial"/>
      <w:color w:val="002957"/>
      <w:sz w:val="20"/>
      <w:szCs w:val="22"/>
    </w:rPr>
  </w:style>
  <w:style w:type="character" w:customStyle="1" w:styleId="CEABullet-Level1Char">
    <w:name w:val="CEA Bullet - Level 1 Char"/>
    <w:link w:val="CEABullet-Level1"/>
    <w:rsid w:val="00666991"/>
    <w:rPr>
      <w:rFonts w:ascii="Verdana" w:eastAsia="Times New Roman" w:hAnsi="Verdana" w:cs="Frutiger LT Std 45 Light"/>
      <w:color w:val="000000"/>
      <w:sz w:val="17"/>
      <w:szCs w:val="20"/>
      <w:lang w:val="en-GB"/>
    </w:rPr>
  </w:style>
  <w:style w:type="character" w:styleId="Odkaznakomentr">
    <w:name w:val="annotation reference"/>
    <w:basedOn w:val="Predvolenpsmoodseku"/>
    <w:uiPriority w:val="99"/>
    <w:semiHidden/>
    <w:unhideWhenUsed/>
    <w:rsid w:val="00BE5D81"/>
    <w:rPr>
      <w:sz w:val="16"/>
      <w:szCs w:val="16"/>
    </w:rPr>
  </w:style>
  <w:style w:type="paragraph" w:styleId="Textkomentra">
    <w:name w:val="annotation text"/>
    <w:basedOn w:val="Normlny"/>
    <w:link w:val="TextkomentraChar"/>
    <w:uiPriority w:val="99"/>
    <w:unhideWhenUsed/>
    <w:rsid w:val="00BE5D81"/>
    <w:pPr>
      <w:spacing w:line="240" w:lineRule="auto"/>
    </w:pPr>
    <w:rPr>
      <w:sz w:val="20"/>
      <w:szCs w:val="20"/>
    </w:rPr>
  </w:style>
  <w:style w:type="character" w:customStyle="1" w:styleId="TextkomentraChar">
    <w:name w:val="Text komentára Char"/>
    <w:basedOn w:val="Predvolenpsmoodseku"/>
    <w:link w:val="Textkomentra"/>
    <w:uiPriority w:val="99"/>
    <w:rsid w:val="00BE5D81"/>
    <w:rPr>
      <w:rFonts w:ascii="Verdana" w:eastAsia="Times New Roman" w:hAnsi="Verdana" w:cs="Times New Roman"/>
      <w:sz w:val="20"/>
      <w:szCs w:val="20"/>
      <w:lang w:val="en-GB"/>
    </w:rPr>
  </w:style>
  <w:style w:type="paragraph" w:styleId="Predmetkomentra">
    <w:name w:val="annotation subject"/>
    <w:basedOn w:val="Textkomentra"/>
    <w:next w:val="Textkomentra"/>
    <w:link w:val="PredmetkomentraChar"/>
    <w:uiPriority w:val="99"/>
    <w:semiHidden/>
    <w:unhideWhenUsed/>
    <w:rsid w:val="00BE5D81"/>
    <w:rPr>
      <w:b/>
      <w:bCs/>
    </w:rPr>
  </w:style>
  <w:style w:type="character" w:customStyle="1" w:styleId="PredmetkomentraChar">
    <w:name w:val="Predmet komentára Char"/>
    <w:basedOn w:val="TextkomentraChar"/>
    <w:link w:val="Predmetkomentra"/>
    <w:uiPriority w:val="99"/>
    <w:semiHidden/>
    <w:rsid w:val="00BE5D81"/>
    <w:rPr>
      <w:rFonts w:ascii="Verdana" w:eastAsia="Times New Roman" w:hAnsi="Verdana" w:cs="Times New Roman"/>
      <w:b/>
      <w:bCs/>
      <w:sz w:val="20"/>
      <w:szCs w:val="20"/>
      <w:lang w:val="en-GB"/>
    </w:rPr>
  </w:style>
  <w:style w:type="paragraph" w:styleId="Revzia">
    <w:name w:val="Revision"/>
    <w:hidden/>
    <w:uiPriority w:val="99"/>
    <w:semiHidden/>
    <w:rsid w:val="00A45893"/>
    <w:pPr>
      <w:spacing w:after="0" w:line="240" w:lineRule="auto"/>
    </w:pPr>
    <w:rPr>
      <w:rFonts w:ascii="Verdana" w:eastAsia="Times New Roman" w:hAnsi="Verdana" w:cs="Times New Roman"/>
      <w:sz w:val="17"/>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81553">
      <w:bodyDiv w:val="1"/>
      <w:marLeft w:val="0"/>
      <w:marRight w:val="0"/>
      <w:marTop w:val="0"/>
      <w:marBottom w:val="0"/>
      <w:divBdr>
        <w:top w:val="none" w:sz="0" w:space="0" w:color="auto"/>
        <w:left w:val="none" w:sz="0" w:space="0" w:color="auto"/>
        <w:bottom w:val="none" w:sz="0" w:space="0" w:color="auto"/>
        <w:right w:val="none" w:sz="0" w:space="0" w:color="auto"/>
      </w:divBdr>
    </w:div>
    <w:div w:id="113867115">
      <w:bodyDiv w:val="1"/>
      <w:marLeft w:val="0"/>
      <w:marRight w:val="0"/>
      <w:marTop w:val="0"/>
      <w:marBottom w:val="0"/>
      <w:divBdr>
        <w:top w:val="none" w:sz="0" w:space="0" w:color="auto"/>
        <w:left w:val="none" w:sz="0" w:space="0" w:color="auto"/>
        <w:bottom w:val="none" w:sz="0" w:space="0" w:color="auto"/>
        <w:right w:val="none" w:sz="0" w:space="0" w:color="auto"/>
      </w:divBdr>
    </w:div>
    <w:div w:id="281763046">
      <w:bodyDiv w:val="1"/>
      <w:marLeft w:val="0"/>
      <w:marRight w:val="0"/>
      <w:marTop w:val="0"/>
      <w:marBottom w:val="0"/>
      <w:divBdr>
        <w:top w:val="none" w:sz="0" w:space="0" w:color="auto"/>
        <w:left w:val="none" w:sz="0" w:space="0" w:color="auto"/>
        <w:bottom w:val="none" w:sz="0" w:space="0" w:color="auto"/>
        <w:right w:val="none" w:sz="0" w:space="0" w:color="auto"/>
      </w:divBdr>
    </w:div>
    <w:div w:id="621420925">
      <w:bodyDiv w:val="1"/>
      <w:marLeft w:val="0"/>
      <w:marRight w:val="0"/>
      <w:marTop w:val="0"/>
      <w:marBottom w:val="0"/>
      <w:divBdr>
        <w:top w:val="none" w:sz="0" w:space="0" w:color="auto"/>
        <w:left w:val="none" w:sz="0" w:space="0" w:color="auto"/>
        <w:bottom w:val="none" w:sz="0" w:space="0" w:color="auto"/>
        <w:right w:val="none" w:sz="0" w:space="0" w:color="auto"/>
      </w:divBdr>
    </w:div>
    <w:div w:id="972174834">
      <w:bodyDiv w:val="1"/>
      <w:marLeft w:val="0"/>
      <w:marRight w:val="0"/>
      <w:marTop w:val="0"/>
      <w:marBottom w:val="0"/>
      <w:divBdr>
        <w:top w:val="none" w:sz="0" w:space="0" w:color="auto"/>
        <w:left w:val="none" w:sz="0" w:space="0" w:color="auto"/>
        <w:bottom w:val="none" w:sz="0" w:space="0" w:color="auto"/>
        <w:right w:val="none" w:sz="0" w:space="0" w:color="auto"/>
      </w:divBdr>
    </w:div>
    <w:div w:id="1228414698">
      <w:bodyDiv w:val="1"/>
      <w:marLeft w:val="0"/>
      <w:marRight w:val="0"/>
      <w:marTop w:val="0"/>
      <w:marBottom w:val="0"/>
      <w:divBdr>
        <w:top w:val="none" w:sz="0" w:space="0" w:color="auto"/>
        <w:left w:val="none" w:sz="0" w:space="0" w:color="auto"/>
        <w:bottom w:val="none" w:sz="0" w:space="0" w:color="auto"/>
        <w:right w:val="none" w:sz="0" w:space="0" w:color="auto"/>
      </w:divBdr>
    </w:div>
    <w:div w:id="1500927664">
      <w:bodyDiv w:val="1"/>
      <w:marLeft w:val="0"/>
      <w:marRight w:val="0"/>
      <w:marTop w:val="0"/>
      <w:marBottom w:val="0"/>
      <w:divBdr>
        <w:top w:val="none" w:sz="0" w:space="0" w:color="auto"/>
        <w:left w:val="none" w:sz="0" w:space="0" w:color="auto"/>
        <w:bottom w:val="none" w:sz="0" w:space="0" w:color="auto"/>
        <w:right w:val="none" w:sz="0" w:space="0" w:color="auto"/>
      </w:divBdr>
    </w:div>
    <w:div w:id="1846357927">
      <w:bodyDiv w:val="1"/>
      <w:marLeft w:val="0"/>
      <w:marRight w:val="0"/>
      <w:marTop w:val="0"/>
      <w:marBottom w:val="0"/>
      <w:divBdr>
        <w:top w:val="none" w:sz="0" w:space="0" w:color="auto"/>
        <w:left w:val="none" w:sz="0" w:space="0" w:color="auto"/>
        <w:bottom w:val="none" w:sz="0" w:space="0" w:color="auto"/>
        <w:right w:val="none" w:sz="0" w:space="0" w:color="auto"/>
      </w:divBdr>
    </w:div>
    <w:div w:id="212502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ype_x0020_of_x0020_memo xmlns="d352728d-c7aa-455d-bd83-40fe44122be8" xsi:nil="true"/>
    <Deadline xmlns="d352728d-c7aa-455d-bd83-40fe44122be8" xsi:nil="true"/>
    <Type_x0020_of_x0020_document xmlns="d352728d-c7aa-455d-bd83-40fe44122be8" xsi:nil="true"/>
    <Uploads xmlns="d352728d-c7aa-455d-bd83-40fe44122be8" xsi:nil="true"/>
    <Leading_x0020_document xmlns="d352728d-c7aa-455d-bd83-40fe44122be8" xsi:nil="true"/>
    <Can_x0020_be_x0020_edited xmlns="d352728d-c7aa-455d-bd83-40fe44122be8">false</Can_x0020_be_x0020_edited>
    <AllowComments xmlns="d352728d-c7aa-455d-bd83-40fe44122be8">true</AllowComments>
    <Allow_x0020_uploads xmlns="d352728d-c7aa-455d-bd83-40fe44122be8" xsi:nil="true"/>
    <Display_x0020_validated_x0020_documents_x0020_library_x0020_button xmlns="d352728d-c7aa-455d-bd83-40fe44122be8">false</Display_x0020_validated_x0020_documents_x0020_library_x0020_button>
    <Validated xmlns="d352728d-c7aa-455d-bd83-40fe44122be8">false</Validated>
    <Feedback_x0020_type xmlns="d352728d-c7aa-455d-bd83-40fe44122be8" xsi:nil="true"/>
    <isAnnex xmlns="d352728d-c7aa-455d-bd83-40fe44122be8" xsi:nil="true"/>
    <ValidationComment xmlns="d352728d-c7aa-455d-bd83-40fe44122be8" xsi:nil="true"/>
    <Allow_x0020_comments xmlns="d352728d-c7aa-455d-bd83-40fe44122b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ublished Documents" ma:contentTypeID="0x0101007A2A1B97D27D6A4C90B6022E1624614C" ma:contentTypeVersion="25" ma:contentTypeDescription="Published Documents Content types for Insurance Europe" ma:contentTypeScope="" ma:versionID="8a2d4692b2818bc39a2ce63c0804f6e5">
  <xsd:schema xmlns:xsd="http://www.w3.org/2001/XMLSchema" xmlns:xs="http://www.w3.org/2001/XMLSchema" xmlns:p="http://schemas.microsoft.com/office/2006/metadata/properties" xmlns:ns2="d352728d-c7aa-455d-bd83-40fe44122be8" targetNamespace="http://schemas.microsoft.com/office/2006/metadata/properties" ma:root="true" ma:fieldsID="8b95e88459e8d978ad07ee6f97c580c8" ns2:_="">
    <xsd:import namespace="d352728d-c7aa-455d-bd83-40fe44122be8"/>
    <xsd:element name="properties">
      <xsd:complexType>
        <xsd:sequence>
          <xsd:element name="documentManagement">
            <xsd:complexType>
              <xsd:all>
                <xsd:element ref="ns2:AllowComments" minOccurs="0"/>
                <xsd:element ref="ns2:Validated" minOccurs="0"/>
                <xsd:element ref="ns2:ValidationComment" minOccurs="0"/>
                <xsd:element ref="ns2:Can_x0020_be_x0020_edited" minOccurs="0"/>
                <xsd:element ref="ns2:Type_x0020_of_x0020_document" minOccurs="0"/>
                <xsd:element ref="ns2:Deadline" minOccurs="0"/>
                <xsd:element ref="ns2:Type_x0020_of_x0020_memo" minOccurs="0"/>
                <xsd:element ref="ns2:Display_x0020_validated_x0020_documents_x0020_library_x0020_button" minOccurs="0"/>
                <xsd:element ref="ns2:isAnnex" minOccurs="0"/>
                <xsd:element ref="ns2:Uploads" minOccurs="0"/>
                <xsd:element ref="ns2:Allow_x0020_uploads" minOccurs="0"/>
                <xsd:element ref="ns2:Allow_x0020_comments" minOccurs="0"/>
                <xsd:element ref="ns2:Feedback_x0020_type" minOccurs="0"/>
                <xsd:element ref="ns2:Leading_x0020_document" minOccurs="0"/>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2728d-c7aa-455d-bd83-40fe44122be8" elementFormDefault="qualified">
    <xsd:import namespace="http://schemas.microsoft.com/office/2006/documentManagement/types"/>
    <xsd:import namespace="http://schemas.microsoft.com/office/infopath/2007/PartnerControls"/>
    <xsd:element name="AllowComments" ma:index="8" nillable="true" ma:displayName="AllowComments" ma:default="1" ma:internalName="AllowComments" ma:readOnly="false">
      <xsd:simpleType>
        <xsd:restriction base="dms:Boolean"/>
      </xsd:simpleType>
    </xsd:element>
    <xsd:element name="Validated" ma:index="9" nillable="true" ma:displayName="Validated" ma:default="0" ma:internalName="Validated" ma:readOnly="false">
      <xsd:simpleType>
        <xsd:restriction base="dms:Boolean"/>
      </xsd:simpleType>
    </xsd:element>
    <xsd:element name="ValidationComment" ma:index="10" nillable="true" ma:displayName="ValidationComment" ma:internalName="ValidationComment" ma:readOnly="false">
      <xsd:simpleType>
        <xsd:restriction base="dms:Note">
          <xsd:maxLength value="255"/>
        </xsd:restriction>
      </xsd:simpleType>
    </xsd:element>
    <xsd:element name="Can_x0020_be_x0020_edited" ma:index="11" nillable="true" ma:displayName="Can be edited" ma:default="0" ma:internalName="Can_x0020_be_x0020_edited" ma:readOnly="false">
      <xsd:simpleType>
        <xsd:restriction base="dms:Boolean"/>
      </xsd:simpleType>
    </xsd:element>
    <xsd:element name="Type_x0020_of_x0020_document" ma:index="12" nillable="true" ma:displayName="Type of document" ma:format="Dropdown" ma:internalName="Type_x0020_of_x0020_document" ma:readOnly="false">
      <xsd:simpleType>
        <xsd:restriction base="dms:Choice">
          <xsd:enumeration value="Memo"/>
          <xsd:enumeration value="Blank document"/>
          <xsd:enumeration value="Agenda"/>
          <xsd:enumeration value="News Flash"/>
          <xsd:enumeration value="Participants List"/>
          <xsd:enumeration value="Press Release"/>
          <xsd:enumeration value="Fax Cover"/>
          <xsd:enumeration value="Letter"/>
          <xsd:enumeration value="Background note"/>
          <xsd:enumeration value="Meeting Conclusions"/>
          <xsd:enumeration value="Position Paper"/>
          <xsd:enumeration value="PowerPoint template"/>
        </xsd:restriction>
      </xsd:simpleType>
    </xsd:element>
    <xsd:element name="Deadline" ma:index="13" nillable="true" ma:displayName="Deadline" ma:format="DateTime" ma:internalName="Deadline" ma:readOnly="false">
      <xsd:simpleType>
        <xsd:restriction base="dms:DateTime"/>
      </xsd:simpleType>
    </xsd:element>
    <xsd:element name="Type_x0020_of_x0020_memo" ma:index="14" nillable="true" ma:displayName="Type of memo" ma:format="Dropdown" ma:internalName="Type_x0020_of_x0020_memo" ma:readOnly="false">
      <xsd:simpleType>
        <xsd:restriction base="dms:Choice">
          <xsd:enumeration value="information"/>
          <xsd:enumeration value="action"/>
        </xsd:restriction>
      </xsd:simpleType>
    </xsd:element>
    <xsd:element name="Display_x0020_validated_x0020_documents_x0020_library_x0020_button" ma:index="15" nillable="true" ma:displayName="Display validated documents library button" ma:default="0" ma:internalName="Display_x0020_validated_x0020_documents_x0020_library_x0020_button" ma:readOnly="false">
      <xsd:simpleType>
        <xsd:restriction base="dms:Boolean"/>
      </xsd:simpleType>
    </xsd:element>
    <xsd:element name="isAnnex" ma:index="16" nillable="true" ma:displayName="isAnnex" ma:internalName="isAnnex" ma:readOnly="false">
      <xsd:simpleType>
        <xsd:restriction base="dms:Text"/>
      </xsd:simpleType>
    </xsd:element>
    <xsd:element name="Uploads" ma:index="17" nillable="true" ma:displayName="Uploads" ma:internalName="Uploads" ma:readOnly="false">
      <xsd:simpleType>
        <xsd:restriction base="dms:Boolean"/>
      </xsd:simpleType>
    </xsd:element>
    <xsd:element name="Allow_x0020_uploads" ma:index="18" nillable="true" ma:displayName="Allow uploads" ma:internalName="Allow_x0020_uploads">
      <xsd:simpleType>
        <xsd:restriction base="dms:Boolean"/>
      </xsd:simpleType>
    </xsd:element>
    <xsd:element name="Allow_x0020_comments" ma:index="19" nillable="true" ma:displayName="Allow comments" ma:internalName="Allow_x0020_comments">
      <xsd:simpleType>
        <xsd:restriction base="dms:Boolean"/>
      </xsd:simpleType>
    </xsd:element>
    <xsd:element name="Feedback_x0020_type" ma:index="20" nillable="true" ma:displayName="Feedback type" ma:internalName="Feedback_x0020_type">
      <xsd:simpleType>
        <xsd:restriction base="dms:Text"/>
      </xsd:simpleType>
    </xsd:element>
    <xsd:element name="Leading_x0020_document" ma:index="21" nillable="true" ma:displayName="Leading document" ma:internalName="Leading_x0020_document">
      <xsd:simpleType>
        <xsd:restriction base="dms:Text"/>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8F66DE-E149-4A70-AF39-1FE692EC3E86}">
  <ds:schemaRefs>
    <ds:schemaRef ds:uri="http://schemas.openxmlformats.org/officeDocument/2006/bibliography"/>
  </ds:schemaRefs>
</ds:datastoreItem>
</file>

<file path=customXml/itemProps2.xml><?xml version="1.0" encoding="utf-8"?>
<ds:datastoreItem xmlns:ds="http://schemas.openxmlformats.org/officeDocument/2006/customXml" ds:itemID="{71D7A0EA-14CF-4487-AFCD-561CDD8E319F}">
  <ds:schemaRefs>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 ds:uri="http://purl.org/dc/dcmitype/"/>
    <ds:schemaRef ds:uri="http://purl.org/dc/terms/"/>
    <ds:schemaRef ds:uri="http://schemas.openxmlformats.org/package/2006/metadata/core-properties"/>
    <ds:schemaRef ds:uri="d352728d-c7aa-455d-bd83-40fe44122be8"/>
  </ds:schemaRefs>
</ds:datastoreItem>
</file>

<file path=customXml/itemProps3.xml><?xml version="1.0" encoding="utf-8"?>
<ds:datastoreItem xmlns:ds="http://schemas.openxmlformats.org/officeDocument/2006/customXml" ds:itemID="{D40B38CE-1609-4EFD-A337-D61283630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2728d-c7aa-455d-bd83-40fe44122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FE8496-0FDC-4718-A413-EA00469A52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2484</Words>
  <Characters>14159</Characters>
  <Application>Microsoft Office Word</Application>
  <DocSecurity>4</DocSecurity>
  <Lines>117</Lines>
  <Paragraphs>33</Paragraphs>
  <ScaleCrop>false</ScaleCrop>
  <HeadingPairs>
    <vt:vector size="2" baseType="variant">
      <vt:variant>
        <vt:lpstr>Title</vt:lpstr>
      </vt:variant>
      <vt:variant>
        <vt:i4>1</vt:i4>
      </vt:variant>
    </vt:vector>
  </HeadingPairs>
  <TitlesOfParts>
    <vt:vector size="1" baseType="lpstr">
      <vt:lpstr>First draft response to EIOPA’s consultation paper on the prudential treatment of sustainability risk</vt:lpstr>
    </vt:vector>
  </TitlesOfParts>
  <Company>Insurance Europe</Company>
  <LinksUpToDate>false</LinksUpToDate>
  <CharactersWithSpaces>16610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draft response to EIOPA’s consultation paper on the prudential treatment of sustainability risk</dc:title>
  <dc:subject/>
  <dc:creator>Insurance Europe</dc:creator>
  <cp:keywords/>
  <cp:lastModifiedBy>jozef.bachnicek</cp:lastModifiedBy>
  <cp:revision>2</cp:revision>
  <dcterms:created xsi:type="dcterms:W3CDTF">2024-01-24T09:49:00Z</dcterms:created>
  <dcterms:modified xsi:type="dcterms:W3CDTF">2024-01-24T09:49:00Z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0x0101007A2A1B97D27D6A4C90B6022E1624614C</vt:lpwstr>
  </property>
  <property fmtid="{D5CDD505-2E9C-101B-9397-08002B2CF9AE}" pid="3" name="MediaServiceImageTags">
    <vt:lpwstr/>
  </property>
</Properties>
</file>