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BF9D4" w14:textId="77777777" w:rsidR="00152882" w:rsidRPr="00A8292B" w:rsidRDefault="00152882" w:rsidP="00152882">
      <w:pPr>
        <w:rPr>
          <w:sz w:val="17"/>
          <w:szCs w:val="17"/>
        </w:rPr>
        <w:sectPr w:rsidR="00152882" w:rsidRPr="00A8292B" w:rsidSect="00825DAE">
          <w:headerReference w:type="even" r:id="rId11"/>
          <w:headerReference w:type="default" r:id="rId12"/>
          <w:footerReference w:type="even" r:id="rId13"/>
          <w:footerReference w:type="default" r:id="rId14"/>
          <w:headerReference w:type="first" r:id="rId15"/>
          <w:footerReference w:type="first" r:id="rId16"/>
          <w:pgSz w:w="11907" w:h="16839" w:code="9"/>
          <w:pgMar w:top="2336" w:right="900" w:bottom="1600" w:left="900" w:header="708" w:footer="236" w:gutter="0"/>
          <w:cols w:space="708"/>
          <w:titlePg/>
          <w:docGrid w:linePitch="360"/>
        </w:sectPr>
      </w:pPr>
      <w:bookmarkStart w:id="1" w:name="_GoBack"/>
      <w:bookmarkEnd w:id="1"/>
    </w:p>
    <w:p w14:paraId="266C2996" w14:textId="66869940" w:rsidR="00152882" w:rsidRPr="009A7FB6" w:rsidRDefault="00E95976" w:rsidP="00152882">
      <w:pPr>
        <w:autoSpaceDE w:val="0"/>
        <w:autoSpaceDN w:val="0"/>
        <w:adjustRightInd w:val="0"/>
        <w:rPr>
          <w:b/>
          <w:color w:val="002957"/>
          <w:szCs w:val="18"/>
        </w:rPr>
      </w:pPr>
      <w:r w:rsidRPr="009A7FB6">
        <w:rPr>
          <w:rStyle w:val="Heading1CEAChar"/>
          <w:rFonts w:ascii="Verdana" w:hAnsi="Verdana"/>
          <w:color w:val="002957"/>
          <w:sz w:val="18"/>
          <w:szCs w:val="18"/>
        </w:rPr>
        <w:t>Executive summary</w:t>
      </w:r>
    </w:p>
    <w:p w14:paraId="1E8424BA" w14:textId="54B223E9" w:rsidR="000A6E39" w:rsidRPr="00A8292B" w:rsidRDefault="009F0F4A" w:rsidP="00152882">
      <w:pPr>
        <w:rPr>
          <w:sz w:val="17"/>
          <w:szCs w:val="17"/>
        </w:rPr>
      </w:pPr>
      <w:r w:rsidRPr="00A8292B">
        <w:rPr>
          <w:sz w:val="17"/>
          <w:szCs w:val="17"/>
        </w:rPr>
        <w:t>Solvency II came into force in January 2016 after many years of discussion. Insurance Europe supported, and continues to support, its primary objectives, namely a risk-based, harmonised European rule book for the insurance market which ensures a robust level of policyholder protection and a level playing field for all insurers.</w:t>
      </w:r>
      <w:r w:rsidR="00EF50B6">
        <w:rPr>
          <w:sz w:val="17"/>
          <w:szCs w:val="17"/>
        </w:rPr>
        <w:t xml:space="preserve"> Equally important is the ability of the industry to provide affordable, long-term insurance products which are much needed, particularly given the ageing populations across Europe. </w:t>
      </w:r>
    </w:p>
    <w:p w14:paraId="4E81C71D" w14:textId="77777777" w:rsidR="000A6E39" w:rsidRPr="00A8292B" w:rsidRDefault="000A6E39" w:rsidP="00152882">
      <w:pPr>
        <w:rPr>
          <w:sz w:val="17"/>
          <w:szCs w:val="17"/>
        </w:rPr>
      </w:pPr>
    </w:p>
    <w:p w14:paraId="63C091AE" w14:textId="33BBF06B" w:rsidR="000A6E39" w:rsidRPr="00A8292B" w:rsidRDefault="00FF6108" w:rsidP="00152882">
      <w:pPr>
        <w:rPr>
          <w:sz w:val="17"/>
          <w:szCs w:val="17"/>
        </w:rPr>
      </w:pPr>
      <w:r>
        <w:rPr>
          <w:sz w:val="17"/>
          <w:szCs w:val="17"/>
        </w:rPr>
        <w:t>In</w:t>
      </w:r>
      <w:r w:rsidR="00B96563">
        <w:rPr>
          <w:sz w:val="17"/>
          <w:szCs w:val="17"/>
        </w:rPr>
        <w:t xml:space="preserve"> the</w:t>
      </w:r>
      <w:r>
        <w:rPr>
          <w:sz w:val="17"/>
          <w:szCs w:val="17"/>
        </w:rPr>
        <w:t xml:space="preserve"> decade preceding 2016, d</w:t>
      </w:r>
      <w:r w:rsidR="000A6E39" w:rsidRPr="00A8292B">
        <w:rPr>
          <w:sz w:val="17"/>
          <w:szCs w:val="17"/>
        </w:rPr>
        <w:t>uring the development of Solvency II, Insurance Europe consistently raised concerns about certain aspects of the design and calibration of the framework and, in particular, the treatment of long-term business. To address some of these concerns, the Omnibus II Directive was adopted which updated the regulation to reflect the LTG package agreed by legislators.</w:t>
      </w:r>
    </w:p>
    <w:p w14:paraId="6DA19A7F" w14:textId="77777777" w:rsidR="000A6E39" w:rsidRPr="00A8292B" w:rsidRDefault="000A6E39" w:rsidP="00152882">
      <w:pPr>
        <w:rPr>
          <w:sz w:val="17"/>
          <w:szCs w:val="17"/>
        </w:rPr>
      </w:pPr>
    </w:p>
    <w:p w14:paraId="6BB0F59E" w14:textId="2A8D5D56" w:rsidR="000A6E39" w:rsidRPr="00A8292B" w:rsidRDefault="000A6E39" w:rsidP="00E121D0">
      <w:pPr>
        <w:rPr>
          <w:sz w:val="17"/>
          <w:szCs w:val="17"/>
        </w:rPr>
      </w:pPr>
      <w:r w:rsidRPr="00A8292B">
        <w:rPr>
          <w:sz w:val="17"/>
          <w:szCs w:val="17"/>
        </w:rPr>
        <w:t xml:space="preserve">One of the measures which was introduced as part of the </w:t>
      </w:r>
      <w:r w:rsidR="009F0F4A" w:rsidRPr="00A8292B">
        <w:rPr>
          <w:sz w:val="17"/>
          <w:szCs w:val="17"/>
        </w:rPr>
        <w:t>Omnibus II Directive</w:t>
      </w:r>
      <w:r w:rsidRPr="00A8292B">
        <w:rPr>
          <w:sz w:val="17"/>
          <w:szCs w:val="17"/>
        </w:rPr>
        <w:t xml:space="preserve"> was the matching adjustment (MA). </w:t>
      </w:r>
      <w:r w:rsidR="00E121D0" w:rsidRPr="00A8292B">
        <w:rPr>
          <w:sz w:val="17"/>
          <w:szCs w:val="17"/>
        </w:rPr>
        <w:t>Th</w:t>
      </w:r>
      <w:r w:rsidRPr="00A8292B">
        <w:rPr>
          <w:sz w:val="17"/>
          <w:szCs w:val="17"/>
        </w:rPr>
        <w:t>is tool</w:t>
      </w:r>
      <w:r w:rsidR="00E121D0" w:rsidRPr="00A8292B">
        <w:rPr>
          <w:sz w:val="17"/>
          <w:szCs w:val="17"/>
        </w:rPr>
        <w:t xml:space="preserve"> allows insurers to recogni</w:t>
      </w:r>
      <w:r w:rsidRPr="00A8292B">
        <w:rPr>
          <w:sz w:val="17"/>
          <w:szCs w:val="17"/>
        </w:rPr>
        <w:t>se</w:t>
      </w:r>
      <w:r w:rsidR="00E121D0" w:rsidRPr="00A8292B">
        <w:rPr>
          <w:sz w:val="17"/>
          <w:szCs w:val="17"/>
        </w:rPr>
        <w:t xml:space="preserve"> </w:t>
      </w:r>
      <w:r w:rsidRPr="00A8292B">
        <w:rPr>
          <w:sz w:val="17"/>
          <w:szCs w:val="17"/>
        </w:rPr>
        <w:t>the illiquidity premium that they earn when investing</w:t>
      </w:r>
      <w:r w:rsidR="00105BD0">
        <w:rPr>
          <w:sz w:val="17"/>
          <w:szCs w:val="17"/>
        </w:rPr>
        <w:t xml:space="preserve"> in long-term assets</w:t>
      </w:r>
      <w:r w:rsidRPr="00A8292B">
        <w:rPr>
          <w:sz w:val="17"/>
          <w:szCs w:val="17"/>
        </w:rPr>
        <w:t xml:space="preserve"> to meet long-term obligations. The standard formula capital requirements for corporate bond investments relating to an MA portfolio are more aligned with the default risks </w:t>
      </w:r>
      <w:r w:rsidR="00E95976">
        <w:rPr>
          <w:sz w:val="17"/>
          <w:szCs w:val="17"/>
        </w:rPr>
        <w:t>to which</w:t>
      </w:r>
      <w:r w:rsidRPr="00A8292B">
        <w:rPr>
          <w:sz w:val="17"/>
          <w:szCs w:val="17"/>
        </w:rPr>
        <w:t xml:space="preserve"> they are exposed, rather than short-term market volatility. </w:t>
      </w:r>
    </w:p>
    <w:p w14:paraId="4E263A78" w14:textId="7057BD08" w:rsidR="000A6E39" w:rsidRPr="00A8292B" w:rsidRDefault="000A6E39" w:rsidP="00E121D0">
      <w:pPr>
        <w:rPr>
          <w:sz w:val="17"/>
          <w:szCs w:val="17"/>
        </w:rPr>
      </w:pPr>
    </w:p>
    <w:p w14:paraId="2B9DFA3E" w14:textId="77777777" w:rsidR="000A6E39" w:rsidRPr="00A8292B" w:rsidRDefault="000A6E39" w:rsidP="00E121D0">
      <w:pPr>
        <w:rPr>
          <w:sz w:val="17"/>
          <w:szCs w:val="17"/>
        </w:rPr>
      </w:pPr>
      <w:r w:rsidRPr="00A8292B">
        <w:rPr>
          <w:sz w:val="17"/>
          <w:szCs w:val="17"/>
        </w:rPr>
        <w:t>Eligibility for the use of the MA is governed by a set of strict criteria. These relate to the risk management practices of the insurer, the separate treatment of MA business within the wider activities of the insurer</w:t>
      </w:r>
      <w:r w:rsidR="00AE301C" w:rsidRPr="00A8292B">
        <w:rPr>
          <w:sz w:val="17"/>
          <w:szCs w:val="17"/>
        </w:rPr>
        <w:t xml:space="preserve"> and the asset and liability characteristics. </w:t>
      </w:r>
      <w:r w:rsidR="00E65C83" w:rsidRPr="00A8292B">
        <w:rPr>
          <w:sz w:val="17"/>
          <w:szCs w:val="17"/>
        </w:rPr>
        <w:t xml:space="preserve">Due to the restrictive nature of these criteria, the MA is only applied to 15% of European liabilities, arising from two jurisdictions. </w:t>
      </w:r>
    </w:p>
    <w:p w14:paraId="6695DE89" w14:textId="77777777" w:rsidR="00AE301C" w:rsidRPr="00A8292B" w:rsidRDefault="00AE301C" w:rsidP="00E121D0">
      <w:pPr>
        <w:rPr>
          <w:sz w:val="17"/>
          <w:szCs w:val="17"/>
        </w:rPr>
      </w:pPr>
    </w:p>
    <w:p w14:paraId="6E3038D4" w14:textId="4C890771" w:rsidR="00E13A7C" w:rsidRDefault="00E13A7C" w:rsidP="00E13A7C">
      <w:pPr>
        <w:rPr>
          <w:sz w:val="17"/>
          <w:szCs w:val="17"/>
        </w:rPr>
      </w:pPr>
      <w:r>
        <w:rPr>
          <w:sz w:val="17"/>
          <w:szCs w:val="17"/>
        </w:rPr>
        <w:t>However, in these jurisdictions, t</w:t>
      </w:r>
      <w:r w:rsidRPr="00A8292B">
        <w:rPr>
          <w:sz w:val="17"/>
          <w:szCs w:val="17"/>
        </w:rPr>
        <w:t xml:space="preserve">he MA has proven to be a very powerful and valuable tool which has provided many benefits for policyholders, and insurers. It has also benefitted the wider financial system </w:t>
      </w:r>
      <w:r>
        <w:rPr>
          <w:sz w:val="17"/>
          <w:szCs w:val="17"/>
        </w:rPr>
        <w:t>by</w:t>
      </w:r>
      <w:r w:rsidRPr="00A8292B">
        <w:rPr>
          <w:sz w:val="17"/>
          <w:szCs w:val="17"/>
        </w:rPr>
        <w:t xml:space="preserve"> ensuring the supply of long-term capital and mitigating systemic risks. This has been evidenced by many industry participants as well as supervisors and regulators. </w:t>
      </w:r>
    </w:p>
    <w:p w14:paraId="453C3A86" w14:textId="77777777" w:rsidR="00E13A7C" w:rsidRPr="00A8292B" w:rsidRDefault="00E13A7C" w:rsidP="00E13A7C">
      <w:pPr>
        <w:rPr>
          <w:sz w:val="17"/>
          <w:szCs w:val="17"/>
        </w:rPr>
      </w:pPr>
    </w:p>
    <w:p w14:paraId="1E870896" w14:textId="77777777" w:rsidR="00333059" w:rsidRPr="00A8292B" w:rsidRDefault="00333059" w:rsidP="00E121D0">
      <w:pPr>
        <w:rPr>
          <w:sz w:val="17"/>
          <w:szCs w:val="17"/>
        </w:rPr>
      </w:pPr>
      <w:r w:rsidRPr="00A8292B">
        <w:rPr>
          <w:sz w:val="17"/>
          <w:szCs w:val="17"/>
        </w:rPr>
        <w:t>The MA will be reviewed as part of the 2020 Review of Solvency II, a process which is currently ongoing and is expected to conclude in 2021.</w:t>
      </w:r>
    </w:p>
    <w:p w14:paraId="3D611BAA" w14:textId="77777777" w:rsidR="00333059" w:rsidRPr="00A8292B" w:rsidRDefault="00333059" w:rsidP="00E121D0">
      <w:pPr>
        <w:rPr>
          <w:sz w:val="17"/>
          <w:szCs w:val="17"/>
        </w:rPr>
      </w:pPr>
    </w:p>
    <w:p w14:paraId="516F12F0" w14:textId="70FBC002" w:rsidR="00333059" w:rsidRPr="00A8292B" w:rsidRDefault="00333059" w:rsidP="00E121D0">
      <w:pPr>
        <w:rPr>
          <w:sz w:val="17"/>
          <w:szCs w:val="17"/>
        </w:rPr>
      </w:pPr>
      <w:r w:rsidRPr="00A8292B">
        <w:rPr>
          <w:b/>
          <w:sz w:val="17"/>
          <w:szCs w:val="17"/>
        </w:rPr>
        <w:t xml:space="preserve">Insurance Europe </w:t>
      </w:r>
      <w:r w:rsidR="00AE301C" w:rsidRPr="00A8292B">
        <w:rPr>
          <w:b/>
          <w:sz w:val="17"/>
          <w:szCs w:val="17"/>
        </w:rPr>
        <w:t xml:space="preserve">supports the retention of the MA </w:t>
      </w:r>
      <w:r w:rsidR="001B4293" w:rsidRPr="00A8292B">
        <w:rPr>
          <w:b/>
          <w:sz w:val="17"/>
          <w:szCs w:val="17"/>
        </w:rPr>
        <w:t xml:space="preserve">framework </w:t>
      </w:r>
      <w:r w:rsidR="00AE301C" w:rsidRPr="00A8292B">
        <w:rPr>
          <w:b/>
          <w:sz w:val="17"/>
          <w:szCs w:val="17"/>
        </w:rPr>
        <w:t xml:space="preserve">within the Solvency II framework as a separate </w:t>
      </w:r>
      <w:r w:rsidRPr="00A8292B">
        <w:rPr>
          <w:b/>
          <w:sz w:val="17"/>
          <w:szCs w:val="17"/>
        </w:rPr>
        <w:t xml:space="preserve">and distinct </w:t>
      </w:r>
      <w:r w:rsidR="00AE301C" w:rsidRPr="00A8292B">
        <w:rPr>
          <w:b/>
          <w:sz w:val="17"/>
          <w:szCs w:val="17"/>
        </w:rPr>
        <w:t>measure</w:t>
      </w:r>
      <w:r w:rsidRPr="00A8292B">
        <w:rPr>
          <w:sz w:val="17"/>
          <w:szCs w:val="17"/>
        </w:rPr>
        <w:t xml:space="preserve"> which recognises </w:t>
      </w:r>
      <w:r w:rsidR="00CD6061">
        <w:rPr>
          <w:sz w:val="17"/>
          <w:szCs w:val="17"/>
        </w:rPr>
        <w:t xml:space="preserve">the long-term and predictable nature of certain liabilities, </w:t>
      </w:r>
      <w:r w:rsidR="00105BD0">
        <w:rPr>
          <w:sz w:val="17"/>
          <w:szCs w:val="17"/>
        </w:rPr>
        <w:t>the ability to hold assets to maturity that are not exposed to real forced-selling risk</w:t>
      </w:r>
      <w:r w:rsidR="00E95976">
        <w:rPr>
          <w:sz w:val="17"/>
          <w:szCs w:val="17"/>
        </w:rPr>
        <w:t xml:space="preserve"> </w:t>
      </w:r>
      <w:r w:rsidRPr="00A8292B">
        <w:rPr>
          <w:sz w:val="17"/>
          <w:szCs w:val="17"/>
        </w:rPr>
        <w:t>and the rigorous asset liability management (ALM) techniques that insurers employ to manage these portfolios.</w:t>
      </w:r>
      <w:r w:rsidR="0064272E" w:rsidRPr="0064272E">
        <w:rPr>
          <w:sz w:val="17"/>
          <w:szCs w:val="17"/>
        </w:rPr>
        <w:t xml:space="preserve"> </w:t>
      </w:r>
    </w:p>
    <w:p w14:paraId="2D365449" w14:textId="77777777" w:rsidR="00333059" w:rsidRPr="00A8292B" w:rsidRDefault="00333059" w:rsidP="00E121D0">
      <w:pPr>
        <w:rPr>
          <w:sz w:val="17"/>
          <w:szCs w:val="17"/>
        </w:rPr>
      </w:pPr>
    </w:p>
    <w:p w14:paraId="69258722" w14:textId="46447C7A" w:rsidR="0064272E" w:rsidRDefault="00333059" w:rsidP="00E121D0">
      <w:pPr>
        <w:rPr>
          <w:sz w:val="17"/>
          <w:szCs w:val="17"/>
        </w:rPr>
      </w:pPr>
      <w:r w:rsidRPr="00A8292B">
        <w:rPr>
          <w:sz w:val="17"/>
          <w:szCs w:val="17"/>
        </w:rPr>
        <w:t>G</w:t>
      </w:r>
      <w:r w:rsidR="00AE301C" w:rsidRPr="00A8292B">
        <w:rPr>
          <w:sz w:val="17"/>
          <w:szCs w:val="17"/>
        </w:rPr>
        <w:t xml:space="preserve">iven the </w:t>
      </w:r>
      <w:r w:rsidR="00E65C83" w:rsidRPr="00A8292B">
        <w:rPr>
          <w:sz w:val="17"/>
          <w:szCs w:val="17"/>
        </w:rPr>
        <w:t xml:space="preserve">evidenced </w:t>
      </w:r>
      <w:r w:rsidR="00AE301C" w:rsidRPr="00A8292B">
        <w:rPr>
          <w:sz w:val="17"/>
          <w:szCs w:val="17"/>
        </w:rPr>
        <w:t>benefits provided by the MA</w:t>
      </w:r>
      <w:r w:rsidR="00E65C83" w:rsidRPr="00A8292B">
        <w:rPr>
          <w:sz w:val="17"/>
          <w:szCs w:val="17"/>
        </w:rPr>
        <w:t>,</w:t>
      </w:r>
      <w:r w:rsidR="00E65C83" w:rsidRPr="00A8292B">
        <w:rPr>
          <w:b/>
          <w:sz w:val="17"/>
          <w:szCs w:val="17"/>
        </w:rPr>
        <w:t xml:space="preserve"> Insurance Europe </w:t>
      </w:r>
      <w:r w:rsidR="001B4293" w:rsidRPr="00A8292B">
        <w:rPr>
          <w:b/>
          <w:sz w:val="17"/>
          <w:szCs w:val="17"/>
        </w:rPr>
        <w:t xml:space="preserve">further </w:t>
      </w:r>
      <w:r w:rsidR="00E65C83" w:rsidRPr="00A8292B">
        <w:rPr>
          <w:b/>
          <w:sz w:val="17"/>
          <w:szCs w:val="17"/>
        </w:rPr>
        <w:t>suppor</w:t>
      </w:r>
      <w:r w:rsidR="001B4293" w:rsidRPr="00A8292B">
        <w:rPr>
          <w:b/>
          <w:sz w:val="17"/>
          <w:szCs w:val="17"/>
        </w:rPr>
        <w:t>ts the redefinition of certain criteria</w:t>
      </w:r>
      <w:r w:rsidR="00AE301C" w:rsidRPr="00A8292B">
        <w:rPr>
          <w:b/>
          <w:sz w:val="17"/>
          <w:szCs w:val="17"/>
        </w:rPr>
        <w:t xml:space="preserve"> as part of the 2020</w:t>
      </w:r>
      <w:r w:rsidRPr="00A8292B">
        <w:rPr>
          <w:b/>
          <w:sz w:val="17"/>
          <w:szCs w:val="17"/>
        </w:rPr>
        <w:t xml:space="preserve"> Review to permit wider application of the MA measure </w:t>
      </w:r>
      <w:r w:rsidRPr="00A8292B">
        <w:rPr>
          <w:sz w:val="17"/>
          <w:szCs w:val="17"/>
        </w:rPr>
        <w:t>to simila</w:t>
      </w:r>
      <w:r w:rsidR="00CD6061">
        <w:rPr>
          <w:sz w:val="17"/>
          <w:szCs w:val="17"/>
        </w:rPr>
        <w:t>rly kinds of</w:t>
      </w:r>
      <w:r w:rsidRPr="00A8292B">
        <w:rPr>
          <w:sz w:val="17"/>
          <w:szCs w:val="17"/>
        </w:rPr>
        <w:t xml:space="preserve"> liabilities, managed under </w:t>
      </w:r>
      <w:r w:rsidR="00EF50B6">
        <w:rPr>
          <w:sz w:val="17"/>
          <w:szCs w:val="17"/>
        </w:rPr>
        <w:t>defined</w:t>
      </w:r>
      <w:r w:rsidRPr="00A8292B">
        <w:rPr>
          <w:sz w:val="17"/>
          <w:szCs w:val="17"/>
        </w:rPr>
        <w:t xml:space="preserve"> ALM techniques.</w:t>
      </w:r>
      <w:r w:rsidR="0064272E" w:rsidRPr="0064272E">
        <w:rPr>
          <w:sz w:val="17"/>
          <w:szCs w:val="17"/>
        </w:rPr>
        <w:t xml:space="preserve"> </w:t>
      </w:r>
    </w:p>
    <w:p w14:paraId="1C7DCF3A" w14:textId="77777777" w:rsidR="0064272E" w:rsidRDefault="0064272E" w:rsidP="00E121D0">
      <w:pPr>
        <w:rPr>
          <w:b/>
          <w:sz w:val="17"/>
          <w:szCs w:val="17"/>
        </w:rPr>
      </w:pPr>
    </w:p>
    <w:p w14:paraId="184C38DB" w14:textId="5FBE2427" w:rsidR="00AE301C" w:rsidRPr="00A8292B" w:rsidRDefault="0064272E" w:rsidP="00E121D0">
      <w:pPr>
        <w:rPr>
          <w:sz w:val="17"/>
          <w:szCs w:val="17"/>
        </w:rPr>
      </w:pPr>
      <w:r w:rsidRPr="0064272E">
        <w:rPr>
          <w:b/>
          <w:sz w:val="17"/>
          <w:szCs w:val="17"/>
        </w:rPr>
        <w:t>Insurance Europe does not support any changes to the MA framework which would diminish the current level of benefit provided by the measure.</w:t>
      </w:r>
      <w:r w:rsidRPr="00A8292B">
        <w:rPr>
          <w:sz w:val="17"/>
          <w:szCs w:val="17"/>
        </w:rPr>
        <w:t xml:space="preserve"> </w:t>
      </w:r>
    </w:p>
    <w:p w14:paraId="3F2DF636" w14:textId="77777777" w:rsidR="00F2454B" w:rsidRPr="00A8292B" w:rsidRDefault="00F2454B" w:rsidP="00152882">
      <w:pPr>
        <w:rPr>
          <w:sz w:val="17"/>
          <w:szCs w:val="17"/>
        </w:rPr>
      </w:pPr>
    </w:p>
    <w:p w14:paraId="614B487C" w14:textId="77777777" w:rsidR="00D6792E" w:rsidRDefault="00D6792E">
      <w:pPr>
        <w:spacing w:after="200" w:line="276" w:lineRule="auto"/>
        <w:jc w:val="left"/>
        <w:rPr>
          <w:rStyle w:val="Heading1CEAChar"/>
          <w:rFonts w:ascii="Verdana" w:hAnsi="Verdana"/>
          <w:color w:val="002957"/>
          <w:sz w:val="17"/>
          <w:szCs w:val="17"/>
        </w:rPr>
      </w:pPr>
      <w:r>
        <w:rPr>
          <w:rStyle w:val="Heading1CEAChar"/>
          <w:rFonts w:ascii="Verdana" w:hAnsi="Verdana"/>
          <w:color w:val="002957"/>
          <w:sz w:val="17"/>
          <w:szCs w:val="17"/>
        </w:rPr>
        <w:br w:type="page"/>
      </w:r>
    </w:p>
    <w:p w14:paraId="2028B935" w14:textId="77777777" w:rsidR="00F2454B" w:rsidRPr="009A7FB6" w:rsidRDefault="00F2454B" w:rsidP="00152882">
      <w:pPr>
        <w:rPr>
          <w:rStyle w:val="Heading1CEAChar"/>
          <w:rFonts w:ascii="Verdana" w:hAnsi="Verdana"/>
          <w:color w:val="002957"/>
          <w:sz w:val="18"/>
          <w:szCs w:val="18"/>
        </w:rPr>
      </w:pPr>
      <w:r w:rsidRPr="009A7FB6">
        <w:rPr>
          <w:rStyle w:val="Heading1CEAChar"/>
          <w:rFonts w:ascii="Verdana" w:hAnsi="Verdana"/>
          <w:color w:val="002957"/>
          <w:sz w:val="18"/>
          <w:szCs w:val="18"/>
        </w:rPr>
        <w:lastRenderedPageBreak/>
        <w:t>Background</w:t>
      </w:r>
    </w:p>
    <w:p w14:paraId="5555D8E8" w14:textId="77777777" w:rsidR="00F2454B" w:rsidRPr="00A8292B" w:rsidRDefault="00F2454B" w:rsidP="00F2454B">
      <w:pPr>
        <w:rPr>
          <w:sz w:val="17"/>
          <w:szCs w:val="17"/>
        </w:rPr>
      </w:pPr>
      <w:r w:rsidRPr="00A8292B">
        <w:rPr>
          <w:sz w:val="17"/>
          <w:szCs w:val="17"/>
        </w:rPr>
        <w:t xml:space="preserve">The EU’s Solvency II insurance regulation, which came into force in January 2016, is a ground-breaking, risk-based regulation that remains strongly supported by the European insurance industry. </w:t>
      </w:r>
    </w:p>
    <w:p w14:paraId="596F0E07" w14:textId="77777777" w:rsidR="00F2454B" w:rsidRPr="00A8292B" w:rsidRDefault="00F2454B" w:rsidP="00F2454B">
      <w:pPr>
        <w:rPr>
          <w:sz w:val="17"/>
          <w:szCs w:val="17"/>
        </w:rPr>
      </w:pPr>
    </w:p>
    <w:p w14:paraId="147A02E7" w14:textId="77777777" w:rsidR="00F2454B" w:rsidRPr="00A8292B" w:rsidRDefault="00F2454B" w:rsidP="00F2454B">
      <w:pPr>
        <w:rPr>
          <w:sz w:val="17"/>
          <w:szCs w:val="17"/>
          <w:lang w:val="en-US"/>
        </w:rPr>
      </w:pPr>
      <w:r w:rsidRPr="00A8292B">
        <w:rPr>
          <w:sz w:val="17"/>
          <w:szCs w:val="17"/>
          <w:lang w:val="en-US"/>
        </w:rPr>
        <w:t>From the outset, the insurance industry supported the core objectives of Solvency II because it wanted a modern, risk-based framework that:</w:t>
      </w:r>
    </w:p>
    <w:p w14:paraId="27CE2206" w14:textId="77777777" w:rsidR="00F2454B" w:rsidRPr="00A8292B" w:rsidRDefault="00F2454B" w:rsidP="00F2454B">
      <w:pPr>
        <w:pStyle w:val="CEABullet-Level1"/>
        <w:rPr>
          <w:rFonts w:eastAsiaTheme="minorHAnsi"/>
          <w:szCs w:val="17"/>
          <w:lang w:val="en-US"/>
        </w:rPr>
      </w:pPr>
      <w:r w:rsidRPr="00A8292B">
        <w:rPr>
          <w:szCs w:val="17"/>
          <w:lang w:val="en-US"/>
        </w:rPr>
        <w:t xml:space="preserve">was consistent with the good risk management methods many insurers were already using; </w:t>
      </w:r>
    </w:p>
    <w:p w14:paraId="29FC0C4F" w14:textId="77777777" w:rsidR="00F2454B" w:rsidRPr="00A8292B" w:rsidRDefault="00F2454B" w:rsidP="00F2454B">
      <w:pPr>
        <w:pStyle w:val="CEABullet-Level1"/>
        <w:rPr>
          <w:szCs w:val="17"/>
          <w:lang w:val="en-US"/>
        </w:rPr>
      </w:pPr>
      <w:r w:rsidRPr="00A8292B">
        <w:rPr>
          <w:szCs w:val="17"/>
          <w:lang w:val="en-US"/>
        </w:rPr>
        <w:t xml:space="preserve">created a harmonised rulebook for Europe; and, </w:t>
      </w:r>
    </w:p>
    <w:p w14:paraId="4570FB28" w14:textId="77777777" w:rsidR="00F2454B" w:rsidRPr="00A8292B" w:rsidRDefault="00F2454B" w:rsidP="00F2454B">
      <w:pPr>
        <w:pStyle w:val="CEABullet-Level1"/>
        <w:rPr>
          <w:szCs w:val="17"/>
        </w:rPr>
      </w:pPr>
      <w:r w:rsidRPr="00A8292B">
        <w:rPr>
          <w:szCs w:val="17"/>
          <w:lang w:val="en-US"/>
        </w:rPr>
        <w:t xml:space="preserve">ensured both fair competition and a consistently high level of policyholder protection across Europe. </w:t>
      </w:r>
    </w:p>
    <w:p w14:paraId="1A5FF9D0" w14:textId="77777777" w:rsidR="00F2454B" w:rsidRPr="00A8292B" w:rsidRDefault="00F2454B" w:rsidP="00F2454B">
      <w:pPr>
        <w:rPr>
          <w:sz w:val="17"/>
          <w:szCs w:val="17"/>
          <w:lang w:val="en-US"/>
        </w:rPr>
      </w:pPr>
    </w:p>
    <w:p w14:paraId="6EFF5097" w14:textId="77777777" w:rsidR="00F2454B" w:rsidRPr="00A8292B" w:rsidRDefault="00F2454B" w:rsidP="00F2454B">
      <w:pPr>
        <w:rPr>
          <w:sz w:val="17"/>
          <w:szCs w:val="17"/>
          <w:lang w:val="en-US"/>
        </w:rPr>
      </w:pPr>
      <w:r w:rsidRPr="00A8292B">
        <w:rPr>
          <w:sz w:val="17"/>
          <w:szCs w:val="17"/>
          <w:lang w:val="en-US"/>
        </w:rPr>
        <w:t xml:space="preserve">Particularly welcome is Solvency II’s three-pillar approach, which recognises that internal governance, risk management and supervisory interaction (Pillar 2), along with supervisory and public disclosures (Pillar 3), are as important as capital requirements (Pillar 1). </w:t>
      </w:r>
    </w:p>
    <w:p w14:paraId="53C39B41" w14:textId="77777777" w:rsidR="00F2454B" w:rsidRPr="00A8292B" w:rsidRDefault="00F2454B" w:rsidP="00F2454B">
      <w:pPr>
        <w:rPr>
          <w:sz w:val="17"/>
          <w:szCs w:val="17"/>
          <w:lang w:val="en-US"/>
        </w:rPr>
      </w:pPr>
    </w:p>
    <w:p w14:paraId="1227E3C2" w14:textId="77777777" w:rsidR="00F2454B" w:rsidRPr="00A8292B" w:rsidRDefault="00F2454B" w:rsidP="00F2454B">
      <w:pPr>
        <w:rPr>
          <w:sz w:val="17"/>
          <w:szCs w:val="17"/>
          <w:lang w:val="en-US"/>
        </w:rPr>
      </w:pPr>
      <w:r w:rsidRPr="00A8292B">
        <w:rPr>
          <w:sz w:val="17"/>
          <w:szCs w:val="17"/>
          <w:lang w:val="en-US"/>
        </w:rPr>
        <w:t>During Solvency II’s development, the insurance industry highlighted a range of technical problems and, in particular, voiced major concerns about the treatment of long-term business and guaranteed products. In an attempt to fix this, a package of long-term guarantee measures was added to Solvency II in the “Omnibus II” Directive.</w:t>
      </w:r>
    </w:p>
    <w:p w14:paraId="1F594678" w14:textId="77777777" w:rsidR="00F2454B" w:rsidRPr="00A8292B" w:rsidRDefault="00F2454B" w:rsidP="00152882">
      <w:pPr>
        <w:rPr>
          <w:sz w:val="17"/>
          <w:szCs w:val="17"/>
        </w:rPr>
      </w:pPr>
    </w:p>
    <w:p w14:paraId="3EF13DE3" w14:textId="77777777" w:rsidR="006F62E7" w:rsidRPr="00A8292B" w:rsidRDefault="00A01E24" w:rsidP="00152882">
      <w:pPr>
        <w:rPr>
          <w:sz w:val="17"/>
          <w:szCs w:val="17"/>
        </w:rPr>
      </w:pPr>
      <w:r w:rsidRPr="00A8292B">
        <w:rPr>
          <w:sz w:val="17"/>
          <w:szCs w:val="17"/>
        </w:rPr>
        <w:t xml:space="preserve">The Matching Adjustment </w:t>
      </w:r>
      <w:r w:rsidR="006F62E7" w:rsidRPr="00A8292B">
        <w:rPr>
          <w:sz w:val="17"/>
          <w:szCs w:val="17"/>
        </w:rPr>
        <w:t xml:space="preserve">(MA) </w:t>
      </w:r>
      <w:r w:rsidRPr="00A8292B">
        <w:rPr>
          <w:sz w:val="17"/>
          <w:szCs w:val="17"/>
        </w:rPr>
        <w:t xml:space="preserve">was one of the measures which was introduced in the </w:t>
      </w:r>
      <w:r w:rsidR="006F62E7" w:rsidRPr="00A8292B">
        <w:rPr>
          <w:sz w:val="17"/>
          <w:szCs w:val="17"/>
        </w:rPr>
        <w:t xml:space="preserve">Omnibus II directive. </w:t>
      </w:r>
    </w:p>
    <w:p w14:paraId="47E01491" w14:textId="77777777" w:rsidR="006F62E7" w:rsidRPr="00A8292B" w:rsidRDefault="006F62E7" w:rsidP="00152882">
      <w:pPr>
        <w:rPr>
          <w:sz w:val="17"/>
          <w:szCs w:val="17"/>
        </w:rPr>
      </w:pPr>
    </w:p>
    <w:p w14:paraId="620015C3" w14:textId="4F29C45A" w:rsidR="006F62E7" w:rsidRPr="009A7FB6" w:rsidRDefault="00D6792E" w:rsidP="009A7FB6">
      <w:pPr>
        <w:spacing w:line="276" w:lineRule="auto"/>
        <w:jc w:val="left"/>
        <w:rPr>
          <w:rStyle w:val="Heading1CEAChar"/>
          <w:rFonts w:ascii="Verdana" w:hAnsi="Verdana"/>
          <w:color w:val="002957"/>
          <w:sz w:val="18"/>
          <w:szCs w:val="18"/>
        </w:rPr>
      </w:pPr>
      <w:r w:rsidRPr="009A7FB6">
        <w:rPr>
          <w:rStyle w:val="Heading1CEAChar"/>
          <w:rFonts w:ascii="Verdana" w:hAnsi="Verdana"/>
          <w:color w:val="002957"/>
          <w:sz w:val="18"/>
          <w:szCs w:val="18"/>
        </w:rPr>
        <w:t>Mechanism and rational</w:t>
      </w:r>
      <w:r w:rsidR="00E95976" w:rsidRPr="009A7FB6">
        <w:rPr>
          <w:rStyle w:val="Heading1CEAChar"/>
          <w:rFonts w:ascii="Verdana" w:hAnsi="Verdana"/>
          <w:color w:val="002957"/>
          <w:sz w:val="18"/>
          <w:szCs w:val="18"/>
        </w:rPr>
        <w:t>e</w:t>
      </w:r>
      <w:r w:rsidRPr="009A7FB6">
        <w:rPr>
          <w:rStyle w:val="Heading1CEAChar"/>
          <w:rFonts w:ascii="Verdana" w:hAnsi="Verdana"/>
          <w:color w:val="002957"/>
          <w:sz w:val="18"/>
          <w:szCs w:val="18"/>
        </w:rPr>
        <w:t xml:space="preserve"> behind t</w:t>
      </w:r>
      <w:r w:rsidR="006F62E7" w:rsidRPr="009A7FB6">
        <w:rPr>
          <w:rStyle w:val="Heading1CEAChar"/>
          <w:rFonts w:ascii="Verdana" w:hAnsi="Verdana"/>
          <w:color w:val="002957"/>
          <w:sz w:val="18"/>
          <w:szCs w:val="18"/>
        </w:rPr>
        <w:t>he matching adjustment</w:t>
      </w:r>
    </w:p>
    <w:p w14:paraId="384FC42A" w14:textId="3B464904" w:rsidR="002A0ABB" w:rsidRPr="00A8292B" w:rsidRDefault="006A6CB5" w:rsidP="006F62E7">
      <w:pPr>
        <w:rPr>
          <w:sz w:val="17"/>
          <w:szCs w:val="17"/>
        </w:rPr>
      </w:pPr>
      <w:r w:rsidRPr="00A8292B">
        <w:rPr>
          <w:sz w:val="17"/>
          <w:szCs w:val="17"/>
        </w:rPr>
        <w:t>The</w:t>
      </w:r>
      <w:r w:rsidR="000452FE" w:rsidRPr="00A8292B">
        <w:rPr>
          <w:sz w:val="17"/>
          <w:szCs w:val="17"/>
        </w:rPr>
        <w:t xml:space="preserve"> fundamental assumption underlying the MA framework is that insurers who </w:t>
      </w:r>
      <w:r w:rsidR="002A0ABB" w:rsidRPr="00A8292B">
        <w:rPr>
          <w:sz w:val="17"/>
          <w:szCs w:val="17"/>
        </w:rPr>
        <w:t>hold fixed income investments to back</w:t>
      </w:r>
      <w:r w:rsidR="000452FE" w:rsidRPr="00A8292B">
        <w:rPr>
          <w:sz w:val="17"/>
          <w:szCs w:val="17"/>
        </w:rPr>
        <w:t xml:space="preserve"> </w:t>
      </w:r>
      <w:r w:rsidR="002A0ABB" w:rsidRPr="00A8292B">
        <w:rPr>
          <w:sz w:val="17"/>
          <w:szCs w:val="17"/>
        </w:rPr>
        <w:t>stable and p</w:t>
      </w:r>
      <w:r w:rsidR="000452FE" w:rsidRPr="00A8292B">
        <w:rPr>
          <w:sz w:val="17"/>
          <w:szCs w:val="17"/>
        </w:rPr>
        <w:t xml:space="preserve">redictable liabilities </w:t>
      </w:r>
      <w:r w:rsidR="002A0ABB" w:rsidRPr="00A8292B">
        <w:rPr>
          <w:sz w:val="17"/>
          <w:szCs w:val="17"/>
        </w:rPr>
        <w:t xml:space="preserve">are </w:t>
      </w:r>
      <w:r w:rsidR="00C30D97" w:rsidRPr="00A8292B">
        <w:rPr>
          <w:sz w:val="17"/>
          <w:szCs w:val="17"/>
        </w:rPr>
        <w:t>long-term investors who can hold the bonds to maturity. As such, they can collect the illiquidity premium available on the bonds and are</w:t>
      </w:r>
      <w:r w:rsidR="00105BD0">
        <w:rPr>
          <w:sz w:val="17"/>
          <w:szCs w:val="17"/>
        </w:rPr>
        <w:t xml:space="preserve"> only</w:t>
      </w:r>
      <w:r w:rsidR="00C30D97" w:rsidRPr="00A8292B">
        <w:rPr>
          <w:sz w:val="17"/>
          <w:szCs w:val="17"/>
        </w:rPr>
        <w:t xml:space="preserve"> </w:t>
      </w:r>
      <w:r w:rsidR="002A0ABB" w:rsidRPr="00A8292B">
        <w:rPr>
          <w:sz w:val="17"/>
          <w:szCs w:val="17"/>
        </w:rPr>
        <w:t>exposed to default and downgrade risks, rather than shor</w:t>
      </w:r>
      <w:r w:rsidR="003474A7" w:rsidRPr="00A8292B">
        <w:rPr>
          <w:sz w:val="17"/>
          <w:szCs w:val="17"/>
        </w:rPr>
        <w:t>t-</w:t>
      </w:r>
      <w:r w:rsidR="002A0ABB" w:rsidRPr="00A8292B">
        <w:rPr>
          <w:sz w:val="17"/>
          <w:szCs w:val="17"/>
        </w:rPr>
        <w:t xml:space="preserve">term market volatility. </w:t>
      </w:r>
    </w:p>
    <w:p w14:paraId="67254F6E" w14:textId="77777777" w:rsidR="002A0ABB" w:rsidRPr="00A8292B" w:rsidRDefault="002A0ABB" w:rsidP="006F62E7">
      <w:pPr>
        <w:rPr>
          <w:sz w:val="17"/>
          <w:szCs w:val="17"/>
        </w:rPr>
      </w:pPr>
    </w:p>
    <w:p w14:paraId="1D651670" w14:textId="77777777" w:rsidR="00C30D97" w:rsidRPr="00A8292B" w:rsidRDefault="00C30D97" w:rsidP="006F62E7">
      <w:pPr>
        <w:rPr>
          <w:sz w:val="17"/>
          <w:szCs w:val="17"/>
        </w:rPr>
      </w:pPr>
      <w:r w:rsidRPr="00A8292B">
        <w:rPr>
          <w:sz w:val="17"/>
          <w:szCs w:val="17"/>
        </w:rPr>
        <w:t>The MA</w:t>
      </w:r>
      <w:r w:rsidR="002A0ABB" w:rsidRPr="00A8292B">
        <w:rPr>
          <w:sz w:val="17"/>
          <w:szCs w:val="17"/>
        </w:rPr>
        <w:t xml:space="preserve"> permits insurers who meet a set of specified eligibility criteria to apply an adjustment to the risk-free rates used to value the</w:t>
      </w:r>
      <w:r w:rsidRPr="00A8292B">
        <w:rPr>
          <w:sz w:val="17"/>
          <w:szCs w:val="17"/>
        </w:rPr>
        <w:t xml:space="preserve"> MA-eligible</w:t>
      </w:r>
      <w:r w:rsidR="002A0ABB" w:rsidRPr="00A8292B">
        <w:rPr>
          <w:sz w:val="17"/>
          <w:szCs w:val="17"/>
        </w:rPr>
        <w:t xml:space="preserve"> liabilities. The adjustment is based on the illiquidity premiums which the insurer earns on its </w:t>
      </w:r>
      <w:r w:rsidRPr="00A8292B">
        <w:rPr>
          <w:sz w:val="17"/>
          <w:szCs w:val="17"/>
        </w:rPr>
        <w:t xml:space="preserve">own </w:t>
      </w:r>
      <w:r w:rsidR="002A0ABB" w:rsidRPr="00A8292B">
        <w:rPr>
          <w:sz w:val="17"/>
          <w:szCs w:val="17"/>
        </w:rPr>
        <w:t>asset portfolio</w:t>
      </w:r>
      <w:r w:rsidRPr="00A8292B">
        <w:rPr>
          <w:sz w:val="17"/>
          <w:szCs w:val="17"/>
        </w:rPr>
        <w:t xml:space="preserve">, </w:t>
      </w:r>
      <w:r w:rsidR="00146C20" w:rsidRPr="00A8292B">
        <w:rPr>
          <w:sz w:val="17"/>
          <w:szCs w:val="17"/>
        </w:rPr>
        <w:t>adjusted for expected default and downgrade</w:t>
      </w:r>
      <w:r w:rsidR="002A0ABB" w:rsidRPr="00A8292B">
        <w:rPr>
          <w:sz w:val="17"/>
          <w:szCs w:val="17"/>
        </w:rPr>
        <w:t xml:space="preserve">. </w:t>
      </w:r>
    </w:p>
    <w:p w14:paraId="4A1A9A9B" w14:textId="77777777" w:rsidR="00C30D97" w:rsidRPr="00A8292B" w:rsidRDefault="00C30D97" w:rsidP="006F62E7">
      <w:pPr>
        <w:rPr>
          <w:sz w:val="17"/>
          <w:szCs w:val="17"/>
        </w:rPr>
      </w:pPr>
    </w:p>
    <w:p w14:paraId="79AA16EE" w14:textId="77777777" w:rsidR="002A0ABB" w:rsidRPr="00A8292B" w:rsidRDefault="002A0ABB" w:rsidP="006F62E7">
      <w:pPr>
        <w:rPr>
          <w:sz w:val="17"/>
          <w:szCs w:val="17"/>
        </w:rPr>
      </w:pPr>
      <w:r w:rsidRPr="00A8292B">
        <w:rPr>
          <w:sz w:val="17"/>
          <w:szCs w:val="17"/>
        </w:rPr>
        <w:t xml:space="preserve">The application of the </w:t>
      </w:r>
      <w:r w:rsidR="003474A7" w:rsidRPr="00A8292B">
        <w:rPr>
          <w:sz w:val="17"/>
          <w:szCs w:val="17"/>
        </w:rPr>
        <w:t xml:space="preserve">MA </w:t>
      </w:r>
      <w:r w:rsidRPr="00A8292B">
        <w:rPr>
          <w:sz w:val="17"/>
          <w:szCs w:val="17"/>
        </w:rPr>
        <w:t>adjustment has a dual effect</w:t>
      </w:r>
      <w:r w:rsidR="003474A7" w:rsidRPr="00A8292B">
        <w:rPr>
          <w:sz w:val="17"/>
          <w:szCs w:val="17"/>
        </w:rPr>
        <w:t>;</w:t>
      </w:r>
    </w:p>
    <w:p w14:paraId="0D3E9483" w14:textId="77777777" w:rsidR="002A0ABB" w:rsidRPr="00A8292B" w:rsidRDefault="002A0ABB" w:rsidP="006F62E7">
      <w:pPr>
        <w:rPr>
          <w:sz w:val="17"/>
          <w:szCs w:val="17"/>
        </w:rPr>
      </w:pPr>
    </w:p>
    <w:p w14:paraId="34D4165F" w14:textId="77777777" w:rsidR="002A0ABB" w:rsidRPr="00A8292B" w:rsidRDefault="002A0ABB" w:rsidP="00146C20">
      <w:pPr>
        <w:pStyle w:val="Odsekzoznamu"/>
        <w:numPr>
          <w:ilvl w:val="0"/>
          <w:numId w:val="4"/>
        </w:numPr>
        <w:spacing w:after="120"/>
        <w:ind w:left="714" w:hanging="357"/>
        <w:contextualSpacing w:val="0"/>
        <w:rPr>
          <w:sz w:val="17"/>
          <w:szCs w:val="17"/>
        </w:rPr>
      </w:pPr>
      <w:r w:rsidRPr="00A8292B">
        <w:rPr>
          <w:sz w:val="17"/>
          <w:szCs w:val="17"/>
        </w:rPr>
        <w:t xml:space="preserve">It </w:t>
      </w:r>
      <w:r w:rsidR="003474A7" w:rsidRPr="00A8292B">
        <w:rPr>
          <w:sz w:val="17"/>
          <w:szCs w:val="17"/>
        </w:rPr>
        <w:t xml:space="preserve">ensures the </w:t>
      </w:r>
      <w:r w:rsidR="003474A7" w:rsidRPr="00A8292B">
        <w:rPr>
          <w:b/>
          <w:sz w:val="17"/>
          <w:szCs w:val="17"/>
        </w:rPr>
        <w:t>liability valuation is not exaggerated</w:t>
      </w:r>
      <w:r w:rsidR="003474A7" w:rsidRPr="00A8292B">
        <w:rPr>
          <w:sz w:val="17"/>
          <w:szCs w:val="17"/>
        </w:rPr>
        <w:t xml:space="preserve"> (by </w:t>
      </w:r>
      <w:r w:rsidR="00146C20" w:rsidRPr="00A8292B">
        <w:rPr>
          <w:sz w:val="17"/>
          <w:szCs w:val="17"/>
        </w:rPr>
        <w:t xml:space="preserve">adequately </w:t>
      </w:r>
      <w:r w:rsidR="003474A7" w:rsidRPr="00A8292B">
        <w:rPr>
          <w:sz w:val="17"/>
          <w:szCs w:val="17"/>
        </w:rPr>
        <w:t>reflecting the returns the insurer will earn over the life of the obligations).</w:t>
      </w:r>
    </w:p>
    <w:p w14:paraId="476AF781" w14:textId="77777777" w:rsidR="003474A7" w:rsidRPr="00A8292B" w:rsidRDefault="003474A7" w:rsidP="002A0ABB">
      <w:pPr>
        <w:pStyle w:val="Odsekzoznamu"/>
        <w:numPr>
          <w:ilvl w:val="0"/>
          <w:numId w:val="4"/>
        </w:numPr>
        <w:rPr>
          <w:sz w:val="17"/>
          <w:szCs w:val="17"/>
        </w:rPr>
      </w:pPr>
      <w:r w:rsidRPr="00A8292B">
        <w:rPr>
          <w:sz w:val="17"/>
          <w:szCs w:val="17"/>
        </w:rPr>
        <w:t xml:space="preserve">It </w:t>
      </w:r>
      <w:r w:rsidRPr="00A8292B">
        <w:rPr>
          <w:b/>
          <w:sz w:val="17"/>
          <w:szCs w:val="17"/>
        </w:rPr>
        <w:t>mitigates artificial balance sheet volatility</w:t>
      </w:r>
      <w:r w:rsidRPr="00A8292B">
        <w:rPr>
          <w:sz w:val="17"/>
          <w:szCs w:val="17"/>
        </w:rPr>
        <w:t xml:space="preserve"> as any short-term variations in the value of the insurer’s bond portfolio are also reflected in the liability value.  </w:t>
      </w:r>
    </w:p>
    <w:p w14:paraId="6DA5E428" w14:textId="77777777" w:rsidR="002A0ABB" w:rsidRPr="00A8292B" w:rsidRDefault="002A0ABB" w:rsidP="006F62E7">
      <w:pPr>
        <w:rPr>
          <w:sz w:val="17"/>
          <w:szCs w:val="17"/>
        </w:rPr>
      </w:pPr>
    </w:p>
    <w:p w14:paraId="102EB9A3" w14:textId="39A5B45C" w:rsidR="003474A7" w:rsidRDefault="003474A7" w:rsidP="006F62E7">
      <w:pPr>
        <w:rPr>
          <w:sz w:val="17"/>
          <w:szCs w:val="17"/>
          <w:lang w:val="en-US"/>
        </w:rPr>
      </w:pPr>
      <w:r w:rsidRPr="00A8292B">
        <w:rPr>
          <w:sz w:val="17"/>
          <w:szCs w:val="17"/>
        </w:rPr>
        <w:t xml:space="preserve">In addition, </w:t>
      </w:r>
      <w:r w:rsidR="00B00D41" w:rsidRPr="00A8292B">
        <w:rPr>
          <w:sz w:val="17"/>
          <w:szCs w:val="17"/>
        </w:rPr>
        <w:t xml:space="preserve">the </w:t>
      </w:r>
      <w:r w:rsidR="00CA2E34" w:rsidRPr="00A8292B">
        <w:rPr>
          <w:sz w:val="17"/>
          <w:szCs w:val="17"/>
        </w:rPr>
        <w:t>MA</w:t>
      </w:r>
      <w:r w:rsidR="00B00D41" w:rsidRPr="00A8292B">
        <w:rPr>
          <w:sz w:val="17"/>
          <w:szCs w:val="17"/>
        </w:rPr>
        <w:t xml:space="preserve"> </w:t>
      </w:r>
      <w:r w:rsidR="00CA2E34" w:rsidRPr="00A8292B">
        <w:rPr>
          <w:sz w:val="17"/>
          <w:szCs w:val="17"/>
        </w:rPr>
        <w:t xml:space="preserve">framework </w:t>
      </w:r>
      <w:r w:rsidR="00146C20" w:rsidRPr="00A8292B">
        <w:rPr>
          <w:sz w:val="17"/>
          <w:szCs w:val="17"/>
        </w:rPr>
        <w:t>enables</w:t>
      </w:r>
      <w:r w:rsidR="00CA2E34" w:rsidRPr="00A8292B">
        <w:rPr>
          <w:sz w:val="17"/>
          <w:szCs w:val="17"/>
        </w:rPr>
        <w:t xml:space="preserve"> insurers to calculate the capital requirement for spread risk under the assumption that they are long-term investors and only exposed to default risk.</w:t>
      </w:r>
      <w:r w:rsidR="00CA2E34" w:rsidRPr="00A8292B">
        <w:rPr>
          <w:sz w:val="17"/>
          <w:szCs w:val="17"/>
          <w:lang w:val="en-US"/>
        </w:rPr>
        <w:t xml:space="preserve"> </w:t>
      </w:r>
    </w:p>
    <w:p w14:paraId="2504FF78" w14:textId="462B22D2" w:rsidR="00CD6061" w:rsidRDefault="00CD6061" w:rsidP="006F62E7">
      <w:pPr>
        <w:rPr>
          <w:sz w:val="17"/>
          <w:szCs w:val="17"/>
        </w:rPr>
      </w:pPr>
    </w:p>
    <w:p w14:paraId="7FE3B305" w14:textId="25CB0646" w:rsidR="00CD6061" w:rsidRDefault="00CD6061" w:rsidP="006F62E7">
      <w:pPr>
        <w:rPr>
          <w:sz w:val="17"/>
          <w:szCs w:val="17"/>
        </w:rPr>
      </w:pPr>
      <w:r>
        <w:rPr>
          <w:sz w:val="17"/>
          <w:szCs w:val="17"/>
        </w:rPr>
        <w:t>For certain assets which do not currently meet the strict cash flow eligibility requirements, but which nonetheless provide a predictable source of future income (for example, certain types of mortgage loans), it is possible under the current framework to securitise these into an internally rated senior note that sits inside the MA portfolio, and an unrated junior note that sits outside the MA portfolio.</w:t>
      </w:r>
    </w:p>
    <w:p w14:paraId="78BC76A8" w14:textId="247BE570" w:rsidR="00CD6061" w:rsidRDefault="00CD6061" w:rsidP="006F62E7">
      <w:pPr>
        <w:rPr>
          <w:sz w:val="17"/>
          <w:szCs w:val="17"/>
        </w:rPr>
      </w:pPr>
    </w:p>
    <w:p w14:paraId="401DC956" w14:textId="7D12A3FB" w:rsidR="00CD6061" w:rsidRPr="00A8292B" w:rsidRDefault="00CD6061" w:rsidP="006F62E7">
      <w:pPr>
        <w:rPr>
          <w:sz w:val="17"/>
          <w:szCs w:val="17"/>
        </w:rPr>
      </w:pPr>
      <w:r>
        <w:rPr>
          <w:sz w:val="17"/>
          <w:szCs w:val="17"/>
        </w:rPr>
        <w:t xml:space="preserve">Where such securitisations are currently undertaken, there is close supervisory oversight of the process to ensure that the MA benefit obtained is appropriate. </w:t>
      </w:r>
      <w:r w:rsidR="00E95976">
        <w:rPr>
          <w:sz w:val="17"/>
          <w:szCs w:val="17"/>
        </w:rPr>
        <w:t xml:space="preserve">However, </w:t>
      </w:r>
      <w:r>
        <w:rPr>
          <w:sz w:val="17"/>
          <w:szCs w:val="17"/>
        </w:rPr>
        <w:t xml:space="preserve">the securitisation process is complex from an operational perspective, and </w:t>
      </w:r>
      <w:r w:rsidR="00E95976">
        <w:rPr>
          <w:sz w:val="17"/>
          <w:szCs w:val="17"/>
        </w:rPr>
        <w:t xml:space="preserve">there would be </w:t>
      </w:r>
      <w:r>
        <w:rPr>
          <w:sz w:val="17"/>
          <w:szCs w:val="17"/>
        </w:rPr>
        <w:t>benefit from both a regulatory and practitioner perspective</w:t>
      </w:r>
      <w:r w:rsidR="00E95976">
        <w:rPr>
          <w:sz w:val="17"/>
          <w:szCs w:val="17"/>
        </w:rPr>
        <w:t xml:space="preserve"> if it was streamlined</w:t>
      </w:r>
      <w:r>
        <w:rPr>
          <w:sz w:val="17"/>
          <w:szCs w:val="17"/>
        </w:rPr>
        <w:t xml:space="preserve">. </w:t>
      </w:r>
    </w:p>
    <w:p w14:paraId="6B94534A" w14:textId="77777777" w:rsidR="003474A7" w:rsidRPr="00A8292B" w:rsidRDefault="003474A7" w:rsidP="006F62E7">
      <w:pPr>
        <w:rPr>
          <w:sz w:val="17"/>
          <w:szCs w:val="17"/>
        </w:rPr>
      </w:pPr>
    </w:p>
    <w:p w14:paraId="344C3D1D" w14:textId="77777777" w:rsidR="00D6792E" w:rsidRDefault="00D6792E">
      <w:pPr>
        <w:spacing w:after="200" w:line="276" w:lineRule="auto"/>
        <w:jc w:val="left"/>
        <w:rPr>
          <w:rStyle w:val="Heading1CEAChar"/>
          <w:rFonts w:ascii="Verdana" w:hAnsi="Verdana"/>
          <w:color w:val="002957"/>
          <w:sz w:val="17"/>
          <w:szCs w:val="17"/>
        </w:rPr>
      </w:pPr>
      <w:r>
        <w:rPr>
          <w:rStyle w:val="Heading1CEAChar"/>
          <w:rFonts w:ascii="Verdana" w:hAnsi="Verdana"/>
          <w:color w:val="002957"/>
          <w:sz w:val="17"/>
          <w:szCs w:val="17"/>
        </w:rPr>
        <w:br w:type="page"/>
      </w:r>
    </w:p>
    <w:p w14:paraId="6BD1457E" w14:textId="77777777" w:rsidR="006F62E7" w:rsidRPr="009A7FB6" w:rsidRDefault="00D52B3A" w:rsidP="00152882">
      <w:pPr>
        <w:rPr>
          <w:rStyle w:val="Heading1CEAChar"/>
          <w:rFonts w:ascii="Verdana" w:hAnsi="Verdana"/>
          <w:color w:val="002957"/>
          <w:sz w:val="18"/>
          <w:szCs w:val="18"/>
        </w:rPr>
      </w:pPr>
      <w:r w:rsidRPr="009A7FB6">
        <w:rPr>
          <w:rStyle w:val="Heading1CEAChar"/>
          <w:rFonts w:ascii="Verdana" w:hAnsi="Verdana"/>
          <w:color w:val="002957"/>
          <w:sz w:val="18"/>
          <w:szCs w:val="18"/>
        </w:rPr>
        <w:lastRenderedPageBreak/>
        <w:t>T</w:t>
      </w:r>
      <w:r w:rsidR="006F62E7" w:rsidRPr="009A7FB6">
        <w:rPr>
          <w:rStyle w:val="Heading1CEAChar"/>
          <w:rFonts w:ascii="Verdana" w:hAnsi="Verdana"/>
          <w:color w:val="002957"/>
          <w:sz w:val="18"/>
          <w:szCs w:val="18"/>
        </w:rPr>
        <w:t>he benefits of the matching adjustment</w:t>
      </w:r>
    </w:p>
    <w:p w14:paraId="5663E94F" w14:textId="18B39937" w:rsidR="006F62E7" w:rsidRPr="00A8292B" w:rsidRDefault="00FF1334" w:rsidP="00152882">
      <w:pPr>
        <w:rPr>
          <w:sz w:val="17"/>
          <w:szCs w:val="17"/>
        </w:rPr>
      </w:pPr>
      <w:r w:rsidRPr="00A8292B">
        <w:rPr>
          <w:sz w:val="17"/>
          <w:szCs w:val="17"/>
        </w:rPr>
        <w:t xml:space="preserve">Insurance Europe supports the continued inclusion of the MA measure within the Solvency II framework. </w:t>
      </w:r>
      <w:r w:rsidR="00146C20" w:rsidRPr="00A8292B">
        <w:rPr>
          <w:sz w:val="17"/>
          <w:szCs w:val="17"/>
        </w:rPr>
        <w:t>The MA</w:t>
      </w:r>
      <w:r w:rsidRPr="00A8292B">
        <w:rPr>
          <w:sz w:val="17"/>
          <w:szCs w:val="17"/>
        </w:rPr>
        <w:t xml:space="preserve"> </w:t>
      </w:r>
      <w:r w:rsidR="004265F7" w:rsidRPr="00A8292B">
        <w:rPr>
          <w:sz w:val="17"/>
          <w:szCs w:val="17"/>
        </w:rPr>
        <w:t xml:space="preserve">has proven to be </w:t>
      </w:r>
      <w:r w:rsidR="00CB4CD9" w:rsidRPr="00A8292B">
        <w:rPr>
          <w:sz w:val="17"/>
          <w:szCs w:val="17"/>
        </w:rPr>
        <w:t xml:space="preserve">a </w:t>
      </w:r>
      <w:r w:rsidR="00F867E0" w:rsidRPr="00A8292B">
        <w:rPr>
          <w:sz w:val="17"/>
          <w:szCs w:val="17"/>
        </w:rPr>
        <w:t>powerful and effective tool wh</w:t>
      </w:r>
      <w:r w:rsidR="00687A54" w:rsidRPr="00A8292B">
        <w:rPr>
          <w:sz w:val="17"/>
          <w:szCs w:val="17"/>
        </w:rPr>
        <w:t xml:space="preserve">ich has had a positive impact </w:t>
      </w:r>
      <w:r w:rsidR="0057419A" w:rsidRPr="00A8292B">
        <w:rPr>
          <w:sz w:val="17"/>
          <w:szCs w:val="17"/>
        </w:rPr>
        <w:t>for insurers, policyholders and the wider financial system</w:t>
      </w:r>
      <w:r w:rsidR="00D52B3A" w:rsidRPr="00A8292B">
        <w:rPr>
          <w:sz w:val="17"/>
          <w:szCs w:val="17"/>
        </w:rPr>
        <w:t xml:space="preserve">. </w:t>
      </w:r>
    </w:p>
    <w:p w14:paraId="51FA6353" w14:textId="77777777" w:rsidR="00FF1334" w:rsidRPr="00A8292B" w:rsidRDefault="00FF1334" w:rsidP="00152882">
      <w:pPr>
        <w:rPr>
          <w:sz w:val="17"/>
          <w:szCs w:val="17"/>
        </w:rPr>
      </w:pPr>
    </w:p>
    <w:p w14:paraId="0DC14903" w14:textId="77777777" w:rsidR="00CB4CD9" w:rsidRPr="00A8292B" w:rsidRDefault="00CB4CD9" w:rsidP="00152882">
      <w:pPr>
        <w:rPr>
          <w:b/>
          <w:i/>
          <w:sz w:val="17"/>
          <w:szCs w:val="17"/>
        </w:rPr>
      </w:pPr>
      <w:r w:rsidRPr="00A8292B">
        <w:rPr>
          <w:b/>
          <w:i/>
          <w:sz w:val="17"/>
          <w:szCs w:val="17"/>
        </w:rPr>
        <w:t>Impact on consumers and the investment markets</w:t>
      </w:r>
    </w:p>
    <w:p w14:paraId="4B1AB41B" w14:textId="77777777" w:rsidR="00CB4CD9" w:rsidRPr="00A8292B" w:rsidRDefault="00CB4CD9" w:rsidP="00CB4CD9">
      <w:pPr>
        <w:pStyle w:val="CEABullet-Level1"/>
        <w:rPr>
          <w:szCs w:val="17"/>
        </w:rPr>
      </w:pPr>
      <w:r w:rsidRPr="00A8292B">
        <w:rPr>
          <w:szCs w:val="17"/>
        </w:rPr>
        <w:t xml:space="preserve">The MA has enabled insurance undertakings who apply the measure to continue to offer guaranteed insurance products, such as annuities, which are highly valued by consumers and are </w:t>
      </w:r>
      <w:r w:rsidR="00146C20" w:rsidRPr="00A8292B">
        <w:rPr>
          <w:szCs w:val="17"/>
        </w:rPr>
        <w:t>a valuable product offering</w:t>
      </w:r>
      <w:r w:rsidRPr="00A8292B">
        <w:rPr>
          <w:szCs w:val="17"/>
        </w:rPr>
        <w:t xml:space="preserve"> given the demographic trends in Europe.</w:t>
      </w:r>
    </w:p>
    <w:p w14:paraId="5A7C5C9A" w14:textId="77777777" w:rsidR="00CB4CD9" w:rsidRPr="00A8292B" w:rsidRDefault="00CB4CD9" w:rsidP="00D52B3A">
      <w:pPr>
        <w:pStyle w:val="CEABullet-Level2"/>
        <w:ind w:left="1134"/>
        <w:rPr>
          <w:szCs w:val="17"/>
        </w:rPr>
      </w:pPr>
      <w:r w:rsidRPr="00A8292B">
        <w:rPr>
          <w:szCs w:val="17"/>
        </w:rPr>
        <w:t>EIOPA found that 94% of firms surveyed indicated that they use the MA in the design and pricing of their products</w:t>
      </w:r>
      <w:r w:rsidR="00146C20" w:rsidRPr="00A8292B">
        <w:rPr>
          <w:rStyle w:val="Odkaznapoznmkupodiarou"/>
          <w:szCs w:val="17"/>
        </w:rPr>
        <w:footnoteReference w:id="2"/>
      </w:r>
      <w:r w:rsidRPr="00A8292B">
        <w:rPr>
          <w:szCs w:val="17"/>
        </w:rPr>
        <w:t>, allowing them to offer more competitive prices.</w:t>
      </w:r>
    </w:p>
    <w:p w14:paraId="6FF97641" w14:textId="5C7A80AA" w:rsidR="00CB4CD9" w:rsidRPr="00A8292B" w:rsidRDefault="00CB4CD9" w:rsidP="00B9692A">
      <w:pPr>
        <w:pStyle w:val="CEABullet-Level1"/>
        <w:rPr>
          <w:szCs w:val="17"/>
        </w:rPr>
      </w:pPr>
      <w:r w:rsidRPr="00A8292B">
        <w:rPr>
          <w:szCs w:val="17"/>
        </w:rPr>
        <w:t>It has also permitted insurance undertakings to continue in their role as long-term investors. This enables MA insurers to provide capital to long-term</w:t>
      </w:r>
      <w:r w:rsidR="00105BD0">
        <w:rPr>
          <w:szCs w:val="17"/>
        </w:rPr>
        <w:t xml:space="preserve"> financing</w:t>
      </w:r>
      <w:r w:rsidR="00813DAA">
        <w:rPr>
          <w:szCs w:val="17"/>
        </w:rPr>
        <w:t>, including (for example) infrastructure and other, societally useful retirement</w:t>
      </w:r>
      <w:r w:rsidR="00E17619">
        <w:rPr>
          <w:szCs w:val="17"/>
        </w:rPr>
        <w:t xml:space="preserve"> </w:t>
      </w:r>
      <w:r w:rsidR="00813DAA">
        <w:rPr>
          <w:szCs w:val="17"/>
        </w:rPr>
        <w:t>products</w:t>
      </w:r>
      <w:r w:rsidR="00E17619">
        <w:rPr>
          <w:szCs w:val="17"/>
        </w:rPr>
        <w:t>.</w:t>
      </w:r>
    </w:p>
    <w:p w14:paraId="503A948C" w14:textId="3A06A1AA" w:rsidR="00CB4CD9" w:rsidRDefault="00CB4CD9" w:rsidP="00CB4CD9">
      <w:pPr>
        <w:pStyle w:val="CEABullet-Level1"/>
        <w:numPr>
          <w:ilvl w:val="0"/>
          <w:numId w:val="0"/>
        </w:numPr>
        <w:rPr>
          <w:szCs w:val="17"/>
        </w:rPr>
      </w:pPr>
    </w:p>
    <w:p w14:paraId="2B74CE93" w14:textId="2151A395" w:rsidR="00BD3695" w:rsidRDefault="00BD3695" w:rsidP="00CB4CD9">
      <w:pPr>
        <w:pStyle w:val="CEABullet-Level1"/>
        <w:numPr>
          <w:ilvl w:val="0"/>
          <w:numId w:val="0"/>
        </w:numPr>
        <w:rPr>
          <w:szCs w:val="17"/>
        </w:rPr>
      </w:pPr>
    </w:p>
    <w:p w14:paraId="72619F4A" w14:textId="77777777" w:rsidR="00CB4CD9" w:rsidRPr="00A8292B" w:rsidRDefault="00CB4CD9" w:rsidP="00CB4CD9">
      <w:pPr>
        <w:pStyle w:val="CEABullet-Level1"/>
        <w:numPr>
          <w:ilvl w:val="0"/>
          <w:numId w:val="0"/>
        </w:numPr>
        <w:rPr>
          <w:rFonts w:cs="Times New Roman"/>
          <w:b/>
          <w:i/>
          <w:color w:val="auto"/>
          <w:szCs w:val="17"/>
        </w:rPr>
      </w:pPr>
      <w:r w:rsidRPr="00A8292B">
        <w:rPr>
          <w:rFonts w:cs="Times New Roman"/>
          <w:b/>
          <w:i/>
          <w:color w:val="auto"/>
          <w:szCs w:val="17"/>
        </w:rPr>
        <w:t xml:space="preserve">Impact on </w:t>
      </w:r>
      <w:r w:rsidR="005262F1" w:rsidRPr="00A8292B">
        <w:rPr>
          <w:rFonts w:cs="Times New Roman"/>
          <w:b/>
          <w:i/>
          <w:color w:val="auto"/>
          <w:szCs w:val="17"/>
        </w:rPr>
        <w:t>risk management</w:t>
      </w:r>
      <w:r w:rsidR="0057419A" w:rsidRPr="00A8292B">
        <w:rPr>
          <w:rFonts w:cs="Times New Roman"/>
          <w:b/>
          <w:i/>
          <w:color w:val="auto"/>
          <w:szCs w:val="17"/>
        </w:rPr>
        <w:t xml:space="preserve"> practices</w:t>
      </w:r>
    </w:p>
    <w:p w14:paraId="2628D152" w14:textId="77777777" w:rsidR="0057419A" w:rsidRPr="00A8292B" w:rsidRDefault="0057419A" w:rsidP="0057419A">
      <w:pPr>
        <w:pStyle w:val="CEABullet-Level1"/>
        <w:rPr>
          <w:szCs w:val="17"/>
        </w:rPr>
      </w:pPr>
      <w:r w:rsidRPr="00A8292B">
        <w:rPr>
          <w:szCs w:val="17"/>
        </w:rPr>
        <w:t>The MA provides good risk management incentives that eliminate or substantially mitigate some market risks (interest rate risk, reinvestment risk, spread risk and liquidity risk).</w:t>
      </w:r>
    </w:p>
    <w:p w14:paraId="06F2FEF3" w14:textId="4757613C" w:rsidR="00DF19E0" w:rsidRPr="00A8292B" w:rsidRDefault="00DF19E0" w:rsidP="00D52B3A">
      <w:pPr>
        <w:pStyle w:val="CEABullet-Level2"/>
        <w:ind w:left="1134"/>
        <w:rPr>
          <w:szCs w:val="17"/>
        </w:rPr>
      </w:pPr>
      <w:r w:rsidRPr="00A8292B">
        <w:rPr>
          <w:szCs w:val="17"/>
        </w:rPr>
        <w:t xml:space="preserve">EIOPA has found no </w:t>
      </w:r>
      <w:r w:rsidR="00E1718F" w:rsidRPr="00A8292B">
        <w:rPr>
          <w:szCs w:val="17"/>
        </w:rPr>
        <w:t xml:space="preserve">significant </w:t>
      </w:r>
      <w:r w:rsidRPr="00A8292B">
        <w:rPr>
          <w:szCs w:val="17"/>
        </w:rPr>
        <w:t>evidence</w:t>
      </w:r>
      <w:r w:rsidR="00E1718F" w:rsidRPr="00A8292B">
        <w:rPr>
          <w:rStyle w:val="Odkaznapoznmkupodiarou"/>
          <w:szCs w:val="17"/>
        </w:rPr>
        <w:footnoteReference w:id="3"/>
      </w:r>
      <w:r w:rsidRPr="00A8292B">
        <w:rPr>
          <w:szCs w:val="17"/>
        </w:rPr>
        <w:t xml:space="preserve"> of insurers lowering the credit quality of MA portfolios in order to benefit from higher yields or that portfolios have become riskier due to the introduction of the MA.</w:t>
      </w:r>
      <w:r w:rsidR="005003CF">
        <w:rPr>
          <w:szCs w:val="17"/>
        </w:rPr>
        <w:t xml:space="preserve"> Insurance undertakings are incentivised by the de-risking of asset cash flows and by the MA cap on sub-investment grade assets to maintain a </w:t>
      </w:r>
      <w:r w:rsidR="0064272E">
        <w:rPr>
          <w:szCs w:val="17"/>
        </w:rPr>
        <w:t>high-quality</w:t>
      </w:r>
      <w:r w:rsidR="005003CF">
        <w:rPr>
          <w:szCs w:val="17"/>
        </w:rPr>
        <w:t xml:space="preserve"> portfolio of matching assets.</w:t>
      </w:r>
    </w:p>
    <w:p w14:paraId="332B60AF" w14:textId="77777777" w:rsidR="005262F1" w:rsidRPr="00A8292B" w:rsidRDefault="0057419A" w:rsidP="00DF19E0">
      <w:pPr>
        <w:pStyle w:val="CEABullet-Level1"/>
        <w:rPr>
          <w:szCs w:val="17"/>
        </w:rPr>
      </w:pPr>
      <w:r w:rsidRPr="00A8292B">
        <w:rPr>
          <w:szCs w:val="17"/>
        </w:rPr>
        <w:t xml:space="preserve">MA matching requirements </w:t>
      </w:r>
      <w:r w:rsidR="00D52B3A" w:rsidRPr="00A8292B">
        <w:rPr>
          <w:szCs w:val="17"/>
        </w:rPr>
        <w:t xml:space="preserve">also </w:t>
      </w:r>
      <w:r w:rsidRPr="00A8292B">
        <w:rPr>
          <w:szCs w:val="17"/>
        </w:rPr>
        <w:t xml:space="preserve">promote undertakings to monitor ALM and ensure that asset and liability cashflows are closely matched. </w:t>
      </w:r>
    </w:p>
    <w:p w14:paraId="2228DA17" w14:textId="77777777" w:rsidR="00CB4CD9" w:rsidRPr="00A8292B" w:rsidRDefault="00CB4CD9" w:rsidP="00CB4CD9">
      <w:pPr>
        <w:pStyle w:val="CEABullet-Level1"/>
        <w:numPr>
          <w:ilvl w:val="0"/>
          <w:numId w:val="0"/>
        </w:numPr>
        <w:rPr>
          <w:szCs w:val="17"/>
        </w:rPr>
      </w:pPr>
    </w:p>
    <w:p w14:paraId="144366E5" w14:textId="77777777" w:rsidR="00CB4CD9" w:rsidRPr="00A8292B" w:rsidRDefault="00CB4CD9" w:rsidP="00DF19E0">
      <w:pPr>
        <w:pStyle w:val="CEABullet-Level1"/>
        <w:numPr>
          <w:ilvl w:val="0"/>
          <w:numId w:val="0"/>
        </w:numPr>
        <w:rPr>
          <w:b/>
          <w:i/>
          <w:szCs w:val="17"/>
        </w:rPr>
      </w:pPr>
      <w:r w:rsidRPr="00A8292B">
        <w:rPr>
          <w:b/>
          <w:i/>
          <w:szCs w:val="17"/>
        </w:rPr>
        <w:t>Impact on policyholder protection</w:t>
      </w:r>
    </w:p>
    <w:p w14:paraId="78CF1E0E" w14:textId="77777777" w:rsidR="00DF19E0" w:rsidRPr="00A8292B" w:rsidRDefault="00DF19E0" w:rsidP="00DF19E0">
      <w:pPr>
        <w:pStyle w:val="CEABullet-Level1"/>
        <w:rPr>
          <w:szCs w:val="17"/>
        </w:rPr>
      </w:pPr>
      <w:r w:rsidRPr="00A8292B">
        <w:rPr>
          <w:szCs w:val="17"/>
        </w:rPr>
        <w:t>EIOPA has found no evidence of undue capital relief from use of the MA</w:t>
      </w:r>
      <w:r w:rsidR="00070392" w:rsidRPr="00A8292B">
        <w:rPr>
          <w:rStyle w:val="Odkaznapoznmkupodiarou"/>
          <w:szCs w:val="17"/>
        </w:rPr>
        <w:footnoteReference w:id="4"/>
      </w:r>
      <w:r w:rsidRPr="00A8292B">
        <w:rPr>
          <w:szCs w:val="17"/>
        </w:rPr>
        <w:t>, and no cases have been identified in which the application of the measures prevented supervisors from taking any measures that they would have considered desirable for policyholder protection.</w:t>
      </w:r>
    </w:p>
    <w:p w14:paraId="3CC0E823" w14:textId="77777777" w:rsidR="00D52B3A" w:rsidRPr="00A8292B" w:rsidRDefault="00D52B3A" w:rsidP="00D52B3A">
      <w:pPr>
        <w:pStyle w:val="CEABullet-Level1"/>
        <w:rPr>
          <w:szCs w:val="17"/>
        </w:rPr>
      </w:pPr>
      <w:r w:rsidRPr="00A8292B">
        <w:rPr>
          <w:szCs w:val="17"/>
        </w:rPr>
        <w:t>In jurisdictions where the MA is currently applied, national supervisors set strong regulatory requirements around the treatment of MA portfolios, justifying the level of the adjustment.</w:t>
      </w:r>
    </w:p>
    <w:p w14:paraId="4F9653AA" w14:textId="77777777" w:rsidR="00B37EA3" w:rsidRPr="00A8292B" w:rsidRDefault="00052EDD" w:rsidP="00B37EA3">
      <w:pPr>
        <w:pStyle w:val="CEABullet-Level2"/>
        <w:ind w:left="1134"/>
        <w:rPr>
          <w:szCs w:val="17"/>
        </w:rPr>
      </w:pPr>
      <w:r w:rsidRPr="00A8292B">
        <w:rPr>
          <w:szCs w:val="17"/>
        </w:rPr>
        <w:t>The Spanish supervisory authority, DGSFP, has assessed that the MA has contributed to the stability of the financial system and the real economy</w:t>
      </w:r>
      <w:r w:rsidRPr="00A8292B">
        <w:rPr>
          <w:rStyle w:val="Odkaznapoznmkupodiarou"/>
          <w:szCs w:val="17"/>
        </w:rPr>
        <w:footnoteReference w:id="5"/>
      </w:r>
      <w:r w:rsidRPr="00A8292B">
        <w:rPr>
          <w:szCs w:val="17"/>
        </w:rPr>
        <w:t>.</w:t>
      </w:r>
    </w:p>
    <w:p w14:paraId="55148F80" w14:textId="53FD54C8" w:rsidR="00052EDD" w:rsidRPr="00A8292B" w:rsidRDefault="00052EDD" w:rsidP="00052EDD">
      <w:pPr>
        <w:pStyle w:val="CEABullet-Level2"/>
        <w:ind w:left="1134"/>
        <w:rPr>
          <w:szCs w:val="17"/>
        </w:rPr>
      </w:pPr>
      <w:r w:rsidRPr="00A8292B">
        <w:rPr>
          <w:szCs w:val="17"/>
        </w:rPr>
        <w:t xml:space="preserve">The Bank of </w:t>
      </w:r>
      <w:r w:rsidRPr="00191E5E">
        <w:rPr>
          <w:szCs w:val="17"/>
        </w:rPr>
        <w:t xml:space="preserve">England </w:t>
      </w:r>
      <w:r w:rsidRPr="00B96563">
        <w:rPr>
          <w:szCs w:val="17"/>
        </w:rPr>
        <w:t>ha</w:t>
      </w:r>
      <w:r w:rsidR="00191E5E" w:rsidRPr="00E17619">
        <w:rPr>
          <w:szCs w:val="17"/>
        </w:rPr>
        <w:t>s</w:t>
      </w:r>
      <w:r w:rsidRPr="00B96563">
        <w:rPr>
          <w:szCs w:val="17"/>
        </w:rPr>
        <w:t xml:space="preserve"> </w:t>
      </w:r>
      <w:r w:rsidR="006B06DD" w:rsidRPr="00B96563">
        <w:rPr>
          <w:szCs w:val="17"/>
        </w:rPr>
        <w:t>assessed</w:t>
      </w:r>
      <w:r w:rsidR="006B06DD" w:rsidRPr="00A8292B">
        <w:rPr>
          <w:szCs w:val="17"/>
        </w:rPr>
        <w:t xml:space="preserve"> the MA to be beneficial from a financial stability perspective by reducing the potential instability across the financial system</w:t>
      </w:r>
      <w:r w:rsidR="006B06DD" w:rsidRPr="00A8292B">
        <w:rPr>
          <w:rStyle w:val="Odkaznapoznmkupodiarou"/>
          <w:szCs w:val="17"/>
        </w:rPr>
        <w:footnoteReference w:id="6"/>
      </w:r>
    </w:p>
    <w:p w14:paraId="10D20D2D" w14:textId="77777777" w:rsidR="00DF19E0" w:rsidRPr="00A8292B" w:rsidRDefault="00DF19E0" w:rsidP="00DF19E0">
      <w:pPr>
        <w:pStyle w:val="CEABullet-Level1"/>
        <w:numPr>
          <w:ilvl w:val="0"/>
          <w:numId w:val="0"/>
        </w:numPr>
        <w:rPr>
          <w:b/>
          <w:i/>
          <w:szCs w:val="17"/>
        </w:rPr>
      </w:pPr>
    </w:p>
    <w:p w14:paraId="65502B7F" w14:textId="77777777" w:rsidR="00DF19E0" w:rsidRPr="00A8292B" w:rsidRDefault="00D52B3A" w:rsidP="00DF19E0">
      <w:pPr>
        <w:pStyle w:val="CEABullet-Level1"/>
        <w:numPr>
          <w:ilvl w:val="0"/>
          <w:numId w:val="0"/>
        </w:numPr>
        <w:rPr>
          <w:b/>
          <w:i/>
          <w:szCs w:val="17"/>
        </w:rPr>
      </w:pPr>
      <w:r w:rsidRPr="00A8292B">
        <w:rPr>
          <w:b/>
          <w:i/>
          <w:szCs w:val="17"/>
        </w:rPr>
        <w:t>Impact on financial stability</w:t>
      </w:r>
    </w:p>
    <w:p w14:paraId="4FA19129" w14:textId="77777777" w:rsidR="00CB4CD9" w:rsidRPr="00A8292B" w:rsidRDefault="00CB4CD9" w:rsidP="00CB4CD9">
      <w:pPr>
        <w:pStyle w:val="CEABullet-Level1"/>
        <w:rPr>
          <w:szCs w:val="17"/>
        </w:rPr>
      </w:pPr>
      <w:r w:rsidRPr="00A8292B">
        <w:rPr>
          <w:szCs w:val="17"/>
        </w:rPr>
        <w:t>The MA immunises insurers against a low interest rate environment, because long-term products are matched, thereby avoiding problems of procyclicality. MA countries were affected less by the low-for-long scenario in EIOPA’s 2016 stress test.</w:t>
      </w:r>
    </w:p>
    <w:p w14:paraId="044AAC90" w14:textId="77777777" w:rsidR="00CB4CD9" w:rsidRPr="00A8292B" w:rsidRDefault="00CB4CD9" w:rsidP="00CB4CD9">
      <w:pPr>
        <w:pStyle w:val="CEABullet-Level1"/>
        <w:rPr>
          <w:szCs w:val="17"/>
        </w:rPr>
      </w:pPr>
      <w:r w:rsidRPr="00A8292B">
        <w:rPr>
          <w:szCs w:val="17"/>
        </w:rPr>
        <w:t>The MA minimises the asset-liability duration gap, as also demonstrated in EIOPA’s 2016 stress test report.</w:t>
      </w:r>
    </w:p>
    <w:p w14:paraId="3FCABB8C" w14:textId="77777777" w:rsidR="00CB4CD9" w:rsidRPr="00A8292B" w:rsidRDefault="00CB4CD9" w:rsidP="00D52B3A">
      <w:pPr>
        <w:pStyle w:val="CEABullet-Level1"/>
        <w:numPr>
          <w:ilvl w:val="0"/>
          <w:numId w:val="0"/>
        </w:numPr>
        <w:ind w:left="720"/>
        <w:rPr>
          <w:szCs w:val="17"/>
        </w:rPr>
      </w:pPr>
    </w:p>
    <w:p w14:paraId="5F89BC47" w14:textId="77777777" w:rsidR="00CA2E34" w:rsidRPr="00A8292B" w:rsidRDefault="00CA2E34" w:rsidP="00152882">
      <w:pPr>
        <w:rPr>
          <w:rStyle w:val="Heading1CEAChar"/>
          <w:rFonts w:ascii="Verdana" w:hAnsi="Verdana"/>
          <w:color w:val="002957"/>
          <w:sz w:val="17"/>
          <w:szCs w:val="17"/>
        </w:rPr>
      </w:pPr>
    </w:p>
    <w:p w14:paraId="4208E881" w14:textId="77777777" w:rsidR="00D6792E" w:rsidRDefault="00D6792E">
      <w:pPr>
        <w:spacing w:after="200" w:line="276" w:lineRule="auto"/>
        <w:jc w:val="left"/>
        <w:rPr>
          <w:rStyle w:val="Heading1CEAChar"/>
          <w:rFonts w:ascii="Verdana" w:hAnsi="Verdana"/>
          <w:color w:val="002957"/>
          <w:sz w:val="17"/>
          <w:szCs w:val="17"/>
        </w:rPr>
      </w:pPr>
      <w:r>
        <w:rPr>
          <w:rStyle w:val="Heading1CEAChar"/>
          <w:rFonts w:ascii="Verdana" w:hAnsi="Verdana"/>
          <w:color w:val="002957"/>
          <w:sz w:val="17"/>
          <w:szCs w:val="17"/>
        </w:rPr>
        <w:br w:type="page"/>
      </w:r>
    </w:p>
    <w:p w14:paraId="6ACC683D" w14:textId="77777777" w:rsidR="006F62E7" w:rsidRPr="009A7FB6" w:rsidRDefault="006F62E7" w:rsidP="00152882">
      <w:pPr>
        <w:rPr>
          <w:rStyle w:val="Heading1CEAChar"/>
          <w:rFonts w:ascii="Verdana" w:hAnsi="Verdana"/>
          <w:color w:val="002957"/>
          <w:sz w:val="18"/>
          <w:szCs w:val="18"/>
        </w:rPr>
      </w:pPr>
      <w:r w:rsidRPr="009A7FB6">
        <w:rPr>
          <w:rStyle w:val="Heading1CEAChar"/>
          <w:rFonts w:ascii="Verdana" w:hAnsi="Verdana"/>
          <w:color w:val="002957"/>
          <w:sz w:val="18"/>
          <w:szCs w:val="18"/>
        </w:rPr>
        <w:lastRenderedPageBreak/>
        <w:t xml:space="preserve">The </w:t>
      </w:r>
      <w:r w:rsidR="00D52B3A" w:rsidRPr="009A7FB6">
        <w:rPr>
          <w:rStyle w:val="Heading1CEAChar"/>
          <w:rFonts w:ascii="Verdana" w:hAnsi="Verdana"/>
          <w:color w:val="002957"/>
          <w:sz w:val="18"/>
          <w:szCs w:val="18"/>
        </w:rPr>
        <w:t>e</w:t>
      </w:r>
      <w:r w:rsidRPr="009A7FB6">
        <w:rPr>
          <w:rStyle w:val="Heading1CEAChar"/>
          <w:rFonts w:ascii="Verdana" w:hAnsi="Verdana"/>
          <w:color w:val="002957"/>
          <w:sz w:val="18"/>
          <w:szCs w:val="18"/>
        </w:rPr>
        <w:t>ligibility criteria</w:t>
      </w:r>
    </w:p>
    <w:p w14:paraId="3EC7E206" w14:textId="77777777" w:rsidR="00992CD0" w:rsidRPr="00A8292B" w:rsidRDefault="00D52B3A" w:rsidP="009127C8">
      <w:pPr>
        <w:spacing w:after="120"/>
        <w:rPr>
          <w:sz w:val="17"/>
          <w:szCs w:val="17"/>
          <w:lang w:val="en-US"/>
        </w:rPr>
      </w:pPr>
      <w:r w:rsidRPr="00A8292B">
        <w:rPr>
          <w:sz w:val="17"/>
          <w:szCs w:val="17"/>
          <w:lang w:val="en-US"/>
        </w:rPr>
        <w:t>The application of the MA is governed by Article 77b</w:t>
      </w:r>
      <w:r w:rsidR="005A1A3C" w:rsidRPr="00A8292B">
        <w:rPr>
          <w:sz w:val="17"/>
          <w:szCs w:val="17"/>
          <w:lang w:val="en-US"/>
        </w:rPr>
        <w:t xml:space="preserve"> of the Solvency II Directive. </w:t>
      </w:r>
      <w:r w:rsidR="00992CD0" w:rsidRPr="00A8292B">
        <w:rPr>
          <w:sz w:val="17"/>
          <w:szCs w:val="17"/>
          <w:lang w:val="en-US"/>
        </w:rPr>
        <w:t xml:space="preserve">This requires prior supervisory approval and is subject to </w:t>
      </w:r>
      <w:r w:rsidR="001805D7" w:rsidRPr="00A8292B">
        <w:rPr>
          <w:sz w:val="17"/>
          <w:szCs w:val="17"/>
          <w:lang w:val="en-US"/>
        </w:rPr>
        <w:t>a set of conditions which can be summarised</w:t>
      </w:r>
      <w:r w:rsidR="00B175DA" w:rsidRPr="00A8292B">
        <w:rPr>
          <w:rStyle w:val="Odkaznapoznmkupodiarou"/>
          <w:sz w:val="17"/>
          <w:szCs w:val="17"/>
          <w:lang w:val="en-US"/>
        </w:rPr>
        <w:footnoteReference w:id="7"/>
      </w:r>
      <w:r w:rsidR="001805D7" w:rsidRPr="00A8292B">
        <w:rPr>
          <w:sz w:val="17"/>
          <w:szCs w:val="17"/>
          <w:lang w:val="en-US"/>
        </w:rPr>
        <w:t xml:space="preserve"> as follows</w:t>
      </w:r>
      <w:r w:rsidR="00992CD0" w:rsidRPr="00A8292B">
        <w:rPr>
          <w:sz w:val="17"/>
          <w:szCs w:val="17"/>
          <w:lang w:val="en-US"/>
        </w:rPr>
        <w:t>:</w:t>
      </w:r>
    </w:p>
    <w:p w14:paraId="1536CF62" w14:textId="77777777" w:rsidR="009127C8" w:rsidRPr="00A8292B" w:rsidRDefault="009127C8" w:rsidP="00992CD0">
      <w:pPr>
        <w:pStyle w:val="CEABullet-Level1"/>
        <w:rPr>
          <w:color w:val="auto"/>
          <w:szCs w:val="17"/>
          <w:lang w:val="en-US"/>
        </w:rPr>
      </w:pPr>
      <w:r w:rsidRPr="00A8292B">
        <w:rPr>
          <w:color w:val="auto"/>
          <w:szCs w:val="17"/>
          <w:lang w:val="en-US"/>
        </w:rPr>
        <w:t>The insurer has a designated portfolio of bonds and other fixed income assets which support the liabilities and is maintained over the life of the obligations;</w:t>
      </w:r>
    </w:p>
    <w:p w14:paraId="72BE95DA" w14:textId="77777777" w:rsidR="009127C8" w:rsidRPr="00A8292B" w:rsidRDefault="009127C8" w:rsidP="00992CD0">
      <w:pPr>
        <w:pStyle w:val="CEABullet-Level1"/>
        <w:rPr>
          <w:color w:val="auto"/>
          <w:szCs w:val="17"/>
          <w:lang w:val="en-US"/>
        </w:rPr>
      </w:pPr>
      <w:r w:rsidRPr="00A8292B">
        <w:rPr>
          <w:color w:val="auto"/>
          <w:szCs w:val="17"/>
          <w:lang w:val="en-US"/>
        </w:rPr>
        <w:t>The portfolio of assets and liabilities is identified, organized and managed separately;</w:t>
      </w:r>
    </w:p>
    <w:p w14:paraId="1487AF54" w14:textId="77777777" w:rsidR="00992CD0" w:rsidRPr="00A8292B" w:rsidRDefault="009127C8" w:rsidP="00992CD0">
      <w:pPr>
        <w:pStyle w:val="CEABullet-Level1"/>
        <w:rPr>
          <w:color w:val="auto"/>
          <w:szCs w:val="17"/>
          <w:lang w:val="en-US"/>
        </w:rPr>
      </w:pPr>
      <w:r w:rsidRPr="00A8292B">
        <w:rPr>
          <w:color w:val="auto"/>
          <w:szCs w:val="17"/>
          <w:lang w:val="en-US"/>
        </w:rPr>
        <w:t xml:space="preserve">The expected asset and liability cashflows are well-matched;  </w:t>
      </w:r>
    </w:p>
    <w:p w14:paraId="345DE8FB" w14:textId="77777777" w:rsidR="009127C8" w:rsidRPr="00A8292B" w:rsidRDefault="009127C8" w:rsidP="00992CD0">
      <w:pPr>
        <w:pStyle w:val="CEABullet-Level1"/>
        <w:rPr>
          <w:color w:val="auto"/>
          <w:szCs w:val="17"/>
          <w:lang w:val="en-US"/>
        </w:rPr>
      </w:pPr>
      <w:r w:rsidRPr="00A8292B">
        <w:rPr>
          <w:color w:val="auto"/>
          <w:szCs w:val="17"/>
          <w:lang w:val="en-US"/>
        </w:rPr>
        <w:t>There are no future premiums related to the contracts within the MA portfolio;</w:t>
      </w:r>
    </w:p>
    <w:p w14:paraId="11BFB942" w14:textId="77777777" w:rsidR="009127C8" w:rsidRPr="00A8292B" w:rsidRDefault="009127C8" w:rsidP="00992CD0">
      <w:pPr>
        <w:pStyle w:val="CEABullet-Level1"/>
        <w:rPr>
          <w:color w:val="auto"/>
          <w:szCs w:val="17"/>
          <w:lang w:val="en-US"/>
        </w:rPr>
      </w:pPr>
      <w:r w:rsidRPr="00A8292B">
        <w:rPr>
          <w:color w:val="auto"/>
          <w:szCs w:val="17"/>
          <w:lang w:val="en-US"/>
        </w:rPr>
        <w:t>There are very limited underwriting risks arising from the MA portfolio</w:t>
      </w:r>
      <w:r w:rsidR="00890D8E" w:rsidRPr="00A8292B">
        <w:rPr>
          <w:color w:val="auto"/>
          <w:szCs w:val="17"/>
          <w:lang w:val="en-US"/>
        </w:rPr>
        <w:t>;</w:t>
      </w:r>
      <w:r w:rsidRPr="00A8292B">
        <w:rPr>
          <w:color w:val="auto"/>
          <w:szCs w:val="17"/>
          <w:lang w:val="en-US"/>
        </w:rPr>
        <w:t xml:space="preserve"> </w:t>
      </w:r>
    </w:p>
    <w:p w14:paraId="0332C4D0" w14:textId="77777777" w:rsidR="00A55037" w:rsidRPr="00A8292B" w:rsidRDefault="009127C8" w:rsidP="00A55037">
      <w:pPr>
        <w:pStyle w:val="CEABullet-Level1"/>
        <w:rPr>
          <w:color w:val="auto"/>
          <w:szCs w:val="17"/>
          <w:lang w:val="en-US"/>
        </w:rPr>
      </w:pPr>
      <w:r w:rsidRPr="00A8292B">
        <w:rPr>
          <w:color w:val="auto"/>
          <w:szCs w:val="17"/>
          <w:lang w:val="en-US"/>
        </w:rPr>
        <w:t xml:space="preserve">Any mortality risk relating to the portfolio does not increase </w:t>
      </w:r>
      <w:r w:rsidR="00A55037" w:rsidRPr="00A8292B">
        <w:rPr>
          <w:color w:val="auto"/>
          <w:szCs w:val="17"/>
          <w:lang w:val="en-US"/>
        </w:rPr>
        <w:t>by more than 5% under the standard formula mortality stress</w:t>
      </w:r>
      <w:r w:rsidR="00890D8E" w:rsidRPr="00A8292B">
        <w:rPr>
          <w:color w:val="auto"/>
          <w:szCs w:val="17"/>
          <w:lang w:val="en-US"/>
        </w:rPr>
        <w:t>;</w:t>
      </w:r>
    </w:p>
    <w:p w14:paraId="4DB51D01" w14:textId="77777777" w:rsidR="00D52B3A" w:rsidRPr="00A8292B" w:rsidRDefault="00890D8E" w:rsidP="00B9692A">
      <w:pPr>
        <w:pStyle w:val="CEABullet-Level1"/>
        <w:rPr>
          <w:color w:val="auto"/>
          <w:szCs w:val="17"/>
          <w:lang w:val="en-US"/>
        </w:rPr>
      </w:pPr>
      <w:r w:rsidRPr="00A8292B">
        <w:rPr>
          <w:color w:val="auto"/>
          <w:szCs w:val="17"/>
          <w:lang w:val="en-US"/>
        </w:rPr>
        <w:t>Any surrender options relating to the portfolio will not have a detrimental financial impact on the portfolio, should they be exercised;</w:t>
      </w:r>
    </w:p>
    <w:p w14:paraId="3826871C" w14:textId="77777777" w:rsidR="00890D8E" w:rsidRPr="00A8292B" w:rsidRDefault="00890D8E" w:rsidP="00B9692A">
      <w:pPr>
        <w:pStyle w:val="CEABullet-Level1"/>
        <w:rPr>
          <w:color w:val="auto"/>
          <w:szCs w:val="17"/>
          <w:lang w:val="en-US"/>
        </w:rPr>
      </w:pPr>
      <w:r w:rsidRPr="00A8292B">
        <w:rPr>
          <w:color w:val="auto"/>
          <w:szCs w:val="17"/>
          <w:lang w:val="en-US"/>
        </w:rPr>
        <w:t>The asset cashflows are fixed and cannot be changed;</w:t>
      </w:r>
    </w:p>
    <w:p w14:paraId="3919FC30" w14:textId="77777777" w:rsidR="00890D8E" w:rsidRPr="00A8292B" w:rsidRDefault="00890D8E" w:rsidP="00B9692A">
      <w:pPr>
        <w:pStyle w:val="CEABullet-Level1"/>
        <w:rPr>
          <w:color w:val="auto"/>
          <w:szCs w:val="17"/>
          <w:lang w:val="en-US"/>
        </w:rPr>
      </w:pPr>
      <w:r w:rsidRPr="00A8292B">
        <w:rPr>
          <w:color w:val="auto"/>
          <w:szCs w:val="17"/>
          <w:lang w:val="en-US"/>
        </w:rPr>
        <w:t>There is no unbundling of insurance contracts.</w:t>
      </w:r>
    </w:p>
    <w:p w14:paraId="34EC8E10" w14:textId="77777777" w:rsidR="00E84059" w:rsidRPr="00A8292B" w:rsidRDefault="00E84059" w:rsidP="00152882">
      <w:pPr>
        <w:rPr>
          <w:b/>
          <w:sz w:val="17"/>
          <w:szCs w:val="17"/>
          <w:lang w:val="en-US"/>
        </w:rPr>
      </w:pPr>
    </w:p>
    <w:p w14:paraId="7212C05F" w14:textId="77777777" w:rsidR="00357DD3" w:rsidRPr="00A8292B" w:rsidRDefault="00357DD3" w:rsidP="00357DD3">
      <w:pPr>
        <w:rPr>
          <w:sz w:val="17"/>
          <w:szCs w:val="17"/>
        </w:rPr>
      </w:pPr>
      <w:r w:rsidRPr="00A8292B">
        <w:rPr>
          <w:sz w:val="17"/>
          <w:szCs w:val="17"/>
        </w:rPr>
        <w:t xml:space="preserve">Overall the matching adjustment works very well, and it is important that no changes are made that would reduce its current effectiveness or create complexity for those insurers who have sold policies based on the existing MA framework. </w:t>
      </w:r>
    </w:p>
    <w:p w14:paraId="546ADE11" w14:textId="77777777" w:rsidR="00357DD3" w:rsidRPr="00A8292B" w:rsidRDefault="00357DD3" w:rsidP="00357DD3">
      <w:pPr>
        <w:rPr>
          <w:sz w:val="17"/>
          <w:szCs w:val="17"/>
          <w:lang w:val="en-US"/>
        </w:rPr>
      </w:pPr>
    </w:p>
    <w:p w14:paraId="22D61F33" w14:textId="38AA6BB3" w:rsidR="00357DD3" w:rsidRPr="00A8292B" w:rsidRDefault="00357DD3" w:rsidP="00357DD3">
      <w:pPr>
        <w:rPr>
          <w:sz w:val="17"/>
          <w:szCs w:val="17"/>
          <w:lang w:val="en-US"/>
        </w:rPr>
      </w:pPr>
      <w:r w:rsidRPr="00A8292B">
        <w:rPr>
          <w:sz w:val="17"/>
          <w:szCs w:val="17"/>
          <w:lang w:val="en-US"/>
        </w:rPr>
        <w:t xml:space="preserve">Some of benefits and positive impacts of the MA outlined above are a direct consequence of these criteria. For example, the strict cashflow matching criteria </w:t>
      </w:r>
      <w:r w:rsidR="00A42888" w:rsidRPr="00A8292B">
        <w:rPr>
          <w:sz w:val="17"/>
          <w:szCs w:val="17"/>
          <w:lang w:val="en-US"/>
        </w:rPr>
        <w:t>incentivi</w:t>
      </w:r>
      <w:r w:rsidR="00813DAA">
        <w:rPr>
          <w:sz w:val="17"/>
          <w:szCs w:val="17"/>
          <w:lang w:val="en-US"/>
        </w:rPr>
        <w:t>s</w:t>
      </w:r>
      <w:r w:rsidR="00A42888" w:rsidRPr="00A8292B">
        <w:rPr>
          <w:sz w:val="17"/>
          <w:szCs w:val="17"/>
          <w:lang w:val="en-US"/>
        </w:rPr>
        <w:t>es</w:t>
      </w:r>
      <w:r w:rsidRPr="00A8292B">
        <w:rPr>
          <w:sz w:val="17"/>
          <w:szCs w:val="17"/>
          <w:lang w:val="en-US"/>
        </w:rPr>
        <w:t xml:space="preserve"> good risk management practices. </w:t>
      </w:r>
    </w:p>
    <w:p w14:paraId="0B77A605" w14:textId="77777777" w:rsidR="00357DD3" w:rsidRPr="00A8292B" w:rsidRDefault="00357DD3" w:rsidP="00357DD3">
      <w:pPr>
        <w:rPr>
          <w:sz w:val="17"/>
          <w:szCs w:val="17"/>
        </w:rPr>
      </w:pPr>
    </w:p>
    <w:p w14:paraId="0828D407" w14:textId="77777777" w:rsidR="00065311" w:rsidRPr="00A8292B" w:rsidRDefault="00357DD3">
      <w:pPr>
        <w:rPr>
          <w:sz w:val="17"/>
          <w:szCs w:val="17"/>
          <w:lang w:val="en-US"/>
        </w:rPr>
      </w:pPr>
      <w:r w:rsidRPr="00A8292B">
        <w:rPr>
          <w:sz w:val="17"/>
          <w:szCs w:val="17"/>
        </w:rPr>
        <w:t xml:space="preserve">However, there are a number of areas where the current criteria are unnecessarily restrictive and where improvements can be economically justified and are needed to avoid unnecessary negative impact for customers in terms of costs, product design and product availability. Such improvements can be made while maintaining </w:t>
      </w:r>
      <w:r w:rsidR="00FF1334" w:rsidRPr="00A8292B">
        <w:rPr>
          <w:sz w:val="17"/>
          <w:szCs w:val="17"/>
          <w:lang w:val="en-US"/>
        </w:rPr>
        <w:t xml:space="preserve">rigorous levels of policyholder protection and </w:t>
      </w:r>
      <w:r w:rsidR="003A32B1" w:rsidRPr="00A8292B">
        <w:rPr>
          <w:sz w:val="17"/>
          <w:szCs w:val="17"/>
          <w:lang w:val="en-US"/>
        </w:rPr>
        <w:t xml:space="preserve">appropriate risk management incentives. </w:t>
      </w:r>
    </w:p>
    <w:p w14:paraId="215ACB97" w14:textId="77777777" w:rsidR="00574C05" w:rsidRPr="00A8292B" w:rsidRDefault="00574C05" w:rsidP="00152882">
      <w:pPr>
        <w:rPr>
          <w:sz w:val="17"/>
          <w:szCs w:val="17"/>
          <w:lang w:val="en-US"/>
        </w:rPr>
      </w:pPr>
    </w:p>
    <w:p w14:paraId="6352ECC1" w14:textId="21B71AF2" w:rsidR="006F62E7" w:rsidRPr="007221DB" w:rsidRDefault="00710639" w:rsidP="00152882">
      <w:pPr>
        <w:rPr>
          <w:rStyle w:val="Heading1CEAChar"/>
          <w:rFonts w:ascii="Verdana" w:hAnsi="Verdana"/>
          <w:color w:val="002957"/>
          <w:sz w:val="18"/>
          <w:szCs w:val="18"/>
        </w:rPr>
      </w:pPr>
      <w:r w:rsidRPr="007221DB">
        <w:rPr>
          <w:rStyle w:val="Heading1CEAChar"/>
          <w:rFonts w:ascii="Verdana" w:hAnsi="Verdana"/>
          <w:color w:val="002957"/>
          <w:sz w:val="18"/>
          <w:szCs w:val="18"/>
        </w:rPr>
        <w:t>D</w:t>
      </w:r>
      <w:r w:rsidR="007221DB">
        <w:rPr>
          <w:rStyle w:val="Heading1CEAChar"/>
          <w:rFonts w:ascii="Verdana" w:hAnsi="Verdana"/>
          <w:color w:val="002957"/>
          <w:sz w:val="18"/>
          <w:szCs w:val="18"/>
        </w:rPr>
        <w:t>raft proposals for changes</w:t>
      </w:r>
    </w:p>
    <w:p w14:paraId="7F519C2C" w14:textId="77777777" w:rsidR="006C0877" w:rsidRPr="00A8292B" w:rsidRDefault="00305BF9">
      <w:pPr>
        <w:rPr>
          <w:sz w:val="17"/>
          <w:szCs w:val="17"/>
        </w:rPr>
      </w:pPr>
      <w:r w:rsidRPr="00A8292B">
        <w:rPr>
          <w:sz w:val="17"/>
          <w:szCs w:val="17"/>
        </w:rPr>
        <w:t>Insurance Europe has undertaken a review of the criteria and proposes t</w:t>
      </w:r>
      <w:r w:rsidR="00CB74DB" w:rsidRPr="00A8292B">
        <w:rPr>
          <w:sz w:val="17"/>
          <w:szCs w:val="17"/>
        </w:rPr>
        <w:t xml:space="preserve">hat the following </w:t>
      </w:r>
      <w:r w:rsidR="008267D9" w:rsidRPr="00A8292B">
        <w:rPr>
          <w:sz w:val="17"/>
          <w:szCs w:val="17"/>
        </w:rPr>
        <w:t xml:space="preserve">issues are addressed </w:t>
      </w:r>
      <w:r w:rsidR="00CB74DB" w:rsidRPr="00A8292B">
        <w:rPr>
          <w:sz w:val="17"/>
          <w:szCs w:val="17"/>
        </w:rPr>
        <w:t>to ensure wider application of the MA. These changes do not</w:t>
      </w:r>
      <w:r w:rsidR="007C5D7C" w:rsidRPr="00A8292B">
        <w:rPr>
          <w:sz w:val="17"/>
          <w:szCs w:val="17"/>
        </w:rPr>
        <w:t xml:space="preserve"> alter the fundamental assumptions underlying the matching adjustment</w:t>
      </w:r>
      <w:r w:rsidR="00CB74DB" w:rsidRPr="00A8292B">
        <w:rPr>
          <w:sz w:val="17"/>
          <w:szCs w:val="17"/>
        </w:rPr>
        <w:t>.</w:t>
      </w:r>
    </w:p>
    <w:p w14:paraId="78E1520C" w14:textId="77777777" w:rsidR="007C5D7C" w:rsidRPr="00A8292B" w:rsidRDefault="007C5D7C">
      <w:pPr>
        <w:rPr>
          <w:sz w:val="17"/>
          <w:szCs w:val="17"/>
        </w:rPr>
      </w:pPr>
    </w:p>
    <w:p w14:paraId="77157F2E" w14:textId="7CF29335" w:rsidR="007C5D7C" w:rsidRPr="00A8292B" w:rsidRDefault="00E13A7C" w:rsidP="00372776">
      <w:pPr>
        <w:rPr>
          <w:sz w:val="17"/>
          <w:szCs w:val="17"/>
        </w:rPr>
      </w:pPr>
      <w:r w:rsidRPr="00E13A7C">
        <w:rPr>
          <w:sz w:val="17"/>
          <w:szCs w:val="17"/>
        </w:rPr>
        <w:t>The proposed changes are in line with the current used eligibility criteria. Therefore, the current applied MA can be continued without the need for change. Any other change considered by other stakeholders should not dimi</w:t>
      </w:r>
      <w:r w:rsidR="0038047B">
        <w:rPr>
          <w:sz w:val="17"/>
          <w:szCs w:val="17"/>
        </w:rPr>
        <w:t>ni</w:t>
      </w:r>
      <w:r w:rsidRPr="00E13A7C">
        <w:rPr>
          <w:sz w:val="17"/>
          <w:szCs w:val="17"/>
        </w:rPr>
        <w:t>sh</w:t>
      </w:r>
      <w:r>
        <w:t xml:space="preserve"> </w:t>
      </w:r>
      <w:r w:rsidR="007C5D7C" w:rsidRPr="00A8292B">
        <w:rPr>
          <w:sz w:val="17"/>
          <w:szCs w:val="17"/>
        </w:rPr>
        <w:t xml:space="preserve">the current level of benefit provided by the measure. Given the success of the measure to date, this would be unjustified and </w:t>
      </w:r>
      <w:r w:rsidR="008267D9" w:rsidRPr="00A8292B">
        <w:rPr>
          <w:sz w:val="17"/>
          <w:szCs w:val="17"/>
        </w:rPr>
        <w:t>c</w:t>
      </w:r>
      <w:r w:rsidR="007C5D7C" w:rsidRPr="00A8292B">
        <w:rPr>
          <w:sz w:val="17"/>
          <w:szCs w:val="17"/>
        </w:rPr>
        <w:t xml:space="preserve">ould create complexity for </w:t>
      </w:r>
      <w:r w:rsidR="008267D9" w:rsidRPr="00A8292B">
        <w:rPr>
          <w:sz w:val="17"/>
          <w:szCs w:val="17"/>
        </w:rPr>
        <w:t>those insurers</w:t>
      </w:r>
      <w:r w:rsidR="007C5D7C" w:rsidRPr="00A8292B">
        <w:rPr>
          <w:sz w:val="17"/>
          <w:szCs w:val="17"/>
        </w:rPr>
        <w:t xml:space="preserve"> who have sold policies based on </w:t>
      </w:r>
      <w:r w:rsidR="008267D9" w:rsidRPr="00A8292B">
        <w:rPr>
          <w:sz w:val="17"/>
          <w:szCs w:val="17"/>
        </w:rPr>
        <w:t xml:space="preserve">the existing MA framework. </w:t>
      </w:r>
    </w:p>
    <w:p w14:paraId="0EBD0C6A" w14:textId="77777777" w:rsidR="006C0877" w:rsidRPr="00A8292B" w:rsidRDefault="006C0877" w:rsidP="00152882">
      <w:pPr>
        <w:rPr>
          <w:sz w:val="17"/>
          <w:szCs w:val="17"/>
        </w:rPr>
      </w:pPr>
    </w:p>
    <w:p w14:paraId="0591E600" w14:textId="77777777" w:rsidR="006C0877" w:rsidRPr="00A8292B" w:rsidRDefault="00B9692A" w:rsidP="00152882">
      <w:pPr>
        <w:rPr>
          <w:b/>
          <w:sz w:val="17"/>
          <w:szCs w:val="17"/>
        </w:rPr>
      </w:pPr>
      <w:r w:rsidRPr="00A8292B">
        <w:rPr>
          <w:b/>
          <w:sz w:val="17"/>
          <w:szCs w:val="17"/>
        </w:rPr>
        <w:t>Identification, organisation and management of portfolios</w:t>
      </w:r>
    </w:p>
    <w:p w14:paraId="493136E9" w14:textId="505FE292" w:rsidR="00B9692A" w:rsidRPr="00A8292B" w:rsidRDefault="00B9692A" w:rsidP="00152882">
      <w:pPr>
        <w:rPr>
          <w:sz w:val="17"/>
          <w:szCs w:val="17"/>
        </w:rPr>
      </w:pPr>
      <w:r w:rsidRPr="00A8292B">
        <w:rPr>
          <w:sz w:val="17"/>
          <w:szCs w:val="17"/>
        </w:rPr>
        <w:t xml:space="preserve">The criteria which govern the identification, organisation and management of the portfolio (Art 77b (a) and (b)) is desirable. </w:t>
      </w:r>
    </w:p>
    <w:p w14:paraId="0014693B" w14:textId="77777777" w:rsidR="00B9692A" w:rsidRPr="00A8292B" w:rsidRDefault="00B9692A" w:rsidP="00152882">
      <w:pPr>
        <w:rPr>
          <w:sz w:val="17"/>
          <w:szCs w:val="17"/>
        </w:rPr>
      </w:pPr>
    </w:p>
    <w:p w14:paraId="2A15B515" w14:textId="249E29FA" w:rsidR="006C0877" w:rsidRPr="00A8292B" w:rsidRDefault="00813DAA" w:rsidP="00152882">
      <w:pPr>
        <w:rPr>
          <w:sz w:val="17"/>
          <w:szCs w:val="17"/>
        </w:rPr>
      </w:pPr>
      <w:r>
        <w:rPr>
          <w:sz w:val="17"/>
          <w:szCs w:val="17"/>
        </w:rPr>
        <w:t>T</w:t>
      </w:r>
      <w:r w:rsidR="00A64389" w:rsidRPr="00A8292B">
        <w:rPr>
          <w:sz w:val="17"/>
          <w:szCs w:val="17"/>
        </w:rPr>
        <w:t xml:space="preserve">he assumption of no diversification between MA portfolios and the remainder of the undertaking’s activities is unnecessary. </w:t>
      </w:r>
      <w:r w:rsidR="009E1335">
        <w:rPr>
          <w:sz w:val="17"/>
          <w:szCs w:val="17"/>
        </w:rPr>
        <w:t xml:space="preserve">Firms with Solvency II internal models can already assume diversification between their MA portfolios and non-MA portfolios. </w:t>
      </w:r>
      <w:r w:rsidR="00A64389" w:rsidRPr="00A8292B">
        <w:rPr>
          <w:sz w:val="17"/>
          <w:szCs w:val="17"/>
        </w:rPr>
        <w:t>From an economic perspective, there will be diversification between these risks</w:t>
      </w:r>
      <w:r w:rsidR="00FF294B">
        <w:rPr>
          <w:sz w:val="17"/>
          <w:szCs w:val="17"/>
        </w:rPr>
        <w:t xml:space="preserve"> for the standard formula firms also,</w:t>
      </w:r>
      <w:r w:rsidR="00A64389" w:rsidRPr="00A8292B">
        <w:rPr>
          <w:sz w:val="17"/>
          <w:szCs w:val="17"/>
        </w:rPr>
        <w:t xml:space="preserve"> which should be reflected in the calculation of the undertaking’s capital requirements. </w:t>
      </w:r>
    </w:p>
    <w:p w14:paraId="19C2B8C7" w14:textId="7680236A" w:rsidR="00CB74DB" w:rsidRPr="00A8292B" w:rsidRDefault="00CB74DB" w:rsidP="00152882">
      <w:pPr>
        <w:rPr>
          <w:sz w:val="17"/>
          <w:szCs w:val="17"/>
        </w:rPr>
      </w:pPr>
    </w:p>
    <w:p w14:paraId="04840633" w14:textId="77777777" w:rsidR="007221DB" w:rsidRDefault="007221DB">
      <w:pPr>
        <w:spacing w:after="200" w:line="276" w:lineRule="auto"/>
        <w:jc w:val="left"/>
        <w:rPr>
          <w:b/>
          <w:sz w:val="17"/>
          <w:szCs w:val="17"/>
        </w:rPr>
      </w:pPr>
      <w:r>
        <w:rPr>
          <w:b/>
          <w:sz w:val="17"/>
          <w:szCs w:val="17"/>
        </w:rPr>
        <w:br w:type="page"/>
      </w:r>
    </w:p>
    <w:p w14:paraId="5E375839" w14:textId="368AC3BD" w:rsidR="00CB74DB" w:rsidRPr="00A8292B" w:rsidRDefault="00CB74DB" w:rsidP="00152882">
      <w:pPr>
        <w:rPr>
          <w:b/>
          <w:sz w:val="17"/>
          <w:szCs w:val="17"/>
        </w:rPr>
      </w:pPr>
      <w:r w:rsidRPr="00A8292B">
        <w:rPr>
          <w:b/>
          <w:sz w:val="17"/>
          <w:szCs w:val="17"/>
        </w:rPr>
        <w:lastRenderedPageBreak/>
        <w:t>Future premiums</w:t>
      </w:r>
    </w:p>
    <w:p w14:paraId="0C407550" w14:textId="5BF6E2AE" w:rsidR="006C0877" w:rsidRPr="00A8292B" w:rsidRDefault="00AC4966" w:rsidP="00152882">
      <w:pPr>
        <w:rPr>
          <w:sz w:val="17"/>
          <w:szCs w:val="17"/>
        </w:rPr>
      </w:pPr>
      <w:r w:rsidRPr="00A8292B">
        <w:rPr>
          <w:sz w:val="17"/>
          <w:szCs w:val="17"/>
        </w:rPr>
        <w:t>The restriction of having no future premiums is extremely onerous and unnecessary. The framework should</w:t>
      </w:r>
      <w:r w:rsidR="005003CF">
        <w:rPr>
          <w:sz w:val="17"/>
          <w:szCs w:val="17"/>
        </w:rPr>
        <w:t xml:space="preserve"> allow</w:t>
      </w:r>
      <w:r w:rsidRPr="00A8292B">
        <w:rPr>
          <w:sz w:val="17"/>
          <w:szCs w:val="17"/>
        </w:rPr>
        <w:t xml:space="preserve"> the inclusion of a small proportion of future premiums where </w:t>
      </w:r>
      <w:r w:rsidR="001120EB" w:rsidRPr="00A8292B">
        <w:rPr>
          <w:sz w:val="17"/>
          <w:szCs w:val="17"/>
        </w:rPr>
        <w:t xml:space="preserve">an insurer can demonstrate that any liability cashflow </w:t>
      </w:r>
      <w:r w:rsidRPr="00A8292B">
        <w:rPr>
          <w:sz w:val="17"/>
          <w:szCs w:val="17"/>
        </w:rPr>
        <w:t xml:space="preserve">arising from future premiums </w:t>
      </w:r>
      <w:r w:rsidR="001120EB" w:rsidRPr="00A8292B">
        <w:rPr>
          <w:sz w:val="17"/>
          <w:szCs w:val="17"/>
        </w:rPr>
        <w:t xml:space="preserve">can </w:t>
      </w:r>
      <w:r w:rsidRPr="00A8292B">
        <w:rPr>
          <w:sz w:val="17"/>
          <w:szCs w:val="17"/>
        </w:rPr>
        <w:t>be matched with eligible assets</w:t>
      </w:r>
      <w:r w:rsidR="00552E45" w:rsidRPr="00A8292B">
        <w:rPr>
          <w:sz w:val="17"/>
          <w:szCs w:val="17"/>
        </w:rPr>
        <w:t xml:space="preserve"> and that these are small relative to the MA portfolio</w:t>
      </w:r>
      <w:r w:rsidRPr="00A8292B">
        <w:rPr>
          <w:sz w:val="17"/>
          <w:szCs w:val="17"/>
        </w:rPr>
        <w:t xml:space="preserve">. Furthermore, the future premiums should not give rise to additional significant risks which deviate from the original MA portfolio. </w:t>
      </w:r>
    </w:p>
    <w:p w14:paraId="1FE13DC1" w14:textId="77777777" w:rsidR="00AC4966" w:rsidRPr="00A8292B" w:rsidRDefault="00AC4966" w:rsidP="00152882">
      <w:pPr>
        <w:rPr>
          <w:sz w:val="17"/>
          <w:szCs w:val="17"/>
        </w:rPr>
      </w:pPr>
    </w:p>
    <w:p w14:paraId="1F0AD7BA" w14:textId="77777777" w:rsidR="00AC4966" w:rsidRPr="00A8292B" w:rsidRDefault="00AC4966" w:rsidP="00152882">
      <w:pPr>
        <w:rPr>
          <w:b/>
          <w:sz w:val="17"/>
          <w:szCs w:val="17"/>
        </w:rPr>
      </w:pPr>
      <w:r w:rsidRPr="00A8292B">
        <w:rPr>
          <w:b/>
          <w:sz w:val="17"/>
          <w:szCs w:val="17"/>
        </w:rPr>
        <w:t>Surrender options</w:t>
      </w:r>
    </w:p>
    <w:p w14:paraId="7E02C066" w14:textId="5A65291D" w:rsidR="001120EB" w:rsidRPr="00A8292B" w:rsidRDefault="00AC4966" w:rsidP="00152882">
      <w:pPr>
        <w:rPr>
          <w:sz w:val="17"/>
          <w:szCs w:val="17"/>
        </w:rPr>
      </w:pPr>
      <w:r w:rsidRPr="00A8292B">
        <w:rPr>
          <w:sz w:val="17"/>
          <w:szCs w:val="17"/>
        </w:rPr>
        <w:t xml:space="preserve">The current MA framework only permits contracts which have surrender options where the risk of loss arising from surrender option is carried by the policyholder. However, where it can be demonstrated that the surrender risk </w:t>
      </w:r>
      <w:r w:rsidR="00BC56F8" w:rsidRPr="00A8292B">
        <w:rPr>
          <w:sz w:val="17"/>
          <w:szCs w:val="17"/>
        </w:rPr>
        <w:t xml:space="preserve">arising from </w:t>
      </w:r>
      <w:r w:rsidR="004C63B8" w:rsidRPr="00A8292B">
        <w:rPr>
          <w:sz w:val="17"/>
          <w:szCs w:val="17"/>
        </w:rPr>
        <w:t xml:space="preserve">certain </w:t>
      </w:r>
      <w:r w:rsidR="00BC56F8" w:rsidRPr="00A8292B">
        <w:rPr>
          <w:sz w:val="17"/>
          <w:szCs w:val="17"/>
        </w:rPr>
        <w:t xml:space="preserve">contracts </w:t>
      </w:r>
      <w:r w:rsidRPr="00A8292B">
        <w:rPr>
          <w:sz w:val="17"/>
          <w:szCs w:val="17"/>
        </w:rPr>
        <w:t xml:space="preserve">is </w:t>
      </w:r>
      <w:r w:rsidR="002671D5">
        <w:rPr>
          <w:sz w:val="17"/>
          <w:szCs w:val="17"/>
        </w:rPr>
        <w:t>immaterial</w:t>
      </w:r>
      <w:r w:rsidRPr="00A8292B">
        <w:rPr>
          <w:sz w:val="17"/>
          <w:szCs w:val="17"/>
        </w:rPr>
        <w:t xml:space="preserve"> </w:t>
      </w:r>
      <w:r w:rsidR="0025378F" w:rsidRPr="00A8292B">
        <w:rPr>
          <w:sz w:val="17"/>
          <w:szCs w:val="17"/>
        </w:rPr>
        <w:t xml:space="preserve">and the insurer </w:t>
      </w:r>
      <w:r w:rsidR="00BC56F8" w:rsidRPr="00A8292B">
        <w:rPr>
          <w:sz w:val="17"/>
          <w:szCs w:val="17"/>
        </w:rPr>
        <w:t xml:space="preserve">has sufficient liquidity to avoid the need for forced assets sales arising from the surrender event, then these </w:t>
      </w:r>
      <w:r w:rsidR="004C63B8" w:rsidRPr="00A8292B">
        <w:rPr>
          <w:sz w:val="17"/>
          <w:szCs w:val="17"/>
        </w:rPr>
        <w:t>contracts should be eligible for inclusion in the MA portfolio.</w:t>
      </w:r>
    </w:p>
    <w:p w14:paraId="4A9C1459" w14:textId="77777777" w:rsidR="001120EB" w:rsidRPr="00A8292B" w:rsidRDefault="001120EB" w:rsidP="00152882">
      <w:pPr>
        <w:rPr>
          <w:sz w:val="17"/>
          <w:szCs w:val="17"/>
        </w:rPr>
      </w:pPr>
    </w:p>
    <w:p w14:paraId="60C56795" w14:textId="77777777" w:rsidR="00CB74DB" w:rsidRPr="00A8292B" w:rsidRDefault="00A665D7" w:rsidP="00152882">
      <w:pPr>
        <w:rPr>
          <w:b/>
          <w:sz w:val="17"/>
          <w:szCs w:val="17"/>
        </w:rPr>
      </w:pPr>
      <w:r w:rsidRPr="00A8292B">
        <w:rPr>
          <w:b/>
          <w:sz w:val="17"/>
          <w:szCs w:val="17"/>
        </w:rPr>
        <w:t>N</w:t>
      </w:r>
      <w:r w:rsidR="00C55FD4" w:rsidRPr="00A8292B">
        <w:rPr>
          <w:b/>
          <w:sz w:val="17"/>
          <w:szCs w:val="17"/>
        </w:rPr>
        <w:t xml:space="preserve">ature of the </w:t>
      </w:r>
      <w:r w:rsidRPr="00A8292B">
        <w:rPr>
          <w:b/>
          <w:sz w:val="17"/>
          <w:szCs w:val="17"/>
        </w:rPr>
        <w:t xml:space="preserve">asset </w:t>
      </w:r>
      <w:r w:rsidR="00C55FD4" w:rsidRPr="00A8292B">
        <w:rPr>
          <w:b/>
          <w:sz w:val="17"/>
          <w:szCs w:val="17"/>
        </w:rPr>
        <w:t>cashflows</w:t>
      </w:r>
    </w:p>
    <w:p w14:paraId="1023A363" w14:textId="3E9242E0" w:rsidR="004C096A" w:rsidRPr="00A8292B" w:rsidRDefault="00A665D7" w:rsidP="00152882">
      <w:pPr>
        <w:rPr>
          <w:sz w:val="17"/>
          <w:szCs w:val="17"/>
        </w:rPr>
      </w:pPr>
      <w:r w:rsidRPr="00A8292B">
        <w:rPr>
          <w:sz w:val="17"/>
          <w:szCs w:val="17"/>
        </w:rPr>
        <w:t xml:space="preserve">The existing asset eligibility criteria precludes the use of </w:t>
      </w:r>
      <w:r w:rsidR="004C096A" w:rsidRPr="00A8292B">
        <w:rPr>
          <w:sz w:val="17"/>
          <w:szCs w:val="17"/>
        </w:rPr>
        <w:t>assets which h</w:t>
      </w:r>
      <w:r w:rsidR="00FF294B">
        <w:rPr>
          <w:sz w:val="17"/>
          <w:szCs w:val="17"/>
        </w:rPr>
        <w:t>ave</w:t>
      </w:r>
      <w:r w:rsidR="004C096A" w:rsidRPr="00A8292B">
        <w:rPr>
          <w:sz w:val="17"/>
          <w:szCs w:val="17"/>
        </w:rPr>
        <w:t xml:space="preserve"> prepayment risk embedded into them. However, there are many assets, such as mortgage loans, which have prepayment risks but are well suited to backing long-term liabilities. </w:t>
      </w:r>
    </w:p>
    <w:p w14:paraId="423FC1CA" w14:textId="77777777" w:rsidR="004C096A" w:rsidRPr="00A8292B" w:rsidRDefault="004C096A" w:rsidP="00152882">
      <w:pPr>
        <w:rPr>
          <w:sz w:val="17"/>
          <w:szCs w:val="17"/>
        </w:rPr>
      </w:pPr>
    </w:p>
    <w:p w14:paraId="22FA3E66" w14:textId="77777777" w:rsidR="00C55FD4" w:rsidRPr="00A8292B" w:rsidRDefault="004C096A" w:rsidP="00152882">
      <w:pPr>
        <w:rPr>
          <w:sz w:val="17"/>
          <w:szCs w:val="17"/>
        </w:rPr>
      </w:pPr>
      <w:r w:rsidRPr="00A8292B">
        <w:rPr>
          <w:sz w:val="17"/>
          <w:szCs w:val="17"/>
        </w:rPr>
        <w:t>The prepayment risk is typically not material in the context of the wider portfolio</w:t>
      </w:r>
      <w:r w:rsidR="001D416C" w:rsidRPr="00A8292B">
        <w:rPr>
          <w:sz w:val="17"/>
          <w:szCs w:val="17"/>
        </w:rPr>
        <w:t xml:space="preserve"> and these assets should be eligible for inclusion in MA portfolios where the </w:t>
      </w:r>
      <w:r w:rsidRPr="00A8292B">
        <w:rPr>
          <w:sz w:val="17"/>
          <w:szCs w:val="17"/>
        </w:rPr>
        <w:t xml:space="preserve">insurer can reliably demonstrate </w:t>
      </w:r>
      <w:r w:rsidR="001D416C" w:rsidRPr="00A8292B">
        <w:rPr>
          <w:sz w:val="17"/>
          <w:szCs w:val="17"/>
        </w:rPr>
        <w:t>its ability to cover any deficit arising from the prepayment risk.</w:t>
      </w:r>
    </w:p>
    <w:p w14:paraId="753884A0" w14:textId="77777777" w:rsidR="001D416C" w:rsidRPr="00A8292B" w:rsidRDefault="001D416C" w:rsidP="00152882">
      <w:pPr>
        <w:rPr>
          <w:sz w:val="17"/>
          <w:szCs w:val="17"/>
        </w:rPr>
      </w:pPr>
    </w:p>
    <w:p w14:paraId="1444E976" w14:textId="77777777" w:rsidR="00CB74DB" w:rsidRPr="00A8292B" w:rsidRDefault="00CB74DB" w:rsidP="00152882">
      <w:pPr>
        <w:rPr>
          <w:b/>
          <w:sz w:val="17"/>
          <w:szCs w:val="17"/>
        </w:rPr>
      </w:pPr>
      <w:r w:rsidRPr="00A8292B">
        <w:rPr>
          <w:b/>
          <w:sz w:val="17"/>
          <w:szCs w:val="17"/>
        </w:rPr>
        <w:t>Unbundling</w:t>
      </w:r>
    </w:p>
    <w:p w14:paraId="32BD06BF" w14:textId="77777777" w:rsidR="006C0877" w:rsidRPr="00A8292B" w:rsidRDefault="001D416C" w:rsidP="00152882">
      <w:pPr>
        <w:rPr>
          <w:sz w:val="17"/>
          <w:szCs w:val="17"/>
        </w:rPr>
      </w:pPr>
      <w:r w:rsidRPr="00A8292B">
        <w:rPr>
          <w:sz w:val="17"/>
          <w:szCs w:val="17"/>
        </w:rPr>
        <w:t xml:space="preserve">There is no strong prudential reason </w:t>
      </w:r>
      <w:r w:rsidR="00EA00B9" w:rsidRPr="00A8292B">
        <w:rPr>
          <w:sz w:val="17"/>
          <w:szCs w:val="17"/>
        </w:rPr>
        <w:t xml:space="preserve">to restrict the unbundling of </w:t>
      </w:r>
      <w:r w:rsidRPr="00A8292B">
        <w:rPr>
          <w:sz w:val="17"/>
          <w:szCs w:val="17"/>
        </w:rPr>
        <w:t xml:space="preserve">contracts within </w:t>
      </w:r>
      <w:r w:rsidR="00EA00B9" w:rsidRPr="00A8292B">
        <w:rPr>
          <w:sz w:val="17"/>
          <w:szCs w:val="17"/>
        </w:rPr>
        <w:t xml:space="preserve">an MA portfolio. </w:t>
      </w:r>
      <w:r w:rsidR="00FF1C3C" w:rsidRPr="00A8292B">
        <w:rPr>
          <w:sz w:val="17"/>
          <w:szCs w:val="17"/>
        </w:rPr>
        <w:t>Insurance Europe proposes to delete this unnecessary restriction.</w:t>
      </w:r>
    </w:p>
    <w:p w14:paraId="18B88DAE" w14:textId="77777777" w:rsidR="00F26263" w:rsidRPr="00A8292B" w:rsidRDefault="00F26263" w:rsidP="00152882">
      <w:pPr>
        <w:rPr>
          <w:sz w:val="17"/>
          <w:szCs w:val="17"/>
        </w:rPr>
      </w:pPr>
    </w:p>
    <w:p w14:paraId="7B1FF9D7" w14:textId="77777777" w:rsidR="00F26263" w:rsidRPr="00A8292B" w:rsidRDefault="00F26263" w:rsidP="00152882">
      <w:pPr>
        <w:rPr>
          <w:b/>
          <w:sz w:val="17"/>
          <w:szCs w:val="17"/>
        </w:rPr>
      </w:pPr>
      <w:r w:rsidRPr="00A8292B">
        <w:rPr>
          <w:b/>
          <w:sz w:val="17"/>
          <w:szCs w:val="17"/>
        </w:rPr>
        <w:t>Disclosure</w:t>
      </w:r>
    </w:p>
    <w:p w14:paraId="14C09EB3" w14:textId="1DBC28B3" w:rsidR="00F26263" w:rsidRDefault="00F26263" w:rsidP="00152882">
      <w:pPr>
        <w:rPr>
          <w:sz w:val="17"/>
          <w:szCs w:val="17"/>
        </w:rPr>
      </w:pPr>
      <w:r w:rsidRPr="00A8292B">
        <w:rPr>
          <w:sz w:val="17"/>
          <w:szCs w:val="17"/>
        </w:rPr>
        <w:t xml:space="preserve">The Matching Adjustment is a </w:t>
      </w:r>
      <w:r w:rsidR="001534E1" w:rsidRPr="00A8292B">
        <w:rPr>
          <w:sz w:val="17"/>
          <w:szCs w:val="17"/>
        </w:rPr>
        <w:t>fundamental part of the Solvency II framework and should be respected as such. While the financial position of an undertaking without the MA may be of interest to NSAs, the requirement to publicly disclose the impact of the MA</w:t>
      </w:r>
      <w:r w:rsidRPr="00A8292B">
        <w:rPr>
          <w:sz w:val="17"/>
          <w:szCs w:val="17"/>
        </w:rPr>
        <w:t xml:space="preserve"> </w:t>
      </w:r>
      <w:r w:rsidR="001534E1" w:rsidRPr="00A8292B">
        <w:rPr>
          <w:sz w:val="17"/>
          <w:szCs w:val="17"/>
        </w:rPr>
        <w:t xml:space="preserve">is unnecessary and undermines the validity of the measures. </w:t>
      </w:r>
    </w:p>
    <w:p w14:paraId="56721E89" w14:textId="63DA5796" w:rsidR="008B29F3" w:rsidRDefault="008B29F3" w:rsidP="00152882">
      <w:pPr>
        <w:rPr>
          <w:sz w:val="17"/>
          <w:szCs w:val="17"/>
        </w:rPr>
      </w:pPr>
    </w:p>
    <w:p w14:paraId="4A5EF5ED" w14:textId="6952573A" w:rsidR="008B29F3" w:rsidRPr="00A8292B" w:rsidRDefault="008B29F3" w:rsidP="00152882">
      <w:pPr>
        <w:rPr>
          <w:sz w:val="17"/>
          <w:szCs w:val="17"/>
        </w:rPr>
      </w:pPr>
      <w:r>
        <w:rPr>
          <w:sz w:val="17"/>
          <w:szCs w:val="17"/>
        </w:rPr>
        <w:t xml:space="preserve">Therefore, the requirement to publicly disclose a scenario in which the MA is set to zero should be removed. The MA is a permanent LTG measure under the SII framework. Requiring companies to publicly disclose the impact of a scenario in which the MA would not exist might convey the unintended message to the markets that the MA might be a potentially movable or ancillary element of the framework that might at some point </w:t>
      </w:r>
      <w:r w:rsidR="00FF294B">
        <w:rPr>
          <w:sz w:val="17"/>
          <w:szCs w:val="17"/>
        </w:rPr>
        <w:t>cease to exist</w:t>
      </w:r>
      <w:r>
        <w:rPr>
          <w:sz w:val="17"/>
          <w:szCs w:val="17"/>
        </w:rPr>
        <w:t xml:space="preserve">, which is not </w:t>
      </w:r>
      <w:r w:rsidR="00421951">
        <w:rPr>
          <w:sz w:val="17"/>
          <w:szCs w:val="17"/>
        </w:rPr>
        <w:t>the case</w:t>
      </w:r>
      <w:r>
        <w:rPr>
          <w:sz w:val="17"/>
          <w:szCs w:val="17"/>
        </w:rPr>
        <w:t>.</w:t>
      </w:r>
    </w:p>
    <w:p w14:paraId="730BB481" w14:textId="77777777" w:rsidR="008B29F3" w:rsidRDefault="008B29F3" w:rsidP="00152882">
      <w:pPr>
        <w:rPr>
          <w:rStyle w:val="Heading1CEAChar"/>
          <w:rFonts w:ascii="Verdana" w:hAnsi="Verdana"/>
          <w:color w:val="002957"/>
          <w:sz w:val="17"/>
          <w:szCs w:val="17"/>
        </w:rPr>
      </w:pPr>
    </w:p>
    <w:p w14:paraId="3A5E4A39" w14:textId="10AA5F03" w:rsidR="00152882" w:rsidRPr="007221DB" w:rsidRDefault="00EC476D" w:rsidP="00152882">
      <w:pPr>
        <w:rPr>
          <w:rStyle w:val="Heading1CEAChar"/>
          <w:rFonts w:ascii="Verdana" w:hAnsi="Verdana"/>
          <w:color w:val="002957"/>
          <w:sz w:val="18"/>
          <w:szCs w:val="18"/>
        </w:rPr>
      </w:pPr>
      <w:r w:rsidRPr="007221DB">
        <w:rPr>
          <w:rStyle w:val="Heading1CEAChar"/>
          <w:rFonts w:ascii="Verdana" w:hAnsi="Verdana"/>
          <w:color w:val="002957"/>
          <w:sz w:val="18"/>
          <w:szCs w:val="18"/>
        </w:rPr>
        <w:t>Expected impact</w:t>
      </w:r>
    </w:p>
    <w:p w14:paraId="4E523E9A" w14:textId="77777777" w:rsidR="00152882" w:rsidRPr="00A8292B" w:rsidRDefault="00EC476D" w:rsidP="00EC476D">
      <w:pPr>
        <w:rPr>
          <w:sz w:val="17"/>
          <w:szCs w:val="17"/>
        </w:rPr>
      </w:pPr>
      <w:r w:rsidRPr="00A8292B">
        <w:rPr>
          <w:sz w:val="17"/>
          <w:szCs w:val="17"/>
        </w:rPr>
        <w:t xml:space="preserve">Based on preliminary analysis, Insurance Europe expects the above changes would expand the use of the MA to at least two other jurisdictions (the Netherlands and Belgium) and would encourage further interest in the development of MA-eligible products in many other jurisdictions. </w:t>
      </w:r>
    </w:p>
    <w:sectPr w:rsidR="00152882" w:rsidRPr="00A8292B" w:rsidSect="00B9692A">
      <w:type w:val="continuous"/>
      <w:pgSz w:w="11907" w:h="16839" w:code="9"/>
      <w:pgMar w:top="2336" w:right="902" w:bottom="1077" w:left="1474" w:header="709" w:footer="2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28FB6" w14:textId="77777777" w:rsidR="006B1C59" w:rsidRDefault="006B1C59">
      <w:pPr>
        <w:spacing w:line="240" w:lineRule="auto"/>
      </w:pPr>
      <w:r>
        <w:separator/>
      </w:r>
    </w:p>
  </w:endnote>
  <w:endnote w:type="continuationSeparator" w:id="0">
    <w:p w14:paraId="29604A9A" w14:textId="77777777" w:rsidR="006B1C59" w:rsidRDefault="006B1C59">
      <w:pPr>
        <w:spacing w:line="240" w:lineRule="auto"/>
      </w:pPr>
      <w:r>
        <w:continuationSeparator/>
      </w:r>
    </w:p>
  </w:endnote>
  <w:endnote w:type="continuationNotice" w:id="1">
    <w:p w14:paraId="14D60CE0" w14:textId="77777777" w:rsidR="006B1C59" w:rsidRDefault="006B1C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82DAB" w14:textId="77777777" w:rsidR="00356466" w:rsidRDefault="00356466" w:rsidP="00B9692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6ACBD15" w14:textId="77777777" w:rsidR="00356466" w:rsidRDefault="00356466" w:rsidP="00B9692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F05F3" w14:textId="77777777" w:rsidR="00356466" w:rsidRPr="00723412" w:rsidRDefault="00356466" w:rsidP="00B9692A">
    <w:pPr>
      <w:pStyle w:val="Pta"/>
      <w:framePr w:wrap="around" w:vAnchor="page" w:hAnchor="margin" w:xAlign="right" w:y="16161"/>
      <w:rPr>
        <w:rStyle w:val="slostrany"/>
        <w:color w:val="002957"/>
      </w:rPr>
    </w:pPr>
    <w:r>
      <w:rPr>
        <w:rStyle w:val="slostrany"/>
        <w:color w:val="002957"/>
        <w:szCs w:val="17"/>
      </w:rPr>
      <w:fldChar w:fldCharType="begin"/>
    </w:r>
    <w:r>
      <w:rPr>
        <w:rStyle w:val="slostrany"/>
        <w:color w:val="002957"/>
        <w:szCs w:val="17"/>
      </w:rPr>
      <w:instrText xml:space="preserve"> PAGE   \* MERGEFORMAT </w:instrText>
    </w:r>
    <w:r>
      <w:rPr>
        <w:rStyle w:val="slostrany"/>
        <w:color w:val="002957"/>
        <w:szCs w:val="17"/>
      </w:rPr>
      <w:fldChar w:fldCharType="separate"/>
    </w:r>
    <w:r w:rsidR="00170AC9">
      <w:rPr>
        <w:rStyle w:val="slostrany"/>
        <w:noProof/>
        <w:color w:val="002957"/>
        <w:szCs w:val="17"/>
      </w:rPr>
      <w:t>2</w:t>
    </w:r>
    <w:r>
      <w:rPr>
        <w:rStyle w:val="slostrany"/>
        <w:color w:val="002957"/>
        <w:szCs w:val="17"/>
      </w:rPr>
      <w:fldChar w:fldCharType="end"/>
    </w:r>
  </w:p>
  <w:p w14:paraId="42140F32" w14:textId="77777777" w:rsidR="00356466" w:rsidRPr="0085650F" w:rsidRDefault="00356466" w:rsidP="00B9692A">
    <w:pPr>
      <w:tabs>
        <w:tab w:val="right" w:pos="10260"/>
      </w:tabs>
      <w:autoSpaceDE w:val="0"/>
      <w:autoSpaceDN w:val="0"/>
      <w:adjustRightInd w:val="0"/>
      <w:ind w:right="360"/>
      <w:textAlignment w:val="center"/>
      <w:rPr>
        <w:rFonts w:ascii="Arial" w:hAnsi="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A05DF" w14:textId="77777777" w:rsidR="00356466" w:rsidRPr="006A3720" w:rsidRDefault="00356466" w:rsidP="00B9692A">
    <w:pPr>
      <w:framePr w:w="3958" w:h="1015" w:hRule="exact" w:hSpace="181" w:wrap="around" w:vAnchor="page" w:hAnchor="page" w:x="7259" w:y="15423" w:anchorLock="1"/>
      <w:rPr>
        <w:rFonts w:cs="Tahoma"/>
        <w:color w:val="002957"/>
        <w:sz w:val="14"/>
        <w:szCs w:val="14"/>
      </w:rPr>
    </w:pPr>
    <w:r w:rsidRPr="006A3720">
      <w:rPr>
        <w:rFonts w:cs="Tahoma"/>
        <w:color w:val="002957"/>
        <w:sz w:val="14"/>
        <w:szCs w:val="14"/>
      </w:rPr>
      <w:t xml:space="preserve">© </w:t>
    </w:r>
    <w:r w:rsidRPr="006A3720">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p w14:paraId="6B7024D6" w14:textId="77777777" w:rsidR="00356466" w:rsidRDefault="00356466" w:rsidP="00BD3110">
    <w:pPr>
      <w:pStyle w:val="CEAFooterauthorinfo"/>
      <w:ind w:left="567"/>
      <w:jc w:val="left"/>
      <w:rPr>
        <w:b w:val="0"/>
        <w:color w:val="002957"/>
        <w:sz w:val="14"/>
        <w:szCs w:val="14"/>
        <w:lang w:val="pt-PT"/>
      </w:rPr>
    </w:pPr>
    <w:r w:rsidRPr="00A4463C">
      <w:rPr>
        <w:b w:val="0"/>
        <w:color w:val="002957"/>
        <w:sz w:val="14"/>
        <w:szCs w:val="14"/>
        <w:lang w:val="fr-BE"/>
      </w:rPr>
      <w:t>Insurance Europe aisbl</w:t>
    </w:r>
  </w:p>
  <w:p w14:paraId="48420400" w14:textId="77777777" w:rsidR="00356466" w:rsidRPr="00A4463C" w:rsidRDefault="00356466" w:rsidP="00BD3110">
    <w:pPr>
      <w:pStyle w:val="CEAFooterauthorinfo"/>
      <w:ind w:left="567"/>
      <w:jc w:val="left"/>
      <w:rPr>
        <w:b w:val="0"/>
        <w:color w:val="002957"/>
        <w:sz w:val="14"/>
        <w:szCs w:val="14"/>
        <w:lang w:val="fr-BE"/>
      </w:rPr>
    </w:pPr>
    <w:r w:rsidRPr="00A4463C">
      <w:rPr>
        <w:b w:val="0"/>
        <w:color w:val="002957"/>
        <w:sz w:val="14"/>
        <w:szCs w:val="14"/>
        <w:lang w:val="fr-BE"/>
      </w:rPr>
      <w:t xml:space="preserve">Rue Montoyer 51, B-1000 Brussels </w:t>
    </w:r>
  </w:p>
  <w:p w14:paraId="4EC26127" w14:textId="6D30FF72" w:rsidR="00356466" w:rsidRDefault="00356466" w:rsidP="00B9692A">
    <w:pPr>
      <w:pStyle w:val="CEAFooterauthorinfo"/>
      <w:ind w:left="567"/>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 • E-mail : </w:t>
    </w:r>
    <w:hyperlink r:id="rId1" w:history="1">
      <w:r w:rsidR="009A7FB6" w:rsidRPr="006127D5">
        <w:rPr>
          <w:rStyle w:val="Hypertextovprepojenie"/>
          <w:b w:val="0"/>
          <w:sz w:val="14"/>
          <w:szCs w:val="14"/>
          <w:lang w:val="pt-PT"/>
        </w:rPr>
        <w:t>info@insuranceeurope.eu</w:t>
      </w:r>
    </w:hyperlink>
  </w:p>
  <w:p w14:paraId="06FD621C" w14:textId="41B3A600" w:rsidR="009A7FB6" w:rsidRPr="0085650F" w:rsidRDefault="00356466" w:rsidP="00A4463C">
    <w:pPr>
      <w:pStyle w:val="CEAFooterauthorinfo"/>
      <w:jc w:val="left"/>
      <w:rPr>
        <w:b w:val="0"/>
        <w:color w:val="82C55B"/>
        <w:sz w:val="14"/>
        <w:szCs w:val="14"/>
        <w:lang w:val="pt-PT"/>
      </w:rPr>
    </w:pPr>
    <w:r>
      <w:rPr>
        <w:b w:val="0"/>
        <w:color w:val="82C55B"/>
        <w:sz w:val="14"/>
        <w:szCs w:val="14"/>
        <w:lang w:val="pt-PT"/>
      </w:rPr>
      <w:t xml:space="preserve">           </w:t>
    </w:r>
    <w:hyperlink r:id="rId2" w:history="1">
      <w:r w:rsidR="009A7FB6" w:rsidRPr="006127D5">
        <w:rPr>
          <w:rStyle w:val="Hypertextovprepojenie"/>
          <w:b w:val="0"/>
          <w:sz w:val="14"/>
          <w:szCs w:val="14"/>
          <w:lang w:val="pt-PT"/>
        </w:rPr>
        <w:t>www.insuranceeurope.eu</w:t>
      </w:r>
    </w:hyperlink>
  </w:p>
  <w:p w14:paraId="6ED52D84" w14:textId="77777777" w:rsidR="00356466" w:rsidRPr="00A4463C" w:rsidRDefault="00356466">
    <w:pPr>
      <w:pStyle w:val="Pta"/>
      <w:rPr>
        <w:color w:val="002957"/>
        <w:sz w:val="14"/>
        <w:szCs w:val="14"/>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DECF6" w14:textId="77777777" w:rsidR="006B1C59" w:rsidRDefault="006B1C59">
      <w:pPr>
        <w:spacing w:line="240" w:lineRule="auto"/>
      </w:pPr>
      <w:r>
        <w:separator/>
      </w:r>
    </w:p>
  </w:footnote>
  <w:footnote w:type="continuationSeparator" w:id="0">
    <w:p w14:paraId="6D6F31DE" w14:textId="77777777" w:rsidR="006B1C59" w:rsidRDefault="006B1C59">
      <w:pPr>
        <w:spacing w:line="240" w:lineRule="auto"/>
      </w:pPr>
      <w:r>
        <w:continuationSeparator/>
      </w:r>
    </w:p>
  </w:footnote>
  <w:footnote w:type="continuationNotice" w:id="1">
    <w:p w14:paraId="6B9A296C" w14:textId="77777777" w:rsidR="006B1C59" w:rsidRDefault="006B1C59">
      <w:pPr>
        <w:spacing w:line="240" w:lineRule="auto"/>
      </w:pPr>
    </w:p>
  </w:footnote>
  <w:footnote w:id="2">
    <w:p w14:paraId="2311F52B" w14:textId="77777777" w:rsidR="00146C20" w:rsidRDefault="00146C20">
      <w:pPr>
        <w:pStyle w:val="Textpoznmkypodiarou"/>
      </w:pPr>
      <w:r>
        <w:rPr>
          <w:rStyle w:val="Odkaznapoznmkupodiarou"/>
        </w:rPr>
        <w:footnoteRef/>
      </w:r>
      <w:r>
        <w:t xml:space="preserve"> </w:t>
      </w:r>
      <w:hyperlink r:id="rId1" w:anchor="page=73" w:history="1">
        <w:r w:rsidR="00E1718F">
          <w:rPr>
            <w:rStyle w:val="Hypertextovprepojenie"/>
            <w:sz w:val="16"/>
          </w:rPr>
          <w:t>EIOPA LTG Report 2018, page 73</w:t>
        </w:r>
      </w:hyperlink>
    </w:p>
  </w:footnote>
  <w:footnote w:id="3">
    <w:p w14:paraId="02F743B3" w14:textId="77777777" w:rsidR="00E1718F" w:rsidRDefault="00E1718F">
      <w:pPr>
        <w:pStyle w:val="Textpoznmkypodiarou"/>
      </w:pPr>
      <w:r>
        <w:rPr>
          <w:rStyle w:val="Odkaznapoznmkupodiarou"/>
        </w:rPr>
        <w:footnoteRef/>
      </w:r>
      <w:r>
        <w:t xml:space="preserve"> </w:t>
      </w:r>
      <w:hyperlink r:id="rId2" w:anchor="page=114" w:history="1">
        <w:r w:rsidRPr="00E1718F">
          <w:rPr>
            <w:rStyle w:val="Hypertextovprepojenie"/>
            <w:sz w:val="16"/>
          </w:rPr>
          <w:t>EIOPA LTG Report 2018, page 114</w:t>
        </w:r>
      </w:hyperlink>
    </w:p>
  </w:footnote>
  <w:footnote w:id="4">
    <w:p w14:paraId="62ECCBAB" w14:textId="77777777" w:rsidR="00070392" w:rsidRDefault="00070392">
      <w:pPr>
        <w:pStyle w:val="Textpoznmkypodiarou"/>
      </w:pPr>
      <w:r w:rsidRPr="00070392">
        <w:rPr>
          <w:rStyle w:val="Odkaznapoznmkupodiarou"/>
          <w:sz w:val="16"/>
        </w:rPr>
        <w:footnoteRef/>
      </w:r>
      <w:r w:rsidRPr="00070392">
        <w:rPr>
          <w:sz w:val="16"/>
        </w:rPr>
        <w:t xml:space="preserve"> EIOPA LTG Report</w:t>
      </w:r>
    </w:p>
  </w:footnote>
  <w:footnote w:id="5">
    <w:p w14:paraId="314E4E51" w14:textId="77777777" w:rsidR="00052EDD" w:rsidRDefault="00170AC9">
      <w:pPr>
        <w:pStyle w:val="Textpoznmkypodiarou"/>
      </w:pPr>
      <w:hyperlink r:id="rId3" w:anchor="page=30" w:history="1">
        <w:r w:rsidR="00052EDD" w:rsidRPr="00052EDD">
          <w:rPr>
            <w:rStyle w:val="Hypertextovprepojenie"/>
            <w:sz w:val="16"/>
            <w:vertAlign w:val="superscript"/>
          </w:rPr>
          <w:footnoteRef/>
        </w:r>
        <w:r w:rsidR="00052EDD" w:rsidRPr="00052EDD">
          <w:rPr>
            <w:rStyle w:val="Hypertextovprepojenie"/>
            <w:sz w:val="16"/>
          </w:rPr>
          <w:t xml:space="preserve"> EIOPA, Solvency II tools with macroprudential impact</w:t>
        </w:r>
        <w:r w:rsidR="00052EDD" w:rsidRPr="00052EDD">
          <w:rPr>
            <w:rStyle w:val="Hypertextovprepojenie"/>
          </w:rPr>
          <w:t xml:space="preserve">, </w:t>
        </w:r>
        <w:r w:rsidR="00052EDD" w:rsidRPr="00052EDD">
          <w:rPr>
            <w:rStyle w:val="Hypertextovprepojenie"/>
            <w:sz w:val="16"/>
          </w:rPr>
          <w:t>page 30</w:t>
        </w:r>
      </w:hyperlink>
      <w:r w:rsidR="00052EDD">
        <w:tab/>
      </w:r>
    </w:p>
  </w:footnote>
  <w:footnote w:id="6">
    <w:p w14:paraId="241F5930" w14:textId="77777777" w:rsidR="006B06DD" w:rsidRPr="006B06DD" w:rsidRDefault="006B06DD">
      <w:pPr>
        <w:pStyle w:val="Textpoznmkypodiarou"/>
        <w:rPr>
          <w:sz w:val="16"/>
        </w:rPr>
      </w:pPr>
      <w:r>
        <w:rPr>
          <w:rStyle w:val="Odkaznapoznmkupodiarou"/>
        </w:rPr>
        <w:footnoteRef/>
      </w:r>
      <w:r>
        <w:t xml:space="preserve"> </w:t>
      </w:r>
      <w:r w:rsidRPr="006B06DD">
        <w:rPr>
          <w:sz w:val="16"/>
        </w:rPr>
        <w:t xml:space="preserve">Bank of England, </w:t>
      </w:r>
      <w:hyperlink r:id="rId4" w:anchor="page=47" w:history="1">
        <w:r w:rsidRPr="006B06DD">
          <w:rPr>
            <w:rStyle w:val="Hypertextovprepojenie"/>
            <w:sz w:val="16"/>
          </w:rPr>
          <w:t>Financial Stability Report, November 2016, page 47</w:t>
        </w:r>
      </w:hyperlink>
    </w:p>
  </w:footnote>
  <w:footnote w:id="7">
    <w:p w14:paraId="61AD3F28" w14:textId="77777777" w:rsidR="00356466" w:rsidRDefault="00356466">
      <w:pPr>
        <w:pStyle w:val="Textpoznmkypodiarou"/>
      </w:pPr>
      <w:r w:rsidRPr="00B175DA">
        <w:rPr>
          <w:rStyle w:val="Odkaznapoznmkupodiarou"/>
          <w:sz w:val="16"/>
        </w:rPr>
        <w:footnoteRef/>
      </w:r>
      <w:r w:rsidRPr="00B175DA">
        <w:rPr>
          <w:sz w:val="16"/>
        </w:rPr>
        <w:t xml:space="preserve"> See Article 77b </w:t>
      </w:r>
      <w:r>
        <w:rPr>
          <w:sz w:val="16"/>
        </w:rPr>
        <w:t xml:space="preserve">of the Solvency II Directive </w:t>
      </w:r>
      <w:r w:rsidRPr="00B175DA">
        <w:rPr>
          <w:sz w:val="16"/>
        </w:rPr>
        <w:t xml:space="preserve">for full details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D5CA5" w14:textId="77777777" w:rsidR="00AB1390" w:rsidRDefault="00AB139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577E1" w14:textId="77777777" w:rsidR="00D542C7" w:rsidRPr="00AB1390" w:rsidRDefault="00D542C7" w:rsidP="00B9692A">
    <w:pPr>
      <w:pStyle w:val="Noparagraphstyle"/>
      <w:jc w:val="right"/>
      <w:rPr>
        <w:rFonts w:ascii="Verdana" w:hAnsi="Verdana"/>
        <w:color w:val="FF0000"/>
        <w:sz w:val="17"/>
        <w:szCs w:val="17"/>
      </w:rPr>
    </w:pPr>
    <w:r w:rsidRPr="00AB1390">
      <w:rPr>
        <w:rFonts w:ascii="Verdana" w:hAnsi="Verdana"/>
        <w:color w:val="FF0000"/>
        <w:sz w:val="17"/>
        <w:szCs w:val="17"/>
      </w:rPr>
      <w:t>DRAFT</w:t>
    </w:r>
  </w:p>
  <w:p w14:paraId="59EAD40D" w14:textId="18E3569C" w:rsidR="00D542C7" w:rsidRPr="00AB1390" w:rsidRDefault="00D542C7" w:rsidP="00AB1390">
    <w:pPr>
      <w:pStyle w:val="Hlavika"/>
      <w:jc w:val="right"/>
      <w:rPr>
        <w:color w:val="FF0000"/>
        <w:sz w:val="17"/>
        <w:szCs w:val="17"/>
      </w:rPr>
    </w:pPr>
    <w:r w:rsidRPr="00AB1390">
      <w:rPr>
        <w:b/>
        <w:color w:val="FF0000"/>
        <w:sz w:val="17"/>
        <w:szCs w:val="17"/>
      </w:rPr>
      <w:t>For discussion during SII WG of 18 June and for written feedback by 2</w:t>
    </w:r>
    <w:r w:rsidR="00E17619" w:rsidRPr="00AB1390">
      <w:rPr>
        <w:b/>
        <w:color w:val="FF0000"/>
        <w:sz w:val="17"/>
        <w:szCs w:val="17"/>
      </w:rPr>
      <w:t>8</w:t>
    </w:r>
    <w:r w:rsidRPr="00AB1390">
      <w:rPr>
        <w:b/>
        <w:color w:val="FF0000"/>
        <w:sz w:val="17"/>
        <w:szCs w:val="17"/>
      </w:rPr>
      <w:t xml:space="preserve"> June</w:t>
    </w:r>
  </w:p>
  <w:p w14:paraId="338BF400" w14:textId="35090FF2" w:rsidR="00356466" w:rsidRPr="00323E1C" w:rsidRDefault="00170AC9" w:rsidP="00B9692A">
    <w:pPr>
      <w:pStyle w:val="Noparagraphstyle"/>
      <w:jc w:val="right"/>
      <w:rPr>
        <w:rFonts w:ascii="Verdana" w:hAnsi="Verdana"/>
        <w:sz w:val="18"/>
        <w:szCs w:val="18"/>
      </w:rPr>
    </w:pPr>
    <w:sdt>
      <w:sdtPr>
        <w:rPr>
          <w:rFonts w:ascii="Verdana" w:hAnsi="Verdana"/>
          <w:sz w:val="18"/>
          <w:szCs w:val="18"/>
        </w:rPr>
        <w:id w:val="-1952696890"/>
        <w:docPartObj>
          <w:docPartGallery w:val="Watermarks"/>
          <w:docPartUnique/>
        </w:docPartObj>
      </w:sdtPr>
      <w:sdtEndPr/>
      <w:sdtContent>
        <w:r>
          <w:rPr>
            <w:rFonts w:ascii="Verdana" w:hAnsi="Verdana"/>
            <w:noProof/>
            <w:sz w:val="18"/>
            <w:szCs w:val="18"/>
          </w:rPr>
          <w:pict w14:anchorId="0F825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56466" w:rsidRPr="000D41DA">
      <w:rPr>
        <w:rFonts w:ascii="Frutiger LT Com 45 Light" w:hAnsi="Frutiger LT Com 45 Light"/>
        <w:noProof/>
        <w:lang w:val="sk-SK" w:eastAsia="sk-SK"/>
      </w:rPr>
      <w:drawing>
        <wp:anchor distT="0" distB="0" distL="114300" distR="114300" simplePos="0" relativeHeight="251657728" behindDoc="0" locked="0" layoutInCell="1" allowOverlap="1" wp14:anchorId="2B30D5E0" wp14:editId="0B89AD46">
          <wp:simplePos x="0" y="0"/>
          <wp:positionH relativeFrom="page">
            <wp:posOffset>528955</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1B1C7FA4" w14:textId="77777777" w:rsidR="00356466" w:rsidRPr="0085650F" w:rsidRDefault="00356466" w:rsidP="00B9692A">
    <w:pPr>
      <w:pStyle w:val="Noparagraphstyle"/>
      <w:jc w:val="right"/>
      <w:rPr>
        <w:rFonts w:ascii="Verdana" w:hAnsi="Verdana" w:cs="Arial"/>
        <w:i/>
        <w:iCs/>
        <w:color w:val="034EA2"/>
      </w:rPr>
    </w:pPr>
    <w:r w:rsidRPr="00323E1C">
      <w:rPr>
        <w:rFonts w:ascii="Verdana" w:hAnsi="Verdana"/>
      </w:rPr>
      <w:tab/>
    </w:r>
  </w:p>
  <w:p w14:paraId="2F596FAD" w14:textId="77777777" w:rsidR="00356466" w:rsidRPr="00491802" w:rsidRDefault="00356466" w:rsidP="00B9692A">
    <w:pPr>
      <w:pStyle w:val="Hlavika"/>
      <w:tabs>
        <w:tab w:val="clear" w:pos="4320"/>
        <w:tab w:val="clear" w:pos="8640"/>
        <w:tab w:val="center" w:pos="0"/>
        <w:tab w:val="right" w:pos="1044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79A11" w14:textId="0C08B1FC" w:rsidR="00356466" w:rsidRDefault="00356466" w:rsidP="00B9692A">
    <w:pPr>
      <w:pStyle w:val="Noparagraphstyle"/>
      <w:jc w:val="right"/>
      <w:rPr>
        <w:rFonts w:ascii="Verdana" w:hAnsi="Verdana"/>
        <w:color w:val="FF0000"/>
        <w:sz w:val="18"/>
        <w:szCs w:val="18"/>
      </w:rPr>
    </w:pPr>
    <w:r w:rsidRPr="00A8292B">
      <w:rPr>
        <w:rFonts w:ascii="Frutiger LT Com 45 Light" w:hAnsi="Frutiger LT Com 45 Light"/>
        <w:noProof/>
        <w:color w:val="FF0000"/>
        <w:sz w:val="18"/>
        <w:szCs w:val="18"/>
        <w:lang w:val="sk-SK" w:eastAsia="sk-SK"/>
      </w:rPr>
      <w:drawing>
        <wp:anchor distT="0" distB="0" distL="114300" distR="114300" simplePos="0" relativeHeight="251656704" behindDoc="0" locked="0" layoutInCell="1" allowOverlap="1" wp14:anchorId="3BC90111" wp14:editId="293AAA37">
          <wp:simplePos x="0" y="0"/>
          <wp:positionH relativeFrom="page">
            <wp:posOffset>523875</wp:posOffset>
          </wp:positionH>
          <wp:positionV relativeFrom="page">
            <wp:posOffset>523875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00D6792E" w:rsidRPr="00A8292B">
      <w:rPr>
        <w:rFonts w:ascii="Verdana" w:hAnsi="Verdana"/>
        <w:color w:val="FF0000"/>
        <w:sz w:val="18"/>
        <w:szCs w:val="18"/>
      </w:rPr>
      <w:t>DRAFT</w:t>
    </w:r>
  </w:p>
  <w:p w14:paraId="67C63DC1" w14:textId="6BC90A59" w:rsidR="00D542C7" w:rsidRPr="00346856" w:rsidRDefault="00D542C7" w:rsidP="00F07C18">
    <w:pPr>
      <w:pStyle w:val="Hlavika"/>
      <w:jc w:val="right"/>
      <w:rPr>
        <w:color w:val="FF0000"/>
        <w:sz w:val="20"/>
      </w:rPr>
    </w:pPr>
    <w:r w:rsidRPr="00F07C18">
      <w:rPr>
        <w:b/>
        <w:color w:val="FF0000"/>
        <w:sz w:val="17"/>
        <w:szCs w:val="17"/>
      </w:rPr>
      <w:t xml:space="preserve">For discussion during SII WG of 18 June and for written feedback by </w:t>
    </w:r>
    <w:r w:rsidR="00620022" w:rsidRPr="00F07C18">
      <w:rPr>
        <w:b/>
        <w:color w:val="FF0000"/>
        <w:sz w:val="17"/>
        <w:szCs w:val="17"/>
      </w:rPr>
      <w:t>2</w:t>
    </w:r>
    <w:r w:rsidR="00E17619" w:rsidRPr="00F07C18">
      <w:rPr>
        <w:b/>
        <w:color w:val="FF0000"/>
        <w:sz w:val="17"/>
        <w:szCs w:val="17"/>
      </w:rPr>
      <w:t>8</w:t>
    </w:r>
    <w:r w:rsidR="00F07C18">
      <w:rPr>
        <w:b/>
        <w:color w:val="FF0000"/>
        <w:sz w:val="17"/>
        <w:szCs w:val="17"/>
      </w:rPr>
      <w:t xml:space="preserve"> </w:t>
    </w:r>
    <w:r w:rsidRPr="00F07C18">
      <w:rPr>
        <w:b/>
        <w:color w:val="FF0000"/>
        <w:sz w:val="17"/>
        <w:szCs w:val="17"/>
      </w:rPr>
      <w:t>June</w:t>
    </w:r>
  </w:p>
  <w:p w14:paraId="44A0CC31" w14:textId="77777777" w:rsidR="00D542C7" w:rsidRPr="00A8292B" w:rsidRDefault="00D542C7" w:rsidP="00B9692A">
    <w:pPr>
      <w:pStyle w:val="Noparagraphstyle"/>
      <w:jc w:val="right"/>
      <w:rPr>
        <w:rFonts w:ascii="Verdana" w:hAnsi="Verdana"/>
        <w:color w:val="FF0000"/>
        <w:sz w:val="18"/>
        <w:szCs w:val="18"/>
      </w:rPr>
    </w:pPr>
  </w:p>
  <w:p w14:paraId="1C3E552C" w14:textId="77777777" w:rsidR="00356466" w:rsidRDefault="00356466">
    <w:pPr>
      <w:pStyle w:val="Hlavika"/>
    </w:pPr>
  </w:p>
  <w:p w14:paraId="1E56280B" w14:textId="77777777" w:rsidR="00356466" w:rsidRDefault="00356466">
    <w:pPr>
      <w:pStyle w:val="Hlavika"/>
    </w:pPr>
  </w:p>
  <w:p w14:paraId="6A4AE42B" w14:textId="77777777" w:rsidR="00356466" w:rsidRDefault="00356466">
    <w:pPr>
      <w:pStyle w:val="Hlavika"/>
    </w:pPr>
  </w:p>
  <w:p w14:paraId="56202BF9" w14:textId="7033AF7E" w:rsidR="00356466" w:rsidRDefault="00356466" w:rsidP="0017261F">
    <w:pPr>
      <w:jc w:val="right"/>
      <w:rPr>
        <w:b/>
        <w:i/>
        <w:color w:val="002957"/>
        <w:sz w:val="32"/>
        <w:szCs w:val="32"/>
      </w:rPr>
    </w:pP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sz w:val="40"/>
        <w:szCs w:val="40"/>
      </w:rPr>
      <w:tab/>
    </w:r>
    <w:bookmarkStart w:id="0" w:name="Draft1st"/>
    <w:bookmarkEnd w:id="0"/>
  </w:p>
  <w:p w14:paraId="3A6C5AC4" w14:textId="77777777" w:rsidR="00356466" w:rsidRPr="00D6792E" w:rsidRDefault="00356466" w:rsidP="00F07C18">
    <w:pPr>
      <w:pStyle w:val="CEAPositionPaperTitle"/>
      <w:ind w:left="0"/>
      <w:jc w:val="center"/>
      <w:rPr>
        <w:b w:val="0"/>
        <w:color w:val="002957"/>
        <w:sz w:val="28"/>
        <w:szCs w:val="28"/>
      </w:rPr>
    </w:pPr>
    <w:r w:rsidRPr="00D6792E">
      <w:rPr>
        <w:b w:val="0"/>
        <w:color w:val="002957"/>
        <w:sz w:val="28"/>
        <w:szCs w:val="28"/>
      </w:rPr>
      <w:t>The Matching Adjustment</w:t>
    </w:r>
    <w:r w:rsidR="00710639" w:rsidRPr="00D6792E">
      <w:rPr>
        <w:b w:val="0"/>
        <w:color w:val="002957"/>
        <w:sz w:val="28"/>
        <w:szCs w:val="28"/>
      </w:rPr>
      <w:t xml:space="preserve"> – emerging v</w:t>
    </w:r>
    <w:r w:rsidR="00710639">
      <w:rPr>
        <w:b w:val="0"/>
        <w:color w:val="002957"/>
        <w:sz w:val="28"/>
        <w:szCs w:val="28"/>
      </w:rPr>
      <w:t>iews for internal discussion</w:t>
    </w:r>
  </w:p>
  <w:p w14:paraId="431D629F" w14:textId="77777777" w:rsidR="00356466" w:rsidRPr="000D41DA" w:rsidRDefault="00356466" w:rsidP="00B9692A">
    <w:pPr>
      <w:rPr>
        <w:b/>
        <w:sz w:val="22"/>
        <w:szCs w:val="22"/>
      </w:rPr>
    </w:pPr>
  </w:p>
  <w:p w14:paraId="595D5490" w14:textId="77777777" w:rsidR="00356466" w:rsidRPr="000D41DA" w:rsidRDefault="00356466" w:rsidP="00B969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8.25pt;height:8.25pt" o:bullet="t">
        <v:imagedata r:id="rId3" o:title="CEA - Bullets Rounded Squares_BulletLevel3_forMS"/>
      </v:shape>
    </w:pict>
  </w:numPicBullet>
  <w:abstractNum w:abstractNumId="0" w15:restartNumberingAfterBreak="0">
    <w:nsid w:val="02ED6747"/>
    <w:multiLevelType w:val="hybridMultilevel"/>
    <w:tmpl w:val="9B6E7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15:restartNumberingAfterBreak="0">
    <w:nsid w:val="26053ADE"/>
    <w:multiLevelType w:val="hybridMultilevel"/>
    <w:tmpl w:val="3586C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4" w15:restartNumberingAfterBreak="0">
    <w:nsid w:val="47346833"/>
    <w:multiLevelType w:val="hybridMultilevel"/>
    <w:tmpl w:val="15F4AC22"/>
    <w:lvl w:ilvl="0" w:tplc="040C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82"/>
    <w:rsid w:val="00017E2D"/>
    <w:rsid w:val="00020124"/>
    <w:rsid w:val="000452FE"/>
    <w:rsid w:val="00045B6D"/>
    <w:rsid w:val="00052EDD"/>
    <w:rsid w:val="00056102"/>
    <w:rsid w:val="00065311"/>
    <w:rsid w:val="00070392"/>
    <w:rsid w:val="0008034A"/>
    <w:rsid w:val="000A6E39"/>
    <w:rsid w:val="000D3A9E"/>
    <w:rsid w:val="000D58F0"/>
    <w:rsid w:val="00105BD0"/>
    <w:rsid w:val="00105DC2"/>
    <w:rsid w:val="001120EB"/>
    <w:rsid w:val="0011494F"/>
    <w:rsid w:val="00115E8E"/>
    <w:rsid w:val="00146C20"/>
    <w:rsid w:val="00152882"/>
    <w:rsid w:val="001534E1"/>
    <w:rsid w:val="00170AC9"/>
    <w:rsid w:val="0017261F"/>
    <w:rsid w:val="001805D7"/>
    <w:rsid w:val="00191D9C"/>
    <w:rsid w:val="00191E5E"/>
    <w:rsid w:val="00192445"/>
    <w:rsid w:val="00195588"/>
    <w:rsid w:val="001B4293"/>
    <w:rsid w:val="001C6D8E"/>
    <w:rsid w:val="001D416C"/>
    <w:rsid w:val="001E656B"/>
    <w:rsid w:val="00211BCB"/>
    <w:rsid w:val="0025378F"/>
    <w:rsid w:val="00261545"/>
    <w:rsid w:val="002671D5"/>
    <w:rsid w:val="00272123"/>
    <w:rsid w:val="00273E79"/>
    <w:rsid w:val="002752B6"/>
    <w:rsid w:val="002A009A"/>
    <w:rsid w:val="002A0ABB"/>
    <w:rsid w:val="00305BF9"/>
    <w:rsid w:val="00306A82"/>
    <w:rsid w:val="00333059"/>
    <w:rsid w:val="00346792"/>
    <w:rsid w:val="003474A7"/>
    <w:rsid w:val="00356466"/>
    <w:rsid w:val="00357DD3"/>
    <w:rsid w:val="00372776"/>
    <w:rsid w:val="0038047B"/>
    <w:rsid w:val="003A32B1"/>
    <w:rsid w:val="004027F0"/>
    <w:rsid w:val="00407B3E"/>
    <w:rsid w:val="00421951"/>
    <w:rsid w:val="004265F7"/>
    <w:rsid w:val="0043103A"/>
    <w:rsid w:val="00440FEE"/>
    <w:rsid w:val="00455651"/>
    <w:rsid w:val="00455AAB"/>
    <w:rsid w:val="004711D4"/>
    <w:rsid w:val="004C096A"/>
    <w:rsid w:val="004C63B8"/>
    <w:rsid w:val="004D6D42"/>
    <w:rsid w:val="005003CF"/>
    <w:rsid w:val="00506E15"/>
    <w:rsid w:val="005262F1"/>
    <w:rsid w:val="00552E45"/>
    <w:rsid w:val="0057419A"/>
    <w:rsid w:val="00574C05"/>
    <w:rsid w:val="00581E04"/>
    <w:rsid w:val="005948D3"/>
    <w:rsid w:val="005A1A3C"/>
    <w:rsid w:val="00616984"/>
    <w:rsid w:val="00620022"/>
    <w:rsid w:val="0064272E"/>
    <w:rsid w:val="006637F6"/>
    <w:rsid w:val="00687A54"/>
    <w:rsid w:val="006A6CB5"/>
    <w:rsid w:val="006B06DD"/>
    <w:rsid w:val="006B1C59"/>
    <w:rsid w:val="006C0877"/>
    <w:rsid w:val="006D496A"/>
    <w:rsid w:val="006F62E7"/>
    <w:rsid w:val="007048CA"/>
    <w:rsid w:val="00710392"/>
    <w:rsid w:val="00710639"/>
    <w:rsid w:val="007221DB"/>
    <w:rsid w:val="00752590"/>
    <w:rsid w:val="0076386B"/>
    <w:rsid w:val="007C5D7C"/>
    <w:rsid w:val="007D0EA7"/>
    <w:rsid w:val="00813DAA"/>
    <w:rsid w:val="00825DAE"/>
    <w:rsid w:val="008267D9"/>
    <w:rsid w:val="008409CC"/>
    <w:rsid w:val="00877327"/>
    <w:rsid w:val="00882B96"/>
    <w:rsid w:val="00890D8E"/>
    <w:rsid w:val="008A2E1B"/>
    <w:rsid w:val="008B29F3"/>
    <w:rsid w:val="008D5020"/>
    <w:rsid w:val="008E3B58"/>
    <w:rsid w:val="008E6B62"/>
    <w:rsid w:val="009037CA"/>
    <w:rsid w:val="009127C8"/>
    <w:rsid w:val="0093043A"/>
    <w:rsid w:val="009728B6"/>
    <w:rsid w:val="00974483"/>
    <w:rsid w:val="00992CD0"/>
    <w:rsid w:val="009A1020"/>
    <w:rsid w:val="009A7FB6"/>
    <w:rsid w:val="009B53C9"/>
    <w:rsid w:val="009C6528"/>
    <w:rsid w:val="009E1335"/>
    <w:rsid w:val="009E57DE"/>
    <w:rsid w:val="009E5DB2"/>
    <w:rsid w:val="009E72C2"/>
    <w:rsid w:val="009F0F4A"/>
    <w:rsid w:val="009F36CD"/>
    <w:rsid w:val="00A01E24"/>
    <w:rsid w:val="00A42888"/>
    <w:rsid w:val="00A4463C"/>
    <w:rsid w:val="00A55037"/>
    <w:rsid w:val="00A64389"/>
    <w:rsid w:val="00A665D7"/>
    <w:rsid w:val="00A8292B"/>
    <w:rsid w:val="00AB1390"/>
    <w:rsid w:val="00AB2AF3"/>
    <w:rsid w:val="00AC4966"/>
    <w:rsid w:val="00AC60A1"/>
    <w:rsid w:val="00AE301C"/>
    <w:rsid w:val="00B00D41"/>
    <w:rsid w:val="00B07945"/>
    <w:rsid w:val="00B175DA"/>
    <w:rsid w:val="00B37EA3"/>
    <w:rsid w:val="00B466FA"/>
    <w:rsid w:val="00B82FC7"/>
    <w:rsid w:val="00B84384"/>
    <w:rsid w:val="00B96563"/>
    <w:rsid w:val="00B9692A"/>
    <w:rsid w:val="00BB4B00"/>
    <w:rsid w:val="00BC0671"/>
    <w:rsid w:val="00BC4E09"/>
    <w:rsid w:val="00BC56F8"/>
    <w:rsid w:val="00BD3110"/>
    <w:rsid w:val="00BD3695"/>
    <w:rsid w:val="00BF11D2"/>
    <w:rsid w:val="00C30D97"/>
    <w:rsid w:val="00C3572E"/>
    <w:rsid w:val="00C55FD4"/>
    <w:rsid w:val="00C728C8"/>
    <w:rsid w:val="00CA2E34"/>
    <w:rsid w:val="00CB4CD9"/>
    <w:rsid w:val="00CB74DB"/>
    <w:rsid w:val="00CD6061"/>
    <w:rsid w:val="00CF199D"/>
    <w:rsid w:val="00D056FE"/>
    <w:rsid w:val="00D26BD1"/>
    <w:rsid w:val="00D52B3A"/>
    <w:rsid w:val="00D542C7"/>
    <w:rsid w:val="00D615BB"/>
    <w:rsid w:val="00D6792E"/>
    <w:rsid w:val="00DA76D2"/>
    <w:rsid w:val="00DB2E2A"/>
    <w:rsid w:val="00DF19E0"/>
    <w:rsid w:val="00E06BF7"/>
    <w:rsid w:val="00E121D0"/>
    <w:rsid w:val="00E13A7C"/>
    <w:rsid w:val="00E1718F"/>
    <w:rsid w:val="00E17619"/>
    <w:rsid w:val="00E65C83"/>
    <w:rsid w:val="00E84059"/>
    <w:rsid w:val="00E95976"/>
    <w:rsid w:val="00EA00B9"/>
    <w:rsid w:val="00EC476D"/>
    <w:rsid w:val="00EF50B6"/>
    <w:rsid w:val="00F07C18"/>
    <w:rsid w:val="00F2454B"/>
    <w:rsid w:val="00F26263"/>
    <w:rsid w:val="00F778BB"/>
    <w:rsid w:val="00F867E0"/>
    <w:rsid w:val="00F8705B"/>
    <w:rsid w:val="00F96C48"/>
    <w:rsid w:val="00FD1685"/>
    <w:rsid w:val="00FF1334"/>
    <w:rsid w:val="00FF1C3C"/>
    <w:rsid w:val="00FF294B"/>
    <w:rsid w:val="00FF610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03D1E4"/>
  <w15:docId w15:val="{CB13D2F6-0065-41E3-9DED-A990241B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2882"/>
    <w:pPr>
      <w:spacing w:after="0" w:line="288" w:lineRule="auto"/>
      <w:jc w:val="both"/>
    </w:pPr>
    <w:rPr>
      <w:rFonts w:ascii="Verdana" w:eastAsia="Times New Roman" w:hAnsi="Verdana" w:cs="Times New Roman"/>
      <w:sz w:val="18"/>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152882"/>
    <w:pPr>
      <w:tabs>
        <w:tab w:val="center" w:pos="4320"/>
        <w:tab w:val="right" w:pos="8640"/>
      </w:tabs>
    </w:pPr>
  </w:style>
  <w:style w:type="character" w:customStyle="1" w:styleId="HlavikaChar">
    <w:name w:val="Hlavička Char"/>
    <w:basedOn w:val="Predvolenpsmoodseku"/>
    <w:link w:val="Hlavika"/>
    <w:uiPriority w:val="99"/>
    <w:rsid w:val="00152882"/>
    <w:rPr>
      <w:rFonts w:ascii="Verdana" w:eastAsia="Times New Roman" w:hAnsi="Verdana" w:cs="Times New Roman"/>
      <w:sz w:val="18"/>
      <w:szCs w:val="24"/>
      <w:lang w:val="en-GB"/>
    </w:rPr>
  </w:style>
  <w:style w:type="paragraph" w:styleId="Pta">
    <w:name w:val="footer"/>
    <w:basedOn w:val="Normlny"/>
    <w:link w:val="PtaChar"/>
    <w:semiHidden/>
    <w:rsid w:val="00152882"/>
    <w:pPr>
      <w:tabs>
        <w:tab w:val="center" w:pos="4320"/>
        <w:tab w:val="right" w:pos="8640"/>
      </w:tabs>
    </w:pPr>
  </w:style>
  <w:style w:type="character" w:customStyle="1" w:styleId="PtaChar">
    <w:name w:val="Päta Char"/>
    <w:basedOn w:val="Predvolenpsmoodseku"/>
    <w:link w:val="Pta"/>
    <w:semiHidden/>
    <w:rsid w:val="00152882"/>
    <w:rPr>
      <w:rFonts w:ascii="Verdana" w:eastAsia="Times New Roman" w:hAnsi="Verdana" w:cs="Times New Roman"/>
      <w:sz w:val="18"/>
      <w:szCs w:val="24"/>
      <w:lang w:val="en-GB"/>
    </w:rPr>
  </w:style>
  <w:style w:type="paragraph" w:customStyle="1" w:styleId="Noparagraphstyle">
    <w:name w:val="[No paragraph style]"/>
    <w:semiHidden/>
    <w:rsid w:val="0015288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52882"/>
  </w:style>
  <w:style w:type="paragraph" w:customStyle="1" w:styleId="Heading1CEA">
    <w:name w:val="Heading 1 (CEA)"/>
    <w:basedOn w:val="Normlny"/>
    <w:link w:val="Heading1CEAChar"/>
    <w:semiHidden/>
    <w:rsid w:val="00152882"/>
    <w:pPr>
      <w:autoSpaceDE w:val="0"/>
      <w:autoSpaceDN w:val="0"/>
      <w:adjustRightInd w:val="0"/>
    </w:pPr>
    <w:rPr>
      <w:rFonts w:ascii="Arial" w:hAnsi="Arial"/>
      <w:b/>
      <w:color w:val="034EA2"/>
      <w:sz w:val="32"/>
      <w:szCs w:val="32"/>
    </w:rPr>
  </w:style>
  <w:style w:type="character" w:customStyle="1" w:styleId="Heading1CEAChar">
    <w:name w:val="Heading 1 (CEA) Char"/>
    <w:basedOn w:val="Predvolenpsmoodseku"/>
    <w:link w:val="Heading1CEA"/>
    <w:semiHidden/>
    <w:rsid w:val="00152882"/>
    <w:rPr>
      <w:rFonts w:ascii="Arial" w:eastAsia="Times New Roman" w:hAnsi="Arial" w:cs="Times New Roman"/>
      <w:b/>
      <w:color w:val="034EA2"/>
      <w:sz w:val="32"/>
      <w:szCs w:val="32"/>
      <w:lang w:val="en-GB"/>
    </w:rPr>
  </w:style>
  <w:style w:type="paragraph" w:customStyle="1" w:styleId="CEAPositionPaperTitle">
    <w:name w:val="CEA Position Paper Title"/>
    <w:basedOn w:val="Normlny"/>
    <w:semiHidden/>
    <w:qFormat/>
    <w:rsid w:val="00152882"/>
    <w:pPr>
      <w:ind w:left="-27"/>
    </w:pPr>
    <w:rPr>
      <w:b/>
      <w:color w:val="034EA2"/>
      <w:sz w:val="32"/>
      <w:szCs w:val="32"/>
    </w:rPr>
  </w:style>
  <w:style w:type="paragraph" w:customStyle="1" w:styleId="CEADraft">
    <w:name w:val="CEA Draft"/>
    <w:basedOn w:val="Normlny"/>
    <w:semiHidden/>
    <w:qFormat/>
    <w:rsid w:val="00152882"/>
    <w:pPr>
      <w:jc w:val="right"/>
    </w:pPr>
    <w:rPr>
      <w:rFonts w:cs="Arial"/>
      <w:b/>
      <w:i/>
      <w:color w:val="034EA2"/>
      <w:sz w:val="32"/>
      <w:szCs w:val="40"/>
    </w:rPr>
  </w:style>
  <w:style w:type="paragraph" w:customStyle="1" w:styleId="CEAFooterauthorinfo">
    <w:name w:val="CEA Footer (author info)"/>
    <w:basedOn w:val="Normlny"/>
    <w:semiHidden/>
    <w:qFormat/>
    <w:rsid w:val="00152882"/>
    <w:pPr>
      <w:autoSpaceDE w:val="0"/>
      <w:autoSpaceDN w:val="0"/>
      <w:adjustRightInd w:val="0"/>
      <w:textAlignment w:val="center"/>
    </w:pPr>
    <w:rPr>
      <w:rFonts w:cs="Arial"/>
      <w:b/>
      <w:color w:val="034EA2"/>
      <w:sz w:val="16"/>
      <w:szCs w:val="16"/>
    </w:rPr>
  </w:style>
  <w:style w:type="paragraph" w:customStyle="1" w:styleId="CEALabel">
    <w:name w:val="CEA Label"/>
    <w:basedOn w:val="Normlny"/>
    <w:semiHidden/>
    <w:qFormat/>
    <w:rsid w:val="00152882"/>
    <w:rPr>
      <w:rFonts w:cs="Arial"/>
      <w:b/>
      <w:color w:val="034EA2"/>
      <w:szCs w:val="18"/>
    </w:rPr>
  </w:style>
  <w:style w:type="character" w:styleId="Zstupntext">
    <w:name w:val="Placeholder Text"/>
    <w:basedOn w:val="Predvolenpsmoodseku"/>
    <w:uiPriority w:val="99"/>
    <w:semiHidden/>
    <w:rsid w:val="0008034A"/>
    <w:rPr>
      <w:color w:val="808080"/>
    </w:rPr>
  </w:style>
  <w:style w:type="paragraph" w:styleId="Textbubliny">
    <w:name w:val="Balloon Text"/>
    <w:basedOn w:val="Normlny"/>
    <w:link w:val="TextbublinyChar"/>
    <w:uiPriority w:val="99"/>
    <w:semiHidden/>
    <w:unhideWhenUsed/>
    <w:rsid w:val="0008034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034A"/>
    <w:rPr>
      <w:rFonts w:ascii="Tahoma" w:eastAsia="Times New Roman" w:hAnsi="Tahoma" w:cs="Tahoma"/>
      <w:sz w:val="16"/>
      <w:szCs w:val="16"/>
      <w:lang w:val="en-GB"/>
    </w:rPr>
  </w:style>
  <w:style w:type="paragraph" w:customStyle="1" w:styleId="CEABullet-Level1">
    <w:name w:val="CEA Bullet - Level 1"/>
    <w:basedOn w:val="Normlny"/>
    <w:qFormat/>
    <w:rsid w:val="00825DAE"/>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825DAE"/>
    <w:pPr>
      <w:numPr>
        <w:numId w:val="2"/>
      </w:numPr>
    </w:pPr>
  </w:style>
  <w:style w:type="paragraph" w:customStyle="1" w:styleId="CEABullet-Level3">
    <w:name w:val="CEA Bullet - Level 3"/>
    <w:basedOn w:val="Normlny"/>
    <w:qFormat/>
    <w:rsid w:val="00825DAE"/>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825DAE"/>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825DAE"/>
    <w:pPr>
      <w:jc w:val="right"/>
    </w:pPr>
    <w:rPr>
      <w:rFonts w:cs="Frutiger LT Std 55 Roman"/>
      <w:b/>
      <w:color w:val="0032FF"/>
      <w:sz w:val="40"/>
      <w:szCs w:val="40"/>
    </w:rPr>
  </w:style>
  <w:style w:type="paragraph" w:customStyle="1" w:styleId="CEAFootnote">
    <w:name w:val="CEA Footnote"/>
    <w:basedOn w:val="Normlny"/>
    <w:semiHidden/>
    <w:qFormat/>
    <w:rsid w:val="00825DAE"/>
    <w:pPr>
      <w:spacing w:line="240" w:lineRule="auto"/>
    </w:pPr>
    <w:rPr>
      <w:sz w:val="16"/>
    </w:rPr>
  </w:style>
  <w:style w:type="character" w:customStyle="1" w:styleId="CEAGraphTitle">
    <w:name w:val="CEA Graph Title"/>
    <w:uiPriority w:val="1"/>
    <w:qFormat/>
    <w:rsid w:val="00825DAE"/>
    <w:rPr>
      <w:rFonts w:ascii="Verdana" w:hAnsi="Verdana"/>
      <w:smallCaps w:val="0"/>
      <w:sz w:val="19"/>
      <w:lang w:val="en-GB"/>
    </w:rPr>
  </w:style>
  <w:style w:type="character" w:customStyle="1" w:styleId="CEAGraphX">
    <w:name w:val="CEA Graph X"/>
    <w:uiPriority w:val="1"/>
    <w:qFormat/>
    <w:rsid w:val="00825DAE"/>
    <w:rPr>
      <w:rFonts w:ascii="Verdana" w:hAnsi="Verdana"/>
      <w:smallCaps/>
      <w:sz w:val="19"/>
      <w:lang w:val="en-GB"/>
    </w:rPr>
  </w:style>
  <w:style w:type="paragraph" w:customStyle="1" w:styleId="CEAPressReleaseSubtitle">
    <w:name w:val="CEA Press Release Subtitle"/>
    <w:basedOn w:val="Normlny"/>
    <w:semiHidden/>
    <w:qFormat/>
    <w:rsid w:val="00825DAE"/>
    <w:rPr>
      <w:sz w:val="22"/>
      <w:szCs w:val="22"/>
    </w:rPr>
  </w:style>
  <w:style w:type="paragraph" w:customStyle="1" w:styleId="CEAPressReleaseTitle">
    <w:name w:val="CEA Press Release Title"/>
    <w:basedOn w:val="Normlny"/>
    <w:semiHidden/>
    <w:qFormat/>
    <w:rsid w:val="00825DAE"/>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825DAE"/>
    <w:rPr>
      <w:rFonts w:cs="Frutiger LT Std 55 Roman"/>
      <w:b/>
      <w:sz w:val="17"/>
      <w:szCs w:val="20"/>
    </w:rPr>
  </w:style>
  <w:style w:type="paragraph" w:styleId="Odsekzoznamu">
    <w:name w:val="List Paragraph"/>
    <w:basedOn w:val="Normlny"/>
    <w:uiPriority w:val="34"/>
    <w:qFormat/>
    <w:rsid w:val="002A0ABB"/>
    <w:pPr>
      <w:ind w:left="720"/>
      <w:contextualSpacing/>
    </w:pPr>
  </w:style>
  <w:style w:type="paragraph" w:styleId="Textpoznmkypodiarou">
    <w:name w:val="footnote text"/>
    <w:basedOn w:val="Normlny"/>
    <w:link w:val="TextpoznmkypodiarouChar"/>
    <w:uiPriority w:val="99"/>
    <w:semiHidden/>
    <w:unhideWhenUsed/>
    <w:rsid w:val="00B175DA"/>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175DA"/>
    <w:rPr>
      <w:rFonts w:ascii="Verdana" w:eastAsia="Times New Roman" w:hAnsi="Verdana" w:cs="Times New Roman"/>
      <w:sz w:val="20"/>
      <w:szCs w:val="20"/>
      <w:lang w:val="en-GB"/>
    </w:rPr>
  </w:style>
  <w:style w:type="character" w:styleId="Odkaznapoznmkupodiarou">
    <w:name w:val="footnote reference"/>
    <w:basedOn w:val="Predvolenpsmoodseku"/>
    <w:uiPriority w:val="99"/>
    <w:semiHidden/>
    <w:unhideWhenUsed/>
    <w:rsid w:val="00B175DA"/>
    <w:rPr>
      <w:vertAlign w:val="superscript"/>
    </w:rPr>
  </w:style>
  <w:style w:type="character" w:styleId="Odkaznakomentr">
    <w:name w:val="annotation reference"/>
    <w:basedOn w:val="Predvolenpsmoodseku"/>
    <w:uiPriority w:val="99"/>
    <w:semiHidden/>
    <w:unhideWhenUsed/>
    <w:rsid w:val="00EA00B9"/>
    <w:rPr>
      <w:sz w:val="16"/>
      <w:szCs w:val="16"/>
    </w:rPr>
  </w:style>
  <w:style w:type="paragraph" w:styleId="Textkomentra">
    <w:name w:val="annotation text"/>
    <w:basedOn w:val="Normlny"/>
    <w:link w:val="TextkomentraChar"/>
    <w:uiPriority w:val="99"/>
    <w:semiHidden/>
    <w:unhideWhenUsed/>
    <w:rsid w:val="00EA00B9"/>
    <w:pPr>
      <w:spacing w:line="240" w:lineRule="auto"/>
    </w:pPr>
    <w:rPr>
      <w:sz w:val="20"/>
      <w:szCs w:val="20"/>
    </w:rPr>
  </w:style>
  <w:style w:type="character" w:customStyle="1" w:styleId="TextkomentraChar">
    <w:name w:val="Text komentára Char"/>
    <w:basedOn w:val="Predvolenpsmoodseku"/>
    <w:link w:val="Textkomentra"/>
    <w:uiPriority w:val="99"/>
    <w:semiHidden/>
    <w:rsid w:val="00EA00B9"/>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EA00B9"/>
    <w:rPr>
      <w:b/>
      <w:bCs/>
    </w:rPr>
  </w:style>
  <w:style w:type="character" w:customStyle="1" w:styleId="PredmetkomentraChar">
    <w:name w:val="Predmet komentára Char"/>
    <w:basedOn w:val="TextkomentraChar"/>
    <w:link w:val="Predmetkomentra"/>
    <w:uiPriority w:val="99"/>
    <w:semiHidden/>
    <w:rsid w:val="00EA00B9"/>
    <w:rPr>
      <w:rFonts w:ascii="Verdana" w:eastAsia="Times New Roman" w:hAnsi="Verdana" w:cs="Times New Roman"/>
      <w:b/>
      <w:bCs/>
      <w:sz w:val="20"/>
      <w:szCs w:val="20"/>
      <w:lang w:val="en-GB"/>
    </w:rPr>
  </w:style>
  <w:style w:type="character" w:styleId="Hypertextovprepojenie">
    <w:name w:val="Hyperlink"/>
    <w:basedOn w:val="Predvolenpsmoodseku"/>
    <w:uiPriority w:val="99"/>
    <w:unhideWhenUsed/>
    <w:rsid w:val="00B9692A"/>
    <w:rPr>
      <w:color w:val="0000FF" w:themeColor="hyperlink"/>
      <w:u w:val="single"/>
    </w:rPr>
  </w:style>
  <w:style w:type="character" w:customStyle="1" w:styleId="UnresolvedMention">
    <w:name w:val="Unresolved Mention"/>
    <w:basedOn w:val="Predvolenpsmoodseku"/>
    <w:uiPriority w:val="99"/>
    <w:semiHidden/>
    <w:unhideWhenUsed/>
    <w:rsid w:val="00B9692A"/>
    <w:rPr>
      <w:color w:val="605E5C"/>
      <w:shd w:val="clear" w:color="auto" w:fill="E1DFDD"/>
    </w:rPr>
  </w:style>
  <w:style w:type="character" w:styleId="PouitHypertextovPrepojenie">
    <w:name w:val="FollowedHyperlink"/>
    <w:basedOn w:val="Predvolenpsmoodseku"/>
    <w:uiPriority w:val="99"/>
    <w:semiHidden/>
    <w:unhideWhenUsed/>
    <w:rsid w:val="00AC60A1"/>
    <w:rPr>
      <w:color w:val="800080" w:themeColor="followedHyperlink"/>
      <w:u w:val="single"/>
    </w:rPr>
  </w:style>
  <w:style w:type="paragraph" w:styleId="Revzia">
    <w:name w:val="Revision"/>
    <w:hidden/>
    <w:uiPriority w:val="99"/>
    <w:semiHidden/>
    <w:rsid w:val="00877327"/>
    <w:pPr>
      <w:spacing w:after="0" w:line="240" w:lineRule="auto"/>
    </w:pPr>
    <w:rPr>
      <w:rFonts w:ascii="Verdana" w:eastAsia="Times New Roman" w:hAnsi="Verdana" w:cs="Times New Roman"/>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226979">
      <w:bodyDiv w:val="1"/>
      <w:marLeft w:val="0"/>
      <w:marRight w:val="0"/>
      <w:marTop w:val="0"/>
      <w:marBottom w:val="0"/>
      <w:divBdr>
        <w:top w:val="none" w:sz="0" w:space="0" w:color="auto"/>
        <w:left w:val="none" w:sz="0" w:space="0" w:color="auto"/>
        <w:bottom w:val="none" w:sz="0" w:space="0" w:color="auto"/>
        <w:right w:val="none" w:sz="0" w:space="0" w:color="auto"/>
      </w:divBdr>
    </w:div>
    <w:div w:id="103700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nsuranceeurope.eu" TargetMode="External"/><Relationship Id="rId1" Type="http://schemas.openxmlformats.org/officeDocument/2006/relationships/hyperlink" Target="mailto:info@insuranceeurope.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iopa.europa.eu/Publications/Reports/Solvency%20II%20tools%20with%20macroprudential%20impact.pdf" TargetMode="External"/><Relationship Id="rId2" Type="http://schemas.openxmlformats.org/officeDocument/2006/relationships/hyperlink" Target="https://eiopa.europa.eu/Publications/Reports/2018-12-18%20_LTG%20AnnualReport2018.pdf" TargetMode="External"/><Relationship Id="rId1" Type="http://schemas.openxmlformats.org/officeDocument/2006/relationships/hyperlink" Target="https://eiopa.europa.eu/Publications/Reports/2018-12-18%20_LTG%20AnnualReport2018.pdf" TargetMode="External"/><Relationship Id="rId4" Type="http://schemas.openxmlformats.org/officeDocument/2006/relationships/hyperlink" Target="https://www.bankofengland.co.uk/-/media/boe/files/financial-stability-report/2016/november-2016.pdf?la=en&amp;hash=89E5D2C2503A1961A5C2ACEC4A8FD4893551894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6ED0052EB2E848B8D9B3847498F708" ma:contentTypeVersion="" ma:contentTypeDescription="Create a new document." ma:contentTypeScope="" ma:versionID="6116810af309f6b487cd7e766183c186">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485A1-11AA-442D-8577-727460E39C5A}">
  <ds:schemaRefs>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63827B13-D241-4323-B7A9-75B7AD1AA6EE}">
  <ds:schemaRefs>
    <ds:schemaRef ds:uri="http://schemas.microsoft.com/sharepoint/v3/contenttype/forms"/>
  </ds:schemaRefs>
</ds:datastoreItem>
</file>

<file path=customXml/itemProps3.xml><?xml version="1.0" encoding="utf-8"?>
<ds:datastoreItem xmlns:ds="http://schemas.openxmlformats.org/officeDocument/2006/customXml" ds:itemID="{35CC996B-9A80-40F2-AA5B-2451DF177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799E40-B007-4555-8779-0160A700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2312</Words>
  <Characters>13185</Characters>
  <Application>Microsoft Office Word</Application>
  <DocSecurity>0</DocSecurity>
  <Lines>109</Lines>
  <Paragraphs>30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Matching Adjustment - First draft</vt:lpstr>
      <vt:lpstr>The Matching Adjustment</vt:lpstr>
    </vt:vector>
  </TitlesOfParts>
  <Company>Insurance Europe</Company>
  <LinksUpToDate>false</LinksUpToDate>
  <CharactersWithSpaces>15467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Matching Adjustment - First draft</dc:title>
  <dc:creator>Insurance Europe</dc:creator>
  <cp:lastModifiedBy>Bachníček Jozef</cp:lastModifiedBy>
  <cp:revision>2</cp:revision>
  <dcterms:created xsi:type="dcterms:W3CDTF">2019-06-12T08:43:00Z</dcterms:created>
  <dcterms:modified xsi:type="dcterms:W3CDTF">2019-06-12T08:43:00Z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0x010100A96ED0052EB2E848B8D9B3847498F708</vt:lpwstr>
  </property>
  <property fmtid="{D5CDD505-2E9C-101B-9397-08002B2CF9AE}" pid="3" name="Can be edited">
    <vt:bool>true</vt:bool>
  </property>
  <property fmtid="{D5CDD505-2E9C-101B-9397-08002B2CF9AE}" pid="4" name="Type of document">
    <vt:lpwstr>Position Paper</vt:lpwstr>
  </property>
  <property fmtid="{D5CDD505-2E9C-101B-9397-08002B2CF9AE}" pid="5" name="isAnnex">
    <vt:lpwstr>True</vt:lpwstr>
  </property>
  <property fmtid="{D5CDD505-2E9C-101B-9397-08002B2CF9AE}" pid="6" name="Validated">
    <vt:bool>false</vt:bool>
  </property>
  <property fmtid="{D5CDD505-2E9C-101B-9397-08002B2CF9AE}" pid="7" name="Display validated documents library button">
    <vt:bool>true</vt:bool>
  </property>
  <property fmtid="{D5CDD505-2E9C-101B-9397-08002B2CF9AE}" pid="8" name="AllowComments">
    <vt:bool>false</vt:bool>
  </property>
  <property fmtid="{D5CDD505-2E9C-101B-9397-08002B2CF9AE}" pid="9" name="Uploads">
    <vt:bool>true</vt:bool>
  </property>
</Properties>
</file>