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E7E90" w14:textId="4521C0C6" w:rsidR="009176FF" w:rsidRPr="00486BDE" w:rsidRDefault="001D0E90" w:rsidP="7C8EF54D">
      <w:pPr>
        <w:pStyle w:val="Nadpis1"/>
        <w:rPr>
          <w:rStyle w:val="CEAGraphTitle"/>
          <w:rFonts w:asciiTheme="majorHAnsi" w:hAnsiTheme="majorHAnsi"/>
          <w:sz w:val="32"/>
        </w:rPr>
      </w:pPr>
      <w:r w:rsidRPr="7C8EF54D">
        <w:rPr>
          <w:b/>
          <w:bCs/>
        </w:rPr>
        <w:t xml:space="preserve">First </w:t>
      </w:r>
      <w:r w:rsidR="00E44B42" w:rsidRPr="7C8EF54D">
        <w:rPr>
          <w:b/>
          <w:bCs/>
        </w:rPr>
        <w:t>compiled</w:t>
      </w:r>
      <w:r w:rsidRPr="7C8EF54D">
        <w:rPr>
          <w:b/>
          <w:bCs/>
        </w:rPr>
        <w:t xml:space="preserve"> industry </w:t>
      </w:r>
      <w:r w:rsidR="00404F8A" w:rsidRPr="7C8EF54D">
        <w:rPr>
          <w:b/>
          <w:bCs/>
        </w:rPr>
        <w:t>suggestions regarding the</w:t>
      </w:r>
      <w:r w:rsidR="00486BDE" w:rsidRPr="7C8EF54D">
        <w:rPr>
          <w:b/>
          <w:bCs/>
        </w:rPr>
        <w:t xml:space="preserve"> QRT </w:t>
      </w:r>
      <w:r w:rsidR="007A7BD4" w:rsidRPr="7C8EF54D">
        <w:rPr>
          <w:b/>
          <w:bCs/>
        </w:rPr>
        <w:t>s</w:t>
      </w:r>
      <w:r w:rsidR="00486BDE" w:rsidRPr="7C8EF54D">
        <w:rPr>
          <w:b/>
          <w:bCs/>
        </w:rPr>
        <w:t xml:space="preserve">implifications </w:t>
      </w:r>
      <w:r w:rsidR="006952C6" w:rsidRPr="7C8EF54D">
        <w:rPr>
          <w:b/>
          <w:bCs/>
        </w:rPr>
        <w:t>in line with EC reduction objective</w:t>
      </w:r>
    </w:p>
    <w:p w14:paraId="17DE7E91" w14:textId="77777777" w:rsidR="00440FEE" w:rsidRDefault="00440FEE"/>
    <w:p w14:paraId="03DC169F" w14:textId="77777777" w:rsidR="007C00DB" w:rsidRDefault="007C00DB" w:rsidP="00486BDE">
      <w:pPr>
        <w:rPr>
          <w:b/>
          <w:bCs/>
          <w:color w:val="1F497D" w:themeColor="text2"/>
          <w:sz w:val="19"/>
          <w:szCs w:val="19"/>
          <w:u w:val="single"/>
        </w:rPr>
      </w:pPr>
    </w:p>
    <w:p w14:paraId="29CDBDC6" w14:textId="77777777" w:rsidR="007C00DB" w:rsidRDefault="007C00DB" w:rsidP="00486BDE">
      <w:pPr>
        <w:rPr>
          <w:b/>
          <w:bCs/>
          <w:color w:val="1F497D" w:themeColor="text2"/>
          <w:sz w:val="19"/>
          <w:szCs w:val="19"/>
          <w:u w:val="single"/>
        </w:rPr>
      </w:pPr>
    </w:p>
    <w:p w14:paraId="6F72D9DD" w14:textId="77777777" w:rsidR="007D67E1" w:rsidRPr="00930E69" w:rsidRDefault="007D67E1" w:rsidP="007D67E1">
      <w:pPr>
        <w:rPr>
          <w:b/>
          <w:bCs/>
          <w:i/>
          <w:iCs/>
          <w:color w:val="FF0000"/>
          <w:sz w:val="19"/>
          <w:szCs w:val="19"/>
        </w:rPr>
      </w:pPr>
      <w:r w:rsidRPr="00930E69">
        <w:rPr>
          <w:b/>
          <w:bCs/>
          <w:i/>
          <w:iCs/>
          <w:color w:val="FF0000"/>
          <w:sz w:val="19"/>
          <w:szCs w:val="19"/>
        </w:rPr>
        <w:t xml:space="preserve">Members are encouraged to contribute by adding relevant examples or revising the existing proposals in this document. </w:t>
      </w:r>
    </w:p>
    <w:p w14:paraId="03EFA898" w14:textId="77777777" w:rsidR="007D67E1" w:rsidRPr="00930E69" w:rsidRDefault="007D67E1" w:rsidP="007D67E1">
      <w:pPr>
        <w:rPr>
          <w:b/>
          <w:bCs/>
          <w:i/>
          <w:iCs/>
          <w:color w:val="FF0000"/>
          <w:sz w:val="19"/>
          <w:szCs w:val="19"/>
        </w:rPr>
      </w:pPr>
    </w:p>
    <w:p w14:paraId="61F8226D" w14:textId="39AAAD6E" w:rsidR="007C00DB" w:rsidRPr="00930E69" w:rsidRDefault="007D67E1" w:rsidP="00486BDE">
      <w:pPr>
        <w:rPr>
          <w:b/>
          <w:i/>
          <w:iCs/>
          <w:color w:val="FF0000"/>
          <w:sz w:val="19"/>
          <w:szCs w:val="19"/>
        </w:rPr>
      </w:pPr>
      <w:r w:rsidRPr="00930E69">
        <w:rPr>
          <w:b/>
          <w:bCs/>
          <w:i/>
          <w:iCs/>
          <w:color w:val="FF0000"/>
          <w:sz w:val="19"/>
          <w:szCs w:val="19"/>
        </w:rPr>
        <w:t xml:space="preserve">Please note that the paper will be presented as </w:t>
      </w:r>
      <w:r w:rsidRPr="00930E69">
        <w:rPr>
          <w:b/>
          <w:bCs/>
          <w:i/>
          <w:iCs/>
          <w:color w:val="FF0000"/>
          <w:sz w:val="19"/>
          <w:szCs w:val="19"/>
          <w:u w:val="single"/>
        </w:rPr>
        <w:t>a compilation of suggestions for EIOPA's consideration</w:t>
      </w:r>
      <w:r w:rsidRPr="00930E69">
        <w:rPr>
          <w:b/>
          <w:bCs/>
          <w:i/>
          <w:iCs/>
          <w:color w:val="FF0000"/>
          <w:sz w:val="19"/>
          <w:szCs w:val="19"/>
        </w:rPr>
        <w:t>.</w:t>
      </w:r>
    </w:p>
    <w:p w14:paraId="1A2B8EE6" w14:textId="77777777" w:rsidR="007D67E1" w:rsidRPr="00930E69" w:rsidRDefault="007D67E1" w:rsidP="007D67E1">
      <w:pPr>
        <w:rPr>
          <w:b/>
          <w:bCs/>
          <w:i/>
          <w:iCs/>
          <w:color w:val="FF0000"/>
          <w:sz w:val="19"/>
          <w:szCs w:val="19"/>
        </w:rPr>
      </w:pPr>
    </w:p>
    <w:p w14:paraId="51AB6368" w14:textId="260FA166" w:rsidR="0070157B" w:rsidRPr="00930E69" w:rsidRDefault="007D67E1" w:rsidP="007D67E1">
      <w:pPr>
        <w:rPr>
          <w:b/>
          <w:i/>
          <w:iCs/>
          <w:color w:val="FF0000"/>
          <w:sz w:val="19"/>
          <w:szCs w:val="19"/>
        </w:rPr>
      </w:pPr>
      <w:r w:rsidRPr="00930E69">
        <w:rPr>
          <w:b/>
          <w:bCs/>
          <w:i/>
          <w:iCs/>
          <w:color w:val="FF0000"/>
          <w:sz w:val="19"/>
          <w:szCs w:val="19"/>
        </w:rPr>
        <w:t>For the final iteration</w:t>
      </w:r>
      <w:r w:rsidR="00D62CD3" w:rsidRPr="00930E69">
        <w:rPr>
          <w:b/>
          <w:bCs/>
          <w:i/>
          <w:iCs/>
          <w:color w:val="FF0000"/>
          <w:sz w:val="19"/>
          <w:szCs w:val="19"/>
        </w:rPr>
        <w:t>,</w:t>
      </w:r>
      <w:r w:rsidRPr="00930E69">
        <w:rPr>
          <w:b/>
          <w:bCs/>
          <w:i/>
          <w:iCs/>
          <w:color w:val="FF0000"/>
          <w:sz w:val="19"/>
          <w:szCs w:val="19"/>
        </w:rPr>
        <w:t xml:space="preserve"> the secretariat will </w:t>
      </w:r>
      <w:r w:rsidR="00D62CD3" w:rsidRPr="00930E69">
        <w:rPr>
          <w:b/>
          <w:bCs/>
          <w:i/>
          <w:iCs/>
          <w:color w:val="FF0000"/>
          <w:sz w:val="19"/>
          <w:szCs w:val="19"/>
        </w:rPr>
        <w:t xml:space="preserve">refine </w:t>
      </w:r>
      <w:r w:rsidR="00E3284F" w:rsidRPr="00930E69">
        <w:rPr>
          <w:b/>
          <w:bCs/>
          <w:i/>
          <w:iCs/>
          <w:color w:val="FF0000"/>
          <w:sz w:val="19"/>
          <w:szCs w:val="19"/>
        </w:rPr>
        <w:t xml:space="preserve">the general messages </w:t>
      </w:r>
      <w:r w:rsidR="00D62CD3" w:rsidRPr="00930E69">
        <w:rPr>
          <w:b/>
          <w:bCs/>
          <w:i/>
          <w:iCs/>
          <w:color w:val="FF0000"/>
          <w:sz w:val="19"/>
          <w:szCs w:val="19"/>
        </w:rPr>
        <w:t xml:space="preserve">to make them </w:t>
      </w:r>
      <w:r w:rsidR="0070157B" w:rsidRPr="00930E69">
        <w:rPr>
          <w:b/>
          <w:bCs/>
          <w:i/>
          <w:iCs/>
          <w:color w:val="FF0000"/>
          <w:sz w:val="19"/>
          <w:szCs w:val="19"/>
        </w:rPr>
        <w:t xml:space="preserve">more </w:t>
      </w:r>
      <w:r w:rsidR="00D62CD3" w:rsidRPr="00930E69">
        <w:rPr>
          <w:b/>
          <w:bCs/>
          <w:i/>
          <w:iCs/>
          <w:color w:val="FF0000"/>
          <w:sz w:val="19"/>
          <w:szCs w:val="19"/>
        </w:rPr>
        <w:t>concise and impactful.</w:t>
      </w:r>
    </w:p>
    <w:p w14:paraId="27F87B05" w14:textId="77777777" w:rsidR="00D62CD3" w:rsidRDefault="00D62CD3" w:rsidP="007D67E1">
      <w:pPr>
        <w:rPr>
          <w:b/>
          <w:bCs/>
          <w:color w:val="1F497D" w:themeColor="text2"/>
          <w:sz w:val="19"/>
          <w:szCs w:val="19"/>
          <w:u w:val="single"/>
        </w:rPr>
      </w:pPr>
    </w:p>
    <w:p w14:paraId="5DD31577" w14:textId="37CC612A" w:rsidR="00486BDE" w:rsidRPr="00A36AF9" w:rsidRDefault="00F02FB5" w:rsidP="00AC680C">
      <w:pPr>
        <w:pStyle w:val="Nadpis2"/>
      </w:pPr>
      <w:r w:rsidRPr="00A36AF9">
        <w:t>General comments </w:t>
      </w:r>
    </w:p>
    <w:p w14:paraId="56EF14EA" w14:textId="77777777" w:rsidR="00DB66BF" w:rsidRPr="00A36AF9" w:rsidRDefault="00DB66BF" w:rsidP="00486BDE">
      <w:pPr>
        <w:rPr>
          <w:b/>
          <w:bCs/>
          <w:color w:val="1F497D" w:themeColor="text2"/>
          <w:sz w:val="19"/>
          <w:szCs w:val="19"/>
          <w:u w:val="single"/>
        </w:rPr>
      </w:pPr>
    </w:p>
    <w:p w14:paraId="02325F20" w14:textId="564D627A" w:rsidR="00635388" w:rsidRPr="00635388" w:rsidRDefault="002747EE" w:rsidP="008442F0">
      <w:pPr>
        <w:pStyle w:val="CEABullet-Level1"/>
        <w:rPr>
          <w:rFonts w:ascii="Times New Roman" w:hAnsi="Times New Roman"/>
        </w:rPr>
      </w:pPr>
      <w:r>
        <w:t xml:space="preserve">The industry </w:t>
      </w:r>
      <w:r w:rsidR="00F97ED8" w:rsidRPr="00F97ED8">
        <w:t>welcome</w:t>
      </w:r>
      <w:r w:rsidR="00F97ED8">
        <w:t>s</w:t>
      </w:r>
      <w:r w:rsidR="00F97ED8" w:rsidRPr="00F97ED8">
        <w:t xml:space="preserve"> the efforts to ease reporting obligations under Solvency II.</w:t>
      </w:r>
    </w:p>
    <w:p w14:paraId="1F139C43" w14:textId="3ED514DB" w:rsidR="008442F0" w:rsidRDefault="008442F0" w:rsidP="008442F0">
      <w:pPr>
        <w:pStyle w:val="CEABullet-Level1"/>
        <w:rPr>
          <w:lang w:eastAsia="en-GB"/>
        </w:rPr>
      </w:pPr>
      <w:r w:rsidRPr="008442F0">
        <w:rPr>
          <w:lang w:eastAsia="en-GB"/>
        </w:rPr>
        <w:t>Simplification efforts should prioriti</w:t>
      </w:r>
      <w:r>
        <w:rPr>
          <w:lang w:eastAsia="en-GB"/>
        </w:rPr>
        <w:t>s</w:t>
      </w:r>
      <w:r w:rsidRPr="008442F0">
        <w:rPr>
          <w:lang w:eastAsia="en-GB"/>
        </w:rPr>
        <w:t>e objectives, avoid duplication (once-only principle), and focus on materiality.</w:t>
      </w:r>
      <w:r w:rsidR="008B6FF2">
        <w:rPr>
          <w:lang w:eastAsia="en-GB"/>
        </w:rPr>
        <w:t xml:space="preserve"> </w:t>
      </w:r>
    </w:p>
    <w:p w14:paraId="260865AB" w14:textId="77777777" w:rsidR="00603CD1" w:rsidRPr="00603CD1" w:rsidRDefault="00603CD1" w:rsidP="008B6FF2">
      <w:pPr>
        <w:pStyle w:val="CEABullet-Level1"/>
        <w:numPr>
          <w:ilvl w:val="1"/>
          <w:numId w:val="1"/>
        </w:numPr>
      </w:pPr>
      <w:r w:rsidRPr="00603CD1">
        <w:rPr>
          <w:rFonts w:cs="Times New Roman"/>
          <w:color w:val="auto"/>
          <w:szCs w:val="24"/>
        </w:rPr>
        <w:t>QRTs should be reviewed to reduce their number, focusing on those most relevant to insurers' core operations. EIOPA is well-positioned to identify less critical templates.</w:t>
      </w:r>
    </w:p>
    <w:p w14:paraId="6AC12DFD" w14:textId="2068CFB1" w:rsidR="00075AC0" w:rsidRDefault="00075AC0" w:rsidP="008B6FF2">
      <w:pPr>
        <w:pStyle w:val="CEABullet-Level1"/>
        <w:numPr>
          <w:ilvl w:val="1"/>
          <w:numId w:val="1"/>
        </w:numPr>
      </w:pPr>
      <w:r w:rsidRPr="00075AC0">
        <w:t>Reporting should emphasi</w:t>
      </w:r>
      <w:r w:rsidR="008227CF">
        <w:t>s</w:t>
      </w:r>
      <w:r w:rsidRPr="00075AC0">
        <w:t>e key areas: technical provisions, own funds, assets, and SCR/MCR calculations.</w:t>
      </w:r>
    </w:p>
    <w:p w14:paraId="29158CFC" w14:textId="77777777" w:rsidR="006547FD" w:rsidRDefault="006547FD" w:rsidP="008B6FF2">
      <w:pPr>
        <w:pStyle w:val="CEABullet-Level1"/>
        <w:numPr>
          <w:ilvl w:val="1"/>
          <w:numId w:val="1"/>
        </w:numPr>
      </w:pPr>
      <w:r w:rsidRPr="006547FD">
        <w:t>Simplify the SFCR by eliminating redundancies with QRTs, such as S.23.01 and S.12.01.</w:t>
      </w:r>
    </w:p>
    <w:p w14:paraId="6EFF50A8" w14:textId="4C16FDDB" w:rsidR="008B6FF2" w:rsidRDefault="008B6FF2" w:rsidP="008B6FF2">
      <w:pPr>
        <w:pStyle w:val="CEABullet-Level1"/>
        <w:numPr>
          <w:ilvl w:val="1"/>
          <w:numId w:val="1"/>
        </w:numPr>
      </w:pPr>
      <w:r>
        <w:t>Discontinuation of QRTs that merely replicate data from the annual report, such as S.03.01 and S.39.01.</w:t>
      </w:r>
    </w:p>
    <w:p w14:paraId="6D62A8FF" w14:textId="771555ED" w:rsidR="00BC08F5" w:rsidRDefault="00BC08F5" w:rsidP="00BC08F5">
      <w:pPr>
        <w:pStyle w:val="CEABullet-Level1"/>
      </w:pPr>
      <w:r w:rsidRPr="00BC08F5">
        <w:t>The revision of the ITS on supervisory reporting in the current review of Solvency II, specifically taxonomy 2.10.0, should prioriti</w:t>
      </w:r>
      <w:r w:rsidR="00ED68C5">
        <w:t>s</w:t>
      </w:r>
      <w:r w:rsidRPr="00BC08F5">
        <w:t>e reducing the reporting burden rather than introducing new templates. Changes to existing templates should be minimi</w:t>
      </w:r>
      <w:r>
        <w:t>s</w:t>
      </w:r>
      <w:r w:rsidRPr="00BC08F5">
        <w:t>ed unless they significantly reduce the reporting burden. Adding new templates or data points increases the administrative burden and raises costs associated with data production, quality checks, and reporting. For instance, the introduction of taxonomy 2.8.0 has increased the reporting burden rather than alleviating it.</w:t>
      </w:r>
    </w:p>
    <w:p w14:paraId="5199CC47" w14:textId="74DD6B1A" w:rsidR="00635388" w:rsidRDefault="00B172FD" w:rsidP="00B172FD">
      <w:pPr>
        <w:pStyle w:val="CEABullet-Level1"/>
      </w:pPr>
      <w:r w:rsidRPr="00B172FD">
        <w:t>Documentation on the usefulness of every template</w:t>
      </w:r>
      <w:r w:rsidR="004C4084">
        <w:t>, including an explanation on why this template is necessary,</w:t>
      </w:r>
      <w:r w:rsidRPr="00B172FD">
        <w:t xml:space="preserve"> would enhance transparency and prioriti</w:t>
      </w:r>
      <w:r>
        <w:t>s</w:t>
      </w:r>
      <w:r w:rsidRPr="00B172FD">
        <w:t>ation.</w:t>
      </w:r>
    </w:p>
    <w:p w14:paraId="753AD1CD" w14:textId="714EF4B0" w:rsidR="00304153" w:rsidRDefault="00304153" w:rsidP="00304153">
      <w:pPr>
        <w:pStyle w:val="CEABullet-Level1"/>
      </w:pPr>
      <w:r>
        <w:t xml:space="preserve">Measures to change the content of reports (including S.29 reports) should be avoided as much as possible: indeed, most processing is now </w:t>
      </w:r>
      <w:r w:rsidRPr="008227CF">
        <w:t>automated</w:t>
      </w:r>
      <w:r>
        <w:t xml:space="preserve"> and therefore changing the QRT content could lead to additional workload.</w:t>
      </w:r>
    </w:p>
    <w:p w14:paraId="7A5DAC4B" w14:textId="270BD983" w:rsidR="007A1A6B" w:rsidRPr="006005FD" w:rsidRDefault="00CC33DD" w:rsidP="007A1A6B">
      <w:pPr>
        <w:pStyle w:val="CEABullet-Level1"/>
      </w:pPr>
      <w:r>
        <w:t xml:space="preserve">Monthly reporting, as is potentially envisaged for </w:t>
      </w:r>
      <w:r w:rsidR="00BB15F7">
        <w:t xml:space="preserve">ECB </w:t>
      </w:r>
      <w:r w:rsidR="009A79EB" w:rsidRPr="009A79EB">
        <w:t>Securities Holdings Statistics</w:t>
      </w:r>
      <w:r>
        <w:t xml:space="preserve"> reporting should be avoided. </w:t>
      </w:r>
      <w:r w:rsidR="007A1A6B">
        <w:t>This does not align with the objective to reduce reporting. Instead, the required request from ECB should be limited to already available information and the reporting frequency should be maintained.</w:t>
      </w:r>
    </w:p>
    <w:p w14:paraId="43DD28AC" w14:textId="76A7AE0E" w:rsidR="00CC33DD" w:rsidRDefault="00CC33DD" w:rsidP="008227CF">
      <w:pPr>
        <w:pStyle w:val="CEABullet-Level1"/>
        <w:numPr>
          <w:ilvl w:val="0"/>
          <w:numId w:val="0"/>
        </w:numPr>
        <w:ind w:left="720"/>
      </w:pPr>
    </w:p>
    <w:p w14:paraId="4EB82749" w14:textId="77777777" w:rsidR="00186207" w:rsidRDefault="00186207" w:rsidP="00186207">
      <w:pPr>
        <w:pStyle w:val="CEABullet-Level1"/>
        <w:numPr>
          <w:ilvl w:val="0"/>
          <w:numId w:val="0"/>
        </w:numPr>
        <w:ind w:left="720"/>
      </w:pPr>
    </w:p>
    <w:p w14:paraId="04A4EEF9" w14:textId="04F058DB" w:rsidR="00C05BDA" w:rsidRPr="00513B7B" w:rsidRDefault="0053167E" w:rsidP="00387BAC">
      <w:pPr>
        <w:pStyle w:val="Nadpis2"/>
        <w:numPr>
          <w:ilvl w:val="0"/>
          <w:numId w:val="5"/>
        </w:numPr>
        <w:rPr>
          <w:sz w:val="22"/>
          <w:szCs w:val="22"/>
        </w:rPr>
      </w:pPr>
      <w:r w:rsidRPr="00513B7B">
        <w:rPr>
          <w:sz w:val="22"/>
          <w:szCs w:val="22"/>
        </w:rPr>
        <w:t xml:space="preserve">Template reduction and elimination </w:t>
      </w:r>
    </w:p>
    <w:p w14:paraId="49731BF6" w14:textId="77777777" w:rsidR="00740999" w:rsidRDefault="00740999" w:rsidP="00C05BDA">
      <w:pPr>
        <w:pStyle w:val="CEABullet-Level1"/>
        <w:numPr>
          <w:ilvl w:val="0"/>
          <w:numId w:val="0"/>
        </w:numPr>
        <w:rPr>
          <w:b/>
          <w:bCs/>
        </w:rPr>
      </w:pPr>
    </w:p>
    <w:p w14:paraId="4A4F97A0" w14:textId="1B4AEA86" w:rsidR="00EE2349" w:rsidRDefault="00EE2349" w:rsidP="00EE2349">
      <w:pPr>
        <w:pStyle w:val="CEABullet-Level1"/>
        <w:numPr>
          <w:ilvl w:val="0"/>
          <w:numId w:val="0"/>
        </w:numPr>
      </w:pPr>
      <w:r w:rsidRPr="00EE2349">
        <w:t>To streamline regulatory reporting and reduce unnecessary burdens, this section outlines targeted measures for the reduction and elimination of redundant, overlapping, and non-core templates, while proposing adjustments to quarterly reporting practices for enhanced efficiency.</w:t>
      </w:r>
    </w:p>
    <w:p w14:paraId="68D50C4E" w14:textId="77777777" w:rsidR="00EE2349" w:rsidRPr="00EE2349" w:rsidRDefault="00EE2349" w:rsidP="00EE2349">
      <w:pPr>
        <w:pStyle w:val="CEABullet-Level1"/>
        <w:numPr>
          <w:ilvl w:val="0"/>
          <w:numId w:val="0"/>
        </w:numPr>
      </w:pPr>
    </w:p>
    <w:p w14:paraId="3F900ABB" w14:textId="77777777" w:rsidR="00843D83" w:rsidRPr="00CC581C" w:rsidRDefault="00843D83" w:rsidP="00843D83">
      <w:pPr>
        <w:pStyle w:val="CEABullet-Level1"/>
        <w:numPr>
          <w:ilvl w:val="0"/>
          <w:numId w:val="0"/>
        </w:numPr>
        <w:rPr>
          <w:b/>
          <w:bCs/>
        </w:rPr>
      </w:pPr>
      <w:r w:rsidRPr="00CC581C">
        <w:rPr>
          <w:b/>
          <w:bCs/>
        </w:rPr>
        <w:t>Quarterly reporting</w:t>
      </w:r>
    </w:p>
    <w:p w14:paraId="13F882AD" w14:textId="77777777" w:rsidR="00843D83" w:rsidRPr="00C14846" w:rsidRDefault="00843D83" w:rsidP="00843D83">
      <w:pPr>
        <w:pStyle w:val="CEABullet-Level1"/>
        <w:rPr>
          <w:lang w:eastAsia="en-GB"/>
        </w:rPr>
      </w:pPr>
      <w:r w:rsidRPr="00C14846">
        <w:rPr>
          <w:lang w:eastAsia="en-GB"/>
        </w:rPr>
        <w:t>Abolish Q4 Reporting:</w:t>
      </w:r>
    </w:p>
    <w:p w14:paraId="3FB9D90D" w14:textId="77777777" w:rsidR="00843D83" w:rsidRDefault="00843D83" w:rsidP="00843D83">
      <w:pPr>
        <w:pStyle w:val="CEABullet-Level2"/>
      </w:pPr>
      <w:r>
        <w:t xml:space="preserve">Q4 reporting should be stopped, it places a major reporting burden on companies at a busy time of the year which is unnecessary and disproportionate given the information which becomes available from the annual reporting. </w:t>
      </w:r>
    </w:p>
    <w:p w14:paraId="453036E7" w14:textId="7DC70BE6" w:rsidR="00843D83" w:rsidRPr="000201D6" w:rsidRDefault="00843D83">
      <w:pPr>
        <w:pStyle w:val="CEABullet-Level3"/>
        <w:rPr>
          <w:lang w:eastAsia="en-GB"/>
        </w:rPr>
      </w:pPr>
      <w:r w:rsidRPr="00C53946">
        <w:rPr>
          <w:lang w:eastAsia="en-GB"/>
        </w:rPr>
        <w:t xml:space="preserve">The Q4 reporting cycle heavily overlaps with year-end reporting templates, such as S.02.01 (Balance Sheet), S.23.01 (Own Funds), and </w:t>
      </w:r>
      <w:r>
        <w:rPr>
          <w:lang w:eastAsia="en-GB"/>
        </w:rPr>
        <w:t>S.27/</w:t>
      </w:r>
      <w:r w:rsidRPr="00C53946">
        <w:rPr>
          <w:lang w:eastAsia="en-GB"/>
        </w:rPr>
        <w:t>S.28.01 (SCR/MCR)</w:t>
      </w:r>
      <w:r w:rsidR="006128FA" w:rsidRPr="006128FA">
        <w:rPr>
          <w:rFonts w:cs="Times New Roman"/>
          <w:color w:val="auto"/>
          <w:szCs w:val="24"/>
        </w:rPr>
        <w:t xml:space="preserve"> </w:t>
      </w:r>
      <w:r w:rsidR="006128FA" w:rsidRPr="006128FA">
        <w:rPr>
          <w:lang w:eastAsia="en-GB"/>
        </w:rPr>
        <w:t xml:space="preserve">and places undue pressure due to </w:t>
      </w:r>
      <w:r w:rsidR="0072725E">
        <w:rPr>
          <w:lang w:eastAsia="en-GB"/>
        </w:rPr>
        <w:t>th</w:t>
      </w:r>
      <w:r w:rsidRPr="000201D6">
        <w:rPr>
          <w:lang w:eastAsia="en-GB"/>
        </w:rPr>
        <w:t>e tight deadlines, the parallelism with the annual financial statements and the fact that all stakeholders are focussing more on year-end reporting</w:t>
      </w:r>
    </w:p>
    <w:p w14:paraId="65B703C6" w14:textId="77777777" w:rsidR="00843D83" w:rsidRDefault="00843D83" w:rsidP="00843D83">
      <w:pPr>
        <w:pStyle w:val="CEABullet-Level2"/>
        <w:rPr>
          <w:lang w:eastAsia="en-GB"/>
        </w:rPr>
      </w:pPr>
      <w:r w:rsidRPr="00C53946">
        <w:rPr>
          <w:lang w:eastAsia="en-GB"/>
        </w:rPr>
        <w:t>Removing Q4 reporting would reduce unnecessary burdens during the resource-intensive year-end period without compromising the sector’s ability to monitor risks.</w:t>
      </w:r>
    </w:p>
    <w:p w14:paraId="3918A430" w14:textId="77777777" w:rsidR="00843D83" w:rsidRPr="0081435D" w:rsidRDefault="00843D83" w:rsidP="00843D83">
      <w:pPr>
        <w:rPr>
          <w:lang w:eastAsia="en-GB"/>
        </w:rPr>
      </w:pPr>
    </w:p>
    <w:p w14:paraId="015F9670" w14:textId="77777777" w:rsidR="00843D83" w:rsidRDefault="00843D83" w:rsidP="00843D83">
      <w:pPr>
        <w:pStyle w:val="CEABullet-Level1"/>
        <w:rPr>
          <w:lang w:eastAsia="en-GB"/>
        </w:rPr>
      </w:pPr>
      <w:r>
        <w:rPr>
          <w:lang w:eastAsia="en-GB"/>
        </w:rPr>
        <w:t>Where possible move from quarterly to annual reporting and focus quarterly reporting on core elements:</w:t>
      </w:r>
    </w:p>
    <w:p w14:paraId="4B1B07BA" w14:textId="77777777" w:rsidR="00843D83" w:rsidRDefault="00843D83" w:rsidP="00843D83">
      <w:pPr>
        <w:pStyle w:val="CEABullet-Level2"/>
        <w:rPr>
          <w:lang w:eastAsia="en-GB"/>
        </w:rPr>
      </w:pPr>
      <w:r>
        <w:rPr>
          <w:lang w:eastAsia="en-GB"/>
        </w:rPr>
        <w:t xml:space="preserve">Limit quarterly reporting to key solvency data, such as S.28 (MCR) and S.23 (Own Funds). </w:t>
      </w:r>
    </w:p>
    <w:p w14:paraId="67043785" w14:textId="77777777" w:rsidR="00843D83" w:rsidRDefault="00843D83" w:rsidP="00843D83">
      <w:pPr>
        <w:pStyle w:val="CEABullet-Level2"/>
        <w:rPr>
          <w:lang w:eastAsia="en-GB"/>
        </w:rPr>
      </w:pPr>
      <w:r>
        <w:rPr>
          <w:lang w:eastAsia="en-GB"/>
        </w:rPr>
        <w:t xml:space="preserve">Templates like S.04.01 (Premiums, Claims, and Expenses), S.05.01 (Premiums, Claims, and Expenses by </w:t>
      </w:r>
      <w:proofErr w:type="spellStart"/>
      <w:r>
        <w:rPr>
          <w:lang w:eastAsia="en-GB"/>
        </w:rPr>
        <w:t>LoB</w:t>
      </w:r>
      <w:proofErr w:type="spellEnd"/>
      <w:r>
        <w:rPr>
          <w:lang w:eastAsia="en-GB"/>
        </w:rPr>
        <w:t>), S.06.02 (List of assets), and S.06.03 (</w:t>
      </w:r>
      <w:r w:rsidRPr="0081435D">
        <w:rPr>
          <w:lang w:eastAsia="en-GB"/>
        </w:rPr>
        <w:t>Collective investment undertakings - look-through approach</w:t>
      </w:r>
      <w:r>
        <w:rPr>
          <w:lang w:eastAsia="en-GB"/>
        </w:rPr>
        <w:t>) should be transitioned to annual reporting to reduce frequency and complexity.</w:t>
      </w:r>
    </w:p>
    <w:p w14:paraId="27D2E387" w14:textId="77777777" w:rsidR="00843D83" w:rsidRDefault="00843D83" w:rsidP="00843D83">
      <w:pPr>
        <w:pStyle w:val="CEABullet-Level2"/>
        <w:rPr>
          <w:lang w:eastAsia="en-GB"/>
        </w:rPr>
      </w:pPr>
      <w:r>
        <w:rPr>
          <w:lang w:eastAsia="en-GB"/>
        </w:rPr>
        <w:t>Make financial stability reporting annual</w:t>
      </w:r>
    </w:p>
    <w:p w14:paraId="606F6F55" w14:textId="77777777" w:rsidR="00843D83" w:rsidRPr="00C639B7" w:rsidRDefault="00843D83" w:rsidP="00843D83">
      <w:pPr>
        <w:pStyle w:val="CEABullet-Level2"/>
        <w:rPr>
          <w:lang w:eastAsia="en-GB"/>
        </w:rPr>
      </w:pPr>
      <w:r>
        <w:rPr>
          <w:lang w:eastAsia="en-GB"/>
        </w:rPr>
        <w:t>R</w:t>
      </w:r>
      <w:r w:rsidRPr="009B4D7C">
        <w:rPr>
          <w:lang w:eastAsia="en-GB"/>
        </w:rPr>
        <w:t>eporting full details for every asset in the investment portfolio each quarter is excessive. Instead, prices for existing assets should be updated quarterly, and full details should only be provided for new additions during the reporting period.</w:t>
      </w:r>
    </w:p>
    <w:p w14:paraId="2E0F000C" w14:textId="77777777" w:rsidR="00843D83" w:rsidRDefault="00843D83" w:rsidP="00843D83">
      <w:pPr>
        <w:rPr>
          <w:lang w:eastAsia="en-GB"/>
        </w:rPr>
      </w:pPr>
    </w:p>
    <w:p w14:paraId="4D2798F5" w14:textId="6CE5DD99" w:rsidR="00B172FD" w:rsidRPr="00CC581C" w:rsidRDefault="00B67B3D" w:rsidP="00C05BDA">
      <w:pPr>
        <w:pStyle w:val="CEABullet-Level1"/>
        <w:numPr>
          <w:ilvl w:val="0"/>
          <w:numId w:val="0"/>
        </w:numPr>
        <w:rPr>
          <w:b/>
          <w:bCs/>
        </w:rPr>
      </w:pPr>
      <w:r w:rsidRPr="00CC581C">
        <w:rPr>
          <w:b/>
          <w:bCs/>
        </w:rPr>
        <w:t>Redundant templates</w:t>
      </w:r>
    </w:p>
    <w:p w14:paraId="16FBC2A1" w14:textId="73BABE43" w:rsidR="00B67B3D" w:rsidRDefault="00C05BDA" w:rsidP="00C05BDA">
      <w:pPr>
        <w:pStyle w:val="CEABullet-Level1"/>
      </w:pPr>
      <w:r>
        <w:t xml:space="preserve">Remove templates </w:t>
      </w:r>
      <w:r w:rsidR="00272968">
        <w:t xml:space="preserve">replicating annual report data </w:t>
      </w:r>
    </w:p>
    <w:p w14:paraId="1587DCE4" w14:textId="1C8BACA0" w:rsidR="00B67B3D" w:rsidRDefault="00264F98" w:rsidP="00272968">
      <w:pPr>
        <w:pStyle w:val="CEABullet-Level2"/>
      </w:pPr>
      <w:r w:rsidRPr="00264F98">
        <w:t xml:space="preserve">Templates such as </w:t>
      </w:r>
      <w:r w:rsidR="00272968" w:rsidRPr="00272968">
        <w:t>S.03.01 (Off-balance sheet items</w:t>
      </w:r>
      <w:r w:rsidR="00660C62">
        <w:t xml:space="preserve"> - general</w:t>
      </w:r>
      <w:r w:rsidR="00272968" w:rsidRPr="00272968">
        <w:t>) and S.39.01 (</w:t>
      </w:r>
      <w:r w:rsidR="00B63740" w:rsidRPr="00264F98">
        <w:t xml:space="preserve">Profit and Loss </w:t>
      </w:r>
      <w:r w:rsidRPr="00264F98">
        <w:t xml:space="preserve">- </w:t>
      </w:r>
      <w:r w:rsidR="00272968" w:rsidRPr="00264F98" w:rsidDel="00B63740">
        <w:t>Other assets</w:t>
      </w:r>
      <w:r w:rsidRPr="00264F98">
        <w:t>) provide data already covered in annual reports and should be eliminated to avoid duplication.</w:t>
      </w:r>
    </w:p>
    <w:p w14:paraId="4947A2B7" w14:textId="77777777" w:rsidR="00B67B3D" w:rsidRDefault="00B67B3D" w:rsidP="00B43C14">
      <w:pPr>
        <w:pStyle w:val="CEABullet-Level1"/>
        <w:numPr>
          <w:ilvl w:val="0"/>
          <w:numId w:val="0"/>
        </w:numPr>
        <w:ind w:left="720" w:hanging="360"/>
      </w:pPr>
    </w:p>
    <w:p w14:paraId="3C784127" w14:textId="307319A8" w:rsidR="00B67B3D" w:rsidRDefault="00272968" w:rsidP="00272968">
      <w:pPr>
        <w:pStyle w:val="CEABullet-Level1"/>
      </w:pPr>
      <w:r>
        <w:t xml:space="preserve">Remove </w:t>
      </w:r>
      <w:r w:rsidR="00CC581C">
        <w:t>overlapping templates</w:t>
      </w:r>
    </w:p>
    <w:p w14:paraId="2E4CA3D2" w14:textId="1889A0B3" w:rsidR="00591D06" w:rsidRDefault="00591D06" w:rsidP="00591D06">
      <w:pPr>
        <w:pStyle w:val="CEABullet-Level2"/>
      </w:pPr>
      <w:r w:rsidRPr="00591D06">
        <w:t>Templates like S.23.03</w:t>
      </w:r>
      <w:r w:rsidR="007A5986">
        <w:t xml:space="preserve"> (</w:t>
      </w:r>
      <w:r w:rsidR="007A5986" w:rsidRPr="007A5986">
        <w:t>Annual movements on own funds</w:t>
      </w:r>
      <w:r w:rsidR="007A5986">
        <w:t>)</w:t>
      </w:r>
      <w:r w:rsidRPr="00591D06">
        <w:t xml:space="preserve"> and S.23.04 </w:t>
      </w:r>
      <w:r w:rsidR="007A5986">
        <w:t>(</w:t>
      </w:r>
      <w:r w:rsidR="007A5986" w:rsidRPr="007A5986">
        <w:t>List of items on own funds</w:t>
      </w:r>
      <w:r w:rsidR="007A5986">
        <w:t xml:space="preserve">) </w:t>
      </w:r>
      <w:r w:rsidRPr="00591D06">
        <w:t>overlap significantly with existing templates on own funds and tier classifications. Eliminating these redundancies will streamline reporting processes.</w:t>
      </w:r>
    </w:p>
    <w:p w14:paraId="5E15B98B" w14:textId="77777777" w:rsidR="00843D83" w:rsidRPr="00843D83" w:rsidRDefault="00843D83" w:rsidP="00843D83"/>
    <w:p w14:paraId="28DDEFFD" w14:textId="14F381C7" w:rsidR="008E5422" w:rsidRDefault="008E5422" w:rsidP="00E92FA7">
      <w:pPr>
        <w:pStyle w:val="CEABullet-Level1"/>
      </w:pPr>
      <w:r w:rsidRPr="008E5422">
        <w:t>Simplify non-core reporting</w:t>
      </w:r>
    </w:p>
    <w:p w14:paraId="4AAF0B5C" w14:textId="2E3E913B" w:rsidR="00E92FA7" w:rsidRDefault="003D2A8F" w:rsidP="0060489C">
      <w:pPr>
        <w:pStyle w:val="CEABullet-Level2"/>
      </w:pPr>
      <w:r w:rsidRPr="003D2A8F">
        <w:t>"</w:t>
      </w:r>
      <w:r w:rsidR="00565892" w:rsidRPr="00565892">
        <w:t>Non-core</w:t>
      </w:r>
      <w:r w:rsidRPr="003D2A8F">
        <w:t>"</w:t>
      </w:r>
      <w:r w:rsidR="00565892" w:rsidRPr="00565892">
        <w:t xml:space="preserve"> templates or stable data should only be reported when </w:t>
      </w:r>
      <w:r w:rsidRPr="003D2A8F">
        <w:t>there are material changes</w:t>
      </w:r>
      <w:r w:rsidR="00565892" w:rsidRPr="00565892">
        <w:t>, such as updates to company details</w:t>
      </w:r>
      <w:r w:rsidRPr="003D2A8F">
        <w:t>. For instance,</w:t>
      </w:r>
      <w:r w:rsidR="00565892" w:rsidRPr="00565892">
        <w:t xml:space="preserve"> QRT S.01.02.01 (Basic Information – General</w:t>
      </w:r>
      <w:r w:rsidRPr="003D2A8F">
        <w:t xml:space="preserve">) should only require updates under specific conditions. </w:t>
      </w:r>
    </w:p>
    <w:p w14:paraId="0914FDD9" w14:textId="2C2216AA" w:rsidR="00CC581C" w:rsidRPr="00CC581C" w:rsidRDefault="00CC581C" w:rsidP="00CC581C">
      <w:pPr>
        <w:pStyle w:val="CEABullet-Level1"/>
      </w:pPr>
      <w:r w:rsidRPr="00CC581C">
        <w:t xml:space="preserve">Align Group and Solo </w:t>
      </w:r>
      <w:r>
        <w:t>t</w:t>
      </w:r>
      <w:r w:rsidRPr="00CC581C">
        <w:t>emplates:</w:t>
      </w:r>
    </w:p>
    <w:p w14:paraId="74A81F63" w14:textId="5C0B55A0" w:rsidR="00BA41D0" w:rsidRPr="00BA41D0" w:rsidRDefault="00723C8C" w:rsidP="0060489C">
      <w:pPr>
        <w:pStyle w:val="CEABullet-Level2"/>
      </w:pPr>
      <w:r w:rsidRPr="00723C8C">
        <w:t>Group QRTs and solo QRTs that capture nearly identical data should be harmoni</w:t>
      </w:r>
      <w:r>
        <w:t>s</w:t>
      </w:r>
      <w:r w:rsidRPr="00723C8C">
        <w:t>ed to minimi</w:t>
      </w:r>
      <w:r w:rsidR="00ED68C5">
        <w:t>s</w:t>
      </w:r>
      <w:r w:rsidRPr="00723C8C">
        <w:t>e duplication, fostering consistency and efficiency.</w:t>
      </w:r>
    </w:p>
    <w:p w14:paraId="0CB65D18" w14:textId="77777777" w:rsidR="002765C7" w:rsidRPr="005E63C0" w:rsidRDefault="002765C7" w:rsidP="005E63C0">
      <w:pPr>
        <w:rPr>
          <w:lang w:eastAsia="en-GB"/>
        </w:rPr>
      </w:pPr>
    </w:p>
    <w:p w14:paraId="53743C43" w14:textId="4EE02A97" w:rsidR="00B67B3D" w:rsidRDefault="00AF0D05" w:rsidP="00387BAC">
      <w:pPr>
        <w:pStyle w:val="Nadpis2"/>
        <w:numPr>
          <w:ilvl w:val="0"/>
          <w:numId w:val="5"/>
        </w:numPr>
        <w:rPr>
          <w:sz w:val="22"/>
          <w:szCs w:val="22"/>
        </w:rPr>
      </w:pPr>
      <w:r w:rsidRPr="005E63C0">
        <w:rPr>
          <w:sz w:val="22"/>
          <w:szCs w:val="22"/>
        </w:rPr>
        <w:t>Granularity and proportionality</w:t>
      </w:r>
    </w:p>
    <w:p w14:paraId="10CA2FE3" w14:textId="7BB01A64" w:rsidR="002C172D" w:rsidRDefault="00657AD1" w:rsidP="00657AD1">
      <w:r w:rsidRPr="00657AD1">
        <w:t>To enhance efficiency and reduce unnecessary burdens in regulatory reporting, this section emphasi</w:t>
      </w:r>
      <w:r>
        <w:t>s</w:t>
      </w:r>
      <w:r w:rsidRPr="00657AD1">
        <w:t>es the importance of focusing on material data and applying proportionality principles. By reducing excessive granularity and revising materiality thresholds, insurers can streamline their reporting processes while maintaining meaningful oversight.</w:t>
      </w:r>
    </w:p>
    <w:p w14:paraId="793E0057" w14:textId="77777777" w:rsidR="00657AD1" w:rsidRPr="002C172D" w:rsidRDefault="00657AD1" w:rsidP="00657AD1"/>
    <w:p w14:paraId="7594864F" w14:textId="1A45E723" w:rsidR="00B67B3D" w:rsidRPr="00DD2514" w:rsidRDefault="00940507" w:rsidP="00094174">
      <w:pPr>
        <w:pStyle w:val="CEABullet-Level1"/>
        <w:numPr>
          <w:ilvl w:val="0"/>
          <w:numId w:val="0"/>
        </w:numPr>
        <w:rPr>
          <w:b/>
          <w:bCs/>
        </w:rPr>
      </w:pPr>
      <w:r w:rsidRPr="00DD2514">
        <w:rPr>
          <w:b/>
          <w:bCs/>
        </w:rPr>
        <w:t>Avoid excessive detail</w:t>
      </w:r>
    </w:p>
    <w:p w14:paraId="72B419D3" w14:textId="4A3616C3" w:rsidR="00DD2514" w:rsidRPr="00DD2514" w:rsidRDefault="00DD2514" w:rsidP="00DD2514">
      <w:pPr>
        <w:pStyle w:val="CEABullet-Level1"/>
        <w:rPr>
          <w:lang w:eastAsia="en-GB"/>
        </w:rPr>
      </w:pPr>
      <w:r w:rsidRPr="00DD2514">
        <w:rPr>
          <w:lang w:eastAsia="en-GB"/>
        </w:rPr>
        <w:t>Reduce Granularity:</w:t>
      </w:r>
    </w:p>
    <w:p w14:paraId="5A8C5FDE" w14:textId="77777777" w:rsidR="00BF5D9F" w:rsidRDefault="00BF5D9F" w:rsidP="00BF5D9F">
      <w:pPr>
        <w:pStyle w:val="CEABullet-Level2"/>
        <w:rPr>
          <w:lang w:eastAsia="en-GB"/>
        </w:rPr>
      </w:pPr>
      <w:r w:rsidRPr="00BF5D9F">
        <w:rPr>
          <w:lang w:eastAsia="en-GB"/>
        </w:rPr>
        <w:lastRenderedPageBreak/>
        <w:t xml:space="preserve">Templates such as </w:t>
      </w:r>
      <w:r w:rsidRPr="00BF5D9F">
        <w:rPr>
          <w:b/>
          <w:bCs/>
          <w:lang w:eastAsia="en-GB"/>
        </w:rPr>
        <w:t>S.36.01</w:t>
      </w:r>
      <w:r w:rsidRPr="00BF5D9F">
        <w:rPr>
          <w:lang w:eastAsia="en-GB"/>
        </w:rPr>
        <w:t xml:space="preserve"> (Intragroup Transactions - Equity-type transactions, debt, and asset transfer) and </w:t>
      </w:r>
      <w:r w:rsidRPr="00BF5D9F">
        <w:rPr>
          <w:b/>
          <w:bCs/>
          <w:lang w:eastAsia="en-GB"/>
        </w:rPr>
        <w:t>S.37.01</w:t>
      </w:r>
      <w:r w:rsidRPr="00BF5D9F">
        <w:rPr>
          <w:lang w:eastAsia="en-GB"/>
        </w:rPr>
        <w:t xml:space="preserve"> (Risk concentration) require reporting at a highly granular level. These should be revised to focus on material data only, avoiding unnecessary detail.</w:t>
      </w:r>
    </w:p>
    <w:p w14:paraId="025ECC6E" w14:textId="72F59F58" w:rsidR="00DD2514" w:rsidRPr="00DD2514" w:rsidRDefault="00DD2514" w:rsidP="00DD2514">
      <w:pPr>
        <w:pStyle w:val="CEABullet-Level1"/>
        <w:rPr>
          <w:lang w:eastAsia="en-GB"/>
        </w:rPr>
      </w:pPr>
      <w:r w:rsidRPr="00DD2514">
        <w:rPr>
          <w:lang w:eastAsia="en-GB"/>
        </w:rPr>
        <w:t xml:space="preserve">Proportionality for </w:t>
      </w:r>
      <w:r w:rsidR="00EF0E36">
        <w:rPr>
          <w:lang w:eastAsia="en-GB"/>
        </w:rPr>
        <w:t>s</w:t>
      </w:r>
      <w:r w:rsidRPr="00DD2514">
        <w:rPr>
          <w:lang w:eastAsia="en-GB"/>
        </w:rPr>
        <w:t xml:space="preserve">mall </w:t>
      </w:r>
      <w:r w:rsidR="00EF0E36">
        <w:rPr>
          <w:lang w:eastAsia="en-GB"/>
        </w:rPr>
        <w:t>e</w:t>
      </w:r>
      <w:r w:rsidRPr="00DD2514">
        <w:rPr>
          <w:lang w:eastAsia="en-GB"/>
        </w:rPr>
        <w:t>ntities:</w:t>
      </w:r>
    </w:p>
    <w:p w14:paraId="15304238" w14:textId="77777777" w:rsidR="008C16F6" w:rsidRDefault="002356EF" w:rsidP="002356EF">
      <w:pPr>
        <w:pStyle w:val="CEABullet-Level2"/>
        <w:rPr>
          <w:lang w:eastAsia="en-GB"/>
        </w:rPr>
      </w:pPr>
      <w:r w:rsidRPr="002356EF">
        <w:rPr>
          <w:lang w:eastAsia="en-GB"/>
        </w:rPr>
        <w:t xml:space="preserve">Introduce thresholds to exempt small or immaterial entities from detailed reporting. For example, non-material participations in group-level templates could be consolidated. </w:t>
      </w:r>
    </w:p>
    <w:p w14:paraId="7BF555F3" w14:textId="32285DC8" w:rsidR="002C744C" w:rsidRPr="002C744C" w:rsidRDefault="002C744C" w:rsidP="002356EF">
      <w:pPr>
        <w:pStyle w:val="CEABullet-Level2"/>
        <w:rPr>
          <w:lang w:eastAsia="en-GB"/>
        </w:rPr>
      </w:pPr>
      <w:r w:rsidRPr="002C744C">
        <w:rPr>
          <w:lang w:eastAsia="en-GB"/>
        </w:rPr>
        <w:t xml:space="preserve">SNCU firms should have the option to limit </w:t>
      </w:r>
      <w:r w:rsidR="002356EF" w:rsidRPr="002356EF">
        <w:rPr>
          <w:lang w:eastAsia="en-GB"/>
        </w:rPr>
        <w:t xml:space="preserve">their </w:t>
      </w:r>
      <w:r w:rsidRPr="002C744C">
        <w:rPr>
          <w:lang w:eastAsia="en-GB"/>
        </w:rPr>
        <w:t xml:space="preserve">QRT submissions to those </w:t>
      </w:r>
      <w:r w:rsidR="002356EF" w:rsidRPr="002356EF">
        <w:rPr>
          <w:lang w:eastAsia="en-GB"/>
        </w:rPr>
        <w:t>included</w:t>
      </w:r>
      <w:r w:rsidRPr="002C744C">
        <w:rPr>
          <w:lang w:eastAsia="en-GB"/>
        </w:rPr>
        <w:t xml:space="preserve"> in current SFCR templates, with the addition of </w:t>
      </w:r>
      <w:r w:rsidR="002356EF" w:rsidRPr="002356EF">
        <w:rPr>
          <w:lang w:eastAsia="en-GB"/>
        </w:rPr>
        <w:t>specific</w:t>
      </w:r>
      <w:r w:rsidRPr="002C744C">
        <w:rPr>
          <w:lang w:eastAsia="en-GB"/>
        </w:rPr>
        <w:t xml:space="preserve"> asset look-through and intercompany templates where outsourcing </w:t>
      </w:r>
      <w:r w:rsidR="002356EF" w:rsidRPr="002356EF">
        <w:rPr>
          <w:lang w:eastAsia="en-GB"/>
        </w:rPr>
        <w:t>arrangements are utili</w:t>
      </w:r>
      <w:r w:rsidR="008C16F6">
        <w:rPr>
          <w:lang w:eastAsia="en-GB"/>
        </w:rPr>
        <w:t>s</w:t>
      </w:r>
      <w:r w:rsidR="002356EF" w:rsidRPr="002356EF">
        <w:rPr>
          <w:lang w:eastAsia="en-GB"/>
        </w:rPr>
        <w:t>ed.</w:t>
      </w:r>
    </w:p>
    <w:p w14:paraId="033E9959" w14:textId="70CA203C" w:rsidR="00F2457E" w:rsidRDefault="00F2457E" w:rsidP="00F2457E">
      <w:pPr>
        <w:pStyle w:val="CEABullet-Level1"/>
        <w:rPr>
          <w:lang w:eastAsia="en-GB"/>
        </w:rPr>
      </w:pPr>
      <w:r w:rsidRPr="00171983">
        <w:rPr>
          <w:lang w:eastAsia="en-GB"/>
        </w:rPr>
        <w:t>H</w:t>
      </w:r>
      <w:r>
        <w:rPr>
          <w:lang w:eastAsia="en-GB"/>
        </w:rPr>
        <w:t xml:space="preserve">omogeneous </w:t>
      </w:r>
      <w:r w:rsidRPr="00171983">
        <w:rPr>
          <w:lang w:eastAsia="en-GB"/>
        </w:rPr>
        <w:t>R</w:t>
      </w:r>
      <w:r>
        <w:rPr>
          <w:lang w:eastAsia="en-GB"/>
        </w:rPr>
        <w:t xml:space="preserve">isk </w:t>
      </w:r>
      <w:r w:rsidRPr="00171983">
        <w:rPr>
          <w:lang w:eastAsia="en-GB"/>
        </w:rPr>
        <w:t>G</w:t>
      </w:r>
      <w:r>
        <w:rPr>
          <w:lang w:eastAsia="en-GB"/>
        </w:rPr>
        <w:t>roup</w:t>
      </w:r>
      <w:r w:rsidR="00B82439">
        <w:rPr>
          <w:lang w:eastAsia="en-GB"/>
        </w:rPr>
        <w:t xml:space="preserve"> (HRG)</w:t>
      </w:r>
      <w:r w:rsidRPr="00171983">
        <w:rPr>
          <w:lang w:eastAsia="en-GB"/>
        </w:rPr>
        <w:t xml:space="preserve"> reporting </w:t>
      </w:r>
    </w:p>
    <w:p w14:paraId="4FE21A8C" w14:textId="39D70860" w:rsidR="00F2457E" w:rsidRPr="00171983" w:rsidRDefault="00F2457E" w:rsidP="00F2457E">
      <w:pPr>
        <w:pStyle w:val="CEABullet-Level2"/>
        <w:rPr>
          <w:lang w:eastAsia="en-GB"/>
        </w:rPr>
      </w:pPr>
      <w:r w:rsidRPr="00171983">
        <w:rPr>
          <w:lang w:eastAsia="en-GB"/>
        </w:rPr>
        <w:t xml:space="preserve">Require justifications for HRG-specific reporting only when the Best Estimate (BE) for an HRG exceeds specific thresholds (e.g., below </w:t>
      </w:r>
      <w:r w:rsidRPr="00171983">
        <w:rPr>
          <w:b/>
          <w:bCs/>
          <w:lang w:eastAsia="en-GB"/>
        </w:rPr>
        <w:t>x%</w:t>
      </w:r>
      <w:r w:rsidRPr="00171983">
        <w:rPr>
          <w:lang w:eastAsia="en-GB"/>
        </w:rPr>
        <w:t xml:space="preserve"> of total BE or does not exceed </w:t>
      </w:r>
      <w:r w:rsidRPr="00171983">
        <w:rPr>
          <w:b/>
          <w:bCs/>
          <w:lang w:eastAsia="en-GB"/>
        </w:rPr>
        <w:t>y EUR</w:t>
      </w:r>
      <w:r w:rsidRPr="00171983">
        <w:rPr>
          <w:lang w:eastAsia="en-GB"/>
        </w:rPr>
        <w:t>). This approach can eliminate unnecessary templates where HRG reporting is less material.</w:t>
      </w:r>
    </w:p>
    <w:p w14:paraId="064C77A8" w14:textId="77777777" w:rsidR="00F2457E" w:rsidRPr="00F2457E" w:rsidRDefault="00F2457E" w:rsidP="00F2457E">
      <w:pPr>
        <w:rPr>
          <w:lang w:eastAsia="en-GB"/>
        </w:rPr>
      </w:pPr>
    </w:p>
    <w:p w14:paraId="1E457522" w14:textId="77777777" w:rsidR="00584EF6" w:rsidRPr="00584EF6" w:rsidRDefault="00584EF6" w:rsidP="00584EF6">
      <w:pPr>
        <w:rPr>
          <w:lang w:eastAsia="en-GB"/>
        </w:rPr>
      </w:pPr>
    </w:p>
    <w:p w14:paraId="4159E76A" w14:textId="3601AFD2" w:rsidR="00ED70F4" w:rsidRPr="00ED70F4" w:rsidRDefault="00ED70F4" w:rsidP="00ED70F4">
      <w:pPr>
        <w:pStyle w:val="CEABullet-Level2"/>
        <w:numPr>
          <w:ilvl w:val="0"/>
          <w:numId w:val="0"/>
        </w:numPr>
        <w:rPr>
          <w:b/>
          <w:bCs/>
        </w:rPr>
      </w:pPr>
      <w:r w:rsidRPr="00ED70F4">
        <w:rPr>
          <w:b/>
          <w:bCs/>
        </w:rPr>
        <w:t xml:space="preserve">Materiality </w:t>
      </w:r>
      <w:r>
        <w:rPr>
          <w:b/>
          <w:bCs/>
        </w:rPr>
        <w:t>t</w:t>
      </w:r>
      <w:r w:rsidRPr="00ED70F4">
        <w:rPr>
          <w:b/>
          <w:bCs/>
        </w:rPr>
        <w:t>hresholds</w:t>
      </w:r>
    </w:p>
    <w:p w14:paraId="310F95F7" w14:textId="3E33DDB1" w:rsidR="00ED70F4" w:rsidRPr="00ED70F4" w:rsidRDefault="00ED70F4" w:rsidP="00ED70F4">
      <w:pPr>
        <w:pStyle w:val="CEABullet-Level1"/>
      </w:pPr>
      <w:r w:rsidRPr="00ED70F4">
        <w:t xml:space="preserve">Revise </w:t>
      </w:r>
      <w:r w:rsidR="00FD37C2">
        <w:t>t</w:t>
      </w:r>
      <w:r w:rsidRPr="00ED70F4">
        <w:t xml:space="preserve">hresholds </w:t>
      </w:r>
      <w:r w:rsidR="00FD37C2">
        <w:t>u</w:t>
      </w:r>
      <w:r w:rsidRPr="00ED70F4">
        <w:t>pwards:</w:t>
      </w:r>
    </w:p>
    <w:p w14:paraId="1242B01F" w14:textId="3E9143B9" w:rsidR="00ED70F4" w:rsidRPr="00ED70F4" w:rsidRDefault="00584EF6" w:rsidP="0053417E">
      <w:pPr>
        <w:pStyle w:val="CEABullet-Level2"/>
      </w:pPr>
      <w:r w:rsidRPr="00584EF6">
        <w:t xml:space="preserve">Materiality levels in templates such as </w:t>
      </w:r>
      <w:r w:rsidRPr="00584EF6">
        <w:rPr>
          <w:b/>
          <w:bCs/>
        </w:rPr>
        <w:t>S.02.01</w:t>
      </w:r>
      <w:r w:rsidRPr="00584EF6">
        <w:t xml:space="preserve"> (Balance Sheet) and </w:t>
      </w:r>
      <w:r w:rsidRPr="00584EF6">
        <w:rPr>
          <w:b/>
          <w:bCs/>
        </w:rPr>
        <w:t>S.17.01</w:t>
      </w:r>
      <w:r w:rsidRPr="00584EF6">
        <w:t xml:space="preserve"> (Non-Life Technical Provisions)</w:t>
      </w:r>
      <w:r w:rsidR="0053417E">
        <w:t xml:space="preserve">, </w:t>
      </w:r>
      <w:r w:rsidR="0053417E" w:rsidRPr="0053417E">
        <w:rPr>
          <w:b/>
          <w:bCs/>
        </w:rPr>
        <w:t>S.12.01</w:t>
      </w:r>
      <w:r w:rsidR="0053417E" w:rsidRPr="0053417E">
        <w:t xml:space="preserve"> (Life Technical Provisions by </w:t>
      </w:r>
      <w:proofErr w:type="spellStart"/>
      <w:r w:rsidR="0053417E" w:rsidRPr="0053417E">
        <w:t>LoB</w:t>
      </w:r>
      <w:proofErr w:type="spellEnd"/>
      <w:r w:rsidR="0053417E" w:rsidRPr="0053417E">
        <w:t xml:space="preserve">), and </w:t>
      </w:r>
      <w:r w:rsidR="0053417E" w:rsidRPr="0053417E">
        <w:rPr>
          <w:b/>
          <w:bCs/>
        </w:rPr>
        <w:t>S.26.01</w:t>
      </w:r>
      <w:r w:rsidR="0053417E" w:rsidRPr="0053417E">
        <w:t xml:space="preserve"> (SCR - Market Risk),</w:t>
      </w:r>
      <w:r w:rsidRPr="00584EF6">
        <w:t xml:space="preserve"> should be increased to exclude insignificant data points, ensuring that reporting focuses on impactful information.</w:t>
      </w:r>
      <w:r w:rsidR="00ED70F4" w:rsidRPr="00ED70F4">
        <w:rPr>
          <w:b/>
          <w:bCs/>
        </w:rPr>
        <w:t>S.02.01</w:t>
      </w:r>
      <w:r w:rsidR="00ED70F4" w:rsidRPr="00ED70F4">
        <w:t xml:space="preserve"> (Balance Sheet).</w:t>
      </w:r>
    </w:p>
    <w:p w14:paraId="02909C1C" w14:textId="47CB687E" w:rsidR="00ED70F4" w:rsidRPr="009122A8" w:rsidRDefault="00ED70F4" w:rsidP="00ED70F4">
      <w:pPr>
        <w:pStyle w:val="CEABullet-Level1"/>
      </w:pPr>
      <w:r w:rsidRPr="009122A8">
        <w:t xml:space="preserve">Optional </w:t>
      </w:r>
      <w:r w:rsidR="00FD37C2" w:rsidRPr="009122A8">
        <w:t>t</w:t>
      </w:r>
      <w:r w:rsidRPr="009122A8">
        <w:t xml:space="preserve">hresholds for </w:t>
      </w:r>
      <w:r w:rsidR="00FD37C2" w:rsidRPr="009122A8">
        <w:t>e</w:t>
      </w:r>
      <w:r w:rsidRPr="009122A8">
        <w:t>xemption:</w:t>
      </w:r>
    </w:p>
    <w:p w14:paraId="17D11958" w14:textId="77777777" w:rsidR="00990C95" w:rsidRDefault="00990C95" w:rsidP="00990C95">
      <w:pPr>
        <w:pStyle w:val="CEABullet-Level2"/>
      </w:pPr>
      <w:r w:rsidRPr="009122A8">
        <w:t>New thresholds should allow full exemption from reporting certain templates rather than partial exemptions, which add unnecessary complexity. Optionality should be preserved to avoid costly IT and reporting system changes for insurers, and any retrospective thresholds must remain voluntary to ensure flexibility.</w:t>
      </w:r>
    </w:p>
    <w:p w14:paraId="175B30B7" w14:textId="77777777" w:rsidR="00094174" w:rsidRDefault="00094174" w:rsidP="00094174">
      <w:pPr>
        <w:pStyle w:val="CEABullet-Level1"/>
        <w:numPr>
          <w:ilvl w:val="0"/>
          <w:numId w:val="0"/>
        </w:numPr>
        <w:rPr>
          <w:b/>
          <w:bCs/>
          <w:lang w:eastAsia="en-GB"/>
        </w:rPr>
      </w:pPr>
    </w:p>
    <w:p w14:paraId="73C95057" w14:textId="144ADF0A" w:rsidR="00094174" w:rsidRPr="007C3234" w:rsidRDefault="00094174" w:rsidP="00094174">
      <w:pPr>
        <w:pStyle w:val="CEABullet-Level1"/>
        <w:numPr>
          <w:ilvl w:val="0"/>
          <w:numId w:val="0"/>
        </w:numPr>
        <w:rPr>
          <w:b/>
          <w:bCs/>
          <w:lang w:eastAsia="en-GB"/>
        </w:rPr>
      </w:pPr>
      <w:r w:rsidRPr="007C3234">
        <w:rPr>
          <w:b/>
          <w:bCs/>
          <w:lang w:eastAsia="en-GB"/>
        </w:rPr>
        <w:t>Standard Formula for Internal model companies:</w:t>
      </w:r>
    </w:p>
    <w:p w14:paraId="0D1BFFBC" w14:textId="77777777" w:rsidR="00094174" w:rsidRDefault="00094174" w:rsidP="00094174">
      <w:pPr>
        <w:pStyle w:val="CEABullet-Level1"/>
      </w:pPr>
      <w:r w:rsidRPr="00D774C9">
        <w:t>Preparing standard formula QRTs is resource-intensive and should be eliminated for internal model users. Instead, the biennial estimation of standard formula results, as proposed in the draft of the new directive (Article 112(7)), should be simplified and aligned with existing reporting processes to minimi</w:t>
      </w:r>
      <w:r>
        <w:t>s</w:t>
      </w:r>
      <w:r w:rsidRPr="00D774C9">
        <w:t>e duplication and ensure proportionality.</w:t>
      </w:r>
      <w:r w:rsidRPr="003F0850">
        <w:t xml:space="preserve"> </w:t>
      </w:r>
    </w:p>
    <w:p w14:paraId="062E98F5" w14:textId="77777777" w:rsidR="00094174" w:rsidRPr="003F0850" w:rsidRDefault="00094174" w:rsidP="00094174">
      <w:pPr>
        <w:pStyle w:val="CEABullet-Level1"/>
      </w:pPr>
      <w:r>
        <w:t xml:space="preserve">Any changes should not lead to </w:t>
      </w:r>
      <w:r w:rsidRPr="003F0850">
        <w:t>imposing additional data demands.</w:t>
      </w:r>
    </w:p>
    <w:p w14:paraId="5D09B76E" w14:textId="77777777" w:rsidR="009122A8" w:rsidRPr="009122A8" w:rsidRDefault="009122A8" w:rsidP="009122A8"/>
    <w:p w14:paraId="5202B027" w14:textId="0691CFFD" w:rsidR="007213DE" w:rsidRPr="0053417E" w:rsidRDefault="007213DE" w:rsidP="00387BAC">
      <w:pPr>
        <w:pStyle w:val="Nadpis2"/>
        <w:numPr>
          <w:ilvl w:val="0"/>
          <w:numId w:val="5"/>
        </w:numPr>
        <w:rPr>
          <w:sz w:val="22"/>
          <w:szCs w:val="22"/>
        </w:rPr>
      </w:pPr>
      <w:r w:rsidRPr="0053417E">
        <w:rPr>
          <w:sz w:val="22"/>
          <w:szCs w:val="22"/>
        </w:rPr>
        <w:t>Avoidance of duplication</w:t>
      </w:r>
    </w:p>
    <w:p w14:paraId="6D48EFD3" w14:textId="77777777" w:rsidR="00964DA5" w:rsidRDefault="00964DA5" w:rsidP="0021215F">
      <w:pPr>
        <w:pStyle w:val="CEABullet-Level2"/>
        <w:numPr>
          <w:ilvl w:val="0"/>
          <w:numId w:val="0"/>
        </w:numPr>
        <w:rPr>
          <w:b/>
          <w:bCs/>
        </w:rPr>
      </w:pPr>
    </w:p>
    <w:p w14:paraId="77E8F0D2" w14:textId="2DB941C6" w:rsidR="00964DA5" w:rsidRDefault="00964DA5" w:rsidP="00964DA5">
      <w:pPr>
        <w:pStyle w:val="CEABullet-Level2"/>
        <w:numPr>
          <w:ilvl w:val="0"/>
          <w:numId w:val="0"/>
        </w:numPr>
      </w:pPr>
      <w:r w:rsidRPr="00964DA5">
        <w:t>To enhance efficiency and reduce unnecessary workload, this section identifies key areas where duplicate data points across templates and reports can be eliminated. By consolidating data and aligning requirements, insurers can streamline reporting processes while maintaining robust oversight.</w:t>
      </w:r>
    </w:p>
    <w:p w14:paraId="3BCB6AF3" w14:textId="77777777" w:rsidR="00964DA5" w:rsidRPr="00964DA5" w:rsidRDefault="00964DA5" w:rsidP="00964DA5"/>
    <w:p w14:paraId="2F9C365B" w14:textId="3BEC6B9B" w:rsidR="00940507" w:rsidRPr="0021215F" w:rsidRDefault="0021215F" w:rsidP="0021215F">
      <w:pPr>
        <w:pStyle w:val="CEABullet-Level2"/>
        <w:numPr>
          <w:ilvl w:val="0"/>
          <w:numId w:val="0"/>
        </w:numPr>
        <w:rPr>
          <w:b/>
          <w:bCs/>
        </w:rPr>
      </w:pPr>
      <w:r w:rsidRPr="0021215F">
        <w:rPr>
          <w:b/>
          <w:bCs/>
        </w:rPr>
        <w:t xml:space="preserve">Duplicate </w:t>
      </w:r>
      <w:r w:rsidR="000A42F9">
        <w:rPr>
          <w:b/>
          <w:bCs/>
        </w:rPr>
        <w:t>d</w:t>
      </w:r>
      <w:r w:rsidRPr="0021215F">
        <w:rPr>
          <w:b/>
          <w:bCs/>
        </w:rPr>
        <w:t>ata</w:t>
      </w:r>
      <w:r w:rsidR="000A42F9">
        <w:rPr>
          <w:b/>
          <w:bCs/>
        </w:rPr>
        <w:t>points</w:t>
      </w:r>
      <w:r w:rsidRPr="0021215F">
        <w:rPr>
          <w:b/>
          <w:bCs/>
        </w:rPr>
        <w:t xml:space="preserve"> </w:t>
      </w:r>
      <w:r w:rsidR="000A42F9">
        <w:rPr>
          <w:b/>
          <w:bCs/>
        </w:rPr>
        <w:t>a</w:t>
      </w:r>
      <w:r w:rsidRPr="0021215F">
        <w:rPr>
          <w:b/>
          <w:bCs/>
        </w:rPr>
        <w:t xml:space="preserve">cross </w:t>
      </w:r>
      <w:r w:rsidR="000A42F9">
        <w:rPr>
          <w:b/>
          <w:bCs/>
        </w:rPr>
        <w:t>t</w:t>
      </w:r>
      <w:r w:rsidRPr="0021215F">
        <w:rPr>
          <w:b/>
          <w:bCs/>
        </w:rPr>
        <w:t>emplates</w:t>
      </w:r>
    </w:p>
    <w:p w14:paraId="6B0BECFC" w14:textId="14544D56" w:rsidR="0021215F" w:rsidRPr="0021215F" w:rsidRDefault="0021215F" w:rsidP="0021215F">
      <w:pPr>
        <w:pStyle w:val="CEABullet-Level1"/>
      </w:pPr>
      <w:r w:rsidRPr="0021215F">
        <w:t xml:space="preserve">Reinsurance </w:t>
      </w:r>
      <w:r w:rsidR="000A42F9">
        <w:t>related d</w:t>
      </w:r>
      <w:r w:rsidRPr="0021215F">
        <w:t>ata</w:t>
      </w:r>
      <w:r w:rsidR="000A42F9">
        <w:t>points</w:t>
      </w:r>
      <w:r w:rsidRPr="0021215F">
        <w:t>:</w:t>
      </w:r>
    </w:p>
    <w:p w14:paraId="39FE410F" w14:textId="77777777" w:rsidR="00291CF5" w:rsidRDefault="00291CF5" w:rsidP="00291CF5">
      <w:pPr>
        <w:pStyle w:val="CEABullet-Level2"/>
      </w:pPr>
      <w:r w:rsidRPr="00291CF5">
        <w:t xml:space="preserve">Avoid duplicate reporting of reinsurance data across templates like </w:t>
      </w:r>
      <w:r w:rsidRPr="00291CF5">
        <w:rPr>
          <w:b/>
          <w:bCs/>
        </w:rPr>
        <w:t>S.30.01</w:t>
      </w:r>
      <w:r w:rsidRPr="00291CF5">
        <w:t xml:space="preserve"> (Facultative covers for non-life and life business basic data) and </w:t>
      </w:r>
      <w:r w:rsidRPr="00291CF5">
        <w:rPr>
          <w:b/>
          <w:bCs/>
        </w:rPr>
        <w:t>S.31.01</w:t>
      </w:r>
      <w:r w:rsidRPr="00291CF5">
        <w:t xml:space="preserve"> (Share of reinsurers, including Finite Reinsurance and SPVs). Consolidating this information will reduce redundancy.</w:t>
      </w:r>
    </w:p>
    <w:p w14:paraId="7324BA7E" w14:textId="415D792B" w:rsidR="0021215F" w:rsidRPr="0021215F" w:rsidRDefault="0021215F" w:rsidP="00A76F39">
      <w:pPr>
        <w:pStyle w:val="CEABullet-Level1"/>
      </w:pPr>
      <w:r w:rsidRPr="0021215F">
        <w:t xml:space="preserve">Collateral </w:t>
      </w:r>
      <w:r w:rsidR="00A76F39">
        <w:t>d</w:t>
      </w:r>
      <w:r w:rsidRPr="0021215F">
        <w:t>ata</w:t>
      </w:r>
      <w:r w:rsidR="00A76F39">
        <w:t>points</w:t>
      </w:r>
      <w:r w:rsidRPr="0021215F">
        <w:t>:</w:t>
      </w:r>
    </w:p>
    <w:p w14:paraId="235C5993" w14:textId="77777777" w:rsidR="00585901" w:rsidRDefault="00585901" w:rsidP="00585901">
      <w:pPr>
        <w:pStyle w:val="CEABullet-Level2"/>
      </w:pPr>
      <w:r w:rsidRPr="00585901">
        <w:t xml:space="preserve">Consolidate collateral reporting between </w:t>
      </w:r>
      <w:r w:rsidRPr="00585901">
        <w:rPr>
          <w:b/>
          <w:bCs/>
        </w:rPr>
        <w:t>S.03.01</w:t>
      </w:r>
      <w:r w:rsidRPr="00585901">
        <w:t xml:space="preserve"> (Off-balance sheet items - general) and </w:t>
      </w:r>
      <w:r w:rsidRPr="00585901">
        <w:rPr>
          <w:b/>
          <w:bCs/>
        </w:rPr>
        <w:t>S.31.01</w:t>
      </w:r>
      <w:r w:rsidRPr="00585901">
        <w:t xml:space="preserve"> (Share of reinsurers, including Finite Reinsurance and SPVs) to streamline data collection and improve efficiency.</w:t>
      </w:r>
    </w:p>
    <w:p w14:paraId="7D4F2463" w14:textId="2BF64FB3" w:rsidR="0021215F" w:rsidRPr="0021215F" w:rsidRDefault="0021215F" w:rsidP="00A76F39">
      <w:pPr>
        <w:pStyle w:val="CEABullet-Level1"/>
      </w:pPr>
      <w:r w:rsidRPr="0021215F">
        <w:t xml:space="preserve">Financial </w:t>
      </w:r>
      <w:r w:rsidR="00A76F39">
        <w:t>s</w:t>
      </w:r>
      <w:r w:rsidRPr="0021215F">
        <w:t xml:space="preserve">tability and </w:t>
      </w:r>
      <w:r w:rsidR="00A76F39">
        <w:t>p</w:t>
      </w:r>
      <w:r w:rsidRPr="0021215F">
        <w:t xml:space="preserve">rudential </w:t>
      </w:r>
      <w:r w:rsidR="00A76F39">
        <w:t>r</w:t>
      </w:r>
      <w:r w:rsidRPr="0021215F">
        <w:t>eporting:</w:t>
      </w:r>
    </w:p>
    <w:p w14:paraId="0B48EF52" w14:textId="26892DD0" w:rsidR="0021215F" w:rsidRPr="0021215F" w:rsidRDefault="0021215F">
      <w:pPr>
        <w:pStyle w:val="CEABullet-Level2"/>
      </w:pPr>
      <w:r w:rsidRPr="0021215F">
        <w:lastRenderedPageBreak/>
        <w:t xml:space="preserve">Align deadlines and data requests between </w:t>
      </w:r>
      <w:proofErr w:type="gramStart"/>
      <w:r w:rsidR="00CE65F2">
        <w:t>Financial</w:t>
      </w:r>
      <w:proofErr w:type="gramEnd"/>
      <w:r w:rsidR="00CE65F2">
        <w:t xml:space="preserve"> stability reporting and </w:t>
      </w:r>
      <w:r w:rsidRPr="0021215F">
        <w:t>QRTs such as</w:t>
      </w:r>
      <w:r w:rsidR="005E6966">
        <w:t xml:space="preserve">, </w:t>
      </w:r>
      <w:r w:rsidRPr="0021215F">
        <w:rPr>
          <w:b/>
          <w:bCs/>
        </w:rPr>
        <w:t>S.02.01</w:t>
      </w:r>
      <w:r w:rsidRPr="0021215F">
        <w:t xml:space="preserve"> (Balance Sheet</w:t>
      </w:r>
      <w:r w:rsidRPr="00585901">
        <w:t>)</w:t>
      </w:r>
      <w:r w:rsidR="005E6966">
        <w:t xml:space="preserve">, </w:t>
      </w:r>
      <w:r w:rsidRPr="0021215F">
        <w:rPr>
          <w:b/>
          <w:bCs/>
        </w:rPr>
        <w:t>S.05.01</w:t>
      </w:r>
      <w:r w:rsidRPr="0021215F">
        <w:t xml:space="preserve"> (</w:t>
      </w:r>
      <w:r w:rsidRPr="00585901">
        <w:t>Premiums</w:t>
      </w:r>
      <w:r w:rsidR="000419AC" w:rsidRPr="00585901">
        <w:t>,</w:t>
      </w:r>
      <w:r w:rsidRPr="00585901">
        <w:t xml:space="preserve"> Claims </w:t>
      </w:r>
      <w:r w:rsidR="000419AC" w:rsidRPr="00585901">
        <w:t xml:space="preserve">and expenses </w:t>
      </w:r>
      <w:r w:rsidRPr="00585901">
        <w:t xml:space="preserve">by </w:t>
      </w:r>
      <w:proofErr w:type="spellStart"/>
      <w:r w:rsidRPr="00585901">
        <w:t>LoB</w:t>
      </w:r>
      <w:proofErr w:type="spellEnd"/>
      <w:r w:rsidRPr="00585901">
        <w:t>)</w:t>
      </w:r>
      <w:r w:rsidR="005E6966">
        <w:t xml:space="preserve">, </w:t>
      </w:r>
      <w:r w:rsidRPr="0021215F">
        <w:rPr>
          <w:b/>
          <w:bCs/>
        </w:rPr>
        <w:t>S.06.02</w:t>
      </w:r>
      <w:r w:rsidRPr="0021215F">
        <w:t xml:space="preserve"> (</w:t>
      </w:r>
      <w:r w:rsidR="0052042D" w:rsidRPr="00585901">
        <w:t>List of assets</w:t>
      </w:r>
      <w:r w:rsidRPr="00585901">
        <w:t>)</w:t>
      </w:r>
      <w:r w:rsidR="005E6966">
        <w:t xml:space="preserve">, </w:t>
      </w:r>
      <w:r w:rsidRPr="0021215F">
        <w:rPr>
          <w:b/>
          <w:bCs/>
        </w:rPr>
        <w:t>S.23.01</w:t>
      </w:r>
      <w:r w:rsidRPr="0021215F">
        <w:t xml:space="preserve"> (Own Funds).</w:t>
      </w:r>
    </w:p>
    <w:p w14:paraId="0BAF2F03" w14:textId="77777777" w:rsidR="005A7D6B" w:rsidRDefault="00D91BCA" w:rsidP="00BA573C">
      <w:pPr>
        <w:spacing w:before="100" w:beforeAutospacing="1" w:after="100" w:afterAutospacing="1" w:line="240" w:lineRule="auto"/>
        <w:jc w:val="left"/>
        <w:rPr>
          <w:szCs w:val="17"/>
        </w:rPr>
      </w:pPr>
      <w:r w:rsidRPr="00D91BCA">
        <w:rPr>
          <w:b/>
          <w:bCs/>
          <w:szCs w:val="17"/>
          <w:lang w:eastAsia="en-GB"/>
        </w:rPr>
        <w:t>SFCR, RSR, and ORSA reports</w:t>
      </w:r>
      <w:r w:rsidRPr="00D91BCA">
        <w:rPr>
          <w:szCs w:val="17"/>
          <w:lang w:eastAsia="en-GB"/>
        </w:rPr>
        <w:br/>
      </w:r>
    </w:p>
    <w:p w14:paraId="6F2B327A" w14:textId="5D8421EA" w:rsidR="00A1618B" w:rsidRPr="00A1618B" w:rsidRDefault="004975EC">
      <w:pPr>
        <w:pStyle w:val="CEABullet-Level1"/>
      </w:pPr>
      <w:r w:rsidRPr="004975EC">
        <w:rPr>
          <w:rFonts w:cs="Times New Roman"/>
          <w:color w:val="auto"/>
          <w:szCs w:val="17"/>
        </w:rPr>
        <w:t>Simplify SFCR, RSR, and ORSA reports</w:t>
      </w:r>
      <w:r w:rsidR="00A1618B" w:rsidRPr="004975EC">
        <w:rPr>
          <w:rFonts w:cs="Times New Roman"/>
          <w:color w:val="auto"/>
          <w:szCs w:val="17"/>
        </w:rPr>
        <w:t xml:space="preserve"> by using cross-references</w:t>
      </w:r>
      <w:r w:rsidRPr="004975EC">
        <w:rPr>
          <w:rFonts w:cs="Times New Roman"/>
          <w:color w:val="auto"/>
          <w:szCs w:val="17"/>
        </w:rPr>
        <w:t xml:space="preserve"> for overlapping content such as </w:t>
      </w:r>
      <w:r w:rsidR="00A1618B" w:rsidRPr="00A1618B">
        <w:t>Reserve Risks (</w:t>
      </w:r>
      <w:r w:rsidR="00A1618B" w:rsidRPr="00A1618B">
        <w:rPr>
          <w:b/>
          <w:bCs/>
        </w:rPr>
        <w:t>C.1.2</w:t>
      </w:r>
      <w:r w:rsidR="00A1618B" w:rsidRPr="00D91BCA">
        <w:t>)</w:t>
      </w:r>
      <w:r>
        <w:t xml:space="preserve">, </w:t>
      </w:r>
      <w:r w:rsidR="00A1618B" w:rsidRPr="00A1618B">
        <w:t>Default Risk (</w:t>
      </w:r>
      <w:r w:rsidR="00A1618B" w:rsidRPr="00A1618B">
        <w:rPr>
          <w:b/>
          <w:bCs/>
        </w:rPr>
        <w:t>C.3</w:t>
      </w:r>
      <w:r w:rsidR="00A1618B" w:rsidRPr="00D91BCA">
        <w:t>)</w:t>
      </w:r>
      <w:r>
        <w:t xml:space="preserve"> and </w:t>
      </w:r>
      <w:r w:rsidR="00A1618B" w:rsidRPr="00A1618B">
        <w:t>Operational Risk (</w:t>
      </w:r>
      <w:r w:rsidR="00A1618B" w:rsidRPr="00A1618B">
        <w:rPr>
          <w:b/>
          <w:bCs/>
        </w:rPr>
        <w:t>C.5</w:t>
      </w:r>
      <w:r w:rsidR="00A1618B" w:rsidRPr="00A1618B">
        <w:t>).</w:t>
      </w:r>
    </w:p>
    <w:p w14:paraId="6E78B4FA" w14:textId="1DD9E6C2" w:rsidR="00DB2D0A" w:rsidRDefault="00DB2D0A" w:rsidP="00BA573C">
      <w:pPr>
        <w:pStyle w:val="CEABullet-Level1"/>
      </w:pPr>
      <w:r>
        <w:t>Further examples:</w:t>
      </w:r>
    </w:p>
    <w:p w14:paraId="34669F9C" w14:textId="6CEB4208" w:rsidR="00DB2D0A" w:rsidRDefault="00DB2D0A" w:rsidP="00BA573C">
      <w:pPr>
        <w:pStyle w:val="CEABullet-Level2"/>
      </w:pPr>
      <w:r>
        <w:t>Some content is identical to the opportunity and risk report (part of the annual report), such as the content from the section on material external factors or principles of the risk management system</w:t>
      </w:r>
    </w:p>
    <w:p w14:paraId="188A6653" w14:textId="77777777" w:rsidR="00DB2D0A" w:rsidRPr="00D91BCA" w:rsidRDefault="00DB2D0A" w:rsidP="00BA573C">
      <w:pPr>
        <w:pStyle w:val="CEABullet-Level3"/>
        <w:numPr>
          <w:ilvl w:val="0"/>
          <w:numId w:val="0"/>
        </w:numPr>
        <w:ind w:left="2673"/>
      </w:pPr>
    </w:p>
    <w:p w14:paraId="37784EE6" w14:textId="0C73DEEC" w:rsidR="003872FE" w:rsidRDefault="003872FE" w:rsidP="003F0850">
      <w:pPr>
        <w:pStyle w:val="CEABullet-Level2"/>
        <w:numPr>
          <w:ilvl w:val="0"/>
          <w:numId w:val="0"/>
        </w:numPr>
        <w:ind w:left="1800"/>
      </w:pPr>
    </w:p>
    <w:p w14:paraId="5A7ACA04" w14:textId="77777777" w:rsidR="003F0850" w:rsidRPr="003F0850" w:rsidRDefault="003F0850" w:rsidP="003F0850"/>
    <w:p w14:paraId="2BBE9E0D" w14:textId="3AA19DD2" w:rsidR="002A6C6D" w:rsidRPr="008E1F2D" w:rsidRDefault="002A6C6D" w:rsidP="00387BAC">
      <w:pPr>
        <w:pStyle w:val="Nadpis2"/>
        <w:numPr>
          <w:ilvl w:val="0"/>
          <w:numId w:val="5"/>
        </w:numPr>
        <w:rPr>
          <w:sz w:val="22"/>
          <w:szCs w:val="22"/>
        </w:rPr>
      </w:pPr>
      <w:r w:rsidRPr="008E1F2D">
        <w:rPr>
          <w:sz w:val="22"/>
          <w:szCs w:val="22"/>
        </w:rPr>
        <w:t xml:space="preserve">Technical adjustment </w:t>
      </w:r>
    </w:p>
    <w:p w14:paraId="09A7E269" w14:textId="77777777" w:rsidR="009B511A" w:rsidRDefault="009B511A" w:rsidP="009B511A">
      <w:pPr>
        <w:pStyle w:val="CEABullet-Level1"/>
        <w:numPr>
          <w:ilvl w:val="0"/>
          <w:numId w:val="0"/>
        </w:numPr>
        <w:ind w:left="720" w:hanging="360"/>
      </w:pPr>
      <w:r w:rsidRPr="009B511A">
        <w:t xml:space="preserve">This section highlights key technical adjustments aimed at improving the efficiency and accuracy of reporting </w:t>
      </w:r>
    </w:p>
    <w:p w14:paraId="525C948D" w14:textId="55DFE6D8" w:rsidR="009B511A" w:rsidRDefault="009B511A" w:rsidP="009B511A">
      <w:pPr>
        <w:pStyle w:val="CEABullet-Level1"/>
        <w:numPr>
          <w:ilvl w:val="0"/>
          <w:numId w:val="0"/>
        </w:numPr>
        <w:ind w:left="720" w:hanging="360"/>
      </w:pPr>
      <w:r w:rsidRPr="009B511A">
        <w:t>processes, reducing unnecessary manual effort, and addressing issues with taxonomy implementation.</w:t>
      </w:r>
    </w:p>
    <w:p w14:paraId="34C60FE2" w14:textId="77777777" w:rsidR="009B511A" w:rsidRDefault="009B511A" w:rsidP="009B511A">
      <w:pPr>
        <w:pStyle w:val="CEABullet-Level1"/>
        <w:numPr>
          <w:ilvl w:val="0"/>
          <w:numId w:val="0"/>
        </w:numPr>
        <w:ind w:left="720" w:hanging="360"/>
      </w:pPr>
    </w:p>
    <w:p w14:paraId="20ECDCB4" w14:textId="14B08149" w:rsidR="002A6C6D" w:rsidRPr="002A6C6D" w:rsidRDefault="002A6C6D" w:rsidP="002A6C6D">
      <w:pPr>
        <w:pStyle w:val="CEABullet-Level1"/>
      </w:pPr>
      <w:r w:rsidRPr="002A6C6D">
        <w:t xml:space="preserve">Simplify </w:t>
      </w:r>
      <w:r w:rsidR="001A5092">
        <w:t>r</w:t>
      </w:r>
      <w:r w:rsidRPr="002A6C6D">
        <w:t xml:space="preserve">eporting </w:t>
      </w:r>
      <w:r w:rsidR="001A5092">
        <w:t>u</w:t>
      </w:r>
      <w:r w:rsidRPr="002A6C6D">
        <w:t>nits:</w:t>
      </w:r>
    </w:p>
    <w:p w14:paraId="39DB975E" w14:textId="6780834B" w:rsidR="002A6C6D" w:rsidRPr="002A6C6D" w:rsidRDefault="002A6C6D" w:rsidP="002A6C6D">
      <w:pPr>
        <w:pStyle w:val="CEABullet-Level2"/>
      </w:pPr>
      <w:r w:rsidRPr="002A6C6D">
        <w:t xml:space="preserve">Report </w:t>
      </w:r>
      <w:r w:rsidRPr="001A5092">
        <w:t xml:space="preserve">in </w:t>
      </w:r>
      <w:r w:rsidR="001A5092" w:rsidRPr="001A5092">
        <w:t xml:space="preserve">thousands of </w:t>
      </w:r>
      <w:r w:rsidRPr="001A5092">
        <w:t>€</w:t>
      </w:r>
      <w:r w:rsidRPr="002A6C6D">
        <w:t xml:space="preserve"> instead of cents to reduce manual reprocessing.</w:t>
      </w:r>
    </w:p>
    <w:p w14:paraId="384AD0E8" w14:textId="1DB13380" w:rsidR="002A6C6D" w:rsidRPr="002A6C6D" w:rsidRDefault="002A6C6D" w:rsidP="002A6C6D">
      <w:pPr>
        <w:pStyle w:val="CEABullet-Level1"/>
      </w:pPr>
      <w:r w:rsidRPr="002A6C6D">
        <w:t xml:space="preserve">Adjust </w:t>
      </w:r>
      <w:r w:rsidR="001A5092">
        <w:t>v</w:t>
      </w:r>
      <w:r w:rsidRPr="002A6C6D">
        <w:t xml:space="preserve">alidation </w:t>
      </w:r>
      <w:r w:rsidR="001A5092">
        <w:t>t</w:t>
      </w:r>
      <w:r w:rsidRPr="002A6C6D">
        <w:t>olerances:</w:t>
      </w:r>
    </w:p>
    <w:p w14:paraId="7EF5C8AA" w14:textId="77777777" w:rsidR="00FA7477" w:rsidRDefault="009916C4" w:rsidP="009916C4">
      <w:pPr>
        <w:pStyle w:val="CEABullet-Level2"/>
      </w:pPr>
      <w:r w:rsidRPr="009916C4">
        <w:t xml:space="preserve">Establish tolerances at the XBRL level to account for rounding effects. </w:t>
      </w:r>
    </w:p>
    <w:p w14:paraId="344A4806" w14:textId="5C6738AA" w:rsidR="009916C4" w:rsidRDefault="009916C4" w:rsidP="00FA7477">
      <w:pPr>
        <w:pStyle w:val="CEABullet-Level3"/>
      </w:pPr>
      <w:r w:rsidRPr="009916C4">
        <w:t>For example, allow deviations of a few euros when reporting in cents or a few thousand euros when reporting in thousands. This would eliminate the need for manual adjustments caused by discrepancies where totals rounded to euro cents differ from the sum of individual amounts rounded to the same precision.</w:t>
      </w:r>
    </w:p>
    <w:p w14:paraId="5DD336A5" w14:textId="7F3297E3" w:rsidR="00F232F0" w:rsidRDefault="00F232F0" w:rsidP="009916C4">
      <w:pPr>
        <w:pStyle w:val="CEABullet-Level2"/>
      </w:pPr>
      <w:r w:rsidRPr="00CD373F">
        <w:t xml:space="preserve">For some cross-checks, e.g. between the solvency overview S.02.01 and the asset list S.06.02, there are sometimes quite low tolerances for differences in value; sometimes the values have to match exactly to the euro. </w:t>
      </w:r>
    </w:p>
    <w:p w14:paraId="293D335E" w14:textId="1F080BA7" w:rsidR="002A6C6D" w:rsidRPr="002A6C6D" w:rsidRDefault="002A6C6D" w:rsidP="002A6C6D">
      <w:pPr>
        <w:pStyle w:val="CEABullet-Level2"/>
      </w:pPr>
      <w:r w:rsidRPr="002A6C6D">
        <w:t>Introduce acceptable thresholds to account for rounding discrepancies:</w:t>
      </w:r>
    </w:p>
    <w:p w14:paraId="73ED8C65" w14:textId="32F081AF" w:rsidR="00E871F0" w:rsidRDefault="002A6C6D" w:rsidP="002A6C6D">
      <w:pPr>
        <w:pStyle w:val="CEABullet-Level3"/>
      </w:pPr>
      <w:r w:rsidRPr="002A6C6D">
        <w:rPr>
          <w:b/>
          <w:bCs/>
        </w:rPr>
        <w:t>S.02.01</w:t>
      </w:r>
      <w:r w:rsidRPr="002A6C6D">
        <w:t xml:space="preserve"> (Balance Sheet) vs. </w:t>
      </w:r>
      <w:r w:rsidRPr="002A6C6D">
        <w:rPr>
          <w:b/>
          <w:bCs/>
        </w:rPr>
        <w:t>S.17.01</w:t>
      </w:r>
      <w:r w:rsidRPr="002A6C6D">
        <w:t xml:space="preserve"> (</w:t>
      </w:r>
      <w:r w:rsidR="00B353C9">
        <w:t xml:space="preserve">Non-Life </w:t>
      </w:r>
      <w:r w:rsidRPr="002A6C6D">
        <w:t>Technical Provisions)</w:t>
      </w:r>
    </w:p>
    <w:p w14:paraId="2BE863E2" w14:textId="7CCF3ABA" w:rsidR="002A6C6D" w:rsidRPr="002A6C6D" w:rsidRDefault="00E871F0" w:rsidP="002A6C6D">
      <w:pPr>
        <w:pStyle w:val="CEABullet-Level3"/>
      </w:pPr>
      <w:r w:rsidRPr="00240156">
        <w:rPr>
          <w:b/>
          <w:bCs/>
        </w:rPr>
        <w:t>S.02.01</w:t>
      </w:r>
      <w:r w:rsidRPr="00240156">
        <w:t xml:space="preserve"> (Balance Sheet) vs. </w:t>
      </w:r>
      <w:r w:rsidR="00F232F0" w:rsidRPr="00240156">
        <w:rPr>
          <w:b/>
          <w:bCs/>
        </w:rPr>
        <w:t>S.0</w:t>
      </w:r>
      <w:r w:rsidRPr="00240156">
        <w:rPr>
          <w:b/>
          <w:bCs/>
        </w:rPr>
        <w:t>6.02</w:t>
      </w:r>
      <w:r w:rsidRPr="00240156">
        <w:t xml:space="preserve"> (List of assets</w:t>
      </w:r>
      <w:r w:rsidR="002A6C6D" w:rsidRPr="002A6C6D">
        <w:t>).</w:t>
      </w:r>
    </w:p>
    <w:p w14:paraId="764280C9" w14:textId="77777777" w:rsidR="00A07A3C" w:rsidRPr="00240156" w:rsidRDefault="00A07A3C" w:rsidP="009916C4">
      <w:pPr>
        <w:pStyle w:val="CEABullet-Level2"/>
        <w:numPr>
          <w:ilvl w:val="0"/>
          <w:numId w:val="0"/>
        </w:numPr>
        <w:ind w:left="1800"/>
      </w:pPr>
    </w:p>
    <w:p w14:paraId="0D4C9A90" w14:textId="70E7306B" w:rsidR="002A6C6D" w:rsidRPr="00240156" w:rsidRDefault="002A6C6D" w:rsidP="002A6C6D">
      <w:pPr>
        <w:pStyle w:val="CEABullet-Level1"/>
      </w:pPr>
      <w:r w:rsidRPr="00240156">
        <w:t xml:space="preserve">Taxonomy </w:t>
      </w:r>
      <w:r w:rsidR="00C63B59" w:rsidRPr="00240156">
        <w:t>u</w:t>
      </w:r>
      <w:r w:rsidRPr="00240156">
        <w:t>pdates</w:t>
      </w:r>
    </w:p>
    <w:p w14:paraId="4ED24866" w14:textId="43BAD719" w:rsidR="002A6C6D" w:rsidRPr="00240156" w:rsidRDefault="002A6C6D" w:rsidP="002A6C6D">
      <w:pPr>
        <w:pStyle w:val="CEABullet-Level2"/>
      </w:pPr>
      <w:r w:rsidRPr="00240156">
        <w:t xml:space="preserve">Extend </w:t>
      </w:r>
      <w:r w:rsidR="00C63B59" w:rsidRPr="00240156">
        <w:t>d</w:t>
      </w:r>
      <w:r w:rsidRPr="00240156">
        <w:t>eadlines:</w:t>
      </w:r>
    </w:p>
    <w:p w14:paraId="743052D5" w14:textId="49733E28" w:rsidR="002A6C6D" w:rsidRPr="00240156" w:rsidRDefault="002A6C6D" w:rsidP="00C63B59">
      <w:pPr>
        <w:pStyle w:val="CEABullet-Level3"/>
      </w:pPr>
      <w:r w:rsidRPr="00240156">
        <w:t>Finali</w:t>
      </w:r>
      <w:r w:rsidR="00C63B59" w:rsidRPr="00240156">
        <w:t>s</w:t>
      </w:r>
      <w:r w:rsidR="009407E3" w:rsidRPr="00240156">
        <w:t>e</w:t>
      </w:r>
      <w:r w:rsidRPr="00240156">
        <w:t xml:space="preserve"> taxonomy documents well in advance of implementation deadlines.</w:t>
      </w:r>
    </w:p>
    <w:p w14:paraId="7CE6B727" w14:textId="70433EBD" w:rsidR="002A6C6D" w:rsidRPr="00240156" w:rsidRDefault="002A6C6D" w:rsidP="002A6C6D">
      <w:pPr>
        <w:pStyle w:val="CEABullet-Level2"/>
      </w:pPr>
      <w:r w:rsidRPr="00240156">
        <w:t xml:space="preserve">Quality </w:t>
      </w:r>
      <w:r w:rsidR="00C63B59" w:rsidRPr="00240156">
        <w:t>a</w:t>
      </w:r>
      <w:r w:rsidRPr="00240156">
        <w:t>ssurance:</w:t>
      </w:r>
    </w:p>
    <w:p w14:paraId="3A0D4416" w14:textId="5864283F" w:rsidR="002A6C6D" w:rsidRPr="00240156" w:rsidRDefault="002A6C6D" w:rsidP="00C63B59">
      <w:pPr>
        <w:pStyle w:val="CEABullet-Level3"/>
      </w:pPr>
      <w:r w:rsidRPr="00240156">
        <w:t>Address translation errors and inconsistencies in taxonomy updates (e.g., Taxonomy 2.8.0)</w:t>
      </w:r>
      <w:r w:rsidR="00E56AEA" w:rsidRPr="00240156">
        <w:t xml:space="preserve"> to ensure accuracy and clarity in reporting requirements</w:t>
      </w:r>
      <w:r w:rsidRPr="00240156">
        <w:t>.</w:t>
      </w:r>
    </w:p>
    <w:p w14:paraId="1D7A34F8" w14:textId="77777777" w:rsidR="00E56AEA" w:rsidRPr="00C63B59" w:rsidRDefault="00E56AEA" w:rsidP="00E56AEA">
      <w:pPr>
        <w:pStyle w:val="CEABullet-Level3"/>
        <w:numPr>
          <w:ilvl w:val="0"/>
          <w:numId w:val="0"/>
        </w:numPr>
        <w:ind w:left="2673"/>
        <w:rPr>
          <w:highlight w:val="yellow"/>
        </w:rPr>
      </w:pPr>
    </w:p>
    <w:p w14:paraId="6531DE1C" w14:textId="77777777" w:rsidR="00517D6B" w:rsidRPr="002C1C3C" w:rsidRDefault="008B416B" w:rsidP="00CE10AB">
      <w:pPr>
        <w:pStyle w:val="Nadpis2"/>
        <w:numPr>
          <w:ilvl w:val="0"/>
          <w:numId w:val="5"/>
        </w:numPr>
        <w:rPr>
          <w:sz w:val="22"/>
          <w:szCs w:val="22"/>
        </w:rPr>
      </w:pPr>
      <w:r w:rsidRPr="002C1C3C">
        <w:rPr>
          <w:sz w:val="22"/>
          <w:szCs w:val="22"/>
        </w:rPr>
        <w:t>Alignment with industry practices</w:t>
      </w:r>
    </w:p>
    <w:p w14:paraId="79928FAE" w14:textId="7EC85512" w:rsidR="008B416B" w:rsidRDefault="00517D6B" w:rsidP="00517D6B">
      <w:r w:rsidRPr="00517D6B">
        <w:t>To ensure consistency and reduce duplicative efforts, this section outlines measures to align regulatory reporting requirements with evolving industry standards, including IFRS 17, and to streamline group-level reporting.</w:t>
      </w:r>
      <w:r w:rsidR="008B416B">
        <w:tab/>
      </w:r>
    </w:p>
    <w:p w14:paraId="1A8092F5" w14:textId="77777777" w:rsidR="00517D6B" w:rsidRDefault="00517D6B" w:rsidP="00517D6B"/>
    <w:p w14:paraId="0F3760BF" w14:textId="05DB260F" w:rsidR="008B416B" w:rsidRPr="008B416B" w:rsidRDefault="00906911" w:rsidP="008B416B">
      <w:pPr>
        <w:pStyle w:val="CEABullet-Level1"/>
      </w:pPr>
      <w:r>
        <w:t xml:space="preserve">Integrate with </w:t>
      </w:r>
      <w:r w:rsidR="008B416B" w:rsidRPr="008B416B">
        <w:t xml:space="preserve">IFRS 17 </w:t>
      </w:r>
      <w:r>
        <w:t>i</w:t>
      </w:r>
      <w:r w:rsidR="008B416B" w:rsidRPr="008B416B">
        <w:t>ntegration</w:t>
      </w:r>
    </w:p>
    <w:p w14:paraId="5A872EAA" w14:textId="66CAFE0D" w:rsidR="008B416B" w:rsidRPr="008B416B" w:rsidRDefault="008B416B" w:rsidP="00906911">
      <w:pPr>
        <w:pStyle w:val="CEABullet-Level2"/>
      </w:pPr>
      <w:r w:rsidRPr="008B416B">
        <w:t xml:space="preserve">Adjust </w:t>
      </w:r>
      <w:r w:rsidR="00906911">
        <w:t>p</w:t>
      </w:r>
      <w:r w:rsidRPr="008B416B">
        <w:t xml:space="preserve">remium </w:t>
      </w:r>
      <w:r w:rsidR="00906911">
        <w:t>c</w:t>
      </w:r>
      <w:r w:rsidRPr="008B416B">
        <w:t>oncepts:</w:t>
      </w:r>
    </w:p>
    <w:p w14:paraId="7EC54E18" w14:textId="79219729" w:rsidR="00604551" w:rsidRPr="00604551" w:rsidRDefault="00604551" w:rsidP="00604551">
      <w:pPr>
        <w:pStyle w:val="CEABullet-Level3"/>
      </w:pPr>
      <w:r>
        <w:t>W</w:t>
      </w:r>
      <w:r w:rsidRPr="00604551">
        <w:t xml:space="preserve">ith the introduction of IFRS 17, this measure is no longer available to insurers applying the new standard. Continued reporting of gross and net premiums under the old IFRS 4 standard for QRTs S.04 and S.05 will result in high costs. A </w:t>
      </w:r>
      <w:r w:rsidRPr="00604551">
        <w:lastRenderedPageBreak/>
        <w:t>changeover to the new key figure "Insurance Revenue" would therefore be highly desirable</w:t>
      </w:r>
    </w:p>
    <w:p w14:paraId="4EB7B4D7" w14:textId="1F152DE9" w:rsidR="008B416B" w:rsidRPr="008B416B" w:rsidRDefault="008B416B" w:rsidP="00F77A9C">
      <w:pPr>
        <w:pStyle w:val="CEABullet-Level1"/>
      </w:pPr>
      <w:r w:rsidRPr="008B416B">
        <w:t xml:space="preserve">Group </w:t>
      </w:r>
      <w:r w:rsidR="00F77A9C">
        <w:t>r</w:t>
      </w:r>
      <w:r w:rsidRPr="008B416B">
        <w:t>eporting</w:t>
      </w:r>
    </w:p>
    <w:p w14:paraId="0D79468D" w14:textId="265AD958" w:rsidR="00085390" w:rsidRPr="008B416B" w:rsidRDefault="00085390" w:rsidP="00085390">
      <w:pPr>
        <w:pStyle w:val="CEABullet-Level1"/>
        <w:numPr>
          <w:ilvl w:val="0"/>
          <w:numId w:val="0"/>
        </w:numPr>
        <w:ind w:left="720"/>
      </w:pPr>
      <w:r w:rsidRPr="00646F77">
        <w:rPr>
          <w:lang w:val="en-US"/>
        </w:rPr>
        <w:t>Instead</w:t>
      </w:r>
      <w:r w:rsidRPr="00254C7A">
        <w:rPr>
          <w:lang w:val="en-US"/>
        </w:rPr>
        <w:t>, further reports at group level should only be collected where this is motivated by the complexity of the group and its constituent undertakings.</w:t>
      </w:r>
    </w:p>
    <w:p w14:paraId="78A18753" w14:textId="15A3BFF7" w:rsidR="008B416B" w:rsidRPr="008B416B" w:rsidRDefault="008B416B" w:rsidP="00F77A9C">
      <w:pPr>
        <w:pStyle w:val="CEABullet-Level2"/>
      </w:pPr>
      <w:r w:rsidRPr="008B416B">
        <w:t xml:space="preserve">Simplify </w:t>
      </w:r>
      <w:r w:rsidR="00140998">
        <w:t>c</w:t>
      </w:r>
      <w:r w:rsidRPr="008B416B">
        <w:t>onsolidation:</w:t>
      </w:r>
    </w:p>
    <w:p w14:paraId="518BF785" w14:textId="77777777" w:rsidR="00C01DBB" w:rsidRDefault="00C01DBB" w:rsidP="00C01DBB">
      <w:pPr>
        <w:pStyle w:val="CEABullet-Level3"/>
      </w:pPr>
      <w:r w:rsidRPr="00C01DBB">
        <w:t>Relax full consolidation requirements for non-material participations to reduce unnecessary reporting burdens.</w:t>
      </w:r>
    </w:p>
    <w:p w14:paraId="6A0BC8AA" w14:textId="24A7B9B4" w:rsidR="008B416B" w:rsidRPr="008B416B" w:rsidRDefault="008B416B" w:rsidP="00F77A9C">
      <w:pPr>
        <w:pStyle w:val="CEABullet-Level2"/>
      </w:pPr>
      <w:r w:rsidRPr="008B416B">
        <w:t xml:space="preserve">Targeted </w:t>
      </w:r>
      <w:r w:rsidR="00C2738F">
        <w:t>r</w:t>
      </w:r>
      <w:r w:rsidRPr="008B416B">
        <w:t>eporting:</w:t>
      </w:r>
    </w:p>
    <w:p w14:paraId="5E8E4301" w14:textId="290E7CDB" w:rsidR="008B416B" w:rsidRPr="008B416B" w:rsidRDefault="008B416B" w:rsidP="009E7365">
      <w:pPr>
        <w:pStyle w:val="CEABullet-Level3"/>
      </w:pPr>
      <w:r w:rsidRPr="008B416B">
        <w:t xml:space="preserve">Limit group-level </w:t>
      </w:r>
      <w:r w:rsidR="009E7365" w:rsidRPr="009E7365">
        <w:t>QRT submissions</w:t>
      </w:r>
      <w:r w:rsidRPr="008B416B">
        <w:t xml:space="preserve"> to scenarios </w:t>
      </w:r>
      <w:r w:rsidR="009E7365" w:rsidRPr="009E7365">
        <w:t xml:space="preserve">where they are </w:t>
      </w:r>
      <w:r w:rsidRPr="008B416B">
        <w:t>justified by the group’s complexity and risk profile</w:t>
      </w:r>
      <w:r w:rsidR="009E7365" w:rsidRPr="009E7365">
        <w:t>, ensuring proportionality in reporting.</w:t>
      </w:r>
    </w:p>
    <w:p w14:paraId="7D206A9F" w14:textId="77777777" w:rsidR="00C01DBB" w:rsidRPr="008B416B" w:rsidRDefault="00C01DBB" w:rsidP="00CE7ED3">
      <w:pPr>
        <w:pStyle w:val="CEABullet-Level3"/>
        <w:numPr>
          <w:ilvl w:val="0"/>
          <w:numId w:val="0"/>
        </w:numPr>
        <w:ind w:left="2673"/>
      </w:pPr>
    </w:p>
    <w:p w14:paraId="5C9D94E8" w14:textId="77777777" w:rsidR="00986344" w:rsidRPr="002C1C3C" w:rsidRDefault="00C2738F" w:rsidP="00CE10AB">
      <w:pPr>
        <w:pStyle w:val="Nadpis2"/>
        <w:numPr>
          <w:ilvl w:val="0"/>
          <w:numId w:val="5"/>
        </w:numPr>
        <w:rPr>
          <w:sz w:val="22"/>
          <w:szCs w:val="22"/>
        </w:rPr>
      </w:pPr>
      <w:r w:rsidRPr="002C1C3C">
        <w:rPr>
          <w:sz w:val="22"/>
          <w:szCs w:val="22"/>
        </w:rPr>
        <w:t xml:space="preserve">Additional </w:t>
      </w:r>
      <w:r w:rsidR="002A5D29" w:rsidRPr="002C1C3C">
        <w:rPr>
          <w:sz w:val="22"/>
          <w:szCs w:val="22"/>
        </w:rPr>
        <w:t xml:space="preserve">recommendations </w:t>
      </w:r>
    </w:p>
    <w:p w14:paraId="77377DAB" w14:textId="162AB55D" w:rsidR="00C2738F" w:rsidRDefault="00986344" w:rsidP="00986344">
      <w:r w:rsidRPr="00986344">
        <w:t>To further reduce reporting burdens and improve efficiency, this section outlines additional recommendations addressing the need for alignment, improved communication, flexibility in reporting, and proportionality in data requirements. These measures aim to strike a balance between regulatory oversight and practical implementation for insurers.</w:t>
      </w:r>
      <w:r w:rsidR="00C2738F">
        <w:tab/>
      </w:r>
    </w:p>
    <w:p w14:paraId="5AA4DF19" w14:textId="77777777" w:rsidR="006A0370" w:rsidRDefault="006A0370" w:rsidP="00986344"/>
    <w:p w14:paraId="53A251C3" w14:textId="2A3B0061" w:rsidR="006A0370" w:rsidRDefault="006A0370" w:rsidP="006A0370">
      <w:pPr>
        <w:pStyle w:val="CEABullet-Level1"/>
        <w:jc w:val="left"/>
      </w:pPr>
      <w:r>
        <w:rPr>
          <w:rStyle w:val="Vrazn"/>
        </w:rPr>
        <w:t>Extend the EC’s 25% reduction objective:</w:t>
      </w:r>
      <w:r>
        <w:br/>
        <w:t>Apply the 25% reduction target to other quantitative reporting templates, particularly where national specificities have been introduced, to ensure a consistent approach to burden reduction.</w:t>
      </w:r>
    </w:p>
    <w:p w14:paraId="2F964F24" w14:textId="77777777" w:rsidR="00C002A2" w:rsidRDefault="00C002A2" w:rsidP="00C002A2">
      <w:pPr>
        <w:pStyle w:val="CEABullet-Level1"/>
        <w:numPr>
          <w:ilvl w:val="0"/>
          <w:numId w:val="0"/>
        </w:numPr>
        <w:ind w:left="720"/>
        <w:jc w:val="left"/>
      </w:pPr>
    </w:p>
    <w:p w14:paraId="11C44EDD" w14:textId="2F859615" w:rsidR="00B67B3D" w:rsidRPr="00D16ABF" w:rsidRDefault="002A5D29" w:rsidP="002A5D29">
      <w:pPr>
        <w:pStyle w:val="CEABullet-Level1"/>
        <w:rPr>
          <w:b/>
        </w:rPr>
      </w:pPr>
      <w:r w:rsidRPr="00D16ABF">
        <w:rPr>
          <w:b/>
        </w:rPr>
        <w:t>Improved communication</w:t>
      </w:r>
    </w:p>
    <w:p w14:paraId="582DA8C2" w14:textId="04C369F9" w:rsidR="002A5D29" w:rsidRDefault="00BC6250" w:rsidP="00BC6250">
      <w:pPr>
        <w:pStyle w:val="CEABullet-Level2"/>
      </w:pPr>
      <w:r>
        <w:t>Provide clear justifications for the inclusion of each template</w:t>
      </w:r>
      <w:r w:rsidR="008201F9">
        <w:t xml:space="preserve"> to improve transparency</w:t>
      </w:r>
    </w:p>
    <w:p w14:paraId="5430E455" w14:textId="63B0B51A" w:rsidR="00BC6250" w:rsidRDefault="00BC6250" w:rsidP="0050295D">
      <w:pPr>
        <w:pStyle w:val="CEABullet-Level2"/>
      </w:pPr>
      <w:r>
        <w:t>Regularly</w:t>
      </w:r>
      <w:r w:rsidR="0050295D">
        <w:t xml:space="preserve"> u</w:t>
      </w:r>
      <w:r w:rsidR="0050295D" w:rsidRPr="0050295D">
        <w:t>pdate logfiles to reflect changes in taxonomy and simplify implementation.</w:t>
      </w:r>
    </w:p>
    <w:p w14:paraId="33FA35C7" w14:textId="77777777" w:rsidR="0050295D" w:rsidRDefault="0050295D" w:rsidP="0050295D"/>
    <w:p w14:paraId="60D1D87D" w14:textId="272E66D4" w:rsidR="0050295D" w:rsidRPr="00D16ABF" w:rsidRDefault="0050295D" w:rsidP="0050295D">
      <w:pPr>
        <w:pStyle w:val="CEABullet-Level1"/>
        <w:rPr>
          <w:b/>
        </w:rPr>
      </w:pPr>
      <w:r w:rsidRPr="00D16ABF">
        <w:rPr>
          <w:b/>
        </w:rPr>
        <w:t>Flexibility in reporting</w:t>
      </w:r>
    </w:p>
    <w:p w14:paraId="6BD99761" w14:textId="5117043E" w:rsidR="00E443F6" w:rsidRPr="00E443F6" w:rsidRDefault="008376A8" w:rsidP="00E443F6">
      <w:pPr>
        <w:pStyle w:val="CEABullet-Level2"/>
      </w:pPr>
      <w:r w:rsidRPr="00D7176F">
        <w:rPr>
          <w:lang w:val="en-US"/>
        </w:rPr>
        <w:t xml:space="preserve">Some data is not necessarily better collected using </w:t>
      </w:r>
      <w:proofErr w:type="spellStart"/>
      <w:r w:rsidRPr="00D7176F">
        <w:rPr>
          <w:lang w:val="en-US"/>
        </w:rPr>
        <w:t>harmoni</w:t>
      </w:r>
      <w:r>
        <w:rPr>
          <w:lang w:val="en-US"/>
        </w:rPr>
        <w:t>s</w:t>
      </w:r>
      <w:r w:rsidRPr="00D7176F">
        <w:rPr>
          <w:lang w:val="en-US"/>
        </w:rPr>
        <w:t>ed</w:t>
      </w:r>
      <w:proofErr w:type="spellEnd"/>
      <w:r w:rsidRPr="00D7176F">
        <w:rPr>
          <w:lang w:val="en-US"/>
        </w:rPr>
        <w:t xml:space="preserve"> templates</w:t>
      </w:r>
      <w:r>
        <w:rPr>
          <w:lang w:val="en-US"/>
        </w:rPr>
        <w:t xml:space="preserve">, </w:t>
      </w:r>
      <w:r w:rsidR="00720F9F">
        <w:rPr>
          <w:lang w:val="en-US"/>
        </w:rPr>
        <w:t>therefore insurers should be a</w:t>
      </w:r>
      <w:proofErr w:type="spellStart"/>
      <w:r w:rsidR="00E443F6" w:rsidRPr="00E443F6">
        <w:t>llow</w:t>
      </w:r>
      <w:r w:rsidR="00720F9F">
        <w:t>ed</w:t>
      </w:r>
      <w:proofErr w:type="spellEnd"/>
      <w:r w:rsidR="00E443F6" w:rsidRPr="00E443F6">
        <w:t xml:space="preserve"> to use free-format reporting for certain templates, such as:</w:t>
      </w:r>
    </w:p>
    <w:p w14:paraId="15915D8D" w14:textId="77777777" w:rsidR="00E443F6" w:rsidRPr="00E443F6" w:rsidRDefault="00E443F6" w:rsidP="00FA1373">
      <w:pPr>
        <w:pStyle w:val="CEABullet-Level3"/>
      </w:pPr>
      <w:r w:rsidRPr="00E443F6">
        <w:t>S.36.01 (Intragroup Transactions - Equity-type transactions, debt, and asset transfer).</w:t>
      </w:r>
    </w:p>
    <w:p w14:paraId="04BEA0B3" w14:textId="77777777" w:rsidR="00E443F6" w:rsidRPr="00E443F6" w:rsidRDefault="00E443F6" w:rsidP="00FA1373">
      <w:pPr>
        <w:pStyle w:val="CEABullet-Level3"/>
      </w:pPr>
      <w:r w:rsidRPr="00E443F6">
        <w:t>S.37.01 (Risk concentration).</w:t>
      </w:r>
    </w:p>
    <w:p w14:paraId="5F41E707" w14:textId="5853E4D6" w:rsidR="00304398" w:rsidRDefault="00B826AF" w:rsidP="002856A0">
      <w:pPr>
        <w:pStyle w:val="CEABullet-Level1"/>
        <w:rPr>
          <w:b/>
          <w:bCs/>
        </w:rPr>
      </w:pPr>
      <w:r>
        <w:rPr>
          <w:b/>
          <w:bCs/>
        </w:rPr>
        <w:t>Alignment of d</w:t>
      </w:r>
      <w:r w:rsidR="00304398">
        <w:rPr>
          <w:b/>
          <w:bCs/>
        </w:rPr>
        <w:t>eadlines</w:t>
      </w:r>
    </w:p>
    <w:p w14:paraId="4817BAC2" w14:textId="30EF39AA" w:rsidR="00B826AF" w:rsidRPr="00B826AF" w:rsidRDefault="00B826AF" w:rsidP="00B826AF">
      <w:pPr>
        <w:pStyle w:val="CEABullet-Level2"/>
      </w:pPr>
      <w:r w:rsidRPr="00B826AF">
        <w:t xml:space="preserve">Some </w:t>
      </w:r>
      <w:proofErr w:type="spellStart"/>
      <w:r w:rsidRPr="00B826AF">
        <w:t>reportings</w:t>
      </w:r>
      <w:proofErr w:type="spellEnd"/>
      <w:r w:rsidRPr="00B826AF">
        <w:t xml:space="preserve"> are similar between financial stability and QRTs (S.02, S.05, S.06 and S.23). The same deadlines could be used to ensure their comparability</w:t>
      </w:r>
    </w:p>
    <w:p w14:paraId="65F7E270" w14:textId="77777777" w:rsidR="00304398" w:rsidRDefault="00304398" w:rsidP="00B826AF">
      <w:pPr>
        <w:pStyle w:val="CEABullet-Level2"/>
        <w:numPr>
          <w:ilvl w:val="0"/>
          <w:numId w:val="0"/>
        </w:numPr>
        <w:ind w:left="1800"/>
      </w:pPr>
    </w:p>
    <w:p w14:paraId="383163A1" w14:textId="41366809" w:rsidR="0050295D" w:rsidRPr="00D16ABF" w:rsidRDefault="002856A0" w:rsidP="002856A0">
      <w:pPr>
        <w:pStyle w:val="CEABullet-Level1"/>
        <w:rPr>
          <w:b/>
        </w:rPr>
      </w:pPr>
      <w:r w:rsidRPr="00D16ABF">
        <w:rPr>
          <w:b/>
        </w:rPr>
        <w:t>Learning from past changes</w:t>
      </w:r>
    </w:p>
    <w:p w14:paraId="6E902711" w14:textId="2D03FBBE" w:rsidR="002856A0" w:rsidRDefault="003B7285" w:rsidP="002856A0">
      <w:pPr>
        <w:pStyle w:val="CEABullet-Level2"/>
      </w:pPr>
      <w:r>
        <w:t xml:space="preserve">Minimise structural changes by avoiding introducing new templates unless they significantly </w:t>
      </w:r>
      <w:r w:rsidR="00350DFE">
        <w:t>reduce reporting burdens</w:t>
      </w:r>
    </w:p>
    <w:p w14:paraId="1826D377" w14:textId="77777777" w:rsidR="001D57FE" w:rsidRPr="001D57FE" w:rsidRDefault="001D57FE" w:rsidP="001D57FE">
      <w:pPr>
        <w:pStyle w:val="CEABullet-Level3"/>
        <w:numPr>
          <w:ilvl w:val="0"/>
          <w:numId w:val="0"/>
        </w:numPr>
        <w:ind w:left="2673"/>
        <w:rPr>
          <w:lang w:eastAsia="en-GB"/>
        </w:rPr>
      </w:pPr>
    </w:p>
    <w:p w14:paraId="00F5E4D0" w14:textId="77777777" w:rsidR="001D57FE" w:rsidRPr="001D57FE" w:rsidRDefault="001D57FE" w:rsidP="001D57FE">
      <w:pPr>
        <w:ind w:left="708"/>
        <w:rPr>
          <w:lang w:eastAsia="en-GB"/>
        </w:rPr>
      </w:pPr>
    </w:p>
    <w:p w14:paraId="05444FBD" w14:textId="77777777" w:rsidR="00176EA7" w:rsidRDefault="00176EA7" w:rsidP="009B0C18">
      <w:pPr>
        <w:pStyle w:val="CEABullet-Level1"/>
        <w:numPr>
          <w:ilvl w:val="0"/>
          <w:numId w:val="0"/>
        </w:numPr>
        <w:rPr>
          <w:rFonts w:cs="Times New Roman"/>
          <w:b/>
          <w:bCs/>
          <w:color w:val="1F497D" w:themeColor="text2"/>
          <w:sz w:val="19"/>
          <w:szCs w:val="19"/>
        </w:rPr>
      </w:pPr>
    </w:p>
    <w:p w14:paraId="049F4EC8" w14:textId="77777777" w:rsidR="004D2F03" w:rsidRDefault="004D2F03">
      <w:pPr>
        <w:spacing w:after="200" w:line="276" w:lineRule="auto"/>
        <w:jc w:val="left"/>
        <w:rPr>
          <w:b/>
          <w:bCs/>
          <w:color w:val="1F497D" w:themeColor="text2"/>
          <w:sz w:val="19"/>
          <w:szCs w:val="19"/>
        </w:rPr>
      </w:pPr>
      <w:r>
        <w:rPr>
          <w:b/>
          <w:bCs/>
          <w:color w:val="1F497D" w:themeColor="text2"/>
          <w:sz w:val="19"/>
          <w:szCs w:val="19"/>
        </w:rPr>
        <w:br w:type="page"/>
      </w:r>
    </w:p>
    <w:p w14:paraId="529C96B5" w14:textId="72C181D9" w:rsidR="009B0C18" w:rsidRDefault="00292A3C" w:rsidP="007E5240">
      <w:pPr>
        <w:pStyle w:val="Nadpis2"/>
      </w:pPr>
      <w:r w:rsidRPr="00292A3C">
        <w:lastRenderedPageBreak/>
        <w:t>Comments per template</w:t>
      </w:r>
    </w:p>
    <w:p w14:paraId="0EB76B76" w14:textId="77777777" w:rsidR="007B640D" w:rsidRPr="00E24DBE" w:rsidRDefault="007B640D" w:rsidP="00E24DBE">
      <w:pPr>
        <w:rPr>
          <w:b/>
          <w:bCs/>
        </w:rPr>
      </w:pPr>
    </w:p>
    <w:p w14:paraId="1D6C5525" w14:textId="3BA97D8A" w:rsidR="00DB66BF" w:rsidRPr="00E24DBE" w:rsidRDefault="00DB66BF" w:rsidP="00387BAC">
      <w:pPr>
        <w:pStyle w:val="Nadpis2"/>
        <w:numPr>
          <w:ilvl w:val="0"/>
          <w:numId w:val="34"/>
        </w:numPr>
        <w:rPr>
          <w:rFonts w:cs="Times New Roman"/>
          <w:color w:val="auto"/>
          <w:sz w:val="17"/>
          <w:szCs w:val="24"/>
        </w:rPr>
      </w:pPr>
      <w:r>
        <w:t xml:space="preserve">Individual templates </w:t>
      </w:r>
    </w:p>
    <w:p w14:paraId="6F2C33EC" w14:textId="77777777" w:rsidR="00A368B0" w:rsidRDefault="00A368B0" w:rsidP="00A90A5F">
      <w:pPr>
        <w:rPr>
          <w:b/>
          <w:bCs/>
        </w:rPr>
      </w:pPr>
    </w:p>
    <w:p w14:paraId="0682396E" w14:textId="5A418FCA" w:rsidR="00A90A5F" w:rsidRPr="00A90A5F" w:rsidRDefault="00A90A5F" w:rsidP="00A90A5F">
      <w:pPr>
        <w:rPr>
          <w:b/>
          <w:bCs/>
        </w:rPr>
      </w:pPr>
      <w:r w:rsidRPr="00A90A5F">
        <w:rPr>
          <w:b/>
          <w:bCs/>
        </w:rPr>
        <w:t>S.01.02 – Basic Information</w:t>
      </w:r>
      <w:r w:rsidR="00BC7334">
        <w:rPr>
          <w:b/>
          <w:bCs/>
        </w:rPr>
        <w:t xml:space="preserve"> - General</w:t>
      </w:r>
    </w:p>
    <w:p w14:paraId="4CE1F06D" w14:textId="77777777" w:rsidR="00A90A5F" w:rsidRPr="00A90A5F" w:rsidRDefault="00A90A5F" w:rsidP="00387BAC">
      <w:pPr>
        <w:numPr>
          <w:ilvl w:val="0"/>
          <w:numId w:val="25"/>
        </w:numPr>
        <w:rPr>
          <w:b/>
          <w:bCs/>
        </w:rPr>
      </w:pPr>
      <w:r w:rsidRPr="00A90A5F">
        <w:rPr>
          <w:b/>
          <w:bCs/>
        </w:rPr>
        <w:t>Issues:</w:t>
      </w:r>
    </w:p>
    <w:p w14:paraId="12D159AC" w14:textId="77777777" w:rsidR="00A90A5F" w:rsidRPr="00A90A5F" w:rsidRDefault="00A90A5F" w:rsidP="00387BAC">
      <w:pPr>
        <w:numPr>
          <w:ilvl w:val="1"/>
          <w:numId w:val="25"/>
        </w:numPr>
      </w:pPr>
      <w:r w:rsidRPr="00A90A5F">
        <w:t>Reporting includes static data that rarely changes between reporting periods, adding unnecessary workload.</w:t>
      </w:r>
    </w:p>
    <w:p w14:paraId="0469C752" w14:textId="77777777" w:rsidR="00A90A5F" w:rsidRPr="00A90A5F" w:rsidRDefault="00A90A5F" w:rsidP="00387BAC">
      <w:pPr>
        <w:numPr>
          <w:ilvl w:val="1"/>
          <w:numId w:val="25"/>
        </w:numPr>
      </w:pPr>
      <w:r w:rsidRPr="00A90A5F">
        <w:t>The requirement to indicate which templates are reported in a given quarter is redundant, as this should be self-evident based on submitted data.</w:t>
      </w:r>
    </w:p>
    <w:p w14:paraId="6910523A" w14:textId="77777777" w:rsidR="00A90A5F" w:rsidRPr="00A90A5F" w:rsidRDefault="00A90A5F" w:rsidP="00387BAC">
      <w:pPr>
        <w:numPr>
          <w:ilvl w:val="1"/>
          <w:numId w:val="25"/>
        </w:numPr>
      </w:pPr>
      <w:r w:rsidRPr="00A90A5F">
        <w:t>Significant manual effort is required to update the template for entities within groups, despite minimal changes in underlying data.</w:t>
      </w:r>
    </w:p>
    <w:p w14:paraId="322F792D" w14:textId="77777777" w:rsidR="00A90A5F" w:rsidRPr="00A90A5F" w:rsidRDefault="00A90A5F" w:rsidP="00387BAC">
      <w:pPr>
        <w:numPr>
          <w:ilvl w:val="0"/>
          <w:numId w:val="25"/>
        </w:numPr>
        <w:rPr>
          <w:b/>
          <w:bCs/>
        </w:rPr>
      </w:pPr>
      <w:r w:rsidRPr="00A90A5F">
        <w:rPr>
          <w:b/>
          <w:bCs/>
        </w:rPr>
        <w:t>Proposals:</w:t>
      </w:r>
    </w:p>
    <w:p w14:paraId="624881B9" w14:textId="77777777" w:rsidR="00A90A5F" w:rsidRPr="00A90A5F" w:rsidRDefault="00A90A5F" w:rsidP="00387BAC">
      <w:pPr>
        <w:numPr>
          <w:ilvl w:val="1"/>
          <w:numId w:val="25"/>
        </w:numPr>
      </w:pPr>
      <w:r w:rsidRPr="00A90A5F">
        <w:t>Limit updates to the template to instances where there are material changes (e.g., new entities, major changes in structure).</w:t>
      </w:r>
    </w:p>
    <w:p w14:paraId="12A56FE6" w14:textId="77777777" w:rsidR="00A90A5F" w:rsidRPr="00A90A5F" w:rsidRDefault="00A90A5F" w:rsidP="00387BAC">
      <w:pPr>
        <w:numPr>
          <w:ilvl w:val="1"/>
          <w:numId w:val="25"/>
        </w:numPr>
      </w:pPr>
      <w:r w:rsidRPr="00A90A5F">
        <w:t>Remove the requirement to specify which templates are reported each quarter.</w:t>
      </w:r>
    </w:p>
    <w:p w14:paraId="6FC28E4A" w14:textId="77777777" w:rsidR="00A90A5F" w:rsidRDefault="00A90A5F" w:rsidP="00387BAC">
      <w:pPr>
        <w:numPr>
          <w:ilvl w:val="1"/>
          <w:numId w:val="25"/>
        </w:numPr>
      </w:pPr>
      <w:r w:rsidRPr="00A90A5F">
        <w:t>Allow exemptions for group entities where data remains consistent with previous submissions.</w:t>
      </w:r>
    </w:p>
    <w:p w14:paraId="4031E6C5" w14:textId="77777777" w:rsidR="00A90A5F" w:rsidRPr="00A90A5F" w:rsidRDefault="00A90A5F" w:rsidP="00A90A5F">
      <w:pPr>
        <w:ind w:left="1440"/>
      </w:pPr>
    </w:p>
    <w:p w14:paraId="231EB308" w14:textId="69C4897D" w:rsidR="00EA4573" w:rsidRPr="00EA4573" w:rsidRDefault="00EA4573" w:rsidP="00EA4573">
      <w:pPr>
        <w:rPr>
          <w:b/>
          <w:bCs/>
        </w:rPr>
      </w:pPr>
      <w:r w:rsidRPr="00EA4573">
        <w:rPr>
          <w:b/>
          <w:bCs/>
        </w:rPr>
        <w:t>S.02.01 – Balance Sheet</w:t>
      </w:r>
    </w:p>
    <w:p w14:paraId="6BC6EE47" w14:textId="77777777" w:rsidR="00EA4573" w:rsidRPr="00EA4573" w:rsidRDefault="00EA4573" w:rsidP="00387BAC">
      <w:pPr>
        <w:numPr>
          <w:ilvl w:val="0"/>
          <w:numId w:val="6"/>
        </w:numPr>
      </w:pPr>
      <w:r w:rsidRPr="00EA4573">
        <w:rPr>
          <w:b/>
          <w:bCs/>
        </w:rPr>
        <w:t>Issues</w:t>
      </w:r>
      <w:r w:rsidRPr="00EA4573">
        <w:t>:</w:t>
      </w:r>
    </w:p>
    <w:p w14:paraId="49B018B9" w14:textId="2607CFD9" w:rsidR="00EA4573" w:rsidRDefault="00EA4573" w:rsidP="00387BAC">
      <w:pPr>
        <w:numPr>
          <w:ilvl w:val="1"/>
          <w:numId w:val="6"/>
        </w:numPr>
      </w:pPr>
      <w:r w:rsidRPr="00EA4573">
        <w:t xml:space="preserve">Stringent cross-checks with </w:t>
      </w:r>
      <w:r w:rsidRPr="00EA4573">
        <w:rPr>
          <w:b/>
          <w:bCs/>
        </w:rPr>
        <w:t>S.06.02</w:t>
      </w:r>
      <w:r w:rsidRPr="00EA4573">
        <w:t xml:space="preserve"> (</w:t>
      </w:r>
      <w:r w:rsidR="00B94F1E" w:rsidRPr="00F73021">
        <w:t>List of assets</w:t>
      </w:r>
      <w:r w:rsidRPr="00EA4573">
        <w:t>) have very low tolerance levels for discrepancies, requiring exact matches to the euro.</w:t>
      </w:r>
    </w:p>
    <w:p w14:paraId="70014796" w14:textId="5141FF4C" w:rsidR="0029131D" w:rsidRDefault="0029131D" w:rsidP="00387BAC">
      <w:pPr>
        <w:numPr>
          <w:ilvl w:val="1"/>
          <w:numId w:val="6"/>
        </w:numPr>
      </w:pPr>
      <w:r>
        <w:t>Time-consuming reconciliation between S.02.01 and technical provisions in other QRTs.</w:t>
      </w:r>
    </w:p>
    <w:p w14:paraId="03B13FA9" w14:textId="77777777" w:rsidR="00EA4573" w:rsidRPr="00EA4573" w:rsidRDefault="00EA4573" w:rsidP="00387BAC">
      <w:pPr>
        <w:numPr>
          <w:ilvl w:val="1"/>
          <w:numId w:val="6"/>
        </w:numPr>
      </w:pPr>
      <w:r w:rsidRPr="00EA4573">
        <w:t>Validation between tables at different granularity levels (e.g., technical provisions vs. total provisions) is time-consuming.</w:t>
      </w:r>
    </w:p>
    <w:p w14:paraId="02EBE170" w14:textId="3D7A1B71" w:rsidR="00B20712" w:rsidRDefault="00B20712" w:rsidP="00CE10AB">
      <w:pPr>
        <w:numPr>
          <w:ilvl w:val="1"/>
          <w:numId w:val="6"/>
        </w:numPr>
      </w:pPr>
      <w:r>
        <w:t>Double reporting, reported already in Financial Stability reporting</w:t>
      </w:r>
    </w:p>
    <w:p w14:paraId="2154B63B" w14:textId="547D7CBC" w:rsidR="006B06BC" w:rsidRPr="006B06BC" w:rsidRDefault="006B06BC">
      <w:pPr>
        <w:numPr>
          <w:ilvl w:val="1"/>
          <w:numId w:val="6"/>
        </w:numPr>
        <w:rPr>
          <w:i/>
          <w:iCs/>
        </w:rPr>
      </w:pPr>
      <w:r>
        <w:t xml:space="preserve">For example: </w:t>
      </w:r>
      <w:r w:rsidRPr="006B06BC">
        <w:rPr>
          <w:i/>
          <w:iCs/>
        </w:rPr>
        <w:t>time to complete the reporting for the biggest entity of the Group (with reconciliation S</w:t>
      </w:r>
      <w:r>
        <w:rPr>
          <w:i/>
          <w:iCs/>
        </w:rPr>
        <w:t xml:space="preserve">II </w:t>
      </w:r>
      <w:r w:rsidRPr="006B06BC">
        <w:rPr>
          <w:i/>
          <w:iCs/>
        </w:rPr>
        <w:t>-local GAAP): 4,5 days and Time to complete the reporting for the whole Group: 8.5 days</w:t>
      </w:r>
    </w:p>
    <w:p w14:paraId="0FA11485" w14:textId="77777777" w:rsidR="006B06BC" w:rsidRPr="00EA4573" w:rsidRDefault="006B06BC" w:rsidP="00CE10AB">
      <w:pPr>
        <w:numPr>
          <w:ilvl w:val="1"/>
          <w:numId w:val="6"/>
        </w:numPr>
      </w:pPr>
    </w:p>
    <w:p w14:paraId="41E3F0B0" w14:textId="77777777" w:rsidR="00EA4573" w:rsidRPr="00EA4573" w:rsidRDefault="00EA4573" w:rsidP="00387BAC">
      <w:pPr>
        <w:numPr>
          <w:ilvl w:val="0"/>
          <w:numId w:val="6"/>
        </w:numPr>
      </w:pPr>
      <w:r w:rsidRPr="00EA4573">
        <w:rPr>
          <w:b/>
          <w:bCs/>
        </w:rPr>
        <w:t>Proposals</w:t>
      </w:r>
      <w:r w:rsidRPr="00EA4573">
        <w:t>:</w:t>
      </w:r>
    </w:p>
    <w:p w14:paraId="609575EA" w14:textId="77777777" w:rsidR="00EA4573" w:rsidRPr="00EA4573" w:rsidRDefault="00EA4573" w:rsidP="00387BAC">
      <w:pPr>
        <w:numPr>
          <w:ilvl w:val="1"/>
          <w:numId w:val="6"/>
        </w:numPr>
      </w:pPr>
      <w:r w:rsidRPr="00EA4573">
        <w:t>Increase materiality thresholds for cross-checks to account for rounding differences.</w:t>
      </w:r>
    </w:p>
    <w:p w14:paraId="60D97403" w14:textId="77777777" w:rsidR="00EA4573" w:rsidRPr="00EA4573" w:rsidRDefault="00EA4573" w:rsidP="00387BAC">
      <w:pPr>
        <w:numPr>
          <w:ilvl w:val="1"/>
          <w:numId w:val="6"/>
        </w:numPr>
      </w:pPr>
      <w:r w:rsidRPr="00EA4573">
        <w:t>Simplify reconciliation processes by allowing a degree of variance.</w:t>
      </w:r>
    </w:p>
    <w:p w14:paraId="11448769" w14:textId="77777777" w:rsidR="00EA4573" w:rsidRPr="00EA4573" w:rsidRDefault="00EA4573" w:rsidP="00387BAC">
      <w:pPr>
        <w:numPr>
          <w:ilvl w:val="1"/>
          <w:numId w:val="6"/>
        </w:numPr>
      </w:pPr>
      <w:r w:rsidRPr="00EA4573">
        <w:t>Reporting thresholds for immaterial participations in group balance sheets to reduce burden.</w:t>
      </w:r>
    </w:p>
    <w:p w14:paraId="572C37A1" w14:textId="08A92961" w:rsidR="00FE1755" w:rsidRPr="00EA4573" w:rsidRDefault="00FE1755" w:rsidP="00CE10AB">
      <w:pPr>
        <w:numPr>
          <w:ilvl w:val="1"/>
          <w:numId w:val="6"/>
        </w:numPr>
      </w:pPr>
      <w:r>
        <w:t>Should only be submitted annually.</w:t>
      </w:r>
    </w:p>
    <w:p w14:paraId="6E3F0292" w14:textId="77777777" w:rsidR="00450CC7" w:rsidRDefault="00450CC7" w:rsidP="00EA4573"/>
    <w:p w14:paraId="614A8F06" w14:textId="65464AF1" w:rsidR="00A8359A" w:rsidRPr="00A8359A" w:rsidRDefault="00A8359A" w:rsidP="00A8359A">
      <w:pPr>
        <w:rPr>
          <w:b/>
          <w:bCs/>
        </w:rPr>
      </w:pPr>
      <w:r w:rsidRPr="00A8359A">
        <w:rPr>
          <w:b/>
          <w:bCs/>
        </w:rPr>
        <w:t>S.03.01 – Off-Balance Sheet Items</w:t>
      </w:r>
      <w:r w:rsidR="006E72BF">
        <w:rPr>
          <w:b/>
          <w:bCs/>
        </w:rPr>
        <w:t xml:space="preserve"> - general</w:t>
      </w:r>
    </w:p>
    <w:p w14:paraId="045DD411" w14:textId="77777777" w:rsidR="00A8359A" w:rsidRPr="00A8359A" w:rsidRDefault="00A8359A" w:rsidP="00387BAC">
      <w:pPr>
        <w:numPr>
          <w:ilvl w:val="0"/>
          <w:numId w:val="7"/>
        </w:numPr>
      </w:pPr>
      <w:r w:rsidRPr="00A8359A">
        <w:rPr>
          <w:b/>
          <w:bCs/>
        </w:rPr>
        <w:t>Issues</w:t>
      </w:r>
      <w:r w:rsidRPr="00A8359A">
        <w:t>:</w:t>
      </w:r>
    </w:p>
    <w:p w14:paraId="1E9D3F75" w14:textId="77777777" w:rsidR="00A8359A" w:rsidRPr="00A8359A" w:rsidRDefault="00A8359A" w:rsidP="00387BAC">
      <w:pPr>
        <w:numPr>
          <w:ilvl w:val="1"/>
          <w:numId w:val="7"/>
        </w:numPr>
      </w:pPr>
      <w:r w:rsidRPr="00A8359A">
        <w:t>Provides limited value; information is already disclosed in IFRS financial statements.</w:t>
      </w:r>
    </w:p>
    <w:p w14:paraId="11983696" w14:textId="77777777" w:rsidR="00A8359A" w:rsidRPr="00A8359A" w:rsidRDefault="00A8359A" w:rsidP="00387BAC">
      <w:pPr>
        <w:numPr>
          <w:ilvl w:val="1"/>
          <w:numId w:val="7"/>
        </w:numPr>
      </w:pPr>
      <w:r w:rsidRPr="00A8359A">
        <w:t>Reporting often involves immaterial amounts that add no supervisory insight.</w:t>
      </w:r>
    </w:p>
    <w:p w14:paraId="74D86775" w14:textId="45355F2E" w:rsidR="00414197" w:rsidRPr="00D73875" w:rsidRDefault="00414197" w:rsidP="00414197">
      <w:pPr>
        <w:pStyle w:val="CEABullet-Level1"/>
        <w:numPr>
          <w:ilvl w:val="1"/>
          <w:numId w:val="7"/>
        </w:numPr>
      </w:pPr>
      <w:r>
        <w:t>M</w:t>
      </w:r>
      <w:r w:rsidRPr="00D73875">
        <w:t xml:space="preserve">ost of the information requested is disclosed in the IFRS Financial Statements being the S2 value of those elements the same or very similar. </w:t>
      </w:r>
    </w:p>
    <w:p w14:paraId="143E0343" w14:textId="77777777" w:rsidR="00414197" w:rsidRPr="00A8359A" w:rsidRDefault="00414197" w:rsidP="00CE10AB">
      <w:pPr>
        <w:numPr>
          <w:ilvl w:val="1"/>
          <w:numId w:val="7"/>
        </w:numPr>
      </w:pPr>
    </w:p>
    <w:p w14:paraId="1772CC1F" w14:textId="77777777" w:rsidR="00A8359A" w:rsidRPr="00A8359A" w:rsidRDefault="00A8359A" w:rsidP="00387BAC">
      <w:pPr>
        <w:numPr>
          <w:ilvl w:val="0"/>
          <w:numId w:val="7"/>
        </w:numPr>
      </w:pPr>
      <w:r w:rsidRPr="00A8359A">
        <w:rPr>
          <w:b/>
          <w:bCs/>
        </w:rPr>
        <w:t>Proposals</w:t>
      </w:r>
      <w:r w:rsidRPr="00A8359A">
        <w:t>:</w:t>
      </w:r>
    </w:p>
    <w:p w14:paraId="68488462" w14:textId="77777777" w:rsidR="008774E2" w:rsidRPr="008774E2" w:rsidRDefault="00A8359A" w:rsidP="008774E2">
      <w:pPr>
        <w:pStyle w:val="Odsekzoznamu"/>
        <w:numPr>
          <w:ilvl w:val="1"/>
          <w:numId w:val="7"/>
        </w:numPr>
        <w:jc w:val="left"/>
      </w:pPr>
      <w:r w:rsidRPr="00A8359A">
        <w:t>Remove this template entirely</w:t>
      </w:r>
      <w:r w:rsidR="008774E2" w:rsidRPr="008774E2">
        <w:t xml:space="preserve">, as many times the reporting requirements lead to the reporting of very immaterial amounts.  </w:t>
      </w:r>
    </w:p>
    <w:p w14:paraId="62219E5F" w14:textId="77777777" w:rsidR="00A8359A" w:rsidRPr="00A8359A" w:rsidRDefault="00A8359A" w:rsidP="00387BAC">
      <w:pPr>
        <w:numPr>
          <w:ilvl w:val="1"/>
          <w:numId w:val="7"/>
        </w:numPr>
      </w:pPr>
      <w:r w:rsidRPr="00A8359A">
        <w:t>Introduce optional thresholds to reduce unnecessary reporting.</w:t>
      </w:r>
    </w:p>
    <w:p w14:paraId="36CF8333" w14:textId="77777777" w:rsidR="00450CC7" w:rsidRDefault="00450CC7" w:rsidP="00A8359A"/>
    <w:p w14:paraId="0820B19A" w14:textId="77777777" w:rsidR="00F918BF" w:rsidRPr="00F918BF" w:rsidRDefault="00F918BF" w:rsidP="00F918BF">
      <w:pPr>
        <w:rPr>
          <w:b/>
          <w:bCs/>
        </w:rPr>
      </w:pPr>
      <w:r w:rsidRPr="00F918BF">
        <w:rPr>
          <w:b/>
          <w:bCs/>
        </w:rPr>
        <w:t>S.04.01–S.04.05 – Activity by Country</w:t>
      </w:r>
    </w:p>
    <w:p w14:paraId="694A28E0" w14:textId="77777777" w:rsidR="00F918BF" w:rsidRPr="00F918BF" w:rsidRDefault="00F918BF" w:rsidP="00387BAC">
      <w:pPr>
        <w:numPr>
          <w:ilvl w:val="0"/>
          <w:numId w:val="8"/>
        </w:numPr>
      </w:pPr>
      <w:r w:rsidRPr="00F918BF">
        <w:rPr>
          <w:b/>
          <w:bCs/>
        </w:rPr>
        <w:t>Issues</w:t>
      </w:r>
      <w:r w:rsidRPr="00F918BF">
        <w:t>:</w:t>
      </w:r>
    </w:p>
    <w:p w14:paraId="30472BC6" w14:textId="77777777" w:rsidR="008B749A" w:rsidRDefault="00F918BF" w:rsidP="008B749A">
      <w:pPr>
        <w:pStyle w:val="Odsekzoznamu"/>
        <w:numPr>
          <w:ilvl w:val="1"/>
          <w:numId w:val="8"/>
        </w:numPr>
        <w:jc w:val="left"/>
      </w:pPr>
      <w:r w:rsidRPr="00F918BF">
        <w:t>High effort required for disaggregation of data by country.</w:t>
      </w:r>
      <w:r w:rsidR="008B749A" w:rsidRPr="008B749A">
        <w:t xml:space="preserve"> </w:t>
      </w:r>
    </w:p>
    <w:p w14:paraId="0F80B5D8" w14:textId="2F195E7E" w:rsidR="008B749A" w:rsidRPr="008B749A" w:rsidRDefault="008B749A" w:rsidP="008B749A">
      <w:pPr>
        <w:pStyle w:val="Odsekzoznamu"/>
        <w:numPr>
          <w:ilvl w:val="1"/>
          <w:numId w:val="8"/>
        </w:numPr>
        <w:jc w:val="left"/>
      </w:pPr>
      <w:r>
        <w:t>I</w:t>
      </w:r>
      <w:r w:rsidRPr="008B749A">
        <w:t>nformation regarding the risk location is often not available. Some simplifications are consequently used.</w:t>
      </w:r>
    </w:p>
    <w:p w14:paraId="23BD3DD3" w14:textId="77777777" w:rsidR="00F918BF" w:rsidRPr="00F918BF" w:rsidRDefault="00F918BF" w:rsidP="00387BAC">
      <w:pPr>
        <w:numPr>
          <w:ilvl w:val="1"/>
          <w:numId w:val="8"/>
        </w:numPr>
      </w:pPr>
      <w:r w:rsidRPr="00F918BF">
        <w:t xml:space="preserve">Duplication of data reported in </w:t>
      </w:r>
      <w:r w:rsidRPr="00F918BF">
        <w:rPr>
          <w:b/>
          <w:bCs/>
        </w:rPr>
        <w:t>S.05.01</w:t>
      </w:r>
      <w:r w:rsidRPr="00F918BF">
        <w:t xml:space="preserve"> and </w:t>
      </w:r>
      <w:r w:rsidRPr="00F918BF">
        <w:rPr>
          <w:b/>
          <w:bCs/>
        </w:rPr>
        <w:t>S.05.02</w:t>
      </w:r>
      <w:r w:rsidRPr="00F918BF">
        <w:t>.</w:t>
      </w:r>
    </w:p>
    <w:p w14:paraId="55F72DC8" w14:textId="273F22E0" w:rsidR="00712CB4" w:rsidRPr="00F918BF" w:rsidRDefault="00712CB4" w:rsidP="00CE10AB">
      <w:pPr>
        <w:numPr>
          <w:ilvl w:val="1"/>
          <w:numId w:val="8"/>
        </w:numPr>
      </w:pPr>
      <w:r>
        <w:t xml:space="preserve">It is not clear what the benefit is of this template for EIOPA and NSAs. </w:t>
      </w:r>
    </w:p>
    <w:p w14:paraId="2DF98911" w14:textId="77777777" w:rsidR="00F918BF" w:rsidRPr="00F918BF" w:rsidRDefault="00F918BF" w:rsidP="00387BAC">
      <w:pPr>
        <w:numPr>
          <w:ilvl w:val="0"/>
          <w:numId w:val="8"/>
        </w:numPr>
      </w:pPr>
      <w:r w:rsidRPr="00F918BF">
        <w:rPr>
          <w:b/>
          <w:bCs/>
        </w:rPr>
        <w:t>Proposals</w:t>
      </w:r>
      <w:r w:rsidRPr="00F918BF">
        <w:t>:</w:t>
      </w:r>
    </w:p>
    <w:p w14:paraId="332D4E7B" w14:textId="0186D528" w:rsidR="00B527CE" w:rsidRPr="00B527CE" w:rsidRDefault="003F3D4C" w:rsidP="00B527CE">
      <w:pPr>
        <w:pStyle w:val="Odsekzoznamu"/>
        <w:numPr>
          <w:ilvl w:val="1"/>
          <w:numId w:val="8"/>
        </w:numPr>
        <w:jc w:val="left"/>
      </w:pPr>
      <w:r>
        <w:t>I</w:t>
      </w:r>
      <w:r w:rsidR="00F918BF" w:rsidRPr="00F918BF">
        <w:t>ntroduce materiality thresholds for splitting data by country.</w:t>
      </w:r>
      <w:r w:rsidR="000260C9">
        <w:t xml:space="preserve"> In particular for S.</w:t>
      </w:r>
      <w:r w:rsidR="00B527CE">
        <w:t>04.04</w:t>
      </w:r>
      <w:r w:rsidR="00B527CE" w:rsidRPr="00B527CE">
        <w:t xml:space="preserve"> </w:t>
      </w:r>
      <w:r w:rsidR="00B527CE">
        <w:t xml:space="preserve">a similar threshold as in QRT </w:t>
      </w:r>
      <w:r w:rsidR="00B527CE" w:rsidRPr="00B527CE">
        <w:t>S.05.02 or in S.04.05</w:t>
      </w:r>
      <w:r w:rsidR="00B527CE">
        <w:t xml:space="preserve"> could be introduced.</w:t>
      </w:r>
    </w:p>
    <w:p w14:paraId="40658673" w14:textId="77777777" w:rsidR="00F918BF" w:rsidRPr="00F918BF" w:rsidRDefault="00F918BF" w:rsidP="00387BAC">
      <w:pPr>
        <w:numPr>
          <w:ilvl w:val="1"/>
          <w:numId w:val="8"/>
        </w:numPr>
      </w:pPr>
      <w:r w:rsidRPr="00F918BF">
        <w:t>Remove rows or data points with low supervisory value (e.g., Row R0050).</w:t>
      </w:r>
    </w:p>
    <w:p w14:paraId="59298CD8" w14:textId="531A4589" w:rsidR="00712CB4" w:rsidRPr="00857267" w:rsidRDefault="00712CB4" w:rsidP="00CE10AB">
      <w:pPr>
        <w:numPr>
          <w:ilvl w:val="1"/>
          <w:numId w:val="8"/>
        </w:numPr>
      </w:pPr>
      <w:r w:rsidRPr="00857267">
        <w:t>This template can be removed.</w:t>
      </w:r>
    </w:p>
    <w:p w14:paraId="4832315C" w14:textId="037B3C15" w:rsidR="00B40D57" w:rsidRPr="00B40D57" w:rsidRDefault="00B40D57" w:rsidP="00B40D57">
      <w:pPr>
        <w:pStyle w:val="CEABullet-Level1"/>
        <w:numPr>
          <w:ilvl w:val="1"/>
          <w:numId w:val="1"/>
        </w:numPr>
      </w:pPr>
      <w:r>
        <w:t>E</w:t>
      </w:r>
      <w:r w:rsidRPr="00B40D57">
        <w:t xml:space="preserve">xamining the possibility of merging with S.04 </w:t>
      </w:r>
      <w:r>
        <w:t>QRTs</w:t>
      </w:r>
      <w:r w:rsidRPr="00B40D57">
        <w:t xml:space="preserve"> for the purpose of annual reporting. </w:t>
      </w:r>
    </w:p>
    <w:p w14:paraId="73815B5E" w14:textId="77777777" w:rsidR="00450CC7" w:rsidRDefault="00450CC7" w:rsidP="00F918BF"/>
    <w:p w14:paraId="52ED6CAB" w14:textId="77777777" w:rsidR="00B91017" w:rsidRPr="00B91017" w:rsidRDefault="00B91017" w:rsidP="00B91017">
      <w:pPr>
        <w:rPr>
          <w:b/>
          <w:bCs/>
        </w:rPr>
      </w:pPr>
      <w:r w:rsidRPr="00B91017">
        <w:rPr>
          <w:b/>
          <w:bCs/>
        </w:rPr>
        <w:t>S.05.01 &amp; S.05.02 – Premiums, Claims, and Expenses</w:t>
      </w:r>
    </w:p>
    <w:p w14:paraId="796EBA9A" w14:textId="77777777" w:rsidR="00B91017" w:rsidRPr="00B91017" w:rsidRDefault="00B91017" w:rsidP="00387BAC">
      <w:pPr>
        <w:numPr>
          <w:ilvl w:val="0"/>
          <w:numId w:val="9"/>
        </w:numPr>
      </w:pPr>
      <w:r w:rsidRPr="00B91017">
        <w:rPr>
          <w:b/>
          <w:bCs/>
        </w:rPr>
        <w:t>Issues</w:t>
      </w:r>
      <w:r w:rsidRPr="00B91017">
        <w:t>:</w:t>
      </w:r>
    </w:p>
    <w:p w14:paraId="6148EC22" w14:textId="692486E6" w:rsidR="00240AAF" w:rsidRPr="00492493" w:rsidRDefault="00B91017" w:rsidP="00240AAF">
      <w:pPr>
        <w:numPr>
          <w:ilvl w:val="1"/>
          <w:numId w:val="10"/>
        </w:numPr>
      </w:pPr>
      <w:r w:rsidRPr="00B91017">
        <w:t xml:space="preserve">Significant overlap with </w:t>
      </w:r>
      <w:r w:rsidRPr="00B91017">
        <w:rPr>
          <w:b/>
          <w:bCs/>
        </w:rPr>
        <w:t>Financial Stability Reporting (FS)</w:t>
      </w:r>
      <w:r w:rsidRPr="00B91017">
        <w:t xml:space="preserve"> and national supervisory reporting.</w:t>
      </w:r>
      <w:r w:rsidR="00240AAF" w:rsidRPr="00240AAF">
        <w:t xml:space="preserve"> </w:t>
      </w:r>
      <w:r w:rsidR="00240AAF" w:rsidRPr="00492493">
        <w:t xml:space="preserve">Overlap with </w:t>
      </w:r>
      <w:r w:rsidR="00240AAF" w:rsidRPr="003C28B8">
        <w:t>Financial Stability Reporting requirements</w:t>
      </w:r>
      <w:r w:rsidR="00240AAF">
        <w:t>, in particular for S.05</w:t>
      </w:r>
      <w:r w:rsidR="00240AAF" w:rsidRPr="00492493">
        <w:t>.</w:t>
      </w:r>
      <w:r w:rsidR="00240AAF">
        <w:t>01.02</w:t>
      </w:r>
    </w:p>
    <w:p w14:paraId="4CD8D200" w14:textId="77777777" w:rsidR="00451AD8" w:rsidRPr="00451AD8" w:rsidRDefault="007931F8" w:rsidP="00451AD8">
      <w:pPr>
        <w:pStyle w:val="Odsekzoznamu"/>
        <w:numPr>
          <w:ilvl w:val="1"/>
          <w:numId w:val="9"/>
        </w:numPr>
        <w:jc w:val="left"/>
      </w:pPr>
      <w:r>
        <w:t>Information is requested in both local GAAP and IFRS. New IFRS 17 standards make it challenging to provide required values (e.g., premiums earned or granular expense data).</w:t>
      </w:r>
      <w:r w:rsidR="00451AD8">
        <w:t xml:space="preserve"> </w:t>
      </w:r>
      <w:r w:rsidR="00451AD8" w:rsidRPr="00451AD8">
        <w:t>Comparability between jurisdictions is consequently not guaranteed at Group level.</w:t>
      </w:r>
    </w:p>
    <w:p w14:paraId="7946B7B5" w14:textId="77777777" w:rsidR="007931F8" w:rsidRDefault="007931F8" w:rsidP="00387BAC">
      <w:pPr>
        <w:numPr>
          <w:ilvl w:val="1"/>
          <w:numId w:val="9"/>
        </w:numPr>
      </w:pPr>
      <w:r>
        <w:t>Data flows by accepted proportional reinsurance are complex and add little value.</w:t>
      </w:r>
    </w:p>
    <w:p w14:paraId="5AFFC265" w14:textId="214518DA" w:rsidR="009615AB" w:rsidRDefault="009615AB" w:rsidP="009615AB">
      <w:pPr>
        <w:pStyle w:val="CEABullet-Level1"/>
        <w:numPr>
          <w:ilvl w:val="1"/>
          <w:numId w:val="9"/>
        </w:numPr>
      </w:pPr>
      <w:r>
        <w:t>EIOPA guidelines states: “</w:t>
      </w:r>
      <w:r w:rsidRPr="009615AB">
        <w:rPr>
          <w:i/>
          <w:iCs/>
        </w:rPr>
        <w:t>This template shall be reported from a consolidated accounting perspective, i.e.: Local GAAP or IFRS if accepted as local GAAP but using Solvency II lines of business.</w:t>
      </w:r>
      <w:r>
        <w:t>”</w:t>
      </w:r>
    </w:p>
    <w:p w14:paraId="01BC65FB" w14:textId="7154251D" w:rsidR="00B91017" w:rsidRPr="00B91017" w:rsidRDefault="00B91017" w:rsidP="00387BAC">
      <w:pPr>
        <w:numPr>
          <w:ilvl w:val="0"/>
          <w:numId w:val="9"/>
        </w:numPr>
      </w:pPr>
      <w:r w:rsidRPr="00B91017">
        <w:rPr>
          <w:b/>
          <w:bCs/>
        </w:rPr>
        <w:t>Proposals</w:t>
      </w:r>
      <w:r w:rsidRPr="00B91017">
        <w:t>:</w:t>
      </w:r>
    </w:p>
    <w:p w14:paraId="33A0FF6A" w14:textId="764C7BE9" w:rsidR="00B91017" w:rsidRPr="00B91017" w:rsidRDefault="00B91017" w:rsidP="00387BAC">
      <w:pPr>
        <w:numPr>
          <w:ilvl w:val="1"/>
          <w:numId w:val="9"/>
        </w:numPr>
      </w:pPr>
      <w:r w:rsidRPr="00B91017">
        <w:t>Eliminate or revise for compatibility with IFRS 17 reporting standards</w:t>
      </w:r>
      <w:r w:rsidR="00C517A7">
        <w:t>, as</w:t>
      </w:r>
      <w:r w:rsidR="00C517A7" w:rsidRPr="00C517A7">
        <w:t xml:space="preserve"> since IFRS17 came into force, information requested is no longer available (e.g.  premiums earned) or not available at such granularity (e.g. expenses)</w:t>
      </w:r>
      <w:r w:rsidRPr="00B91017">
        <w:t>.</w:t>
      </w:r>
    </w:p>
    <w:p w14:paraId="68FF535A" w14:textId="77777777" w:rsidR="00E25262" w:rsidRDefault="00E25262" w:rsidP="00CE10AB">
      <w:pPr>
        <w:numPr>
          <w:ilvl w:val="1"/>
          <w:numId w:val="9"/>
        </w:numPr>
      </w:pPr>
      <w:r w:rsidRPr="00D80C9C">
        <w:rPr>
          <w:lang w:val="en-US"/>
        </w:rPr>
        <w:t xml:space="preserve">Insurers should be allowed to base this QRT on their local reporting. </w:t>
      </w:r>
      <w:r w:rsidRPr="00D80C9C">
        <w:t xml:space="preserve">  </w:t>
      </w:r>
    </w:p>
    <w:p w14:paraId="427345F3" w14:textId="2555D5FF" w:rsidR="00B91017" w:rsidRPr="00B91017" w:rsidRDefault="00B91017" w:rsidP="00387BAC">
      <w:pPr>
        <w:numPr>
          <w:ilvl w:val="1"/>
          <w:numId w:val="9"/>
        </w:numPr>
      </w:pPr>
      <w:r w:rsidRPr="00B91017">
        <w:t>Allow immaterial lines of business to be excluded from reporting.</w:t>
      </w:r>
    </w:p>
    <w:p w14:paraId="7E1CC8C7" w14:textId="13DA6EA4" w:rsidR="00FE18C0" w:rsidRPr="00C35058" w:rsidRDefault="00FE18C0" w:rsidP="00FE18C0">
      <w:pPr>
        <w:pStyle w:val="CEABullet-Level1"/>
        <w:numPr>
          <w:ilvl w:val="1"/>
          <w:numId w:val="9"/>
        </w:numPr>
        <w:rPr>
          <w:lang w:val="en-US"/>
        </w:rPr>
      </w:pPr>
      <w:r>
        <w:t>Group: This information can be collected from the solo reporting and, therefore, this template should be deleted from the group requirement. Alternatively, a group version of S.04.05 can be introduced based on the same information already reported at solo level.</w:t>
      </w:r>
      <w:r w:rsidRPr="00C35058">
        <w:rPr>
          <w:lang w:val="en-US"/>
        </w:rPr>
        <w:t xml:space="preserve"> </w:t>
      </w:r>
    </w:p>
    <w:p w14:paraId="7D549EE2" w14:textId="21F58CDC" w:rsidR="00BB7561" w:rsidRPr="00B91017" w:rsidRDefault="00BB7561" w:rsidP="00CE10AB">
      <w:pPr>
        <w:numPr>
          <w:ilvl w:val="1"/>
          <w:numId w:val="9"/>
        </w:numPr>
      </w:pPr>
      <w:r>
        <w:t>Should only be submitted annually.</w:t>
      </w:r>
    </w:p>
    <w:p w14:paraId="1383647D" w14:textId="77777777" w:rsidR="00492493" w:rsidRDefault="00492493" w:rsidP="00492493">
      <w:pPr>
        <w:rPr>
          <w:b/>
          <w:bCs/>
        </w:rPr>
      </w:pPr>
    </w:p>
    <w:p w14:paraId="4B1F5DE4" w14:textId="099AD253" w:rsidR="00492493" w:rsidRPr="00492493" w:rsidRDefault="00492493" w:rsidP="00492493">
      <w:pPr>
        <w:rPr>
          <w:b/>
          <w:bCs/>
        </w:rPr>
      </w:pPr>
      <w:r w:rsidRPr="00492493">
        <w:rPr>
          <w:b/>
          <w:bCs/>
        </w:rPr>
        <w:t>S.06.02 – List of Assets</w:t>
      </w:r>
    </w:p>
    <w:p w14:paraId="0D61C428" w14:textId="77777777" w:rsidR="00492493" w:rsidRPr="00492493" w:rsidRDefault="00492493" w:rsidP="00387BAC">
      <w:pPr>
        <w:numPr>
          <w:ilvl w:val="0"/>
          <w:numId w:val="10"/>
        </w:numPr>
      </w:pPr>
      <w:r w:rsidRPr="00492493">
        <w:rPr>
          <w:b/>
          <w:bCs/>
        </w:rPr>
        <w:t>Issues</w:t>
      </w:r>
      <w:r w:rsidRPr="00492493">
        <w:t>:</w:t>
      </w:r>
    </w:p>
    <w:p w14:paraId="7AAEDB37" w14:textId="77777777" w:rsidR="00492493" w:rsidRPr="00492493" w:rsidRDefault="00492493" w:rsidP="00387BAC">
      <w:pPr>
        <w:numPr>
          <w:ilvl w:val="1"/>
          <w:numId w:val="10"/>
        </w:numPr>
      </w:pPr>
      <w:r w:rsidRPr="00492493">
        <w:t>High level of detail required for each asset, making reporting burdensome, especially for small and low-risk firms.</w:t>
      </w:r>
    </w:p>
    <w:p w14:paraId="211CBF06" w14:textId="0227A7F8" w:rsidR="00492493" w:rsidRPr="00492493" w:rsidRDefault="00492493" w:rsidP="00387BAC">
      <w:pPr>
        <w:numPr>
          <w:ilvl w:val="1"/>
          <w:numId w:val="10"/>
        </w:numPr>
      </w:pPr>
      <w:r w:rsidRPr="00492493">
        <w:t xml:space="preserve">Overlap with </w:t>
      </w:r>
      <w:r w:rsidRPr="003C28B8">
        <w:t xml:space="preserve">Financial Stability Reporting </w:t>
      </w:r>
      <w:r w:rsidRPr="00492493">
        <w:t>requirements</w:t>
      </w:r>
      <w:r w:rsidR="006879DF">
        <w:t>, in particular for S.0</w:t>
      </w:r>
      <w:r w:rsidR="0023582A">
        <w:t>6</w:t>
      </w:r>
      <w:r w:rsidRPr="00492493">
        <w:t>.</w:t>
      </w:r>
      <w:r w:rsidR="006879DF">
        <w:t>01.0</w:t>
      </w:r>
      <w:r w:rsidR="0023582A">
        <w:t>4</w:t>
      </w:r>
    </w:p>
    <w:p w14:paraId="66D90E56" w14:textId="77777777" w:rsidR="00492493" w:rsidRPr="00492493" w:rsidRDefault="00492493" w:rsidP="00387BAC">
      <w:pPr>
        <w:numPr>
          <w:ilvl w:val="0"/>
          <w:numId w:val="10"/>
        </w:numPr>
      </w:pPr>
      <w:r w:rsidRPr="00492493">
        <w:rPr>
          <w:b/>
          <w:bCs/>
        </w:rPr>
        <w:t>Proposals</w:t>
      </w:r>
      <w:r w:rsidRPr="00492493">
        <w:t>:</w:t>
      </w:r>
    </w:p>
    <w:p w14:paraId="48816651" w14:textId="77777777" w:rsidR="00F80116" w:rsidRPr="00F80116" w:rsidRDefault="00492493" w:rsidP="00F80116">
      <w:pPr>
        <w:pStyle w:val="Odsekzoznamu"/>
        <w:numPr>
          <w:ilvl w:val="1"/>
          <w:numId w:val="10"/>
        </w:numPr>
        <w:jc w:val="left"/>
      </w:pPr>
      <w:r w:rsidRPr="00492493">
        <w:t>Reduce granularity by requiring only key data points: identifier, asset name, currency, and values</w:t>
      </w:r>
      <w:r w:rsidR="00B87396" w:rsidRPr="00B87396">
        <w:t xml:space="preserve"> and the external reference ID (ISIN or other relevant identifiers used)</w:t>
      </w:r>
      <w:r w:rsidR="00B87396">
        <w:t>.</w:t>
      </w:r>
      <w:r w:rsidR="00B87396" w:rsidRPr="00B87396">
        <w:t xml:space="preserve"> </w:t>
      </w:r>
      <w:r w:rsidR="00F80116" w:rsidRPr="00F80116">
        <w:t>This can be especially the case for low risk, small to medium sized companies, and companies in run-off. The frequency of the reporting should be determined by the risk and size of the company and tailored.</w:t>
      </w:r>
    </w:p>
    <w:p w14:paraId="3007EC2F" w14:textId="198BEEAD" w:rsidR="00492493" w:rsidRPr="00492493" w:rsidRDefault="00B61F4C" w:rsidP="00387BAC">
      <w:pPr>
        <w:numPr>
          <w:ilvl w:val="1"/>
          <w:numId w:val="10"/>
        </w:numPr>
      </w:pPr>
      <w:r>
        <w:t>And e</w:t>
      </w:r>
      <w:r w:rsidRPr="00B61F4C">
        <w:t>xclude static data that rarely changes.</w:t>
      </w:r>
    </w:p>
    <w:p w14:paraId="3AFC92FA" w14:textId="41C56DEB" w:rsidR="00492493" w:rsidRPr="00492493" w:rsidRDefault="00492493" w:rsidP="00387BAC">
      <w:pPr>
        <w:numPr>
          <w:ilvl w:val="1"/>
          <w:numId w:val="10"/>
        </w:numPr>
      </w:pPr>
      <w:r w:rsidRPr="00492493">
        <w:t>Decrease reporting frequency to annual.</w:t>
      </w:r>
    </w:p>
    <w:p w14:paraId="069F5ABD" w14:textId="77777777" w:rsidR="00492493" w:rsidRDefault="00492493" w:rsidP="00387BAC">
      <w:pPr>
        <w:numPr>
          <w:ilvl w:val="1"/>
          <w:numId w:val="10"/>
        </w:numPr>
      </w:pPr>
      <w:r w:rsidRPr="00492493">
        <w:t>Remove reporting in cases where supervisory needs are already covered by other reports.</w:t>
      </w:r>
    </w:p>
    <w:p w14:paraId="2B68B486" w14:textId="77777777" w:rsidR="00B91017" w:rsidRDefault="00B91017" w:rsidP="00F918BF"/>
    <w:p w14:paraId="17932165" w14:textId="776D7FB3" w:rsidR="009875C5" w:rsidRPr="009875C5" w:rsidRDefault="009875C5" w:rsidP="009875C5">
      <w:pPr>
        <w:rPr>
          <w:b/>
          <w:bCs/>
        </w:rPr>
      </w:pPr>
      <w:r w:rsidRPr="009875C5">
        <w:rPr>
          <w:b/>
          <w:bCs/>
        </w:rPr>
        <w:t xml:space="preserve">S.06.03 – </w:t>
      </w:r>
      <w:r w:rsidR="0008304F" w:rsidRPr="00F63711">
        <w:rPr>
          <w:b/>
        </w:rPr>
        <w:t xml:space="preserve">Collective investment undertakings - look-through </w:t>
      </w:r>
      <w:r w:rsidR="0008304F" w:rsidRPr="00F63711">
        <w:rPr>
          <w:b/>
          <w:bCs/>
        </w:rPr>
        <w:t>approach</w:t>
      </w:r>
    </w:p>
    <w:p w14:paraId="0274D4D2" w14:textId="77777777" w:rsidR="009875C5" w:rsidRPr="009875C5" w:rsidRDefault="009875C5" w:rsidP="00387BAC">
      <w:pPr>
        <w:numPr>
          <w:ilvl w:val="0"/>
          <w:numId w:val="11"/>
        </w:numPr>
      </w:pPr>
      <w:r w:rsidRPr="009875C5">
        <w:rPr>
          <w:b/>
          <w:bCs/>
        </w:rPr>
        <w:t>Issues</w:t>
      </w:r>
      <w:r w:rsidRPr="009875C5">
        <w:t>:</w:t>
      </w:r>
    </w:p>
    <w:p w14:paraId="57152772" w14:textId="77777777" w:rsidR="009875C5" w:rsidRPr="009875C5" w:rsidRDefault="009875C5" w:rsidP="00387BAC">
      <w:pPr>
        <w:numPr>
          <w:ilvl w:val="1"/>
          <w:numId w:val="11"/>
        </w:numPr>
      </w:pPr>
      <w:r w:rsidRPr="009875C5">
        <w:t>Significant burden to obtain look-through data, particularly for unit-linked funds where risks are borne by policyholders.</w:t>
      </w:r>
    </w:p>
    <w:p w14:paraId="6197323B" w14:textId="77777777" w:rsidR="009875C5" w:rsidRPr="009875C5" w:rsidRDefault="009875C5" w:rsidP="00387BAC">
      <w:pPr>
        <w:numPr>
          <w:ilvl w:val="1"/>
          <w:numId w:val="11"/>
        </w:numPr>
      </w:pPr>
      <w:r w:rsidRPr="009875C5">
        <w:t>High cost of compliance for small and medium-sized entities.</w:t>
      </w:r>
    </w:p>
    <w:p w14:paraId="37C5F096" w14:textId="61DEEE65" w:rsidR="00296800" w:rsidRPr="009875C5" w:rsidRDefault="00296800" w:rsidP="00CE10AB">
      <w:pPr>
        <w:numPr>
          <w:ilvl w:val="1"/>
          <w:numId w:val="11"/>
        </w:numPr>
      </w:pPr>
      <w:r>
        <w:t>T</w:t>
      </w:r>
      <w:r w:rsidRPr="00A7201D">
        <w:t>he value of this template</w:t>
      </w:r>
      <w:r>
        <w:t xml:space="preserve"> is questioned</w:t>
      </w:r>
      <w:r w:rsidRPr="00A7201D">
        <w:t xml:space="preserve"> and </w:t>
      </w:r>
      <w:r w:rsidR="0024363D">
        <w:t>it appears</w:t>
      </w:r>
      <w:r w:rsidRPr="00A7201D">
        <w:t xml:space="preserve"> EIOPA should be able to gather this information based on the ISIN codes provided in S.06.02.</w:t>
      </w:r>
    </w:p>
    <w:p w14:paraId="006EEEE8" w14:textId="77777777" w:rsidR="009875C5" w:rsidRPr="009875C5" w:rsidRDefault="009875C5" w:rsidP="00387BAC">
      <w:pPr>
        <w:numPr>
          <w:ilvl w:val="0"/>
          <w:numId w:val="11"/>
        </w:numPr>
      </w:pPr>
      <w:r w:rsidRPr="009875C5">
        <w:rPr>
          <w:b/>
          <w:bCs/>
        </w:rPr>
        <w:t>Proposals</w:t>
      </w:r>
      <w:r w:rsidRPr="009875C5">
        <w:t>:</w:t>
      </w:r>
    </w:p>
    <w:p w14:paraId="2BFEDB7F" w14:textId="77777777" w:rsidR="002F301B" w:rsidRDefault="002F301B" w:rsidP="00CE10AB">
      <w:pPr>
        <w:numPr>
          <w:ilvl w:val="1"/>
          <w:numId w:val="11"/>
        </w:numPr>
      </w:pPr>
      <w:r w:rsidRPr="002F301B">
        <w:t xml:space="preserve">Public funds in unit-linked life insurance should be excluded from reporting </w:t>
      </w:r>
    </w:p>
    <w:p w14:paraId="7459C8CE" w14:textId="77777777" w:rsidR="001E376C" w:rsidRDefault="009875C5" w:rsidP="00CE10AB">
      <w:pPr>
        <w:numPr>
          <w:ilvl w:val="1"/>
          <w:numId w:val="11"/>
        </w:numPr>
      </w:pPr>
      <w:r w:rsidRPr="009875C5">
        <w:t>Allow centrali</w:t>
      </w:r>
      <w:r>
        <w:t>s</w:t>
      </w:r>
      <w:r w:rsidRPr="009875C5">
        <w:t>ed reporting by fund managers instead of individual insurers.</w:t>
      </w:r>
      <w:r w:rsidR="001E376C">
        <w:t xml:space="preserve"> </w:t>
      </w:r>
    </w:p>
    <w:p w14:paraId="580BC430" w14:textId="4A04D6DD" w:rsidR="009875C5" w:rsidRPr="009875C5" w:rsidRDefault="001E376C" w:rsidP="001E376C">
      <w:pPr>
        <w:numPr>
          <w:ilvl w:val="2"/>
          <w:numId w:val="11"/>
        </w:numPr>
      </w:pPr>
      <w:r w:rsidRPr="001E376C">
        <w:t>The responsibility for delivering the FLT (S.06.03) should be assigned to fund managers instead of individual insurers, preferably using the TPT format commonly employed by investment companies, with exceptions allowed if necessary. Individual insurers should continue reporting their investments in specific funds through QRT S.06.02. A centrali</w:t>
      </w:r>
      <w:r w:rsidR="00ED68C5">
        <w:t>s</w:t>
      </w:r>
      <w:r w:rsidRPr="001E376C">
        <w:t>ed system would enable insurers to download figures, including additional information not currently provided in QRTs, streamlining the process by centrali</w:t>
      </w:r>
      <w:r w:rsidR="00ED68C5">
        <w:t>s</w:t>
      </w:r>
      <w:r w:rsidRPr="001E376C">
        <w:t>ing FLT delivery and assigning execution to fund managers instead of insurers. If EIOPA insists on maintaining the prudent principle, insurers could use a newly developed central tool to upload the current S.06.03 template into the XBRL system, balancing regulatory compliance with operational efficiency.</w:t>
      </w:r>
    </w:p>
    <w:p w14:paraId="5537F5AD" w14:textId="77777777" w:rsidR="00843494" w:rsidRDefault="009875C5" w:rsidP="00387BAC">
      <w:pPr>
        <w:numPr>
          <w:ilvl w:val="1"/>
          <w:numId w:val="11"/>
        </w:numPr>
      </w:pPr>
      <w:r w:rsidRPr="009875C5">
        <w:t xml:space="preserve">Reduce frequency to annual reporting </w:t>
      </w:r>
    </w:p>
    <w:p w14:paraId="6A923208" w14:textId="77777777" w:rsidR="001C3607" w:rsidRPr="008A7A87" w:rsidRDefault="001C3607" w:rsidP="001C3607">
      <w:pPr>
        <w:numPr>
          <w:ilvl w:val="1"/>
          <w:numId w:val="11"/>
        </w:numPr>
      </w:pPr>
      <w:r>
        <w:t>Introduce</w:t>
      </w:r>
      <w:r w:rsidRPr="009875C5">
        <w:t xml:space="preserve"> thresholds </w:t>
      </w:r>
      <w:r w:rsidRPr="00843494">
        <w:t>to exempt small exposures from reporting</w:t>
      </w:r>
      <w:r>
        <w:t xml:space="preserve"> - </w:t>
      </w:r>
      <w:r w:rsidRPr="008A7A87">
        <w:t>For low risk, small to medium sized companies, and companies in run-off, this requirement should be removed. There is a significant financial cost burden to companies obtaining asset look-through data that is not commensurate with their size, risk, and status.</w:t>
      </w:r>
    </w:p>
    <w:p w14:paraId="237FE6FF" w14:textId="015C3B90" w:rsidR="00BD17C6" w:rsidRDefault="00BD17C6" w:rsidP="00CE10AB">
      <w:pPr>
        <w:numPr>
          <w:ilvl w:val="1"/>
          <w:numId w:val="11"/>
        </w:numPr>
      </w:pPr>
      <w:r>
        <w:t>Allow data groupings</w:t>
      </w:r>
    </w:p>
    <w:p w14:paraId="06A82EF3" w14:textId="77777777" w:rsidR="009875C5" w:rsidRDefault="009875C5" w:rsidP="009875C5">
      <w:pPr>
        <w:rPr>
          <w:b/>
          <w:bCs/>
        </w:rPr>
      </w:pPr>
    </w:p>
    <w:p w14:paraId="42250436" w14:textId="4BBF2494" w:rsidR="003B70CC" w:rsidRPr="003B70CC" w:rsidRDefault="003B70CC" w:rsidP="003B70CC">
      <w:pPr>
        <w:rPr>
          <w:b/>
          <w:bCs/>
        </w:rPr>
      </w:pPr>
      <w:r w:rsidRPr="003B70CC">
        <w:rPr>
          <w:b/>
          <w:bCs/>
        </w:rPr>
        <w:t xml:space="preserve">S.06.04 – </w:t>
      </w:r>
      <w:r w:rsidR="00383035" w:rsidRPr="00383035">
        <w:rPr>
          <w:b/>
          <w:bCs/>
        </w:rPr>
        <w:t>Sustainable investments and</w:t>
      </w:r>
      <w:r w:rsidR="00383035">
        <w:rPr>
          <w:b/>
          <w:bCs/>
        </w:rPr>
        <w:t xml:space="preserve"> </w:t>
      </w:r>
      <w:r w:rsidRPr="003B70CC">
        <w:rPr>
          <w:b/>
          <w:bCs/>
        </w:rPr>
        <w:t>Climate Change-Related Risks to Investments</w:t>
      </w:r>
    </w:p>
    <w:p w14:paraId="211F6981" w14:textId="77777777" w:rsidR="003B70CC" w:rsidRPr="003B70CC" w:rsidRDefault="003B70CC" w:rsidP="00387BAC">
      <w:pPr>
        <w:numPr>
          <w:ilvl w:val="0"/>
          <w:numId w:val="29"/>
        </w:numPr>
        <w:rPr>
          <w:b/>
          <w:bCs/>
        </w:rPr>
      </w:pPr>
      <w:r w:rsidRPr="003B70CC">
        <w:rPr>
          <w:b/>
          <w:bCs/>
        </w:rPr>
        <w:t>Issues:</w:t>
      </w:r>
    </w:p>
    <w:p w14:paraId="4D1F4431" w14:textId="77777777" w:rsidR="003B70CC" w:rsidRPr="003B70CC" w:rsidRDefault="003B70CC" w:rsidP="00387BAC">
      <w:pPr>
        <w:numPr>
          <w:ilvl w:val="1"/>
          <w:numId w:val="29"/>
        </w:numPr>
      </w:pPr>
      <w:r w:rsidRPr="003B70CC">
        <w:t>Sustainability matters, including climate-related risks, are already comprehensively addressed through other regulatory frameworks, such as CSRD and Taxonomy Regulation, which require reporting on significant qualitative and quantitative KPIs.</w:t>
      </w:r>
    </w:p>
    <w:p w14:paraId="4387ECD5" w14:textId="77777777" w:rsidR="003B70CC" w:rsidRPr="003B70CC" w:rsidRDefault="003B70CC" w:rsidP="00387BAC">
      <w:pPr>
        <w:numPr>
          <w:ilvl w:val="1"/>
          <w:numId w:val="29"/>
        </w:numPr>
      </w:pPr>
      <w:r w:rsidRPr="003B70CC">
        <w:t>The template duplicates information requested in these other frameworks, leading to redundant efforts.</w:t>
      </w:r>
    </w:p>
    <w:p w14:paraId="509589D6" w14:textId="77777777" w:rsidR="003B70CC" w:rsidRPr="003B70CC" w:rsidRDefault="003B70CC" w:rsidP="00387BAC">
      <w:pPr>
        <w:numPr>
          <w:ilvl w:val="1"/>
          <w:numId w:val="29"/>
        </w:numPr>
      </w:pPr>
      <w:r w:rsidRPr="003B70CC">
        <w:t>Reporting requirements in this template are burdensome, with limited added value for supervisory purposes.</w:t>
      </w:r>
    </w:p>
    <w:p w14:paraId="13D5A425" w14:textId="77777777" w:rsidR="003B70CC" w:rsidRPr="003B70CC" w:rsidRDefault="003B70CC" w:rsidP="00387BAC">
      <w:pPr>
        <w:numPr>
          <w:ilvl w:val="0"/>
          <w:numId w:val="29"/>
        </w:numPr>
        <w:rPr>
          <w:b/>
          <w:bCs/>
        </w:rPr>
      </w:pPr>
      <w:r w:rsidRPr="003B70CC">
        <w:rPr>
          <w:b/>
          <w:bCs/>
        </w:rPr>
        <w:t>Proposals:</w:t>
      </w:r>
    </w:p>
    <w:p w14:paraId="0606EB46" w14:textId="77777777" w:rsidR="003B70CC" w:rsidRPr="003B70CC" w:rsidRDefault="003B70CC" w:rsidP="00387BAC">
      <w:pPr>
        <w:numPr>
          <w:ilvl w:val="1"/>
          <w:numId w:val="29"/>
        </w:numPr>
      </w:pPr>
      <w:r w:rsidRPr="003B70CC">
        <w:t>Delete S.06.04 entirely, as its objectives are adequately covered by other sustainability-related regulations.</w:t>
      </w:r>
    </w:p>
    <w:p w14:paraId="14210BBF" w14:textId="695D2B48" w:rsidR="0021107D" w:rsidRPr="003B70CC" w:rsidRDefault="0091496B" w:rsidP="00387BAC">
      <w:pPr>
        <w:numPr>
          <w:ilvl w:val="1"/>
          <w:numId w:val="29"/>
        </w:numPr>
      </w:pPr>
      <w:r>
        <w:t>Alternatively, r</w:t>
      </w:r>
      <w:r w:rsidRPr="0091496B">
        <w:t>educe the scope of undertakings required to report this template, i.e., by making it applicable only to undertakings whose risks are in excess of a sufficiently high optional threshold to avoid unnecessary annual reporting.</w:t>
      </w:r>
    </w:p>
    <w:p w14:paraId="543A3AF5" w14:textId="77777777" w:rsidR="00DE033A" w:rsidRDefault="00DE033A" w:rsidP="009875C5">
      <w:pPr>
        <w:rPr>
          <w:b/>
          <w:bCs/>
        </w:rPr>
      </w:pPr>
    </w:p>
    <w:p w14:paraId="0CA233EC" w14:textId="051B4997" w:rsidR="009875C5" w:rsidRPr="009875C5" w:rsidRDefault="009875C5" w:rsidP="009875C5">
      <w:pPr>
        <w:rPr>
          <w:b/>
          <w:bCs/>
        </w:rPr>
      </w:pPr>
      <w:r w:rsidRPr="009875C5">
        <w:rPr>
          <w:b/>
          <w:bCs/>
        </w:rPr>
        <w:t>S.08.01 – Open Derivative</w:t>
      </w:r>
      <w:r w:rsidR="00F44D66">
        <w:rPr>
          <w:b/>
          <w:bCs/>
        </w:rPr>
        <w:t>s</w:t>
      </w:r>
    </w:p>
    <w:p w14:paraId="45AE94D7" w14:textId="77777777" w:rsidR="009875C5" w:rsidRPr="009875C5" w:rsidRDefault="009875C5" w:rsidP="00387BAC">
      <w:pPr>
        <w:numPr>
          <w:ilvl w:val="0"/>
          <w:numId w:val="12"/>
        </w:numPr>
      </w:pPr>
      <w:r w:rsidRPr="009875C5">
        <w:rPr>
          <w:b/>
          <w:bCs/>
        </w:rPr>
        <w:t>Issues</w:t>
      </w:r>
      <w:r w:rsidRPr="009875C5">
        <w:t>:</w:t>
      </w:r>
    </w:p>
    <w:p w14:paraId="5590C71C" w14:textId="77777777" w:rsidR="009875C5" w:rsidRPr="009875C5" w:rsidRDefault="009875C5" w:rsidP="00387BAC">
      <w:pPr>
        <w:numPr>
          <w:ilvl w:val="1"/>
          <w:numId w:val="12"/>
        </w:numPr>
      </w:pPr>
      <w:r w:rsidRPr="009875C5">
        <w:t>Poor alignment with asset management systems; data granularity often exceeds supervisory needs.</w:t>
      </w:r>
    </w:p>
    <w:p w14:paraId="7AE9C6D9" w14:textId="368D9180" w:rsidR="00A67374" w:rsidRPr="009875C5" w:rsidRDefault="00551CD3" w:rsidP="00551CD3">
      <w:pPr>
        <w:numPr>
          <w:ilvl w:val="2"/>
          <w:numId w:val="12"/>
        </w:numPr>
      </w:pPr>
      <w:r w:rsidRPr="00551CD3">
        <w:t>For example, in the case of an FX forward, which involves the exchange of two currencies, both notional amounts and both currencies should be requested to provide complete and relevant information to the regulator. Currently, the approach generates unnecessary TV1002 error messages. Additionally, the trigger value is requested, which varies depending on the type of instrument, creating inconsistencies. Instead of such fragmented requests, the template should simply ask for the necessary information, using multiple columns tailored to each instrument type to ensure clarity and relevance.</w:t>
      </w:r>
    </w:p>
    <w:p w14:paraId="2E335032" w14:textId="77777777" w:rsidR="009875C5" w:rsidRPr="009875C5" w:rsidRDefault="009875C5" w:rsidP="00387BAC">
      <w:pPr>
        <w:numPr>
          <w:ilvl w:val="0"/>
          <w:numId w:val="12"/>
        </w:numPr>
      </w:pPr>
      <w:r w:rsidRPr="009875C5">
        <w:rPr>
          <w:b/>
          <w:bCs/>
        </w:rPr>
        <w:t>Proposals</w:t>
      </w:r>
      <w:r w:rsidRPr="009875C5">
        <w:t>:</w:t>
      </w:r>
    </w:p>
    <w:p w14:paraId="019AE7C7" w14:textId="57D7B707" w:rsidR="009425A4" w:rsidRPr="009425A4" w:rsidRDefault="009875C5" w:rsidP="009425A4">
      <w:pPr>
        <w:pStyle w:val="Odsekzoznamu"/>
        <w:numPr>
          <w:ilvl w:val="1"/>
          <w:numId w:val="12"/>
        </w:numPr>
        <w:jc w:val="left"/>
      </w:pPr>
      <w:r w:rsidRPr="009875C5">
        <w:t>Move reporting frequency to annual</w:t>
      </w:r>
      <w:r w:rsidR="009425A4">
        <w:t>,</w:t>
      </w:r>
      <w:r w:rsidRPr="009875C5">
        <w:t xml:space="preserve"> </w:t>
      </w:r>
      <w:r w:rsidR="009425A4" w:rsidRPr="009425A4">
        <w:t>since the reported information already exists in QRT S.06.01</w:t>
      </w:r>
      <w:r w:rsidR="009425A4">
        <w:t>.</w:t>
      </w:r>
    </w:p>
    <w:p w14:paraId="4A96712E" w14:textId="2EBA7A70" w:rsidR="009875C5" w:rsidRPr="009875C5" w:rsidRDefault="009875C5" w:rsidP="00387BAC">
      <w:pPr>
        <w:numPr>
          <w:ilvl w:val="1"/>
          <w:numId w:val="12"/>
        </w:numPr>
      </w:pPr>
      <w:r w:rsidRPr="009875C5">
        <w:t>Simplify reporting by limiting data to critical fields (e.g., notional amounts and currencies).</w:t>
      </w:r>
    </w:p>
    <w:p w14:paraId="1DC212EC" w14:textId="77777777" w:rsidR="00603517" w:rsidRDefault="00603517" w:rsidP="00603517">
      <w:pPr>
        <w:rPr>
          <w:b/>
          <w:bCs/>
        </w:rPr>
      </w:pPr>
    </w:p>
    <w:p w14:paraId="77E1408C" w14:textId="0B165666" w:rsidR="00603517" w:rsidRPr="00603517" w:rsidRDefault="00603517" w:rsidP="00603517">
      <w:pPr>
        <w:rPr>
          <w:b/>
          <w:bCs/>
        </w:rPr>
      </w:pPr>
      <w:r w:rsidRPr="00603517">
        <w:rPr>
          <w:b/>
          <w:bCs/>
        </w:rPr>
        <w:t>S.09.01 – Income/Gains and Losses</w:t>
      </w:r>
      <w:r w:rsidR="002C1DD3">
        <w:rPr>
          <w:b/>
          <w:bCs/>
        </w:rPr>
        <w:t xml:space="preserve"> in the period</w:t>
      </w:r>
    </w:p>
    <w:p w14:paraId="17763452" w14:textId="77777777" w:rsidR="00603517" w:rsidRPr="00603517" w:rsidRDefault="00603517" w:rsidP="00387BAC">
      <w:pPr>
        <w:numPr>
          <w:ilvl w:val="0"/>
          <w:numId w:val="13"/>
        </w:numPr>
      </w:pPr>
      <w:r w:rsidRPr="00603517">
        <w:rPr>
          <w:b/>
          <w:bCs/>
        </w:rPr>
        <w:t>Issues</w:t>
      </w:r>
      <w:r w:rsidRPr="00603517">
        <w:t>:</w:t>
      </w:r>
    </w:p>
    <w:p w14:paraId="2CC1F233" w14:textId="6827B795" w:rsidR="00603517" w:rsidRPr="00603517" w:rsidRDefault="00603517" w:rsidP="00387BAC">
      <w:pPr>
        <w:numPr>
          <w:ilvl w:val="1"/>
          <w:numId w:val="13"/>
        </w:numPr>
      </w:pPr>
      <w:r w:rsidRPr="00603517">
        <w:t>Excessive workload due to high granularity of requested information</w:t>
      </w:r>
      <w:r w:rsidR="00A354D2">
        <w:t>,</w:t>
      </w:r>
      <w:r w:rsidR="00A354D2" w:rsidRPr="00A354D2">
        <w:t xml:space="preserve"> since it require</w:t>
      </w:r>
      <w:r w:rsidR="00A354D2">
        <w:t>s</w:t>
      </w:r>
      <w:r w:rsidR="00A354D2" w:rsidRPr="00A354D2">
        <w:t xml:space="preserve"> cash flows over a period and </w:t>
      </w:r>
      <w:r w:rsidR="00A354D2" w:rsidRPr="0023582A">
        <w:t>not just a single point in time. This means more data sources and more complicated data combinations</w:t>
      </w:r>
      <w:r w:rsidRPr="00603517">
        <w:t>.</w:t>
      </w:r>
    </w:p>
    <w:p w14:paraId="4590E00C" w14:textId="3D1428A4" w:rsidR="001205E4" w:rsidRPr="001205E4" w:rsidRDefault="001205E4" w:rsidP="001205E4">
      <w:pPr>
        <w:pStyle w:val="Odsekzoznamu"/>
        <w:numPr>
          <w:ilvl w:val="1"/>
          <w:numId w:val="13"/>
        </w:numPr>
        <w:jc w:val="left"/>
      </w:pPr>
      <w:r>
        <w:t>M</w:t>
      </w:r>
      <w:r w:rsidRPr="001205E4">
        <w:t xml:space="preserve">ost of the information required is already available in the IFRS Financial Statements. </w:t>
      </w:r>
    </w:p>
    <w:p w14:paraId="27756226" w14:textId="77777777" w:rsidR="00603517" w:rsidRPr="00603517" w:rsidRDefault="00603517" w:rsidP="00387BAC">
      <w:pPr>
        <w:numPr>
          <w:ilvl w:val="1"/>
          <w:numId w:val="13"/>
        </w:numPr>
      </w:pPr>
      <w:r w:rsidRPr="00603517">
        <w:t xml:space="preserve">Significant overlap with other templates (e.g., </w:t>
      </w:r>
      <w:r w:rsidRPr="00603517">
        <w:rPr>
          <w:b/>
          <w:bCs/>
        </w:rPr>
        <w:t>S.29.02</w:t>
      </w:r>
      <w:r w:rsidRPr="00603517">
        <w:t>).</w:t>
      </w:r>
    </w:p>
    <w:p w14:paraId="5D431A8E" w14:textId="77777777" w:rsidR="00603517" w:rsidRPr="00603517" w:rsidRDefault="00603517" w:rsidP="00387BAC">
      <w:pPr>
        <w:numPr>
          <w:ilvl w:val="0"/>
          <w:numId w:val="13"/>
        </w:numPr>
      </w:pPr>
      <w:r w:rsidRPr="00603517">
        <w:rPr>
          <w:b/>
          <w:bCs/>
        </w:rPr>
        <w:t>Proposals</w:t>
      </w:r>
      <w:r w:rsidRPr="00603517">
        <w:t>:</w:t>
      </w:r>
    </w:p>
    <w:p w14:paraId="725E8FC0" w14:textId="5AC11408" w:rsidR="00603517" w:rsidRPr="00603517" w:rsidRDefault="00603517" w:rsidP="00387BAC">
      <w:pPr>
        <w:numPr>
          <w:ilvl w:val="1"/>
          <w:numId w:val="13"/>
        </w:numPr>
      </w:pPr>
      <w:r w:rsidRPr="00603517">
        <w:t xml:space="preserve">Delete this template </w:t>
      </w:r>
      <w:r w:rsidR="00A35B5E" w:rsidRPr="0023582A">
        <w:t xml:space="preserve">(both solo and group) </w:t>
      </w:r>
      <w:r w:rsidRPr="00603517">
        <w:t xml:space="preserve">entirely or integrate with </w:t>
      </w:r>
      <w:r w:rsidRPr="00603517">
        <w:rPr>
          <w:b/>
          <w:bCs/>
        </w:rPr>
        <w:t>S.29</w:t>
      </w:r>
      <w:r w:rsidRPr="00603517">
        <w:t xml:space="preserve"> templates</w:t>
      </w:r>
      <w:r w:rsidR="00E344E6">
        <w:t xml:space="preserve"> or in S.05</w:t>
      </w:r>
      <w:r w:rsidR="00C04BA9">
        <w:t>, where a less granular approach is taken</w:t>
      </w:r>
      <w:r w:rsidRPr="00603517">
        <w:t>.</w:t>
      </w:r>
    </w:p>
    <w:p w14:paraId="48C3311A" w14:textId="77777777" w:rsidR="004C1A07" w:rsidRPr="004C1A07" w:rsidRDefault="004C1A07" w:rsidP="00387BAC">
      <w:pPr>
        <w:numPr>
          <w:ilvl w:val="1"/>
          <w:numId w:val="13"/>
        </w:numPr>
      </w:pPr>
      <w:r w:rsidRPr="004C1A07">
        <w:t>Simplify data requirements to focus only on items not covered by IFRS financial statements.</w:t>
      </w:r>
    </w:p>
    <w:p w14:paraId="7A942B2C" w14:textId="12F06248" w:rsidR="006F2AB6" w:rsidRPr="0023582A" w:rsidRDefault="006F2AB6" w:rsidP="00CE10AB">
      <w:pPr>
        <w:numPr>
          <w:ilvl w:val="1"/>
          <w:numId w:val="13"/>
        </w:numPr>
      </w:pPr>
      <w:r w:rsidRPr="00CF5B8F">
        <w:rPr>
          <w:lang w:val="en-US"/>
        </w:rPr>
        <w:t>Reduce level of granularity in this template/introduce a threshold.</w:t>
      </w:r>
    </w:p>
    <w:p w14:paraId="53B4E4A1" w14:textId="4645F2C0" w:rsidR="00B91017" w:rsidRDefault="00B91017" w:rsidP="00475C9F"/>
    <w:p w14:paraId="35EEC1F4" w14:textId="77777777" w:rsidR="00475C9F" w:rsidRDefault="00475C9F" w:rsidP="00475C9F"/>
    <w:p w14:paraId="532163A7" w14:textId="6AD0FA5F" w:rsidR="00F32548" w:rsidRPr="00F32548" w:rsidRDefault="00F32548" w:rsidP="00F32548">
      <w:pPr>
        <w:rPr>
          <w:b/>
          <w:bCs/>
        </w:rPr>
      </w:pPr>
      <w:r w:rsidRPr="00F32548">
        <w:rPr>
          <w:b/>
          <w:bCs/>
        </w:rPr>
        <w:t xml:space="preserve">S.10.01 – </w:t>
      </w:r>
      <w:r w:rsidR="00E90453" w:rsidRPr="0023582A">
        <w:rPr>
          <w:b/>
        </w:rPr>
        <w:t xml:space="preserve">Securities lending and </w:t>
      </w:r>
      <w:r w:rsidR="00E90453" w:rsidRPr="0023582A">
        <w:rPr>
          <w:b/>
          <w:bCs/>
        </w:rPr>
        <w:t>repos</w:t>
      </w:r>
    </w:p>
    <w:p w14:paraId="42F8D688" w14:textId="77777777" w:rsidR="00F32548" w:rsidRPr="00F32548" w:rsidRDefault="00F32548" w:rsidP="00F32548">
      <w:pPr>
        <w:pStyle w:val="CEABullet-Level1"/>
        <w:rPr>
          <w:b/>
          <w:bCs/>
        </w:rPr>
      </w:pPr>
      <w:r w:rsidRPr="00F32548">
        <w:rPr>
          <w:b/>
          <w:bCs/>
        </w:rPr>
        <w:t>Issues:</w:t>
      </w:r>
    </w:p>
    <w:p w14:paraId="5F4B0994" w14:textId="77777777" w:rsidR="00F32548" w:rsidRPr="00F32548" w:rsidRDefault="00F32548" w:rsidP="00F32548">
      <w:pPr>
        <w:pStyle w:val="CEABullet-Level1"/>
        <w:numPr>
          <w:ilvl w:val="1"/>
          <w:numId w:val="1"/>
        </w:numPr>
      </w:pPr>
      <w:r w:rsidRPr="00F32548">
        <w:t xml:space="preserve">Completing the template is particularly heavy and time-consuming, </w:t>
      </w:r>
      <w:r w:rsidRPr="009D2832">
        <w:rPr>
          <w:i/>
        </w:rPr>
        <w:t>requiring 6 days for the largest entity in the group and 6 days for the entire group</w:t>
      </w:r>
      <w:r w:rsidRPr="00F32548">
        <w:t>.</w:t>
      </w:r>
    </w:p>
    <w:p w14:paraId="5CBB5B5D" w14:textId="38C9EB19" w:rsidR="00F32548" w:rsidRPr="00F32548" w:rsidRDefault="00D715DF" w:rsidP="00F32548">
      <w:pPr>
        <w:pStyle w:val="CEABullet-Level1"/>
        <w:numPr>
          <w:ilvl w:val="1"/>
          <w:numId w:val="1"/>
        </w:numPr>
      </w:pPr>
      <w:r>
        <w:rPr>
          <w:lang w:val="en-US"/>
        </w:rPr>
        <w:t xml:space="preserve">Numerous difficulties </w:t>
      </w:r>
      <w:r w:rsidR="001C1EBA">
        <w:rPr>
          <w:lang w:val="en-US"/>
        </w:rPr>
        <w:t>reconciling</w:t>
      </w:r>
      <w:r>
        <w:rPr>
          <w:lang w:val="en-US"/>
        </w:rPr>
        <w:t xml:space="preserve"> the information with other reporting: </w:t>
      </w:r>
      <w:r w:rsidR="00F32548" w:rsidRPr="00F32548">
        <w:t xml:space="preserve">The template requires significant manual adjustments, </w:t>
      </w:r>
      <w:r w:rsidR="00F32548" w:rsidRPr="007C7959">
        <w:rPr>
          <w:i/>
        </w:rPr>
        <w:t>with 445 lines manually processed for the largest entity</w:t>
      </w:r>
      <w:r w:rsidR="00F32548" w:rsidRPr="00F32548">
        <w:t>, leading to inefficiencies.</w:t>
      </w:r>
    </w:p>
    <w:p w14:paraId="1AACEE81" w14:textId="77777777" w:rsidR="00F32548" w:rsidRPr="00F32548" w:rsidRDefault="00F32548" w:rsidP="00F32548">
      <w:pPr>
        <w:pStyle w:val="CEABullet-Level1"/>
        <w:numPr>
          <w:ilvl w:val="1"/>
          <w:numId w:val="1"/>
        </w:numPr>
      </w:pPr>
      <w:r w:rsidRPr="00F32548">
        <w:t>The template requires reporting both outstanding transactions and those that matured during the year, which adds unnecessary duplication.</w:t>
      </w:r>
    </w:p>
    <w:p w14:paraId="77469E08" w14:textId="77777777" w:rsidR="00F32548" w:rsidRPr="00F32548" w:rsidRDefault="00F32548" w:rsidP="00F32548">
      <w:pPr>
        <w:pStyle w:val="CEABullet-Level1"/>
        <w:numPr>
          <w:ilvl w:val="1"/>
          <w:numId w:val="1"/>
        </w:numPr>
      </w:pPr>
      <w:r w:rsidRPr="00F32548">
        <w:t>Reporting "near leg amount" and collateral values at inception adds excessive burden without providing significant supervisory insights.</w:t>
      </w:r>
    </w:p>
    <w:p w14:paraId="6B298A92" w14:textId="77777777" w:rsidR="00F32548" w:rsidRPr="00F32548" w:rsidRDefault="00F32548" w:rsidP="00F32548">
      <w:pPr>
        <w:pStyle w:val="CEABullet-Level1"/>
        <w:numPr>
          <w:ilvl w:val="1"/>
          <w:numId w:val="1"/>
        </w:numPr>
      </w:pPr>
      <w:r w:rsidRPr="00F32548">
        <w:t>Daily tracking of received collateral values at inception is not aligned with operational needs or supervisory relevance.</w:t>
      </w:r>
    </w:p>
    <w:p w14:paraId="33B5F202" w14:textId="77777777" w:rsidR="00F32548" w:rsidRPr="00F32548" w:rsidRDefault="00F32548" w:rsidP="00F32548">
      <w:pPr>
        <w:pStyle w:val="CEABullet-Level1"/>
        <w:numPr>
          <w:ilvl w:val="1"/>
          <w:numId w:val="1"/>
        </w:numPr>
      </w:pPr>
      <w:r w:rsidRPr="00F32548">
        <w:t>Securities lending contracts, which can be terminated daily, render the reporting of future market values immaterial.</w:t>
      </w:r>
    </w:p>
    <w:p w14:paraId="66121103" w14:textId="77777777" w:rsidR="00F32548" w:rsidRPr="00F32548" w:rsidRDefault="00F32548" w:rsidP="00F32548">
      <w:pPr>
        <w:pStyle w:val="CEABullet-Level1"/>
        <w:numPr>
          <w:ilvl w:val="1"/>
          <w:numId w:val="1"/>
        </w:numPr>
      </w:pPr>
      <w:r w:rsidRPr="00F32548">
        <w:t>The current 5% threshold for reporting is too low for practical use in some areas, such as asset lending.</w:t>
      </w:r>
    </w:p>
    <w:p w14:paraId="5E239B92" w14:textId="77777777" w:rsidR="00F32548" w:rsidRPr="00F32548" w:rsidRDefault="00F32548" w:rsidP="00F32548">
      <w:pPr>
        <w:pStyle w:val="CEABullet-Level1"/>
        <w:numPr>
          <w:ilvl w:val="1"/>
          <w:numId w:val="1"/>
        </w:numPr>
      </w:pPr>
      <w:r w:rsidRPr="00F32548">
        <w:t>The template requires data reconciliation with other QRTs, which is complex and prone to errors.</w:t>
      </w:r>
    </w:p>
    <w:p w14:paraId="17141711" w14:textId="77777777" w:rsidR="00F32548" w:rsidRPr="00F32548" w:rsidRDefault="00F32548" w:rsidP="00F32548">
      <w:pPr>
        <w:pStyle w:val="CEABullet-Level1"/>
        <w:rPr>
          <w:b/>
          <w:bCs/>
        </w:rPr>
      </w:pPr>
      <w:r w:rsidRPr="00F32548">
        <w:rPr>
          <w:b/>
          <w:bCs/>
        </w:rPr>
        <w:t>Proposals:</w:t>
      </w:r>
    </w:p>
    <w:p w14:paraId="559C4495" w14:textId="0F958DEC" w:rsidR="00333A0F" w:rsidRDefault="00E11DBD" w:rsidP="00E11DBD">
      <w:pPr>
        <w:pStyle w:val="CEABullet-Level1"/>
        <w:numPr>
          <w:ilvl w:val="1"/>
          <w:numId w:val="1"/>
        </w:numPr>
      </w:pPr>
      <w:r w:rsidRPr="00F32548">
        <w:t xml:space="preserve">Increase the materiality </w:t>
      </w:r>
      <w:r w:rsidR="00076CD4" w:rsidRPr="00F32548">
        <w:t>threshold</w:t>
      </w:r>
      <w:r w:rsidR="00076CD4">
        <w:t xml:space="preserve"> of</w:t>
      </w:r>
      <w:r w:rsidRPr="00F32548">
        <w:t xml:space="preserve"> 5</w:t>
      </w:r>
      <w:r w:rsidR="001C1EBA" w:rsidRPr="00F32548">
        <w:t>%,</w:t>
      </w:r>
      <w:r w:rsidR="00076CD4" w:rsidRPr="00F32548">
        <w:t xml:space="preserve"> to reduce unnecessary reporting for minor exposures.</w:t>
      </w:r>
    </w:p>
    <w:p w14:paraId="3124E0CA" w14:textId="60E2D4C0" w:rsidR="00E11DBD" w:rsidRPr="00F32548" w:rsidRDefault="00076CD4" w:rsidP="00E11DBD">
      <w:pPr>
        <w:pStyle w:val="CEABullet-Level1"/>
        <w:numPr>
          <w:ilvl w:val="1"/>
          <w:numId w:val="1"/>
        </w:numPr>
      </w:pPr>
      <w:r>
        <w:t>A</w:t>
      </w:r>
      <w:r w:rsidR="00E11DBD" w:rsidRPr="00F32548">
        <w:t>sset lending</w:t>
      </w:r>
      <w:r>
        <w:t xml:space="preserve"> could be excluded.</w:t>
      </w:r>
    </w:p>
    <w:p w14:paraId="78C5B7A5" w14:textId="77777777" w:rsidR="00F32548" w:rsidRPr="00F32548" w:rsidRDefault="00F32548" w:rsidP="00F32548">
      <w:pPr>
        <w:pStyle w:val="CEABullet-Level1"/>
        <w:numPr>
          <w:ilvl w:val="1"/>
          <w:numId w:val="1"/>
        </w:numPr>
      </w:pPr>
      <w:r w:rsidRPr="00F32548">
        <w:t>Eliminate the requirement to report matured transactions during the year, focusing solely on outstanding transactions.</w:t>
      </w:r>
    </w:p>
    <w:p w14:paraId="5AE0D734" w14:textId="77777777" w:rsidR="00F32548" w:rsidRPr="00F32548" w:rsidRDefault="00F32548" w:rsidP="00F32548">
      <w:pPr>
        <w:pStyle w:val="CEABullet-Level1"/>
        <w:numPr>
          <w:ilvl w:val="1"/>
          <w:numId w:val="1"/>
        </w:numPr>
      </w:pPr>
      <w:r w:rsidRPr="00F32548">
        <w:t>Integrate relevant information into S.06.02 and S.11.01, allowing the S.10.01 template to be eliminated as a separate report.</w:t>
      </w:r>
    </w:p>
    <w:p w14:paraId="2C571B05" w14:textId="0E577C92" w:rsidR="0061687B" w:rsidRDefault="004577A3" w:rsidP="0061687B">
      <w:pPr>
        <w:pStyle w:val="CEABullet-Level1"/>
        <w:numPr>
          <w:ilvl w:val="2"/>
          <w:numId w:val="1"/>
        </w:numPr>
      </w:pPr>
      <w:r w:rsidRPr="004577A3">
        <w:t>In several Q&amp;A responses, the Solvency II value is described as the value of the contract rather than the market value of the outstanding securities. However, since securities lending contracts can be terminated daily, the future market value becomes immaterial. A more logical approach would be to request the outstanding value instead. Alternatively, the S.06.02 template could be updated by adding an option for "securities lending" in the column for assets pledged as collateral (in addition to "securities borrowing"). Correspondingly, the S.11.01 template could be used to report the received collateral for securities lending, allowing for the complete removal of S.10.01 as a separate template.</w:t>
      </w:r>
    </w:p>
    <w:p w14:paraId="39FF3EDE" w14:textId="77777777" w:rsidR="004577A3" w:rsidRPr="00F32548" w:rsidRDefault="004577A3" w:rsidP="004577A3">
      <w:pPr>
        <w:pStyle w:val="CEABullet-Level1"/>
        <w:numPr>
          <w:ilvl w:val="0"/>
          <w:numId w:val="0"/>
        </w:numPr>
        <w:ind w:left="2160"/>
      </w:pPr>
    </w:p>
    <w:p w14:paraId="7EACBFBA" w14:textId="77777777" w:rsidR="00F32548" w:rsidRPr="00F32548" w:rsidRDefault="00F32548" w:rsidP="00F32548">
      <w:pPr>
        <w:pStyle w:val="CEABullet-Level1"/>
        <w:numPr>
          <w:ilvl w:val="1"/>
          <w:numId w:val="1"/>
        </w:numPr>
      </w:pPr>
      <w:r w:rsidRPr="00F32548">
        <w:t>Limit reporting to critical data points, such as outstanding values, and avoid immaterial requirements like future market values for securities lending.</w:t>
      </w:r>
    </w:p>
    <w:p w14:paraId="44443A9B" w14:textId="41A56F0F" w:rsidR="00F32548" w:rsidRPr="00F32548" w:rsidRDefault="00F32548" w:rsidP="00F32548">
      <w:pPr>
        <w:pStyle w:val="CEABullet-Level1"/>
        <w:numPr>
          <w:ilvl w:val="1"/>
          <w:numId w:val="1"/>
        </w:numPr>
      </w:pPr>
      <w:r w:rsidRPr="00F32548">
        <w:t>Streamline data fields to minimi</w:t>
      </w:r>
      <w:r w:rsidR="000A284A">
        <w:t>s</w:t>
      </w:r>
      <w:r w:rsidRPr="00F32548">
        <w:t>e manual effort and align reporting requirements with automated processes.</w:t>
      </w:r>
    </w:p>
    <w:p w14:paraId="1630FDF5" w14:textId="58BB5E53" w:rsidR="002C5B0E" w:rsidRPr="00F32548" w:rsidRDefault="002C5B0E" w:rsidP="002C5B0E">
      <w:pPr>
        <w:pStyle w:val="CEABullet-Level1"/>
        <w:numPr>
          <w:ilvl w:val="1"/>
          <w:numId w:val="1"/>
        </w:numPr>
      </w:pPr>
      <w:r w:rsidRPr="00F32548">
        <w:t>Change the collateral reporting requirement to reflect values as of the reporting date instead of at inception.</w:t>
      </w:r>
      <w:r w:rsidR="00BC5063" w:rsidRPr="00BC5063">
        <w:t xml:space="preserve"> </w:t>
      </w:r>
      <w:r w:rsidR="00842684">
        <w:t xml:space="preserve">While the value of </w:t>
      </w:r>
      <w:r w:rsidR="00BC5063" w:rsidRPr="00BC5063">
        <w:t>the amount of the received collateral is</w:t>
      </w:r>
      <w:r w:rsidR="00842684">
        <w:t xml:space="preserve"> known at inception this information is not required for any other reporting and there is no need to </w:t>
      </w:r>
      <w:r w:rsidR="00BC5063" w:rsidRPr="00BC5063">
        <w:t>store this information on a daily basis.</w:t>
      </w:r>
      <w:r w:rsidRPr="002C5B0E">
        <w:t xml:space="preserve"> </w:t>
      </w:r>
    </w:p>
    <w:p w14:paraId="49A0415F" w14:textId="41050263" w:rsidR="002A0D9E" w:rsidRPr="002A0D9E" w:rsidRDefault="002A0D9E" w:rsidP="00842684">
      <w:pPr>
        <w:pStyle w:val="CEABullet-Level1"/>
        <w:numPr>
          <w:ilvl w:val="0"/>
          <w:numId w:val="0"/>
        </w:numPr>
        <w:rPr>
          <w:b/>
          <w:bCs/>
        </w:rPr>
      </w:pPr>
      <w:r w:rsidRPr="002A0D9E">
        <w:rPr>
          <w:b/>
          <w:bCs/>
        </w:rPr>
        <w:t xml:space="preserve">S.11.01 – Asset </w:t>
      </w:r>
      <w:r w:rsidR="00522098" w:rsidRPr="005C2BC3">
        <w:rPr>
          <w:b/>
        </w:rPr>
        <w:t xml:space="preserve">held as </w:t>
      </w:r>
      <w:r w:rsidR="00522098" w:rsidRPr="005C2BC3">
        <w:rPr>
          <w:b/>
          <w:bCs/>
        </w:rPr>
        <w:t>collateral</w:t>
      </w:r>
    </w:p>
    <w:p w14:paraId="23F8BD2B" w14:textId="77777777" w:rsidR="002A0D9E" w:rsidRPr="002A0D9E" w:rsidRDefault="002A0D9E" w:rsidP="002A0D9E">
      <w:pPr>
        <w:pStyle w:val="CEABullet-Level1"/>
        <w:rPr>
          <w:b/>
          <w:bCs/>
        </w:rPr>
      </w:pPr>
      <w:r w:rsidRPr="002A0D9E">
        <w:rPr>
          <w:b/>
          <w:bCs/>
        </w:rPr>
        <w:t>Issues:</w:t>
      </w:r>
    </w:p>
    <w:p w14:paraId="187DE46E" w14:textId="77777777" w:rsidR="002A0D9E" w:rsidRPr="002A0D9E" w:rsidRDefault="002A0D9E" w:rsidP="00387BAC">
      <w:pPr>
        <w:numPr>
          <w:ilvl w:val="0"/>
          <w:numId w:val="30"/>
        </w:numPr>
        <w:tabs>
          <w:tab w:val="num" w:pos="720"/>
        </w:tabs>
      </w:pPr>
      <w:r w:rsidRPr="002A0D9E">
        <w:rPr>
          <w:i/>
        </w:rPr>
        <w:t>Completing the template takes 3 days for the entire group</w:t>
      </w:r>
      <w:r w:rsidRPr="002A0D9E">
        <w:t>, adding significant administrative burden.</w:t>
      </w:r>
    </w:p>
    <w:p w14:paraId="30B10037" w14:textId="77777777" w:rsidR="002A0D9E" w:rsidRPr="002A0D9E" w:rsidRDefault="002A0D9E" w:rsidP="00387BAC">
      <w:pPr>
        <w:numPr>
          <w:ilvl w:val="0"/>
          <w:numId w:val="30"/>
        </w:numPr>
        <w:tabs>
          <w:tab w:val="num" w:pos="720"/>
        </w:tabs>
      </w:pPr>
      <w:r w:rsidRPr="002A0D9E">
        <w:t>Reporting detailed information on asset pledging for each subsidiary is particularly time-consuming.</w:t>
      </w:r>
    </w:p>
    <w:p w14:paraId="116216EC" w14:textId="77777777" w:rsidR="002A0D9E" w:rsidRPr="002A0D9E" w:rsidRDefault="002A0D9E" w:rsidP="00387BAC">
      <w:pPr>
        <w:numPr>
          <w:ilvl w:val="0"/>
          <w:numId w:val="30"/>
        </w:numPr>
        <w:tabs>
          <w:tab w:val="num" w:pos="720"/>
        </w:tabs>
      </w:pPr>
      <w:r w:rsidRPr="002A0D9E">
        <w:t>The template’s focus on geographic exposure includes immaterial data, leading to disproportionate reporting requirements for entities with minimal cross-border activities.</w:t>
      </w:r>
    </w:p>
    <w:p w14:paraId="7B162682" w14:textId="77777777" w:rsidR="002A0D9E" w:rsidRPr="002A0D9E" w:rsidRDefault="002A0D9E" w:rsidP="002A0D9E">
      <w:pPr>
        <w:pStyle w:val="CEABullet-Level1"/>
        <w:rPr>
          <w:b/>
          <w:bCs/>
        </w:rPr>
      </w:pPr>
      <w:r w:rsidRPr="002A0D9E">
        <w:rPr>
          <w:b/>
          <w:bCs/>
        </w:rPr>
        <w:t>Proposals:</w:t>
      </w:r>
    </w:p>
    <w:p w14:paraId="1BD05412" w14:textId="77777777" w:rsidR="002A0D9E" w:rsidRPr="002A0D9E" w:rsidRDefault="002A0D9E" w:rsidP="00387BAC">
      <w:pPr>
        <w:numPr>
          <w:ilvl w:val="0"/>
          <w:numId w:val="31"/>
        </w:numPr>
        <w:tabs>
          <w:tab w:val="num" w:pos="720"/>
        </w:tabs>
      </w:pPr>
      <w:r w:rsidRPr="002A0D9E">
        <w:t>Simplify the reporting requirements by introducing higher materiality thresholds, ensuring that only material cross-border activities are reported.</w:t>
      </w:r>
    </w:p>
    <w:p w14:paraId="22360058" w14:textId="77777777" w:rsidR="002A0D9E" w:rsidRPr="002A0D9E" w:rsidRDefault="002A0D9E" w:rsidP="00387BAC">
      <w:pPr>
        <w:numPr>
          <w:ilvl w:val="0"/>
          <w:numId w:val="31"/>
        </w:numPr>
        <w:tabs>
          <w:tab w:val="num" w:pos="720"/>
        </w:tabs>
      </w:pPr>
      <w:r w:rsidRPr="002A0D9E">
        <w:t>Allow reporting at an aggregated group level instead of requiring detailed subsidiary-level information.</w:t>
      </w:r>
    </w:p>
    <w:p w14:paraId="0CB80697" w14:textId="77777777" w:rsidR="002A0D9E" w:rsidRPr="002A0D9E" w:rsidRDefault="002A0D9E" w:rsidP="00387BAC">
      <w:pPr>
        <w:numPr>
          <w:ilvl w:val="0"/>
          <w:numId w:val="31"/>
        </w:numPr>
        <w:tabs>
          <w:tab w:val="num" w:pos="720"/>
        </w:tabs>
      </w:pPr>
      <w:r w:rsidRPr="002A0D9E">
        <w:t>Reduce the reporting frequency to annual instead of quarterly for non-material activities or exposures.</w:t>
      </w:r>
    </w:p>
    <w:p w14:paraId="0AE18170" w14:textId="77777777" w:rsidR="002A0D9E" w:rsidRPr="002A0D9E" w:rsidRDefault="002A0D9E" w:rsidP="00387BAC">
      <w:pPr>
        <w:numPr>
          <w:ilvl w:val="0"/>
          <w:numId w:val="31"/>
        </w:numPr>
        <w:tabs>
          <w:tab w:val="num" w:pos="720"/>
        </w:tabs>
      </w:pPr>
      <w:r w:rsidRPr="002A0D9E">
        <w:t>Focus the reporting on jurisdictions with significant geographic exposure, excluding minor or negligible activities.</w:t>
      </w:r>
    </w:p>
    <w:p w14:paraId="49F62DF7" w14:textId="77777777" w:rsidR="00475C9F" w:rsidRDefault="00475C9F" w:rsidP="00C73471">
      <w:pPr>
        <w:rPr>
          <w:b/>
          <w:bCs/>
        </w:rPr>
      </w:pPr>
    </w:p>
    <w:p w14:paraId="48DAE1D7" w14:textId="77777777" w:rsidR="00475C9F" w:rsidRDefault="00475C9F" w:rsidP="00C73471">
      <w:pPr>
        <w:rPr>
          <w:b/>
          <w:bCs/>
        </w:rPr>
      </w:pPr>
    </w:p>
    <w:p w14:paraId="2E74CD4F" w14:textId="77777777" w:rsidR="00EA5F89" w:rsidRPr="00B56215" w:rsidRDefault="00C73471" w:rsidP="00C244C1">
      <w:pPr>
        <w:rPr>
          <w:b/>
          <w:bCs/>
        </w:rPr>
      </w:pPr>
      <w:r w:rsidRPr="00C73471">
        <w:rPr>
          <w:b/>
          <w:bCs/>
        </w:rPr>
        <w:t>S.12.</w:t>
      </w:r>
      <w:r w:rsidRPr="00B56215">
        <w:rPr>
          <w:b/>
          <w:bCs/>
        </w:rPr>
        <w:t xml:space="preserve">01 – </w:t>
      </w:r>
      <w:r w:rsidR="00C244C1" w:rsidRPr="00B56215">
        <w:rPr>
          <w:b/>
          <w:bCs/>
        </w:rPr>
        <w:t>Life and Health SLT Technical Provisions</w:t>
      </w:r>
    </w:p>
    <w:p w14:paraId="48449EC8" w14:textId="152102CA" w:rsidR="00C73471" w:rsidRPr="00B56215" w:rsidRDefault="00C73471" w:rsidP="00EA5F89">
      <w:pPr>
        <w:pStyle w:val="CEABullet-Level1"/>
        <w:rPr>
          <w:b/>
        </w:rPr>
      </w:pPr>
      <w:r w:rsidRPr="00C73471">
        <w:rPr>
          <w:b/>
          <w:bCs/>
        </w:rPr>
        <w:t>Issues</w:t>
      </w:r>
      <w:r w:rsidRPr="00B56215">
        <w:rPr>
          <w:b/>
        </w:rPr>
        <w:t>:</w:t>
      </w:r>
    </w:p>
    <w:p w14:paraId="0B8C2FBB" w14:textId="57F5B5F6" w:rsidR="00C73471" w:rsidRPr="00C73471" w:rsidRDefault="000C6C34" w:rsidP="00387BAC">
      <w:pPr>
        <w:numPr>
          <w:ilvl w:val="1"/>
          <w:numId w:val="14"/>
        </w:numPr>
      </w:pPr>
      <w:r w:rsidRPr="00B56215">
        <w:t>The</w:t>
      </w:r>
      <w:r w:rsidRPr="000C6C34">
        <w:t xml:space="preserve"> value for Expected Profit in Future Premiums (EPIFP) is currently reported at the granularity of individual Lines of Business. However, this level of detail is not particularly meaningful, as the EPIFP is either calculated at an aggregate level and then allocated to each Line of Business based on certain drivers, or it is calculated at the Line of Business level, which fails to account for interactions between sub-portfolios within the valuation model.</w:t>
      </w:r>
    </w:p>
    <w:p w14:paraId="1C0FE0F1" w14:textId="77777777" w:rsidR="00C73471" w:rsidRPr="00C73471" w:rsidRDefault="00C73471" w:rsidP="00387BAC">
      <w:pPr>
        <w:numPr>
          <w:ilvl w:val="0"/>
          <w:numId w:val="14"/>
        </w:numPr>
      </w:pPr>
      <w:r w:rsidRPr="00C73471">
        <w:rPr>
          <w:b/>
          <w:bCs/>
        </w:rPr>
        <w:t>Proposals</w:t>
      </w:r>
      <w:r w:rsidRPr="00C73471">
        <w:t>:</w:t>
      </w:r>
    </w:p>
    <w:p w14:paraId="28354662" w14:textId="77777777" w:rsidR="00C73471" w:rsidRPr="00C73471" w:rsidRDefault="00C73471" w:rsidP="00387BAC">
      <w:pPr>
        <w:numPr>
          <w:ilvl w:val="1"/>
          <w:numId w:val="14"/>
        </w:numPr>
      </w:pPr>
      <w:r w:rsidRPr="00C73471">
        <w:t>Streamline reporting to aggregate EPIFP at a total portfolio level only.</w:t>
      </w:r>
    </w:p>
    <w:p w14:paraId="2E2959A8" w14:textId="607D6941" w:rsidR="00B70B2D" w:rsidRDefault="00B70B2D" w:rsidP="00CE10AB">
      <w:pPr>
        <w:numPr>
          <w:ilvl w:val="1"/>
          <w:numId w:val="14"/>
        </w:numPr>
      </w:pPr>
      <w:r>
        <w:t>Should only be submitted annually.</w:t>
      </w:r>
    </w:p>
    <w:p w14:paraId="40E46074" w14:textId="40D66317" w:rsidR="001113D9" w:rsidRPr="00C73471" w:rsidRDefault="001113D9" w:rsidP="00CE10AB">
      <w:pPr>
        <w:numPr>
          <w:ilvl w:val="1"/>
          <w:numId w:val="14"/>
        </w:numPr>
      </w:pPr>
      <w:r>
        <w:t>Allow immaterial lines of business not to be reported.</w:t>
      </w:r>
    </w:p>
    <w:p w14:paraId="44CBE6D2" w14:textId="77777777" w:rsidR="00C73471" w:rsidRDefault="00C73471" w:rsidP="00C73471">
      <w:pPr>
        <w:rPr>
          <w:b/>
          <w:bCs/>
        </w:rPr>
      </w:pPr>
    </w:p>
    <w:p w14:paraId="4840E51B" w14:textId="082B9B0D" w:rsidR="00C73471" w:rsidRPr="00C73471" w:rsidRDefault="00C73471" w:rsidP="00C73471">
      <w:pPr>
        <w:rPr>
          <w:b/>
          <w:bCs/>
        </w:rPr>
      </w:pPr>
      <w:r w:rsidRPr="00C73471">
        <w:rPr>
          <w:b/>
          <w:bCs/>
        </w:rPr>
        <w:t xml:space="preserve">S.13.01 – </w:t>
      </w:r>
      <w:r w:rsidR="004A5C5E" w:rsidRPr="004A5C5E">
        <w:rPr>
          <w:b/>
          <w:bCs/>
        </w:rPr>
        <w:t xml:space="preserve">Projection of future gross </w:t>
      </w:r>
      <w:r w:rsidRPr="00C73471">
        <w:rPr>
          <w:b/>
          <w:bCs/>
        </w:rPr>
        <w:t>Cash Flows</w:t>
      </w:r>
    </w:p>
    <w:p w14:paraId="7CA20B2E" w14:textId="77777777" w:rsidR="00C73471" w:rsidRPr="00C73471" w:rsidRDefault="00C73471" w:rsidP="00387BAC">
      <w:pPr>
        <w:numPr>
          <w:ilvl w:val="0"/>
          <w:numId w:val="15"/>
        </w:numPr>
      </w:pPr>
      <w:r w:rsidRPr="00C73471">
        <w:rPr>
          <w:b/>
          <w:bCs/>
        </w:rPr>
        <w:t>Issues</w:t>
      </w:r>
      <w:r w:rsidRPr="00C73471">
        <w:t>:</w:t>
      </w:r>
    </w:p>
    <w:p w14:paraId="4C8D606B" w14:textId="69FDD70F" w:rsidR="00460E24" w:rsidRPr="00453E7F" w:rsidRDefault="00460E24" w:rsidP="00460E24">
      <w:pPr>
        <w:pStyle w:val="CEABullet-Level1"/>
        <w:numPr>
          <w:ilvl w:val="1"/>
          <w:numId w:val="15"/>
        </w:numPr>
        <w:rPr>
          <w:lang w:val="en-US"/>
        </w:rPr>
      </w:pPr>
      <w:r w:rsidRPr="009E0990">
        <w:rPr>
          <w:lang w:val="en-US"/>
        </w:rPr>
        <w:t xml:space="preserve">The undiscounted cashflows are usually not used for analysis purposes and could be </w:t>
      </w:r>
      <w:r w:rsidR="00616774">
        <w:rPr>
          <w:lang w:val="en-US"/>
        </w:rPr>
        <w:t>delet</w:t>
      </w:r>
      <w:r w:rsidRPr="009E0990">
        <w:rPr>
          <w:lang w:val="en-US"/>
        </w:rPr>
        <w:t>ed.</w:t>
      </w:r>
    </w:p>
    <w:p w14:paraId="66B8CD59" w14:textId="77777777" w:rsidR="00460E24" w:rsidRPr="005F5067" w:rsidRDefault="00460E24" w:rsidP="00460E24">
      <w:pPr>
        <w:pStyle w:val="CEABullet-Level1"/>
        <w:numPr>
          <w:ilvl w:val="1"/>
          <w:numId w:val="15"/>
        </w:numPr>
        <w:rPr>
          <w:lang w:val="en-US"/>
        </w:rPr>
      </w:pPr>
      <w:r w:rsidRPr="009E0990">
        <w:rPr>
          <w:lang w:val="en-US"/>
        </w:rPr>
        <w:t xml:space="preserve">Giving this information for each projection year is particularly </w:t>
      </w:r>
      <w:r>
        <w:rPr>
          <w:lang w:val="en-US"/>
        </w:rPr>
        <w:t>h</w:t>
      </w:r>
      <w:r w:rsidRPr="009E0990">
        <w:rPr>
          <w:lang w:val="en-US"/>
        </w:rPr>
        <w:t>eavy.</w:t>
      </w:r>
    </w:p>
    <w:p w14:paraId="6F93E3C3" w14:textId="526155F0" w:rsidR="00C73471" w:rsidRPr="00C73471" w:rsidRDefault="00C73471" w:rsidP="00387BAC">
      <w:pPr>
        <w:numPr>
          <w:ilvl w:val="1"/>
          <w:numId w:val="15"/>
        </w:numPr>
      </w:pPr>
      <w:r w:rsidRPr="00C73471">
        <w:t>Requires significant manual effort to convert reserves into cash flows by line of business.</w:t>
      </w:r>
    </w:p>
    <w:p w14:paraId="17959A04" w14:textId="77777777" w:rsidR="00C73471" w:rsidRPr="00C73471" w:rsidRDefault="00C73471" w:rsidP="00387BAC">
      <w:pPr>
        <w:numPr>
          <w:ilvl w:val="0"/>
          <w:numId w:val="15"/>
        </w:numPr>
      </w:pPr>
      <w:r w:rsidRPr="00C73471">
        <w:rPr>
          <w:b/>
          <w:bCs/>
        </w:rPr>
        <w:t>Proposals</w:t>
      </w:r>
      <w:r w:rsidRPr="00C73471">
        <w:t>:</w:t>
      </w:r>
    </w:p>
    <w:p w14:paraId="1ABDBF3D" w14:textId="0F1FC93C" w:rsidR="00460E24" w:rsidRDefault="00460E24" w:rsidP="00460E24">
      <w:pPr>
        <w:numPr>
          <w:ilvl w:val="1"/>
          <w:numId w:val="15"/>
        </w:numPr>
      </w:pPr>
      <w:r>
        <w:t>Suppress</w:t>
      </w:r>
      <w:r w:rsidRPr="00460E24">
        <w:t xml:space="preserve"> </w:t>
      </w:r>
      <w:r>
        <w:t>the undiscounted cashflows.</w:t>
      </w:r>
    </w:p>
    <w:p w14:paraId="7C5E408D" w14:textId="77777777" w:rsidR="00460E24" w:rsidRDefault="00460E24" w:rsidP="00460E24">
      <w:pPr>
        <w:numPr>
          <w:ilvl w:val="1"/>
          <w:numId w:val="15"/>
        </w:numPr>
      </w:pPr>
      <w:r>
        <w:t>Giving this information for each projection year is particularly heavy.</w:t>
      </w:r>
    </w:p>
    <w:p w14:paraId="61424DC3" w14:textId="6B9CDEE5" w:rsidR="00C73471" w:rsidRPr="00C73471" w:rsidRDefault="00C73471" w:rsidP="00387BAC">
      <w:pPr>
        <w:numPr>
          <w:ilvl w:val="1"/>
          <w:numId w:val="15"/>
        </w:numPr>
      </w:pPr>
      <w:r w:rsidRPr="00C73471">
        <w:t>Allow immaterial lines of business to be excluded.</w:t>
      </w:r>
    </w:p>
    <w:p w14:paraId="47AE2887" w14:textId="77777777" w:rsidR="00C73471" w:rsidRPr="00C73471" w:rsidRDefault="00C73471" w:rsidP="00387BAC">
      <w:pPr>
        <w:numPr>
          <w:ilvl w:val="1"/>
          <w:numId w:val="15"/>
        </w:numPr>
      </w:pPr>
      <w:r w:rsidRPr="00C73471">
        <w:t>Simplify reporting requirements or reduce frequency.</w:t>
      </w:r>
    </w:p>
    <w:p w14:paraId="4ECBB508" w14:textId="63B23ECB" w:rsidR="001E7882" w:rsidRPr="00C73471" w:rsidRDefault="001E7882" w:rsidP="00CE10AB">
      <w:pPr>
        <w:numPr>
          <w:ilvl w:val="1"/>
          <w:numId w:val="15"/>
        </w:numPr>
      </w:pPr>
      <w:r>
        <w:t>Remove the template</w:t>
      </w:r>
    </w:p>
    <w:p w14:paraId="76185F56" w14:textId="77777777" w:rsidR="009875C5" w:rsidRDefault="009875C5" w:rsidP="00F918BF"/>
    <w:p w14:paraId="1D1E3C48" w14:textId="3A277B83" w:rsidR="00C63874" w:rsidRPr="00C63874" w:rsidRDefault="00C63874" w:rsidP="00C63874">
      <w:pPr>
        <w:rPr>
          <w:b/>
          <w:bCs/>
        </w:rPr>
      </w:pPr>
      <w:r w:rsidRPr="00C63874">
        <w:rPr>
          <w:b/>
          <w:bCs/>
        </w:rPr>
        <w:t>S.14.01 &amp; S.14.02 – Life Obligation Analysis</w:t>
      </w:r>
      <w:r w:rsidR="00F26EA1">
        <w:rPr>
          <w:b/>
          <w:bCs/>
        </w:rPr>
        <w:t xml:space="preserve"> &amp; </w:t>
      </w:r>
      <w:r w:rsidR="00F26EA1" w:rsidRPr="00F26EA1">
        <w:rPr>
          <w:b/>
          <w:bCs/>
        </w:rPr>
        <w:t>Non-life business - policy and customer information</w:t>
      </w:r>
    </w:p>
    <w:p w14:paraId="2BFB632F" w14:textId="77777777" w:rsidR="00C63874" w:rsidRPr="00C63874" w:rsidRDefault="00C63874" w:rsidP="00387BAC">
      <w:pPr>
        <w:numPr>
          <w:ilvl w:val="0"/>
          <w:numId w:val="16"/>
        </w:numPr>
      </w:pPr>
      <w:r w:rsidRPr="00C63874">
        <w:rPr>
          <w:b/>
          <w:bCs/>
        </w:rPr>
        <w:t>Issues</w:t>
      </w:r>
      <w:r w:rsidRPr="00C63874">
        <w:t>:</w:t>
      </w:r>
    </w:p>
    <w:p w14:paraId="546DE31A" w14:textId="5E199F24" w:rsidR="003D22A4" w:rsidRPr="003D22A4" w:rsidRDefault="006F1340" w:rsidP="003D22A4">
      <w:pPr>
        <w:pStyle w:val="Odsekzoznamu"/>
        <w:numPr>
          <w:ilvl w:val="1"/>
          <w:numId w:val="16"/>
        </w:numPr>
        <w:jc w:val="left"/>
      </w:pPr>
      <w:r w:rsidRPr="006F1340">
        <w:t>The effort to produce this QRT is immense because the required data is not readily available and has to be created artificially for this QRT</w:t>
      </w:r>
      <w:r w:rsidR="00BC449E" w:rsidRPr="00BC449E">
        <w:t xml:space="preserve"> as the individual products differ substantially, the QRTs would not allow conclusions regarding the risks for the undertaking or the usefulness for policyholders.</w:t>
      </w:r>
      <w:r w:rsidR="003D22A4" w:rsidRPr="003D22A4">
        <w:t xml:space="preserve"> </w:t>
      </w:r>
      <w:r w:rsidR="003D22A4">
        <w:t>W</w:t>
      </w:r>
      <w:r w:rsidR="003D22A4" w:rsidRPr="003D22A4">
        <w:t>hat risks specifically are being addressed</w:t>
      </w:r>
      <w:r w:rsidR="003D22A4">
        <w:t xml:space="preserve"> with these templates.</w:t>
      </w:r>
    </w:p>
    <w:p w14:paraId="6618D16C" w14:textId="16AE335D" w:rsidR="00C63874" w:rsidRPr="00C63874" w:rsidRDefault="00C63874">
      <w:pPr>
        <w:pStyle w:val="Odsekzoznamu"/>
        <w:numPr>
          <w:ilvl w:val="1"/>
          <w:numId w:val="16"/>
        </w:numPr>
        <w:jc w:val="left"/>
      </w:pPr>
      <w:r w:rsidRPr="00C63874">
        <w:t xml:space="preserve">Excessive granularity, including duplication with </w:t>
      </w:r>
      <w:r w:rsidRPr="00C63874">
        <w:rPr>
          <w:b/>
          <w:bCs/>
        </w:rPr>
        <w:t>S.05.01</w:t>
      </w:r>
      <w:r w:rsidRPr="00C63874">
        <w:t>.</w:t>
      </w:r>
    </w:p>
    <w:p w14:paraId="612703C9" w14:textId="77777777" w:rsidR="00C63874" w:rsidRPr="00C63874" w:rsidRDefault="00C63874" w:rsidP="00387BAC">
      <w:pPr>
        <w:numPr>
          <w:ilvl w:val="1"/>
          <w:numId w:val="16"/>
        </w:numPr>
      </w:pPr>
      <w:r w:rsidRPr="00C63874">
        <w:t>Fields like fiscal treatment, distribution channels, and number of insured provide little value.</w:t>
      </w:r>
    </w:p>
    <w:p w14:paraId="7F78ACC8" w14:textId="77777777" w:rsidR="00EF29A7" w:rsidRDefault="00EA5C16" w:rsidP="009456B4">
      <w:pPr>
        <w:pStyle w:val="Odsekzoznamu"/>
        <w:numPr>
          <w:ilvl w:val="1"/>
          <w:numId w:val="16"/>
        </w:numPr>
        <w:jc w:val="left"/>
      </w:pPr>
      <w:r>
        <w:t xml:space="preserve">S.14.01: </w:t>
      </w:r>
    </w:p>
    <w:p w14:paraId="1247F939" w14:textId="09EA602F" w:rsidR="00EA5C16" w:rsidRDefault="009456B4" w:rsidP="00EF29A7">
      <w:pPr>
        <w:pStyle w:val="Odsekzoznamu"/>
        <w:numPr>
          <w:ilvl w:val="2"/>
          <w:numId w:val="16"/>
        </w:numPr>
        <w:jc w:val="left"/>
      </w:pPr>
      <w:r>
        <w:t>T</w:t>
      </w:r>
      <w:r w:rsidRPr="009456B4">
        <w:t xml:space="preserve">his </w:t>
      </w:r>
      <w:r>
        <w:t xml:space="preserve">QRT </w:t>
      </w:r>
      <w:r w:rsidRPr="009456B4">
        <w:t>aims to identify income-generating products; however, for this type of annuity, there are no specific products dedicated solely to annuities. These are non-life contracts already detailed in other QRTs that generate these annuities. Consequently, the logic of this QRT appears to be ill-suited to rents derived from non-life contracts.</w:t>
      </w:r>
    </w:p>
    <w:p w14:paraId="7F53FAF6" w14:textId="109C0767" w:rsidR="00EF29A7" w:rsidRPr="00C34EF6" w:rsidRDefault="00EF29A7" w:rsidP="00EF29A7">
      <w:pPr>
        <w:pStyle w:val="CEABullet-Level1"/>
        <w:numPr>
          <w:ilvl w:val="2"/>
          <w:numId w:val="16"/>
        </w:numPr>
        <w:rPr>
          <w:lang w:val="en-US"/>
        </w:rPr>
      </w:pPr>
      <w:r>
        <w:rPr>
          <w:lang w:val="en-US"/>
        </w:rPr>
        <w:t>There are s</w:t>
      </w:r>
      <w:r w:rsidRPr="00C34EF6">
        <w:rPr>
          <w:lang w:val="en-US"/>
        </w:rPr>
        <w:t>everal instances where double reporting occurs, e.g., information submitted in QRT S.14.01 and S.05.01. In many respects, the same type of data is also collected at national level, by the national supervisory authority's own reporting, e.g., information regarding Premiums, Claims payments and statistics regarding insurance capital transfers and surrenders.</w:t>
      </w:r>
    </w:p>
    <w:p w14:paraId="53CFB437" w14:textId="77777777" w:rsidR="00EF29A7" w:rsidRPr="00154191" w:rsidRDefault="00EF29A7" w:rsidP="00EF29A7">
      <w:pPr>
        <w:pStyle w:val="CEABullet-Level1"/>
        <w:numPr>
          <w:ilvl w:val="1"/>
          <w:numId w:val="16"/>
        </w:numPr>
        <w:rPr>
          <w:lang w:val="en-US"/>
        </w:rPr>
      </w:pPr>
      <w:r w:rsidRPr="00C34EF6">
        <w:rPr>
          <w:lang w:val="en-US"/>
        </w:rPr>
        <w:t>The new S</w:t>
      </w:r>
      <w:r>
        <w:rPr>
          <w:lang w:val="en-US"/>
        </w:rPr>
        <w:t>.</w:t>
      </w:r>
      <w:r w:rsidRPr="00C34EF6">
        <w:rPr>
          <w:lang w:val="en-US"/>
        </w:rPr>
        <w:t xml:space="preserve">14.02 </w:t>
      </w:r>
      <w:r>
        <w:rPr>
          <w:lang w:val="en-US"/>
        </w:rPr>
        <w:t>has</w:t>
      </w:r>
      <w:r w:rsidRPr="00C34EF6">
        <w:rPr>
          <w:lang w:val="en-US"/>
        </w:rPr>
        <w:t xml:space="preserve"> many of the </w:t>
      </w:r>
      <w:r>
        <w:rPr>
          <w:lang w:val="en-US"/>
        </w:rPr>
        <w:t xml:space="preserve">same </w:t>
      </w:r>
      <w:r w:rsidRPr="00C34EF6">
        <w:rPr>
          <w:lang w:val="en-US"/>
        </w:rPr>
        <w:t xml:space="preserve">problems </w:t>
      </w:r>
      <w:r>
        <w:rPr>
          <w:lang w:val="en-US"/>
        </w:rPr>
        <w:t>as</w:t>
      </w:r>
      <w:r w:rsidRPr="00C34EF6">
        <w:rPr>
          <w:lang w:val="en-US"/>
        </w:rPr>
        <w:t xml:space="preserve"> S.14.01.</w:t>
      </w:r>
    </w:p>
    <w:p w14:paraId="1BB38E92" w14:textId="77777777" w:rsidR="00EF29A7" w:rsidRPr="00C63874" w:rsidRDefault="00EF29A7" w:rsidP="00EF29A7">
      <w:pPr>
        <w:pStyle w:val="Odsekzoznamu"/>
        <w:ind w:left="2160"/>
        <w:jc w:val="left"/>
      </w:pPr>
    </w:p>
    <w:p w14:paraId="30C910E9" w14:textId="77777777" w:rsidR="00C63874" w:rsidRPr="00C63874" w:rsidRDefault="00C63874" w:rsidP="00387BAC">
      <w:pPr>
        <w:numPr>
          <w:ilvl w:val="0"/>
          <w:numId w:val="16"/>
        </w:numPr>
      </w:pPr>
      <w:r w:rsidRPr="00C63874">
        <w:rPr>
          <w:b/>
          <w:bCs/>
        </w:rPr>
        <w:t>Proposals</w:t>
      </w:r>
      <w:r w:rsidRPr="00C63874">
        <w:t>:</w:t>
      </w:r>
    </w:p>
    <w:p w14:paraId="2C9A7AC9" w14:textId="68FCECB0" w:rsidR="00C63874" w:rsidRPr="00C63874" w:rsidRDefault="00C63874" w:rsidP="00387BAC">
      <w:pPr>
        <w:numPr>
          <w:ilvl w:val="1"/>
          <w:numId w:val="16"/>
        </w:numPr>
      </w:pPr>
      <w:r w:rsidRPr="00C63874">
        <w:t>Remove:</w:t>
      </w:r>
    </w:p>
    <w:p w14:paraId="2534F33B" w14:textId="77777777" w:rsidR="002F64E6" w:rsidRDefault="00C63874" w:rsidP="00CE10AB">
      <w:pPr>
        <w:numPr>
          <w:ilvl w:val="2"/>
          <w:numId w:val="16"/>
        </w:numPr>
      </w:pPr>
      <w:r w:rsidRPr="00C63874">
        <w:rPr>
          <w:b/>
          <w:bCs/>
        </w:rPr>
        <w:t>S.14.01</w:t>
      </w:r>
      <w:r w:rsidRPr="00C63874">
        <w:t xml:space="preserve">: </w:t>
      </w:r>
    </w:p>
    <w:p w14:paraId="3D653714" w14:textId="3A4342C9" w:rsidR="00C63874" w:rsidRPr="00C63874" w:rsidRDefault="002F64E6">
      <w:pPr>
        <w:pStyle w:val="Odsekzoznamu"/>
        <w:numPr>
          <w:ilvl w:val="3"/>
          <w:numId w:val="16"/>
        </w:numPr>
        <w:jc w:val="left"/>
      </w:pPr>
      <w:r w:rsidRPr="00C95ABB">
        <w:rPr>
          <w:b/>
          <w:bCs/>
        </w:rPr>
        <w:t>Remove fields</w:t>
      </w:r>
      <w:r w:rsidR="00E8726B">
        <w:rPr>
          <w:b/>
          <w:bCs/>
        </w:rPr>
        <w:t xml:space="preserve"> from </w:t>
      </w:r>
      <w:r w:rsidR="001D3F39">
        <w:rPr>
          <w:b/>
          <w:bCs/>
        </w:rPr>
        <w:t>S.14.01.01.01</w:t>
      </w:r>
      <w:r w:rsidR="001D3F39" w:rsidRPr="00C95ABB">
        <w:rPr>
          <w:b/>
          <w:bCs/>
        </w:rPr>
        <w:t xml:space="preserve"> </w:t>
      </w:r>
      <w:r w:rsidR="00C63874" w:rsidRPr="00C95ABB">
        <w:rPr>
          <w:b/>
        </w:rPr>
        <w:t>Fiscal</w:t>
      </w:r>
      <w:r w:rsidR="00C63874" w:rsidRPr="00C63874">
        <w:t xml:space="preserve"> treatment, number of contracts surrendered</w:t>
      </w:r>
      <w:r w:rsidR="00B8147D">
        <w:t>,</w:t>
      </w:r>
      <w:r w:rsidR="00C95ABB" w:rsidRPr="00C95ABB">
        <w:t xml:space="preserve"> </w:t>
      </w:r>
      <w:r w:rsidR="00C95ABB">
        <w:t>n</w:t>
      </w:r>
      <w:r w:rsidR="00C95ABB" w:rsidRPr="00C95ABB">
        <w:t>umber of insured at the end of the year</w:t>
      </w:r>
      <w:r w:rsidR="00C63874" w:rsidRPr="00C63874">
        <w:t>.</w:t>
      </w:r>
    </w:p>
    <w:p w14:paraId="6A8E374A" w14:textId="1535DA70" w:rsidR="00E8726B" w:rsidRDefault="00E8726B" w:rsidP="00E8726B">
      <w:pPr>
        <w:pStyle w:val="Odsekzoznamu"/>
        <w:numPr>
          <w:ilvl w:val="3"/>
          <w:numId w:val="16"/>
        </w:numPr>
        <w:jc w:val="left"/>
      </w:pPr>
      <w:r w:rsidRPr="00C95ABB">
        <w:rPr>
          <w:b/>
          <w:bCs/>
        </w:rPr>
        <w:t>Remove fields</w:t>
      </w:r>
      <w:r>
        <w:rPr>
          <w:b/>
          <w:bCs/>
        </w:rPr>
        <w:t xml:space="preserve"> from </w:t>
      </w:r>
      <w:r w:rsidR="00C63874" w:rsidRPr="00C63874">
        <w:rPr>
          <w:b/>
          <w:bCs/>
        </w:rPr>
        <w:t>S.14.</w:t>
      </w:r>
      <w:r w:rsidR="001D3F39">
        <w:rPr>
          <w:b/>
          <w:bCs/>
        </w:rPr>
        <w:t>01.01.</w:t>
      </w:r>
      <w:r w:rsidR="00C63874" w:rsidRPr="00C63874">
        <w:rPr>
          <w:b/>
          <w:bCs/>
        </w:rPr>
        <w:t>02</w:t>
      </w:r>
      <w:r w:rsidR="001D3F39" w:rsidRPr="00C95ABB">
        <w:rPr>
          <w:b/>
          <w:bCs/>
        </w:rPr>
        <w:t xml:space="preserve"> Type</w:t>
      </w:r>
      <w:r>
        <w:t xml:space="preserve"> of product, </w:t>
      </w:r>
      <w:r w:rsidR="009B14E5">
        <w:t>remaining contractual maturity.</w:t>
      </w:r>
    </w:p>
    <w:p w14:paraId="45CB6BA8" w14:textId="1D47D686" w:rsidR="00C6784D" w:rsidRDefault="00C6784D">
      <w:pPr>
        <w:pStyle w:val="Odsekzoznamu"/>
        <w:numPr>
          <w:ilvl w:val="3"/>
          <w:numId w:val="16"/>
        </w:numPr>
        <w:jc w:val="left"/>
      </w:pPr>
      <w:r w:rsidRPr="00D67D31">
        <w:rPr>
          <w:b/>
          <w:bCs/>
        </w:rPr>
        <w:t xml:space="preserve">Remove fields from </w:t>
      </w:r>
      <w:r w:rsidR="001D3F39" w:rsidRPr="00D67D31">
        <w:rPr>
          <w:b/>
          <w:bCs/>
        </w:rPr>
        <w:t>S.14.01.01.05 Total</w:t>
      </w:r>
      <w:r>
        <w:t xml:space="preserve"> amount of claims paid during the year</w:t>
      </w:r>
      <w:r w:rsidR="00D67D31">
        <w:t>, exit conditions at reporting date, amount on which interest rate is guaranteed.</w:t>
      </w:r>
    </w:p>
    <w:p w14:paraId="01D285E2" w14:textId="72586FF1" w:rsidR="00AD1788" w:rsidRDefault="00AD1788" w:rsidP="00AD1788">
      <w:pPr>
        <w:pStyle w:val="CEABullet-Level1"/>
        <w:numPr>
          <w:ilvl w:val="3"/>
          <w:numId w:val="16"/>
        </w:numPr>
      </w:pPr>
      <w:r>
        <w:t xml:space="preserve">Remove columns C0061-C0063 (life obligation analysis). </w:t>
      </w:r>
      <w:r w:rsidRPr="001E78C6">
        <w:t>The break down doesn't add any value from solvency point of view</w:t>
      </w:r>
      <w:r>
        <w:t>. Difficult to produce because the data is not readily available</w:t>
      </w:r>
    </w:p>
    <w:p w14:paraId="0466D9BD" w14:textId="77777777" w:rsidR="00AD1788" w:rsidRDefault="00AD1788" w:rsidP="00AD1788">
      <w:pPr>
        <w:pStyle w:val="CEABullet-Level1"/>
        <w:numPr>
          <w:ilvl w:val="3"/>
          <w:numId w:val="16"/>
        </w:numPr>
      </w:pPr>
      <w:r>
        <w:t>Remove column C0070 (</w:t>
      </w:r>
      <w:r w:rsidRPr="00347219">
        <w:t>Total amount of claims paid during year</w:t>
      </w:r>
      <w:r>
        <w:t xml:space="preserve">). </w:t>
      </w:r>
      <w:r w:rsidRPr="005C05A2">
        <w:t>There</w:t>
      </w:r>
      <w:r>
        <w:t xml:space="preserve"> </w:t>
      </w:r>
      <w:r w:rsidRPr="005C05A2">
        <w:t>is some du</w:t>
      </w:r>
      <w:r>
        <w:t>p</w:t>
      </w:r>
      <w:r w:rsidRPr="005C05A2">
        <w:t>lication of information with QRT s.05.01 on item "Claims Incurred: R1610 - R1700"</w:t>
      </w:r>
    </w:p>
    <w:p w14:paraId="78BBE8B2" w14:textId="77777777" w:rsidR="00AD1788" w:rsidRDefault="00AD1788" w:rsidP="00AD1788">
      <w:pPr>
        <w:pStyle w:val="CEABullet-Level1"/>
        <w:numPr>
          <w:ilvl w:val="3"/>
          <w:numId w:val="16"/>
        </w:numPr>
      </w:pPr>
      <w:r>
        <w:t>Remove columns C0075, C0077, C0180 and C0200 (</w:t>
      </w:r>
      <w:r w:rsidRPr="005D73C9">
        <w:t xml:space="preserve">Expected future premiums, </w:t>
      </w:r>
      <w:proofErr w:type="gramStart"/>
      <w:r w:rsidRPr="005D73C9">
        <w:t>Expected</w:t>
      </w:r>
      <w:proofErr w:type="gramEnd"/>
      <w:r w:rsidRPr="005D73C9">
        <w:t xml:space="preserve"> future commissions, Best Estimate and Technical Provisions as a whole, Surrender value</w:t>
      </w:r>
      <w:r>
        <w:t xml:space="preserve">). Created additional effort, reports are not needed. </w:t>
      </w:r>
    </w:p>
    <w:p w14:paraId="6B151EA4" w14:textId="77777777" w:rsidR="006A0268" w:rsidRDefault="004A6AEC" w:rsidP="006A0268">
      <w:pPr>
        <w:pStyle w:val="CEABullet-Level1"/>
        <w:numPr>
          <w:ilvl w:val="3"/>
          <w:numId w:val="16"/>
        </w:numPr>
      </w:pPr>
      <w:r>
        <w:t>D</w:t>
      </w:r>
      <w:r w:rsidRPr="004A6AEC">
        <w:t>elete the S.14.01.01 (Annuity Detail) a</w:t>
      </w:r>
      <w:r>
        <w:t>t a</w:t>
      </w:r>
      <w:r w:rsidRPr="004A6AEC">
        <w:t xml:space="preserve"> minimum for annuities arising from non-life insurance contracts of the state.</w:t>
      </w:r>
      <w:r w:rsidR="006A0268">
        <w:t xml:space="preserve"> </w:t>
      </w:r>
    </w:p>
    <w:p w14:paraId="2D165C20" w14:textId="1D07FDE5" w:rsidR="006A0268" w:rsidRDefault="006A0268" w:rsidP="006A0268">
      <w:pPr>
        <w:pStyle w:val="CEABullet-Level1"/>
        <w:numPr>
          <w:ilvl w:val="3"/>
          <w:numId w:val="16"/>
        </w:numPr>
      </w:pPr>
      <w:r>
        <w:t xml:space="preserve">Alternatively, it could be considered to </w:t>
      </w:r>
      <w:r w:rsidRPr="003B77CB">
        <w:t xml:space="preserve">reducing the granularity of reporting to the </w:t>
      </w:r>
      <w:proofErr w:type="spellStart"/>
      <w:r w:rsidRPr="003B77CB">
        <w:t>LoB</w:t>
      </w:r>
      <w:proofErr w:type="spellEnd"/>
      <w:r w:rsidRPr="003B77CB">
        <w:t xml:space="preserve"> level</w:t>
      </w:r>
      <w:r>
        <w:t>.</w:t>
      </w:r>
    </w:p>
    <w:p w14:paraId="05CF1C94" w14:textId="4DD90B9E" w:rsidR="00AD1788" w:rsidRPr="00C63874" w:rsidRDefault="00AD1788" w:rsidP="006A0268">
      <w:pPr>
        <w:pStyle w:val="Odsekzoznamu"/>
        <w:ind w:left="3600"/>
        <w:jc w:val="left"/>
      </w:pPr>
    </w:p>
    <w:p w14:paraId="0E6861DA" w14:textId="77777777" w:rsidR="002F64E6" w:rsidRDefault="00C63874" w:rsidP="002D2F5C">
      <w:pPr>
        <w:numPr>
          <w:ilvl w:val="2"/>
          <w:numId w:val="16"/>
        </w:numPr>
      </w:pPr>
      <w:r w:rsidRPr="00C63874">
        <w:rPr>
          <w:b/>
          <w:bCs/>
        </w:rPr>
        <w:t>S.14.02</w:t>
      </w:r>
      <w:r w:rsidRPr="00C63874">
        <w:t xml:space="preserve">: </w:t>
      </w:r>
    </w:p>
    <w:p w14:paraId="6EFECDBC" w14:textId="193F3A77" w:rsidR="00C63874" w:rsidRPr="00C63874" w:rsidRDefault="002F64E6" w:rsidP="002F64E6">
      <w:pPr>
        <w:numPr>
          <w:ilvl w:val="3"/>
          <w:numId w:val="16"/>
        </w:numPr>
      </w:pPr>
      <w:r>
        <w:rPr>
          <w:b/>
          <w:bCs/>
        </w:rPr>
        <w:t xml:space="preserve">Remove fields </w:t>
      </w:r>
      <w:r w:rsidRPr="002F64E6">
        <w:t>-</w:t>
      </w:r>
      <w:r w:rsidR="00C63874" w:rsidRPr="00C63874">
        <w:t xml:space="preserve"> Distribution channels, list of countries.</w:t>
      </w:r>
    </w:p>
    <w:p w14:paraId="25D74817" w14:textId="77777777" w:rsidR="00DD3801" w:rsidRDefault="00DD3801" w:rsidP="00DD3801">
      <w:pPr>
        <w:pStyle w:val="CEABullet-Level1"/>
        <w:numPr>
          <w:ilvl w:val="3"/>
          <w:numId w:val="16"/>
        </w:numPr>
      </w:pPr>
      <w:r>
        <w:t xml:space="preserve">Remove columns C0070-C0090. </w:t>
      </w:r>
      <w:r w:rsidRPr="00961F2D">
        <w:t>Separating premiums based on distribution chan</w:t>
      </w:r>
      <w:r>
        <w:t>n</w:t>
      </w:r>
      <w:r w:rsidRPr="00961F2D">
        <w:t>el doesn't add any value from solvency point of view</w:t>
      </w:r>
      <w:r>
        <w:t>.</w:t>
      </w:r>
    </w:p>
    <w:p w14:paraId="4EF555D9" w14:textId="77777777" w:rsidR="00DD3801" w:rsidRDefault="00DD3801" w:rsidP="00DD3801">
      <w:pPr>
        <w:pStyle w:val="CEABullet-Level1"/>
        <w:numPr>
          <w:ilvl w:val="3"/>
          <w:numId w:val="16"/>
        </w:numPr>
      </w:pPr>
      <w:r>
        <w:t xml:space="preserve">Remove column C0120. </w:t>
      </w:r>
      <w:r w:rsidRPr="00395388">
        <w:t>List of countries doesn't add any value from solvency point of view.</w:t>
      </w:r>
    </w:p>
    <w:p w14:paraId="34EB4837" w14:textId="77777777" w:rsidR="00DD3801" w:rsidRDefault="00DD3801" w:rsidP="00DD3801">
      <w:pPr>
        <w:pStyle w:val="CEABullet-Level1"/>
        <w:numPr>
          <w:ilvl w:val="3"/>
          <w:numId w:val="16"/>
        </w:numPr>
      </w:pPr>
      <w:r>
        <w:t xml:space="preserve">Remove columns C0130-C0140. </w:t>
      </w:r>
      <w:r w:rsidRPr="00FF6951">
        <w:t>Information on number of insured doesn't add any value from solvency point of view.</w:t>
      </w:r>
    </w:p>
    <w:p w14:paraId="52D2B112" w14:textId="77777777" w:rsidR="00AA4E33" w:rsidRDefault="00AA4E33" w:rsidP="00AA4E33">
      <w:pPr>
        <w:rPr>
          <w:b/>
          <w:bCs/>
        </w:rPr>
      </w:pPr>
    </w:p>
    <w:p w14:paraId="13DEF7C1" w14:textId="3A8A9A22" w:rsidR="00465FFE" w:rsidRPr="00465FFE" w:rsidRDefault="00465FFE" w:rsidP="00465FFE">
      <w:pPr>
        <w:rPr>
          <w:b/>
          <w:bCs/>
        </w:rPr>
      </w:pPr>
      <w:r w:rsidRPr="00465FFE">
        <w:rPr>
          <w:b/>
          <w:bCs/>
        </w:rPr>
        <w:t xml:space="preserve">S.14.03 – Cyber </w:t>
      </w:r>
      <w:r w:rsidR="00E660BA">
        <w:rPr>
          <w:b/>
          <w:bCs/>
        </w:rPr>
        <w:t>risk</w:t>
      </w:r>
    </w:p>
    <w:p w14:paraId="6BD35771" w14:textId="77777777" w:rsidR="00465FFE" w:rsidRPr="00465FFE" w:rsidRDefault="00465FFE" w:rsidP="00387BAC">
      <w:pPr>
        <w:numPr>
          <w:ilvl w:val="0"/>
          <w:numId w:val="26"/>
        </w:numPr>
        <w:rPr>
          <w:b/>
          <w:bCs/>
        </w:rPr>
      </w:pPr>
      <w:r w:rsidRPr="00465FFE">
        <w:rPr>
          <w:b/>
          <w:bCs/>
        </w:rPr>
        <w:t>Issues:</w:t>
      </w:r>
    </w:p>
    <w:p w14:paraId="25CE69F6" w14:textId="77777777" w:rsidR="00465FFE" w:rsidRPr="00465FFE" w:rsidRDefault="00465FFE" w:rsidP="00387BAC">
      <w:pPr>
        <w:numPr>
          <w:ilvl w:val="1"/>
          <w:numId w:val="26"/>
        </w:numPr>
      </w:pPr>
      <w:r w:rsidRPr="00465FFE">
        <w:t>The share of cyber insurance in the overall business portfolio of undertakings is generally small.</w:t>
      </w:r>
    </w:p>
    <w:p w14:paraId="7AC3C905" w14:textId="77777777" w:rsidR="00465FFE" w:rsidRPr="00465FFE" w:rsidRDefault="00465FFE" w:rsidP="00387BAC">
      <w:pPr>
        <w:numPr>
          <w:ilvl w:val="1"/>
          <w:numId w:val="26"/>
        </w:numPr>
      </w:pPr>
      <w:r w:rsidRPr="00465FFE">
        <w:t>The reporting burden for this template is disproportionate given the limited exposure and relevance of cyber insurance to most insurers' portfolios.</w:t>
      </w:r>
    </w:p>
    <w:p w14:paraId="4403D009" w14:textId="77777777" w:rsidR="00465FFE" w:rsidRPr="00465FFE" w:rsidRDefault="00465FFE" w:rsidP="00387BAC">
      <w:pPr>
        <w:numPr>
          <w:ilvl w:val="1"/>
          <w:numId w:val="26"/>
        </w:numPr>
      </w:pPr>
      <w:r w:rsidRPr="00465FFE">
        <w:t>Data collection for this template requires considerable effort, which is not justified by the supervisory value of the information provided.</w:t>
      </w:r>
    </w:p>
    <w:p w14:paraId="6150AFA0" w14:textId="77777777" w:rsidR="00465FFE" w:rsidRPr="00465FFE" w:rsidRDefault="00465FFE" w:rsidP="00387BAC">
      <w:pPr>
        <w:numPr>
          <w:ilvl w:val="0"/>
          <w:numId w:val="26"/>
        </w:numPr>
        <w:rPr>
          <w:b/>
          <w:bCs/>
        </w:rPr>
      </w:pPr>
      <w:r w:rsidRPr="00465FFE">
        <w:rPr>
          <w:b/>
          <w:bCs/>
        </w:rPr>
        <w:t>Proposals:</w:t>
      </w:r>
    </w:p>
    <w:p w14:paraId="6F6E7C77" w14:textId="77777777" w:rsidR="00465FFE" w:rsidRPr="00465FFE" w:rsidRDefault="00465FFE" w:rsidP="00387BAC">
      <w:pPr>
        <w:numPr>
          <w:ilvl w:val="1"/>
          <w:numId w:val="26"/>
        </w:numPr>
      </w:pPr>
      <w:r w:rsidRPr="00465FFE">
        <w:t>Eliminate the reporting requirement for S.14.03 due to its low materiality for most insurers.</w:t>
      </w:r>
    </w:p>
    <w:p w14:paraId="7CA9DE48" w14:textId="77777777" w:rsidR="00465FFE" w:rsidRPr="00465FFE" w:rsidRDefault="00465FFE" w:rsidP="00387BAC">
      <w:pPr>
        <w:numPr>
          <w:ilvl w:val="1"/>
          <w:numId w:val="26"/>
        </w:numPr>
      </w:pPr>
      <w:r w:rsidRPr="00465FFE">
        <w:t>Alternatively, restrict this reporting template to undertakings with a material share of cyber insurance in their business portfolio, using predefined thresholds.</w:t>
      </w:r>
    </w:p>
    <w:p w14:paraId="1BC17681" w14:textId="77777777" w:rsidR="00465FFE" w:rsidRPr="00465FFE" w:rsidRDefault="00465FFE" w:rsidP="00387BAC">
      <w:pPr>
        <w:numPr>
          <w:ilvl w:val="1"/>
          <w:numId w:val="26"/>
        </w:numPr>
      </w:pPr>
      <w:r w:rsidRPr="00465FFE">
        <w:t>Allow aggregated reporting of cyber insurance data to reduce unnecessary granularity.</w:t>
      </w:r>
    </w:p>
    <w:p w14:paraId="1CA42E78" w14:textId="77777777" w:rsidR="00080361" w:rsidRDefault="00080361" w:rsidP="00AA4E33">
      <w:pPr>
        <w:rPr>
          <w:b/>
          <w:bCs/>
        </w:rPr>
      </w:pPr>
    </w:p>
    <w:p w14:paraId="4E7BB08F" w14:textId="3E05591C" w:rsidR="003371D2" w:rsidRPr="003371D2" w:rsidRDefault="003371D2" w:rsidP="003371D2">
      <w:pPr>
        <w:rPr>
          <w:b/>
          <w:bCs/>
        </w:rPr>
      </w:pPr>
      <w:r w:rsidRPr="003371D2">
        <w:rPr>
          <w:b/>
          <w:bCs/>
        </w:rPr>
        <w:t>S.14.04–S.14.05 – Liquidity Risks</w:t>
      </w:r>
      <w:r w:rsidR="0075480F">
        <w:rPr>
          <w:b/>
          <w:bCs/>
        </w:rPr>
        <w:t xml:space="preserve"> </w:t>
      </w:r>
      <w:r w:rsidR="0075480F" w:rsidRPr="0075480F">
        <w:rPr>
          <w:b/>
          <w:bCs/>
        </w:rPr>
        <w:t xml:space="preserve">for life </w:t>
      </w:r>
      <w:r w:rsidR="0075480F">
        <w:rPr>
          <w:b/>
          <w:bCs/>
        </w:rPr>
        <w:t xml:space="preserve">and non-life </w:t>
      </w:r>
      <w:r w:rsidR="0075480F" w:rsidRPr="0075480F">
        <w:rPr>
          <w:b/>
          <w:bCs/>
        </w:rPr>
        <w:t>business</w:t>
      </w:r>
    </w:p>
    <w:p w14:paraId="7A3143B3" w14:textId="77777777" w:rsidR="003371D2" w:rsidRPr="003371D2" w:rsidRDefault="003371D2" w:rsidP="00387BAC">
      <w:pPr>
        <w:numPr>
          <w:ilvl w:val="0"/>
          <w:numId w:val="27"/>
        </w:numPr>
        <w:rPr>
          <w:b/>
          <w:bCs/>
        </w:rPr>
      </w:pPr>
      <w:r w:rsidRPr="003371D2">
        <w:rPr>
          <w:b/>
          <w:bCs/>
        </w:rPr>
        <w:t>Issues:</w:t>
      </w:r>
    </w:p>
    <w:p w14:paraId="4EFF1D7E" w14:textId="4A39E8A2" w:rsidR="003371D2" w:rsidRPr="003371D2" w:rsidRDefault="003371D2" w:rsidP="00387BAC">
      <w:pPr>
        <w:numPr>
          <w:ilvl w:val="1"/>
          <w:numId w:val="27"/>
        </w:numPr>
      </w:pPr>
      <w:r w:rsidRPr="003371D2">
        <w:t>Reporting requirements for liquidity risks are questioned since no SCRs are calculated for these risks.</w:t>
      </w:r>
    </w:p>
    <w:p w14:paraId="2C1B412B" w14:textId="77777777" w:rsidR="003371D2" w:rsidRPr="003371D2" w:rsidRDefault="003371D2" w:rsidP="00387BAC">
      <w:pPr>
        <w:numPr>
          <w:ilvl w:val="1"/>
          <w:numId w:val="27"/>
        </w:numPr>
      </w:pPr>
      <w:r w:rsidRPr="003371D2">
        <w:t>The supervisory value of these templates is unclear, particularly when considering the effort involved in preparing them.</w:t>
      </w:r>
    </w:p>
    <w:p w14:paraId="2C9FD2A8" w14:textId="77777777" w:rsidR="003371D2" w:rsidRPr="003371D2" w:rsidRDefault="003371D2" w:rsidP="00387BAC">
      <w:pPr>
        <w:numPr>
          <w:ilvl w:val="1"/>
          <w:numId w:val="27"/>
        </w:numPr>
      </w:pPr>
      <w:r w:rsidRPr="003371D2">
        <w:t>Some stakeholders suggest that the templates are not well-suited for monitoring liquidity risks effectively.</w:t>
      </w:r>
    </w:p>
    <w:p w14:paraId="0A614E2D" w14:textId="77777777" w:rsidR="003371D2" w:rsidRPr="003371D2" w:rsidRDefault="003371D2" w:rsidP="00387BAC">
      <w:pPr>
        <w:numPr>
          <w:ilvl w:val="1"/>
          <w:numId w:val="27"/>
        </w:numPr>
      </w:pPr>
      <w:r w:rsidRPr="003371D2">
        <w:t>Data requirements overlap with information provided in other templates or reports, leading to duplication.</w:t>
      </w:r>
    </w:p>
    <w:p w14:paraId="5200D157" w14:textId="77777777" w:rsidR="003371D2" w:rsidRPr="003371D2" w:rsidRDefault="003371D2" w:rsidP="00387BAC">
      <w:pPr>
        <w:numPr>
          <w:ilvl w:val="1"/>
          <w:numId w:val="27"/>
        </w:numPr>
      </w:pPr>
      <w:r w:rsidRPr="003371D2">
        <w:t>Templates include qualitative elements that are already covered in other reports such as the ORSA.</w:t>
      </w:r>
    </w:p>
    <w:p w14:paraId="046BCAE7" w14:textId="77777777" w:rsidR="003371D2" w:rsidRPr="003371D2" w:rsidRDefault="003371D2" w:rsidP="00387BAC">
      <w:pPr>
        <w:numPr>
          <w:ilvl w:val="0"/>
          <w:numId w:val="27"/>
        </w:numPr>
        <w:rPr>
          <w:b/>
          <w:bCs/>
        </w:rPr>
      </w:pPr>
      <w:r w:rsidRPr="003371D2">
        <w:rPr>
          <w:b/>
          <w:bCs/>
        </w:rPr>
        <w:t>Proposals:</w:t>
      </w:r>
    </w:p>
    <w:p w14:paraId="3653C0A8" w14:textId="77777777" w:rsidR="003371D2" w:rsidRPr="003371D2" w:rsidRDefault="003371D2" w:rsidP="00387BAC">
      <w:pPr>
        <w:numPr>
          <w:ilvl w:val="1"/>
          <w:numId w:val="27"/>
        </w:numPr>
      </w:pPr>
      <w:r w:rsidRPr="003371D2">
        <w:t>Move these templates from quarterly to annual submission to reduce the reporting burden.</w:t>
      </w:r>
    </w:p>
    <w:p w14:paraId="4612C479" w14:textId="77777777" w:rsidR="003371D2" w:rsidRPr="003371D2" w:rsidRDefault="003371D2" w:rsidP="00387BAC">
      <w:pPr>
        <w:numPr>
          <w:ilvl w:val="1"/>
          <w:numId w:val="27"/>
        </w:numPr>
      </w:pPr>
      <w:r w:rsidRPr="003371D2">
        <w:t>Introduce materiality thresholds to exempt undertakings with low liquidity risks.</w:t>
      </w:r>
    </w:p>
    <w:p w14:paraId="59082ED2" w14:textId="77777777" w:rsidR="003371D2" w:rsidRPr="003371D2" w:rsidRDefault="003371D2" w:rsidP="00387BAC">
      <w:pPr>
        <w:numPr>
          <w:ilvl w:val="1"/>
          <w:numId w:val="27"/>
        </w:numPr>
      </w:pPr>
      <w:r w:rsidRPr="003371D2">
        <w:t>Review the utility of these templates with supervisory authorities to determine if they are effectively used for assessing liquidity risks.</w:t>
      </w:r>
    </w:p>
    <w:p w14:paraId="29F91877" w14:textId="77777777" w:rsidR="003371D2" w:rsidRPr="003371D2" w:rsidRDefault="003371D2" w:rsidP="00387BAC">
      <w:pPr>
        <w:numPr>
          <w:ilvl w:val="1"/>
          <w:numId w:val="27"/>
        </w:numPr>
      </w:pPr>
      <w:r w:rsidRPr="003371D2">
        <w:t>Simplify the granularity of data required, focusing on high-level metrics that provide actionable insights.</w:t>
      </w:r>
    </w:p>
    <w:p w14:paraId="542C4F77" w14:textId="77777777" w:rsidR="003371D2" w:rsidRPr="003371D2" w:rsidRDefault="003371D2" w:rsidP="00387BAC">
      <w:pPr>
        <w:numPr>
          <w:ilvl w:val="1"/>
          <w:numId w:val="27"/>
        </w:numPr>
      </w:pPr>
      <w:r w:rsidRPr="003371D2">
        <w:t>Investigate whether liquidity risk monitoring can be integrated into existing templates or qualitative reports rather than maintaining separate QRTs.</w:t>
      </w:r>
    </w:p>
    <w:p w14:paraId="5D6A236B" w14:textId="77777777" w:rsidR="000451B4" w:rsidRDefault="000451B4" w:rsidP="00AA4E33">
      <w:pPr>
        <w:rPr>
          <w:b/>
          <w:bCs/>
        </w:rPr>
      </w:pPr>
    </w:p>
    <w:p w14:paraId="154F524D" w14:textId="77777777" w:rsidR="00967377" w:rsidRPr="00967377" w:rsidRDefault="00967377" w:rsidP="00967377">
      <w:pPr>
        <w:rPr>
          <w:b/>
          <w:bCs/>
        </w:rPr>
      </w:pPr>
      <w:r w:rsidRPr="00967377">
        <w:rPr>
          <w:b/>
          <w:bCs/>
        </w:rPr>
        <w:t>S.17 – Non-Life Technical Provisions</w:t>
      </w:r>
    </w:p>
    <w:p w14:paraId="1F150DD2" w14:textId="77777777" w:rsidR="00967377" w:rsidRPr="00967377" w:rsidRDefault="00967377" w:rsidP="00967377">
      <w:pPr>
        <w:pStyle w:val="CEABullet-Level1"/>
        <w:rPr>
          <w:b/>
          <w:bCs/>
        </w:rPr>
      </w:pPr>
      <w:r w:rsidRPr="00967377">
        <w:rPr>
          <w:b/>
          <w:bCs/>
        </w:rPr>
        <w:t>Issues:</w:t>
      </w:r>
    </w:p>
    <w:p w14:paraId="05BFED76" w14:textId="77777777" w:rsidR="00967377" w:rsidRPr="00967377" w:rsidRDefault="00967377" w:rsidP="00967377">
      <w:pPr>
        <w:pStyle w:val="CEABullet-Level1"/>
        <w:numPr>
          <w:ilvl w:val="1"/>
          <w:numId w:val="1"/>
        </w:numPr>
      </w:pPr>
      <w:r w:rsidRPr="00967377">
        <w:t>The template requires detailed reporting of technical provisions, including immaterial lines of business, leading to a disproportionate burden for entities with minimal exposure.</w:t>
      </w:r>
    </w:p>
    <w:p w14:paraId="2F0575E0" w14:textId="77777777" w:rsidR="00967377" w:rsidRPr="00967377" w:rsidRDefault="00967377" w:rsidP="00967377">
      <w:pPr>
        <w:pStyle w:val="CEABullet-Level1"/>
        <w:numPr>
          <w:ilvl w:val="1"/>
          <w:numId w:val="1"/>
        </w:numPr>
      </w:pPr>
      <w:r w:rsidRPr="00967377">
        <w:t>The granularity of the data, such as the number of homogeneous risk groups (rows R0350-R0360), adds limited value to supervisory analysis but significantly increases reporting effort.</w:t>
      </w:r>
    </w:p>
    <w:p w14:paraId="7F87DA14" w14:textId="77777777" w:rsidR="00967377" w:rsidRPr="00967377" w:rsidRDefault="00967377" w:rsidP="00967377">
      <w:pPr>
        <w:pStyle w:val="CEABullet-Level1"/>
        <w:numPr>
          <w:ilvl w:val="1"/>
          <w:numId w:val="1"/>
        </w:numPr>
      </w:pPr>
      <w:r w:rsidRPr="00967377">
        <w:t>There is duplication of information between S.17.01 and other templates, such as S.02.01, complicating reconciliation and increasing workload.</w:t>
      </w:r>
    </w:p>
    <w:p w14:paraId="19C62AF4" w14:textId="77777777" w:rsidR="00967377" w:rsidRPr="00967377" w:rsidRDefault="00967377" w:rsidP="00967377">
      <w:pPr>
        <w:pStyle w:val="CEABullet-Level1"/>
        <w:numPr>
          <w:ilvl w:val="1"/>
          <w:numId w:val="1"/>
        </w:numPr>
      </w:pPr>
      <w:r w:rsidRPr="00967377">
        <w:t>Data presentation inconsistencies, such as differences in granularity across related templates, can lead to errors and delays.</w:t>
      </w:r>
    </w:p>
    <w:p w14:paraId="626A8584" w14:textId="7BA200A6" w:rsidR="00967377" w:rsidRPr="00967377" w:rsidRDefault="00E600D5" w:rsidP="00967377">
      <w:pPr>
        <w:pStyle w:val="CEABullet-Level1"/>
        <w:numPr>
          <w:ilvl w:val="1"/>
          <w:numId w:val="1"/>
        </w:numPr>
      </w:pPr>
      <w:r>
        <w:t xml:space="preserve">S.17.01 - </w:t>
      </w:r>
      <w:r w:rsidR="00967377" w:rsidRPr="00967377">
        <w:t>The template is currently required for both annual and quarterly submissions, which is excessive and increases the reporting burden without adding significant value.</w:t>
      </w:r>
    </w:p>
    <w:p w14:paraId="2B90FF9B" w14:textId="77777777" w:rsidR="00967377" w:rsidRPr="00967377" w:rsidRDefault="00967377" w:rsidP="00967377">
      <w:pPr>
        <w:pStyle w:val="CEABullet-Level1"/>
        <w:rPr>
          <w:b/>
          <w:bCs/>
        </w:rPr>
      </w:pPr>
      <w:r w:rsidRPr="00967377">
        <w:rPr>
          <w:b/>
          <w:bCs/>
        </w:rPr>
        <w:t>Proposals:</w:t>
      </w:r>
    </w:p>
    <w:p w14:paraId="74AAB14D" w14:textId="77777777" w:rsidR="00967377" w:rsidRPr="00967377" w:rsidRDefault="00967377" w:rsidP="00967377">
      <w:pPr>
        <w:pStyle w:val="CEABullet-Level1"/>
        <w:numPr>
          <w:ilvl w:val="1"/>
          <w:numId w:val="1"/>
        </w:numPr>
      </w:pPr>
      <w:r w:rsidRPr="00967377">
        <w:t>Allow entities to exclude immaterial lines of business from reporting, at least for quarterly submissions.</w:t>
      </w:r>
    </w:p>
    <w:p w14:paraId="5360C890" w14:textId="77777777" w:rsidR="00967377" w:rsidRPr="00967377" w:rsidRDefault="00967377" w:rsidP="00967377">
      <w:pPr>
        <w:pStyle w:val="CEABullet-Level1"/>
        <w:numPr>
          <w:ilvl w:val="1"/>
          <w:numId w:val="1"/>
        </w:numPr>
      </w:pPr>
      <w:r w:rsidRPr="00967377">
        <w:t>Remove rows R0350-R0360, as the number of homogeneous risk groups does not significantly contribute to solvency risk assessment.</w:t>
      </w:r>
    </w:p>
    <w:p w14:paraId="42FB243D" w14:textId="77777777" w:rsidR="00967377" w:rsidRPr="00967377" w:rsidRDefault="00967377" w:rsidP="00967377">
      <w:pPr>
        <w:pStyle w:val="CEABullet-Level1"/>
        <w:numPr>
          <w:ilvl w:val="1"/>
          <w:numId w:val="1"/>
        </w:numPr>
      </w:pPr>
      <w:r w:rsidRPr="00967377">
        <w:t>Simplify the template by consolidating overlapping data with related templates, such as S.02.01, to avoid duplication.</w:t>
      </w:r>
    </w:p>
    <w:p w14:paraId="37AA0F87" w14:textId="77777777" w:rsidR="00967377" w:rsidRPr="00967377" w:rsidRDefault="00967377" w:rsidP="00967377">
      <w:pPr>
        <w:pStyle w:val="CEABullet-Level1"/>
        <w:numPr>
          <w:ilvl w:val="1"/>
          <w:numId w:val="1"/>
        </w:numPr>
      </w:pPr>
      <w:r w:rsidRPr="00967377">
        <w:t>Introduce materiality thresholds to exempt minor exposures and focus on data relevant to the overall risk profile.</w:t>
      </w:r>
    </w:p>
    <w:p w14:paraId="12227FF1" w14:textId="77777777" w:rsidR="00967377" w:rsidRPr="00967377" w:rsidRDefault="00967377" w:rsidP="00967377">
      <w:pPr>
        <w:pStyle w:val="CEABullet-Level1"/>
        <w:numPr>
          <w:ilvl w:val="1"/>
          <w:numId w:val="1"/>
        </w:numPr>
      </w:pPr>
      <w:r w:rsidRPr="00967377">
        <w:t>Limit reporting frequency to annual submissions only, eliminating the requirement for quarterly reporting.</w:t>
      </w:r>
    </w:p>
    <w:p w14:paraId="0F0B2364" w14:textId="77777777" w:rsidR="00F452D2" w:rsidRPr="00FA6300" w:rsidRDefault="00F452D2" w:rsidP="00F452D2">
      <w:pPr>
        <w:rPr>
          <w:b/>
          <w:bCs/>
        </w:rPr>
      </w:pPr>
    </w:p>
    <w:p w14:paraId="65EA4D3C" w14:textId="3D5FAB46" w:rsidR="00F452D2" w:rsidRPr="00FA6300" w:rsidRDefault="00F452D2" w:rsidP="00F452D2">
      <w:pPr>
        <w:rPr>
          <w:b/>
          <w:bCs/>
        </w:rPr>
      </w:pPr>
      <w:r w:rsidRPr="00FA6300">
        <w:rPr>
          <w:b/>
          <w:bCs/>
        </w:rPr>
        <w:t xml:space="preserve">Template S.18.01 – </w:t>
      </w:r>
      <w:r w:rsidR="00176A71" w:rsidRPr="00FA6300">
        <w:rPr>
          <w:b/>
        </w:rPr>
        <w:t xml:space="preserve">Projection of future cash flows (Best Estimate - </w:t>
      </w:r>
      <w:proofErr w:type="gramStart"/>
      <w:r w:rsidR="00176A71" w:rsidRPr="00FA6300">
        <w:rPr>
          <w:b/>
        </w:rPr>
        <w:t>Non Life</w:t>
      </w:r>
      <w:proofErr w:type="gramEnd"/>
      <w:r w:rsidR="00176A71" w:rsidRPr="00FA6300">
        <w:rPr>
          <w:b/>
        </w:rPr>
        <w:t>)</w:t>
      </w:r>
    </w:p>
    <w:p w14:paraId="68A1E2D7" w14:textId="77777777" w:rsidR="00F452D2" w:rsidRPr="00F452D2" w:rsidRDefault="00F452D2" w:rsidP="00F452D2">
      <w:pPr>
        <w:pStyle w:val="CEABullet-Level1"/>
        <w:rPr>
          <w:b/>
          <w:bCs/>
        </w:rPr>
      </w:pPr>
      <w:r w:rsidRPr="00F452D2">
        <w:rPr>
          <w:b/>
          <w:bCs/>
        </w:rPr>
        <w:t>Issues:</w:t>
      </w:r>
    </w:p>
    <w:p w14:paraId="25884F76" w14:textId="77777777" w:rsidR="00F452D2" w:rsidRDefault="00F452D2" w:rsidP="00F452D2">
      <w:pPr>
        <w:pStyle w:val="CEABullet-Level1"/>
        <w:numPr>
          <w:ilvl w:val="1"/>
          <w:numId w:val="1"/>
        </w:numPr>
      </w:pPr>
      <w:r w:rsidRPr="00F452D2">
        <w:t>Reporting requirements do not differentiate between material and immaterial lines of business, leading to unnecessary reporting efforts for non-material data.</w:t>
      </w:r>
    </w:p>
    <w:p w14:paraId="0F8A0EB8" w14:textId="77777777" w:rsidR="00A07D7A" w:rsidRPr="00A07D7A" w:rsidRDefault="00A07D7A" w:rsidP="00A07D7A">
      <w:pPr>
        <w:pStyle w:val="CEABullet-Level1"/>
        <w:rPr>
          <w:b/>
          <w:bCs/>
        </w:rPr>
      </w:pPr>
      <w:r w:rsidRPr="00A07D7A">
        <w:rPr>
          <w:b/>
          <w:bCs/>
        </w:rPr>
        <w:t>Proposals:</w:t>
      </w:r>
    </w:p>
    <w:p w14:paraId="3E636E01" w14:textId="77777777" w:rsidR="00A07D7A" w:rsidRDefault="00A07D7A" w:rsidP="00A07D7A">
      <w:pPr>
        <w:pStyle w:val="CEABullet-Level1"/>
        <w:numPr>
          <w:ilvl w:val="1"/>
          <w:numId w:val="1"/>
        </w:numPr>
      </w:pPr>
      <w:r>
        <w:t>Allow immaterial lines of business to be excluded from reporting or aggregated into higher-level categories to simplify the process.</w:t>
      </w:r>
    </w:p>
    <w:p w14:paraId="56F9CDFA" w14:textId="77777777" w:rsidR="00967377" w:rsidRDefault="00967377" w:rsidP="00AA4E33">
      <w:pPr>
        <w:rPr>
          <w:b/>
          <w:bCs/>
        </w:rPr>
      </w:pPr>
    </w:p>
    <w:p w14:paraId="0A015EB6" w14:textId="77777777" w:rsidR="00080361" w:rsidRDefault="00080361" w:rsidP="00AA4E33">
      <w:pPr>
        <w:rPr>
          <w:b/>
          <w:bCs/>
        </w:rPr>
      </w:pPr>
    </w:p>
    <w:p w14:paraId="27125E3F" w14:textId="264EFF0E" w:rsidR="00AA4E33" w:rsidRPr="00AA4E33" w:rsidRDefault="00AA4E33" w:rsidP="00AA4E33">
      <w:pPr>
        <w:rPr>
          <w:b/>
          <w:bCs/>
        </w:rPr>
      </w:pPr>
      <w:r w:rsidRPr="00AA4E33">
        <w:rPr>
          <w:b/>
          <w:bCs/>
        </w:rPr>
        <w:t>S.19.01 – Non-Life Insurance Claims</w:t>
      </w:r>
    </w:p>
    <w:p w14:paraId="06B66C4F" w14:textId="77777777" w:rsidR="00AA4E33" w:rsidRPr="00AA4E33" w:rsidRDefault="00AA4E33" w:rsidP="00387BAC">
      <w:pPr>
        <w:numPr>
          <w:ilvl w:val="0"/>
          <w:numId w:val="17"/>
        </w:numPr>
      </w:pPr>
      <w:r w:rsidRPr="00AA4E33">
        <w:rPr>
          <w:b/>
          <w:bCs/>
        </w:rPr>
        <w:t>Issues</w:t>
      </w:r>
      <w:r w:rsidRPr="00AA4E33">
        <w:t>:</w:t>
      </w:r>
    </w:p>
    <w:p w14:paraId="4820C5CC" w14:textId="4C895419" w:rsidR="001B52C0" w:rsidRPr="00B145E5" w:rsidRDefault="001B52C0" w:rsidP="001B52C0">
      <w:pPr>
        <w:pStyle w:val="CEABullet-Level1"/>
        <w:numPr>
          <w:ilvl w:val="1"/>
          <w:numId w:val="17"/>
        </w:numPr>
        <w:rPr>
          <w:szCs w:val="17"/>
        </w:rPr>
      </w:pPr>
      <w:r w:rsidRPr="00B145E5">
        <w:rPr>
          <w:szCs w:val="17"/>
        </w:rPr>
        <w:t>This QRT provides little value to the public as it is merely a summary of all Lines of Business (</w:t>
      </w:r>
      <w:proofErr w:type="spellStart"/>
      <w:r w:rsidRPr="00B145E5">
        <w:rPr>
          <w:szCs w:val="17"/>
        </w:rPr>
        <w:t>LoBs</w:t>
      </w:r>
      <w:proofErr w:type="spellEnd"/>
      <w:r w:rsidRPr="00B145E5">
        <w:rPr>
          <w:szCs w:val="17"/>
        </w:rPr>
        <w:t xml:space="preserve">). </w:t>
      </w:r>
    </w:p>
    <w:p w14:paraId="1F65C8E0" w14:textId="77777777" w:rsidR="00AA4E33" w:rsidRPr="00AA4E33" w:rsidRDefault="00AA4E33" w:rsidP="00387BAC">
      <w:pPr>
        <w:numPr>
          <w:ilvl w:val="1"/>
          <w:numId w:val="17"/>
        </w:numPr>
      </w:pPr>
      <w:r w:rsidRPr="00AA4E33">
        <w:t>Overly detailed triangles (e.g., gross, ceded, net claims).</w:t>
      </w:r>
    </w:p>
    <w:p w14:paraId="7D33C333" w14:textId="49244130" w:rsidR="007462D8" w:rsidRDefault="007462D8" w:rsidP="00387BAC">
      <w:pPr>
        <w:numPr>
          <w:ilvl w:val="1"/>
          <w:numId w:val="17"/>
        </w:numPr>
      </w:pPr>
      <w:r>
        <w:t>Confusion arises due to mixed presentation of discounted and cumulative data.</w:t>
      </w:r>
    </w:p>
    <w:p w14:paraId="1ED7F95E" w14:textId="68B1ADE2" w:rsidR="00AA4E33" w:rsidRPr="00AA4E33" w:rsidRDefault="00AA4E33" w:rsidP="007462D8">
      <w:pPr>
        <w:ind w:left="1440"/>
      </w:pPr>
    </w:p>
    <w:p w14:paraId="5E864345" w14:textId="77777777" w:rsidR="00AA4E33" w:rsidRPr="00AA4E33" w:rsidRDefault="00AA4E33" w:rsidP="00387BAC">
      <w:pPr>
        <w:numPr>
          <w:ilvl w:val="0"/>
          <w:numId w:val="17"/>
        </w:numPr>
      </w:pPr>
      <w:r w:rsidRPr="00AA4E33">
        <w:rPr>
          <w:b/>
          <w:bCs/>
        </w:rPr>
        <w:t>Proposals</w:t>
      </w:r>
      <w:r w:rsidRPr="00AA4E33">
        <w:t>:</w:t>
      </w:r>
    </w:p>
    <w:p w14:paraId="03E3D07D" w14:textId="77777777" w:rsidR="001B52C0" w:rsidRPr="00B145E5" w:rsidRDefault="001B52C0" w:rsidP="001B52C0">
      <w:pPr>
        <w:pStyle w:val="CEABullet-Level1"/>
        <w:numPr>
          <w:ilvl w:val="1"/>
          <w:numId w:val="17"/>
        </w:numPr>
        <w:rPr>
          <w:szCs w:val="17"/>
        </w:rPr>
      </w:pPr>
      <w:r w:rsidRPr="00B145E5">
        <w:rPr>
          <w:szCs w:val="17"/>
        </w:rPr>
        <w:t>Given the already very low number of views for the SFCR, this QRT could potentially be eliminated altogether.</w:t>
      </w:r>
    </w:p>
    <w:p w14:paraId="5FCF89C7" w14:textId="078D7551" w:rsidR="00AA4E33" w:rsidRPr="00AA4E33" w:rsidRDefault="00AA4E33" w:rsidP="00387BAC">
      <w:pPr>
        <w:numPr>
          <w:ilvl w:val="1"/>
          <w:numId w:val="17"/>
        </w:numPr>
      </w:pPr>
      <w:r w:rsidRPr="00AA4E33">
        <w:t xml:space="preserve">Simplify template by reducing </w:t>
      </w:r>
      <w:r w:rsidR="00C77296">
        <w:t>(</w:t>
      </w:r>
      <w:r w:rsidRPr="00AA4E33">
        <w:t>triangle</w:t>
      </w:r>
      <w:r w:rsidR="00C77296">
        <w:t>)</w:t>
      </w:r>
      <w:r w:rsidRPr="00AA4E33">
        <w:t xml:space="preserve"> granularity.</w:t>
      </w:r>
    </w:p>
    <w:p w14:paraId="37E57DB9" w14:textId="77777777" w:rsidR="00AA4E33" w:rsidRPr="00AA4E33" w:rsidRDefault="00AA4E33" w:rsidP="00387BAC">
      <w:pPr>
        <w:numPr>
          <w:ilvl w:val="1"/>
          <w:numId w:val="17"/>
        </w:numPr>
      </w:pPr>
      <w:r w:rsidRPr="00AA4E33">
        <w:t>Allow exclusion of immaterial lines of business.</w:t>
      </w:r>
    </w:p>
    <w:p w14:paraId="44295039" w14:textId="77777777" w:rsidR="00806FE4" w:rsidRDefault="00806FE4" w:rsidP="00806FE4">
      <w:pPr>
        <w:pStyle w:val="CEABullet-Level1"/>
        <w:numPr>
          <w:ilvl w:val="1"/>
          <w:numId w:val="17"/>
        </w:numPr>
      </w:pPr>
      <w:r>
        <w:t xml:space="preserve">Remove columns </w:t>
      </w:r>
      <w:r w:rsidRPr="002D1D59">
        <w:t>C0400-C0560, C1000-C1160, C1600-C1760</w:t>
      </w:r>
      <w:r>
        <w:t xml:space="preserve"> (triangles). Hard to separate IBNR and RBNS in collective claims reserves. </w:t>
      </w:r>
    </w:p>
    <w:p w14:paraId="051ED668" w14:textId="77777777" w:rsidR="00F85AB9" w:rsidRDefault="00F85AB9" w:rsidP="00F85AB9">
      <w:pPr>
        <w:pStyle w:val="CEABullet-Level1"/>
        <w:numPr>
          <w:ilvl w:val="1"/>
          <w:numId w:val="17"/>
        </w:numPr>
      </w:pPr>
      <w:r w:rsidRPr="00690433">
        <w:rPr>
          <w:lang w:val="en-US"/>
        </w:rPr>
        <w:t xml:space="preserve">Also consider whether S.20 - S.21.03 do not largely cover the same/similar information needs as S.19 (in which case the templates </w:t>
      </w:r>
      <w:r>
        <w:rPr>
          <w:lang w:val="en-US"/>
        </w:rPr>
        <w:t>sh</w:t>
      </w:r>
      <w:r w:rsidRPr="00690433">
        <w:rPr>
          <w:lang w:val="en-US"/>
        </w:rPr>
        <w:t>ould be removed from the regular reporting)</w:t>
      </w:r>
    </w:p>
    <w:p w14:paraId="6150287A" w14:textId="77777777" w:rsidR="00806FE4" w:rsidRPr="00AA4E33" w:rsidRDefault="00806FE4" w:rsidP="00806FE4">
      <w:pPr>
        <w:ind w:left="1440"/>
      </w:pPr>
    </w:p>
    <w:p w14:paraId="74700C3B" w14:textId="77777777" w:rsidR="00B511D2" w:rsidRDefault="00B511D2" w:rsidP="004422E0">
      <w:pPr>
        <w:rPr>
          <w:b/>
          <w:bCs/>
        </w:rPr>
      </w:pPr>
    </w:p>
    <w:p w14:paraId="05B16C53" w14:textId="35AA7809" w:rsidR="00B511D2" w:rsidRPr="00B511D2" w:rsidRDefault="00B511D2" w:rsidP="00DA568B">
      <w:pPr>
        <w:rPr>
          <w:b/>
          <w:bCs/>
        </w:rPr>
      </w:pPr>
      <w:r w:rsidRPr="00B511D2">
        <w:rPr>
          <w:b/>
          <w:bCs/>
        </w:rPr>
        <w:t>Template S.20.01</w:t>
      </w:r>
      <w:r w:rsidR="00DA568B">
        <w:rPr>
          <w:b/>
          <w:bCs/>
        </w:rPr>
        <w:t xml:space="preserve"> - </w:t>
      </w:r>
      <w:r w:rsidR="00DA568B" w:rsidRPr="00DA568B">
        <w:rPr>
          <w:b/>
          <w:bCs/>
        </w:rPr>
        <w:t xml:space="preserve">Development of the </w:t>
      </w:r>
      <w:r w:rsidR="00F71D2F">
        <w:rPr>
          <w:b/>
          <w:bCs/>
        </w:rPr>
        <w:t>d</w:t>
      </w:r>
      <w:r w:rsidR="00DA568B" w:rsidRPr="00DA568B">
        <w:rPr>
          <w:b/>
          <w:bCs/>
        </w:rPr>
        <w:t>istribution of</w:t>
      </w:r>
      <w:r w:rsidR="004703DC">
        <w:rPr>
          <w:b/>
          <w:bCs/>
        </w:rPr>
        <w:t xml:space="preserve"> the</w:t>
      </w:r>
      <w:r w:rsidR="00DA568B" w:rsidRPr="00DA568B">
        <w:rPr>
          <w:b/>
          <w:bCs/>
        </w:rPr>
        <w:t xml:space="preserve"> </w:t>
      </w:r>
      <w:r w:rsidR="00F71D2F">
        <w:rPr>
          <w:b/>
          <w:bCs/>
        </w:rPr>
        <w:t>c</w:t>
      </w:r>
      <w:r w:rsidR="00DA568B" w:rsidRPr="00DA568B">
        <w:rPr>
          <w:b/>
          <w:bCs/>
        </w:rPr>
        <w:t xml:space="preserve">laims </w:t>
      </w:r>
      <w:r w:rsidR="00F71D2F">
        <w:rPr>
          <w:b/>
          <w:bCs/>
        </w:rPr>
        <w:t>i</w:t>
      </w:r>
      <w:r w:rsidR="00DA568B" w:rsidRPr="00DA568B">
        <w:rPr>
          <w:b/>
          <w:bCs/>
        </w:rPr>
        <w:t>ncurred</w:t>
      </w:r>
    </w:p>
    <w:p w14:paraId="0FF641E2" w14:textId="77777777" w:rsidR="00BB6967" w:rsidRPr="00BB6967" w:rsidRDefault="00BB6967" w:rsidP="00387BAC">
      <w:pPr>
        <w:numPr>
          <w:ilvl w:val="0"/>
          <w:numId w:val="17"/>
        </w:numPr>
        <w:rPr>
          <w:b/>
          <w:bCs/>
        </w:rPr>
      </w:pPr>
      <w:r w:rsidRPr="00BB6967">
        <w:rPr>
          <w:b/>
          <w:bCs/>
        </w:rPr>
        <w:t>Issues:</w:t>
      </w:r>
    </w:p>
    <w:p w14:paraId="754A46A0" w14:textId="77777777" w:rsidR="00BB6967" w:rsidRDefault="00BB6967" w:rsidP="00BB6967">
      <w:pPr>
        <w:pStyle w:val="CEABullet-Level1"/>
        <w:numPr>
          <w:ilvl w:val="1"/>
          <w:numId w:val="1"/>
        </w:numPr>
      </w:pPr>
      <w:r>
        <w:t>The template is particularly burdensome to produce and provides limited supervisory value.</w:t>
      </w:r>
    </w:p>
    <w:p w14:paraId="67C32728" w14:textId="2AE5FD9E" w:rsidR="007C6CEC" w:rsidRDefault="007C6CEC" w:rsidP="007C6CEC">
      <w:pPr>
        <w:pStyle w:val="CEABullet-Level1"/>
        <w:numPr>
          <w:ilvl w:val="1"/>
          <w:numId w:val="1"/>
        </w:numPr>
      </w:pPr>
      <w:r w:rsidRPr="007C6CEC">
        <w:t>The required data on the state of claims (e.g., closed, reopened) is often unreliable and difficult to report accurately.</w:t>
      </w:r>
    </w:p>
    <w:p w14:paraId="305236DD" w14:textId="315E3D77" w:rsidR="00385720" w:rsidRDefault="00385720" w:rsidP="00385720">
      <w:pPr>
        <w:pStyle w:val="CEABullet-Level1"/>
        <w:numPr>
          <w:ilvl w:val="1"/>
          <w:numId w:val="1"/>
        </w:numPr>
      </w:pPr>
      <w:r w:rsidRPr="00385720">
        <w:t>The level of granularity requested is disproportionate to the utility of the information provided.</w:t>
      </w:r>
    </w:p>
    <w:p w14:paraId="107C2BFE" w14:textId="77777777" w:rsidR="00BB6967" w:rsidRDefault="00BB6967" w:rsidP="00BB6967">
      <w:pPr>
        <w:pStyle w:val="CEABullet-Level1"/>
        <w:numPr>
          <w:ilvl w:val="0"/>
          <w:numId w:val="0"/>
        </w:numPr>
        <w:ind w:left="720"/>
        <w:rPr>
          <w:b/>
          <w:bCs/>
        </w:rPr>
      </w:pPr>
    </w:p>
    <w:p w14:paraId="12C47DA9" w14:textId="695C2ECC" w:rsidR="00B511D2" w:rsidRPr="00EF28D2" w:rsidRDefault="00B511D2" w:rsidP="00B511D2">
      <w:pPr>
        <w:pStyle w:val="CEABullet-Level1"/>
        <w:rPr>
          <w:b/>
          <w:bCs/>
        </w:rPr>
      </w:pPr>
      <w:r w:rsidRPr="00EF28D2">
        <w:rPr>
          <w:b/>
          <w:bCs/>
        </w:rPr>
        <w:t>Proposals</w:t>
      </w:r>
      <w:r w:rsidR="00EF28D2" w:rsidRPr="00EF28D2">
        <w:rPr>
          <w:b/>
          <w:bCs/>
        </w:rPr>
        <w:t>:</w:t>
      </w:r>
    </w:p>
    <w:p w14:paraId="6C59F4CE" w14:textId="446E9B82" w:rsidR="00BD22B2" w:rsidRPr="00F47D6A" w:rsidRDefault="00F47D6A" w:rsidP="00F47D6A">
      <w:pPr>
        <w:pStyle w:val="CEABullet-Level1"/>
        <w:numPr>
          <w:ilvl w:val="1"/>
          <w:numId w:val="1"/>
        </w:numPr>
      </w:pPr>
      <w:r w:rsidRPr="00F47D6A">
        <w:t>Should be removed since it provides no value and is very heavy to generate.</w:t>
      </w:r>
    </w:p>
    <w:p w14:paraId="02956D92" w14:textId="3D366F55" w:rsidR="00B511D2" w:rsidRPr="009F5C6A" w:rsidRDefault="00B511D2" w:rsidP="00B511D2">
      <w:pPr>
        <w:pStyle w:val="CEABullet-Level1"/>
        <w:numPr>
          <w:ilvl w:val="1"/>
          <w:numId w:val="1"/>
        </w:numPr>
      </w:pPr>
      <w:r w:rsidRPr="00B511D2">
        <w:t xml:space="preserve">Allow immaterial lines of business not to be </w:t>
      </w:r>
      <w:r w:rsidRPr="009F5C6A">
        <w:t>reported.</w:t>
      </w:r>
    </w:p>
    <w:p w14:paraId="1B3EBC21" w14:textId="32A24014" w:rsidR="00BB1909" w:rsidRPr="00272430" w:rsidRDefault="00BB1909" w:rsidP="00BB1909">
      <w:pPr>
        <w:pStyle w:val="CEABullet-Level1"/>
        <w:numPr>
          <w:ilvl w:val="1"/>
          <w:numId w:val="1"/>
        </w:numPr>
      </w:pPr>
      <w:r w:rsidRPr="00272430">
        <w:t>QRT S.19 should be sufficient for the required insight</w:t>
      </w:r>
      <w:r w:rsidR="002937CD" w:rsidRPr="00272430">
        <w:t xml:space="preserve"> </w:t>
      </w:r>
    </w:p>
    <w:p w14:paraId="15A6AF58" w14:textId="77777777" w:rsidR="00BB1909" w:rsidRPr="00272430" w:rsidRDefault="00BB1909" w:rsidP="00036D04">
      <w:pPr>
        <w:pStyle w:val="CEABullet-Level1"/>
        <w:numPr>
          <w:ilvl w:val="0"/>
          <w:numId w:val="0"/>
        </w:numPr>
        <w:ind w:left="1440"/>
      </w:pPr>
    </w:p>
    <w:p w14:paraId="77FCA788" w14:textId="0973784A" w:rsidR="009F5C6A" w:rsidRPr="00B511D2" w:rsidRDefault="009F5C6A" w:rsidP="00513C12">
      <w:pPr>
        <w:pStyle w:val="CEABullet-Level1"/>
        <w:numPr>
          <w:ilvl w:val="0"/>
          <w:numId w:val="0"/>
        </w:numPr>
        <w:ind w:left="1440"/>
      </w:pPr>
    </w:p>
    <w:p w14:paraId="1BFD303E" w14:textId="20B6816E" w:rsidR="00AA47DB" w:rsidRPr="00AA47DB" w:rsidRDefault="00AA47DB" w:rsidP="00AA47DB">
      <w:pPr>
        <w:rPr>
          <w:b/>
          <w:bCs/>
        </w:rPr>
      </w:pPr>
      <w:r w:rsidRPr="00AA47DB">
        <w:rPr>
          <w:b/>
          <w:bCs/>
        </w:rPr>
        <w:t xml:space="preserve">Template S.21.01 – </w:t>
      </w:r>
      <w:r w:rsidR="00743BFD" w:rsidRPr="00272430">
        <w:rPr>
          <w:b/>
        </w:rPr>
        <w:t xml:space="preserve">Loss distribution risk </w:t>
      </w:r>
      <w:r w:rsidR="00743BFD" w:rsidRPr="00272430">
        <w:rPr>
          <w:b/>
          <w:bCs/>
        </w:rPr>
        <w:t>profile</w:t>
      </w:r>
    </w:p>
    <w:p w14:paraId="5B307B1C" w14:textId="77777777" w:rsidR="00AA47DB" w:rsidRPr="00AA47DB" w:rsidRDefault="00AA47DB" w:rsidP="00AA47DB">
      <w:pPr>
        <w:pStyle w:val="CEABullet-Level1"/>
        <w:rPr>
          <w:b/>
          <w:bCs/>
        </w:rPr>
      </w:pPr>
      <w:r w:rsidRPr="00AA47DB">
        <w:rPr>
          <w:b/>
          <w:bCs/>
        </w:rPr>
        <w:t>Issues:</w:t>
      </w:r>
    </w:p>
    <w:p w14:paraId="6DEFD10A" w14:textId="77777777" w:rsidR="00AA47DB" w:rsidRDefault="00AA47DB" w:rsidP="00AA47DB">
      <w:pPr>
        <w:pStyle w:val="CEABullet-Level1"/>
        <w:numPr>
          <w:ilvl w:val="1"/>
          <w:numId w:val="1"/>
        </w:numPr>
      </w:pPr>
      <w:r w:rsidRPr="00AA47DB">
        <w:t>Reporting requirements include immaterial lines of business, leading to unnecessary reporting efforts for data that does not significantly impact solvency risk.</w:t>
      </w:r>
    </w:p>
    <w:p w14:paraId="6E9A4CF2" w14:textId="180D06BD" w:rsidR="00E90FFD" w:rsidRDefault="00E90FFD" w:rsidP="00AA47DB">
      <w:pPr>
        <w:pStyle w:val="CEABullet-Level1"/>
        <w:numPr>
          <w:ilvl w:val="1"/>
          <w:numId w:val="1"/>
        </w:numPr>
      </w:pPr>
      <w:r w:rsidRPr="00E90FFD">
        <w:t xml:space="preserve">It </w:t>
      </w:r>
      <w:r w:rsidR="00F312D3" w:rsidRPr="00272430">
        <w:t>requires a lot of</w:t>
      </w:r>
      <w:r w:rsidRPr="00E90FFD">
        <w:t xml:space="preserve"> effort to produce this QRT whilst its form and content is not used internally by the company. </w:t>
      </w:r>
    </w:p>
    <w:p w14:paraId="78E1BB81" w14:textId="77777777" w:rsidR="00700EAA" w:rsidRPr="00272430" w:rsidDel="009039D9" w:rsidRDefault="00700EAA" w:rsidP="00AA47DB">
      <w:pPr>
        <w:pStyle w:val="CEABullet-Level1"/>
        <w:numPr>
          <w:ilvl w:val="1"/>
          <w:numId w:val="1"/>
        </w:numPr>
      </w:pPr>
    </w:p>
    <w:p w14:paraId="24334DBE" w14:textId="77777777" w:rsidR="00AA47DB" w:rsidRPr="00AA47DB" w:rsidRDefault="00AA47DB" w:rsidP="00AA47DB">
      <w:pPr>
        <w:pStyle w:val="CEABullet-Level1"/>
        <w:rPr>
          <w:b/>
          <w:bCs/>
        </w:rPr>
      </w:pPr>
      <w:r w:rsidRPr="00AA47DB">
        <w:rPr>
          <w:b/>
          <w:bCs/>
        </w:rPr>
        <w:t>Proposals:</w:t>
      </w:r>
    </w:p>
    <w:p w14:paraId="55EE362F" w14:textId="753BC476" w:rsidR="006F2C8C" w:rsidRDefault="00AA47DB" w:rsidP="00334341">
      <w:pPr>
        <w:pStyle w:val="CEABullet-Level1"/>
        <w:numPr>
          <w:ilvl w:val="1"/>
          <w:numId w:val="1"/>
        </w:numPr>
        <w:rPr>
          <w:b/>
          <w:bCs/>
        </w:rPr>
      </w:pPr>
      <w:r w:rsidRPr="00AA47DB" w:rsidDel="00C55E54">
        <w:t>A</w:t>
      </w:r>
      <w:r w:rsidRPr="00AA47DB">
        <w:t>llow immaterial lines of business to be excluded from reporting, focusing only on material exposures.</w:t>
      </w:r>
    </w:p>
    <w:p w14:paraId="7D94FBF3" w14:textId="77777777" w:rsidR="00334341" w:rsidRPr="00272430" w:rsidRDefault="00334341" w:rsidP="00334341">
      <w:pPr>
        <w:pStyle w:val="CEABullet-Level1"/>
        <w:numPr>
          <w:ilvl w:val="1"/>
          <w:numId w:val="1"/>
        </w:numPr>
      </w:pPr>
      <w:r w:rsidRPr="00272430">
        <w:t>QRT S.19 should be sufficient for the required insight</w:t>
      </w:r>
    </w:p>
    <w:p w14:paraId="739FF28C" w14:textId="77777777" w:rsidR="00334341" w:rsidRDefault="00334341" w:rsidP="00334341">
      <w:pPr>
        <w:pStyle w:val="CEABullet-Level1"/>
        <w:numPr>
          <w:ilvl w:val="0"/>
          <w:numId w:val="0"/>
        </w:numPr>
        <w:ind w:left="1440"/>
        <w:rPr>
          <w:b/>
          <w:bCs/>
        </w:rPr>
      </w:pPr>
    </w:p>
    <w:p w14:paraId="05BD95F5" w14:textId="77777777" w:rsidR="006F2C8C" w:rsidRDefault="006F2C8C" w:rsidP="003D4190">
      <w:pPr>
        <w:rPr>
          <w:b/>
          <w:bCs/>
        </w:rPr>
      </w:pPr>
    </w:p>
    <w:p w14:paraId="7A843216" w14:textId="77777777" w:rsidR="00155412" w:rsidRDefault="00155412" w:rsidP="003D4190">
      <w:pPr>
        <w:rPr>
          <w:b/>
          <w:bCs/>
        </w:rPr>
      </w:pPr>
    </w:p>
    <w:p w14:paraId="7DCFD820" w14:textId="5F3F9166" w:rsidR="003D4190" w:rsidRPr="003D4190" w:rsidRDefault="003D4190" w:rsidP="003D4190">
      <w:pPr>
        <w:rPr>
          <w:b/>
        </w:rPr>
      </w:pPr>
      <w:r w:rsidRPr="003D4190">
        <w:rPr>
          <w:b/>
          <w:bCs/>
        </w:rPr>
        <w:t xml:space="preserve">S.21.02 – </w:t>
      </w:r>
      <w:r w:rsidR="0084442E" w:rsidRPr="005E61B6">
        <w:rPr>
          <w:b/>
          <w:bCs/>
        </w:rPr>
        <w:t>Underwriting risks non-life</w:t>
      </w:r>
    </w:p>
    <w:p w14:paraId="29A32D80" w14:textId="77777777" w:rsidR="003D4190" w:rsidRPr="005E61B6" w:rsidRDefault="003D4190" w:rsidP="009E458F">
      <w:pPr>
        <w:pStyle w:val="CEABullet-Level1"/>
      </w:pPr>
      <w:r w:rsidRPr="005E61B6">
        <w:t>Issues:</w:t>
      </w:r>
    </w:p>
    <w:p w14:paraId="7415544C" w14:textId="77777777" w:rsidR="003D4190" w:rsidRPr="003D4190" w:rsidRDefault="003D4190" w:rsidP="00387BAC">
      <w:pPr>
        <w:numPr>
          <w:ilvl w:val="0"/>
          <w:numId w:val="32"/>
        </w:numPr>
        <w:tabs>
          <w:tab w:val="num" w:pos="720"/>
        </w:tabs>
      </w:pPr>
      <w:r w:rsidRPr="003D4190">
        <w:t>The template requires reporting a large number of risks, including minor risks, which are often insignificant and disproportionately burdensome to report.</w:t>
      </w:r>
    </w:p>
    <w:p w14:paraId="714FEEC7" w14:textId="77777777" w:rsidR="003D4190" w:rsidRPr="003D4190" w:rsidRDefault="003D4190" w:rsidP="00387BAC">
      <w:pPr>
        <w:numPr>
          <w:ilvl w:val="0"/>
          <w:numId w:val="32"/>
        </w:numPr>
        <w:tabs>
          <w:tab w:val="num" w:pos="720"/>
        </w:tabs>
      </w:pPr>
      <w:r w:rsidRPr="003D4190">
        <w:t>The additional reporting of the two biggest single underwriting risks per line of business adds minimal value but increases complexity.</w:t>
      </w:r>
    </w:p>
    <w:p w14:paraId="22883C36" w14:textId="77777777" w:rsidR="003D4190" w:rsidRPr="003D4190" w:rsidRDefault="003D4190" w:rsidP="00387BAC">
      <w:pPr>
        <w:numPr>
          <w:ilvl w:val="0"/>
          <w:numId w:val="32"/>
        </w:numPr>
        <w:tabs>
          <w:tab w:val="num" w:pos="720"/>
        </w:tabs>
      </w:pPr>
      <w:r w:rsidRPr="003D4190">
        <w:t>The level of detail required in this template is excessive and does not align with the principle of proportionality.</w:t>
      </w:r>
    </w:p>
    <w:p w14:paraId="5F7A9717" w14:textId="77777777" w:rsidR="003D4190" w:rsidRPr="003D4190" w:rsidRDefault="003D4190" w:rsidP="00387BAC">
      <w:pPr>
        <w:numPr>
          <w:ilvl w:val="0"/>
          <w:numId w:val="32"/>
        </w:numPr>
        <w:tabs>
          <w:tab w:val="num" w:pos="720"/>
        </w:tabs>
      </w:pPr>
      <w:r w:rsidRPr="003D4190">
        <w:t>Collecting and reconciling this data across multiple lines of business is time-consuming and challenging.</w:t>
      </w:r>
    </w:p>
    <w:p w14:paraId="7D034563" w14:textId="77777777" w:rsidR="003D4190" w:rsidRPr="005E61B6" w:rsidRDefault="003D4190" w:rsidP="009E458F">
      <w:pPr>
        <w:pStyle w:val="CEABullet-Level1"/>
        <w:rPr>
          <w:b/>
        </w:rPr>
      </w:pPr>
      <w:r w:rsidRPr="005E61B6">
        <w:rPr>
          <w:b/>
        </w:rPr>
        <w:t>Proposals:</w:t>
      </w:r>
    </w:p>
    <w:p w14:paraId="0189E6B9" w14:textId="77777777" w:rsidR="003D4190" w:rsidRPr="003D4190" w:rsidRDefault="003D4190" w:rsidP="00387BAC">
      <w:pPr>
        <w:numPr>
          <w:ilvl w:val="0"/>
          <w:numId w:val="33"/>
        </w:numPr>
        <w:tabs>
          <w:tab w:val="num" w:pos="720"/>
        </w:tabs>
      </w:pPr>
      <w:r w:rsidRPr="003D4190">
        <w:t>Limit the reporting scope to the 20 largest underwriting risks based on net retention, excluding smaller or insignificant risks.</w:t>
      </w:r>
    </w:p>
    <w:p w14:paraId="2264EF25" w14:textId="77777777" w:rsidR="003D4190" w:rsidRPr="005E61B6" w:rsidRDefault="003D4190" w:rsidP="00387BAC">
      <w:pPr>
        <w:numPr>
          <w:ilvl w:val="0"/>
          <w:numId w:val="33"/>
        </w:numPr>
        <w:tabs>
          <w:tab w:val="num" w:pos="720"/>
        </w:tabs>
      </w:pPr>
      <w:r w:rsidRPr="003D4190">
        <w:t>Remove the requirement to report the two biggest underwriting risks for every line of business if they are not part of the largest 20 overall.</w:t>
      </w:r>
    </w:p>
    <w:p w14:paraId="37DF69E8" w14:textId="77777777" w:rsidR="00EC13F0" w:rsidRPr="005E61B6" w:rsidRDefault="00EC13F0" w:rsidP="00387BAC">
      <w:pPr>
        <w:pStyle w:val="CEABullet-Level1"/>
        <w:numPr>
          <w:ilvl w:val="0"/>
          <w:numId w:val="33"/>
        </w:numPr>
      </w:pPr>
      <w:r w:rsidRPr="005E61B6">
        <w:t>Limit this template to truly big risks or sums assured (e.g. 100 million €, or 10% of own funds).</w:t>
      </w:r>
    </w:p>
    <w:p w14:paraId="1537312B" w14:textId="77777777" w:rsidR="003D4190" w:rsidRPr="003D4190" w:rsidRDefault="003D4190" w:rsidP="00387BAC">
      <w:pPr>
        <w:numPr>
          <w:ilvl w:val="0"/>
          <w:numId w:val="33"/>
        </w:numPr>
        <w:tabs>
          <w:tab w:val="num" w:pos="720"/>
        </w:tabs>
      </w:pPr>
      <w:r w:rsidRPr="003D4190">
        <w:t>Introduce higher materiality thresholds to reduce the reporting burden for minor underwriting risks.</w:t>
      </w:r>
    </w:p>
    <w:p w14:paraId="0165EB9F" w14:textId="77777777" w:rsidR="003D4190" w:rsidRPr="003D4190" w:rsidRDefault="003D4190" w:rsidP="00387BAC">
      <w:pPr>
        <w:numPr>
          <w:ilvl w:val="0"/>
          <w:numId w:val="33"/>
        </w:numPr>
        <w:tabs>
          <w:tab w:val="num" w:pos="720"/>
        </w:tabs>
      </w:pPr>
      <w:r w:rsidRPr="003D4190">
        <w:t>Simplify the template by consolidating similar reporting requirements into a single, aggregated view.</w:t>
      </w:r>
    </w:p>
    <w:p w14:paraId="3E0CD5F1" w14:textId="77777777" w:rsidR="003D4190" w:rsidRDefault="003D4190" w:rsidP="00387BAC">
      <w:pPr>
        <w:numPr>
          <w:ilvl w:val="0"/>
          <w:numId w:val="33"/>
        </w:numPr>
        <w:tabs>
          <w:tab w:val="num" w:pos="720"/>
        </w:tabs>
      </w:pPr>
      <w:r w:rsidRPr="003D4190">
        <w:t>Align the level of detail with proportionality principles, focusing only on material risks that significantly impact the risk profile.</w:t>
      </w:r>
    </w:p>
    <w:p w14:paraId="74A3D597" w14:textId="77777777" w:rsidR="00870E2D" w:rsidRPr="00D80C9C" w:rsidRDefault="00870E2D" w:rsidP="00870E2D">
      <w:pPr>
        <w:pStyle w:val="CEABullet-Level1"/>
        <w:numPr>
          <w:ilvl w:val="0"/>
          <w:numId w:val="33"/>
        </w:numPr>
      </w:pPr>
      <w:r w:rsidRPr="00D80C9C">
        <w:rPr>
          <w:lang w:val="en-US"/>
        </w:rPr>
        <w:t>QRT S30 should be sufficient for the required insight</w:t>
      </w:r>
    </w:p>
    <w:p w14:paraId="016DF206" w14:textId="77777777" w:rsidR="005E61B6" w:rsidRPr="003D4190" w:rsidRDefault="005E61B6" w:rsidP="00870E2D">
      <w:pPr>
        <w:ind w:left="1068"/>
      </w:pPr>
    </w:p>
    <w:p w14:paraId="4664021A" w14:textId="77777777" w:rsidR="00B511D2" w:rsidRDefault="00B511D2" w:rsidP="004422E0">
      <w:pPr>
        <w:rPr>
          <w:b/>
          <w:bCs/>
        </w:rPr>
      </w:pPr>
    </w:p>
    <w:p w14:paraId="3C12333F" w14:textId="2FAC327E" w:rsidR="00726E22" w:rsidRPr="00726E22" w:rsidRDefault="00726E22" w:rsidP="00726E22">
      <w:pPr>
        <w:rPr>
          <w:b/>
          <w:bCs/>
        </w:rPr>
      </w:pPr>
      <w:r w:rsidRPr="00726E22">
        <w:rPr>
          <w:b/>
          <w:bCs/>
        </w:rPr>
        <w:t xml:space="preserve">Template S.21.03 – Non-Life </w:t>
      </w:r>
      <w:r w:rsidR="0033594C" w:rsidRPr="003A1E93">
        <w:rPr>
          <w:b/>
        </w:rPr>
        <w:t xml:space="preserve">distribution of </w:t>
      </w:r>
      <w:r w:rsidR="003079FE">
        <w:rPr>
          <w:b/>
        </w:rPr>
        <w:t>u</w:t>
      </w:r>
      <w:r w:rsidRPr="00726E22">
        <w:rPr>
          <w:b/>
        </w:rPr>
        <w:t xml:space="preserve">nderwriting </w:t>
      </w:r>
      <w:r w:rsidR="003079FE">
        <w:rPr>
          <w:b/>
        </w:rPr>
        <w:t>r</w:t>
      </w:r>
      <w:r w:rsidRPr="00726E22">
        <w:rPr>
          <w:b/>
        </w:rPr>
        <w:t xml:space="preserve">isks </w:t>
      </w:r>
      <w:r w:rsidR="003079FE">
        <w:rPr>
          <w:b/>
        </w:rPr>
        <w:t xml:space="preserve">- </w:t>
      </w:r>
      <w:r w:rsidRPr="00726E22">
        <w:rPr>
          <w:b/>
        </w:rPr>
        <w:t xml:space="preserve">by </w:t>
      </w:r>
      <w:r w:rsidR="00B92D7B" w:rsidRPr="003A1E93">
        <w:rPr>
          <w:b/>
          <w:bCs/>
        </w:rPr>
        <w:t>sum</w:t>
      </w:r>
      <w:r w:rsidR="00B92D7B" w:rsidRPr="003A1E93">
        <w:rPr>
          <w:b/>
        </w:rPr>
        <w:t xml:space="preserve"> insured</w:t>
      </w:r>
    </w:p>
    <w:p w14:paraId="2144D5A0" w14:textId="77777777" w:rsidR="00726E22" w:rsidRPr="00726E22" w:rsidRDefault="00726E22" w:rsidP="00726E22">
      <w:pPr>
        <w:pStyle w:val="CEABullet-Level1"/>
        <w:rPr>
          <w:b/>
          <w:bCs/>
        </w:rPr>
      </w:pPr>
      <w:r w:rsidRPr="00726E22">
        <w:rPr>
          <w:b/>
          <w:bCs/>
        </w:rPr>
        <w:t>Issues:</w:t>
      </w:r>
    </w:p>
    <w:p w14:paraId="68C41784" w14:textId="77777777" w:rsidR="00726E22" w:rsidRPr="00726E22" w:rsidRDefault="00726E22" w:rsidP="00726E22">
      <w:pPr>
        <w:pStyle w:val="CEABullet-Level1"/>
        <w:numPr>
          <w:ilvl w:val="1"/>
          <w:numId w:val="1"/>
        </w:numPr>
      </w:pPr>
      <w:r w:rsidRPr="00726E22">
        <w:t>Reporting requirements mandate inclusion of immaterial lines of business, leading to unnecessary reporting efforts for data that does not significantly impact solvency risk.</w:t>
      </w:r>
    </w:p>
    <w:p w14:paraId="45C70C3A" w14:textId="77777777" w:rsidR="00726E22" w:rsidRPr="00726E22" w:rsidRDefault="00726E22" w:rsidP="00726E22">
      <w:pPr>
        <w:pStyle w:val="CEABullet-Level1"/>
        <w:numPr>
          <w:ilvl w:val="1"/>
          <w:numId w:val="1"/>
        </w:numPr>
      </w:pPr>
      <w:r w:rsidRPr="00726E22">
        <w:t>The granularity of data by region is burdensome, particularly for smaller entities or those with limited regional exposure.</w:t>
      </w:r>
    </w:p>
    <w:p w14:paraId="7927286D" w14:textId="66F35DBD" w:rsidR="0088019B" w:rsidRPr="00726E22" w:rsidRDefault="0088019B" w:rsidP="00726E22">
      <w:pPr>
        <w:pStyle w:val="CEABullet-Level1"/>
        <w:numPr>
          <w:ilvl w:val="1"/>
          <w:numId w:val="1"/>
        </w:numPr>
      </w:pPr>
      <w:r w:rsidRPr="0088019B">
        <w:t>It takes much effort to produce this QRT whilst its form and content is not used internally by the company.</w:t>
      </w:r>
    </w:p>
    <w:p w14:paraId="56D11CBC" w14:textId="77777777" w:rsidR="00726E22" w:rsidRPr="00726E22" w:rsidRDefault="00726E22" w:rsidP="00726E22">
      <w:pPr>
        <w:pStyle w:val="CEABullet-Level1"/>
        <w:rPr>
          <w:b/>
          <w:bCs/>
        </w:rPr>
      </w:pPr>
      <w:r w:rsidRPr="00726E22">
        <w:rPr>
          <w:b/>
          <w:bCs/>
        </w:rPr>
        <w:t>Proposals:</w:t>
      </w:r>
    </w:p>
    <w:p w14:paraId="2F484D56" w14:textId="77777777" w:rsidR="00726E22" w:rsidRPr="00726E22" w:rsidRDefault="00726E22" w:rsidP="00726E22">
      <w:pPr>
        <w:pStyle w:val="CEABullet-Level1"/>
        <w:numPr>
          <w:ilvl w:val="1"/>
          <w:numId w:val="1"/>
        </w:numPr>
      </w:pPr>
      <w:r w:rsidRPr="00726E22">
        <w:t>Allow immaterial lines of business to be excluded from reporting, focusing on material regional exposures.</w:t>
      </w:r>
    </w:p>
    <w:p w14:paraId="03CBB9D5" w14:textId="77777777" w:rsidR="00726E22" w:rsidRPr="00726E22" w:rsidRDefault="00726E22" w:rsidP="00726E22">
      <w:pPr>
        <w:pStyle w:val="CEABullet-Level1"/>
        <w:numPr>
          <w:ilvl w:val="1"/>
          <w:numId w:val="1"/>
        </w:numPr>
      </w:pPr>
      <w:r w:rsidRPr="00726E22">
        <w:t>Simplify the template by reducing the granularity of regional data to key areas of risk.</w:t>
      </w:r>
    </w:p>
    <w:p w14:paraId="68687A98" w14:textId="77777777" w:rsidR="00F84CB6" w:rsidRDefault="00F84CB6" w:rsidP="00F84CB6">
      <w:pPr>
        <w:rPr>
          <w:b/>
          <w:bCs/>
        </w:rPr>
      </w:pPr>
    </w:p>
    <w:p w14:paraId="5813F7B3" w14:textId="77777777" w:rsidR="003C5D57" w:rsidRDefault="003C5D57" w:rsidP="004422E0">
      <w:pPr>
        <w:rPr>
          <w:b/>
          <w:bCs/>
        </w:rPr>
      </w:pPr>
    </w:p>
    <w:p w14:paraId="2319FC87" w14:textId="05915682" w:rsidR="004422E0" w:rsidRPr="004422E0" w:rsidRDefault="004422E0" w:rsidP="004422E0">
      <w:pPr>
        <w:rPr>
          <w:b/>
          <w:bCs/>
        </w:rPr>
      </w:pPr>
      <w:r w:rsidRPr="004422E0">
        <w:rPr>
          <w:b/>
          <w:bCs/>
        </w:rPr>
        <w:t xml:space="preserve">S.22.06 – </w:t>
      </w:r>
      <w:r w:rsidR="00280BC7" w:rsidRPr="00DE6341">
        <w:rPr>
          <w:b/>
        </w:rPr>
        <w:t xml:space="preserve">Best estimate subject to volatility adjustment by country and </w:t>
      </w:r>
      <w:r w:rsidR="00CC5655" w:rsidRPr="00DE6341" w:rsidDel="00280BC7">
        <w:rPr>
          <w:b/>
        </w:rPr>
        <w:t>c</w:t>
      </w:r>
      <w:r w:rsidRPr="00DE6341" w:rsidDel="00280BC7">
        <w:rPr>
          <w:b/>
        </w:rPr>
        <w:t>urrency</w:t>
      </w:r>
    </w:p>
    <w:p w14:paraId="36F9975E" w14:textId="77777777" w:rsidR="004422E0" w:rsidRPr="004422E0" w:rsidRDefault="004422E0" w:rsidP="00387BAC">
      <w:pPr>
        <w:numPr>
          <w:ilvl w:val="0"/>
          <w:numId w:val="28"/>
        </w:numPr>
        <w:rPr>
          <w:b/>
          <w:bCs/>
        </w:rPr>
      </w:pPr>
      <w:r w:rsidRPr="004422E0">
        <w:rPr>
          <w:b/>
          <w:bCs/>
        </w:rPr>
        <w:t>Issues:</w:t>
      </w:r>
    </w:p>
    <w:p w14:paraId="2030C033" w14:textId="77777777" w:rsidR="004422E0" w:rsidRPr="004422E0" w:rsidRDefault="004422E0" w:rsidP="00387BAC">
      <w:pPr>
        <w:numPr>
          <w:ilvl w:val="1"/>
          <w:numId w:val="28"/>
        </w:numPr>
      </w:pPr>
      <w:r w:rsidRPr="004422E0">
        <w:t>The reporting requirement applies regardless of materiality, leading to disproportionate effort for firms where currency mismatches are insignificant.</w:t>
      </w:r>
    </w:p>
    <w:p w14:paraId="094A3035" w14:textId="77777777" w:rsidR="004422E0" w:rsidRPr="004422E0" w:rsidRDefault="004422E0" w:rsidP="00387BAC">
      <w:pPr>
        <w:numPr>
          <w:ilvl w:val="1"/>
          <w:numId w:val="28"/>
        </w:numPr>
      </w:pPr>
      <w:r w:rsidRPr="004422E0">
        <w:t>In cases where 100% of the Best Estimate pertains to a single country and a single currency, this template provides little additional supervisory value.</w:t>
      </w:r>
    </w:p>
    <w:p w14:paraId="7E282642" w14:textId="77777777" w:rsidR="004422E0" w:rsidRPr="004422E0" w:rsidRDefault="004422E0" w:rsidP="00387BAC">
      <w:pPr>
        <w:numPr>
          <w:ilvl w:val="0"/>
          <w:numId w:val="28"/>
        </w:numPr>
        <w:rPr>
          <w:b/>
          <w:bCs/>
        </w:rPr>
      </w:pPr>
      <w:r w:rsidRPr="004422E0">
        <w:rPr>
          <w:b/>
          <w:bCs/>
        </w:rPr>
        <w:t>Proposals:</w:t>
      </w:r>
    </w:p>
    <w:p w14:paraId="6550BD57" w14:textId="77777777" w:rsidR="004422E0" w:rsidRPr="004422E0" w:rsidRDefault="004422E0" w:rsidP="00387BAC">
      <w:pPr>
        <w:numPr>
          <w:ilvl w:val="1"/>
          <w:numId w:val="28"/>
        </w:numPr>
      </w:pPr>
      <w:r w:rsidRPr="004422E0">
        <w:t>Introduce an exemption for reporting S.22.06 where 100% of the Best Estimate liabilities are denominated in a single currency.</w:t>
      </w:r>
    </w:p>
    <w:p w14:paraId="657CAD1C" w14:textId="77777777" w:rsidR="004422E0" w:rsidRPr="004422E0" w:rsidRDefault="004422E0" w:rsidP="00387BAC">
      <w:pPr>
        <w:numPr>
          <w:ilvl w:val="1"/>
          <w:numId w:val="28"/>
        </w:numPr>
      </w:pPr>
      <w:r w:rsidRPr="004422E0">
        <w:t>Apply materiality thresholds to exclude undertakings with minimal currency exposure from reporting this template.</w:t>
      </w:r>
    </w:p>
    <w:p w14:paraId="7B0A0AB2" w14:textId="77777777" w:rsidR="004422E0" w:rsidRPr="004422E0" w:rsidRDefault="004422E0" w:rsidP="00387BAC">
      <w:pPr>
        <w:numPr>
          <w:ilvl w:val="1"/>
          <w:numId w:val="28"/>
        </w:numPr>
      </w:pPr>
      <w:r w:rsidRPr="004422E0">
        <w:t>Streamline the template by focusing on material currencies only, avoiding reporting for minor or insignificant currencies.</w:t>
      </w:r>
    </w:p>
    <w:p w14:paraId="2EA67D8E" w14:textId="77777777" w:rsidR="000D1EC1" w:rsidRDefault="000D1EC1" w:rsidP="000D1EC1">
      <w:pPr>
        <w:rPr>
          <w:b/>
          <w:bCs/>
        </w:rPr>
      </w:pPr>
    </w:p>
    <w:p w14:paraId="58CB8D05" w14:textId="77777777" w:rsidR="00421B08" w:rsidRPr="00421B08" w:rsidRDefault="00421B08" w:rsidP="00421B08">
      <w:pPr>
        <w:rPr>
          <w:b/>
          <w:bCs/>
        </w:rPr>
      </w:pPr>
      <w:r w:rsidRPr="00421B08">
        <w:rPr>
          <w:b/>
          <w:bCs/>
        </w:rPr>
        <w:t>Template S.23 – Own Funds</w:t>
      </w:r>
    </w:p>
    <w:p w14:paraId="13EDD50E" w14:textId="77777777" w:rsidR="00421B08" w:rsidRPr="00421B08" w:rsidRDefault="00421B08" w:rsidP="00421B08">
      <w:pPr>
        <w:pStyle w:val="CEABullet-Level1"/>
        <w:rPr>
          <w:b/>
          <w:bCs/>
        </w:rPr>
      </w:pPr>
      <w:r w:rsidRPr="00421B08">
        <w:rPr>
          <w:b/>
          <w:bCs/>
        </w:rPr>
        <w:t>Issues:</w:t>
      </w:r>
    </w:p>
    <w:p w14:paraId="26134491" w14:textId="77777777" w:rsidR="00421B08" w:rsidRPr="00421B08" w:rsidRDefault="00421B08" w:rsidP="00421B08">
      <w:pPr>
        <w:pStyle w:val="CEABullet-Level1"/>
        <w:numPr>
          <w:ilvl w:val="1"/>
          <w:numId w:val="1"/>
        </w:numPr>
      </w:pPr>
      <w:r w:rsidRPr="00421B08">
        <w:t>Reporting requirements are overly detailed, leading to significant administrative burdens.</w:t>
      </w:r>
    </w:p>
    <w:p w14:paraId="4C3A3748" w14:textId="77777777" w:rsidR="00421B08" w:rsidRPr="00421B08" w:rsidRDefault="00421B08" w:rsidP="00421B08">
      <w:pPr>
        <w:pStyle w:val="CEABullet-Level1"/>
        <w:numPr>
          <w:ilvl w:val="1"/>
          <w:numId w:val="1"/>
        </w:numPr>
      </w:pPr>
      <w:r w:rsidRPr="00421B08">
        <w:t>Redundancies exist between S.23 templates and other QRTs (e.g., annual movements and tiering information).</w:t>
      </w:r>
    </w:p>
    <w:p w14:paraId="70679F5E" w14:textId="77777777" w:rsidR="00421B08" w:rsidRPr="00421B08" w:rsidRDefault="00421B08" w:rsidP="00421B08">
      <w:pPr>
        <w:pStyle w:val="CEABullet-Level1"/>
        <w:numPr>
          <w:ilvl w:val="1"/>
          <w:numId w:val="1"/>
        </w:numPr>
      </w:pPr>
      <w:r w:rsidRPr="00421B08">
        <w:t>Certain templates, such as S.23.03.01.03 and S.23.03.01.06, duplicate data that can already be collected from previous reporting periods.</w:t>
      </w:r>
    </w:p>
    <w:p w14:paraId="5259CDA9" w14:textId="77777777" w:rsidR="00421B08" w:rsidRPr="00421B08" w:rsidRDefault="00421B08" w:rsidP="00421B08">
      <w:pPr>
        <w:pStyle w:val="CEABullet-Level1"/>
        <w:numPr>
          <w:ilvl w:val="1"/>
          <w:numId w:val="1"/>
        </w:numPr>
      </w:pPr>
      <w:r w:rsidRPr="00421B08">
        <w:t>Templates are required to be updated even when no material changes have occurred, resulting in unnecessary work.</w:t>
      </w:r>
    </w:p>
    <w:p w14:paraId="5A33B79E" w14:textId="77777777" w:rsidR="00421B08" w:rsidRPr="00421B08" w:rsidRDefault="00421B08" w:rsidP="00421B08">
      <w:pPr>
        <w:pStyle w:val="CEABullet-Level1"/>
        <w:rPr>
          <w:b/>
          <w:bCs/>
        </w:rPr>
      </w:pPr>
      <w:r w:rsidRPr="00421B08">
        <w:rPr>
          <w:b/>
          <w:bCs/>
        </w:rPr>
        <w:t>Proposals:</w:t>
      </w:r>
    </w:p>
    <w:p w14:paraId="4DDE254E" w14:textId="77777777" w:rsidR="00792818" w:rsidRPr="00792818" w:rsidRDefault="00792818" w:rsidP="00792818">
      <w:pPr>
        <w:pStyle w:val="Odsekzoznamu"/>
        <w:numPr>
          <w:ilvl w:val="1"/>
          <w:numId w:val="1"/>
        </w:numPr>
        <w:jc w:val="left"/>
        <w:rPr>
          <w:rFonts w:cs="Frutiger LT Std 45 Light"/>
          <w:color w:val="000000"/>
          <w:szCs w:val="20"/>
        </w:rPr>
      </w:pPr>
      <w:r>
        <w:t xml:space="preserve">Delete templates S.23.02 – S.23.04, </w:t>
      </w:r>
      <w:r>
        <w:rPr>
          <w:rFonts w:cs="Frutiger LT Std 45 Light"/>
          <w:color w:val="000000"/>
          <w:szCs w:val="20"/>
        </w:rPr>
        <w:t>f</w:t>
      </w:r>
      <w:r w:rsidRPr="00792818">
        <w:rPr>
          <w:rFonts w:cs="Frutiger LT Std 45 Light"/>
          <w:color w:val="000000"/>
          <w:szCs w:val="20"/>
        </w:rPr>
        <w:t>or example, template S.23.03.01.03 and S.23.03.01.06 can be collected from reporting from previous periods.</w:t>
      </w:r>
    </w:p>
    <w:p w14:paraId="6CB0549D" w14:textId="111A7CCE" w:rsidR="00421B08" w:rsidRPr="00421B08" w:rsidRDefault="00421B08" w:rsidP="00421B08">
      <w:pPr>
        <w:pStyle w:val="CEABullet-Level1"/>
        <w:numPr>
          <w:ilvl w:val="1"/>
          <w:numId w:val="1"/>
        </w:numPr>
      </w:pPr>
      <w:r w:rsidRPr="00421B08">
        <w:t>Alternatively, retain these templates but require updates only if there are material changes compared to the previous reporting period.</w:t>
      </w:r>
    </w:p>
    <w:p w14:paraId="43AB09D0" w14:textId="77777777" w:rsidR="00421B08" w:rsidRPr="00421B08" w:rsidRDefault="00421B08" w:rsidP="00421B08">
      <w:pPr>
        <w:pStyle w:val="CEABullet-Level1"/>
        <w:numPr>
          <w:ilvl w:val="1"/>
          <w:numId w:val="1"/>
        </w:numPr>
      </w:pPr>
      <w:r w:rsidRPr="00421B08">
        <w:t>Streamline the template by consolidating sections that overlap with other QRTs.</w:t>
      </w:r>
    </w:p>
    <w:p w14:paraId="13A4574B" w14:textId="77777777" w:rsidR="00421B08" w:rsidRPr="00421B08" w:rsidRDefault="00421B08" w:rsidP="00421B08">
      <w:pPr>
        <w:pStyle w:val="CEABullet-Level1"/>
        <w:numPr>
          <w:ilvl w:val="1"/>
          <w:numId w:val="1"/>
        </w:numPr>
      </w:pPr>
      <w:r w:rsidRPr="00421B08">
        <w:t>Introduce materiality thresholds to focus on significant changes or items that impact solvency.</w:t>
      </w:r>
    </w:p>
    <w:p w14:paraId="22B58CD9" w14:textId="77777777" w:rsidR="00421B08" w:rsidRPr="00421B08" w:rsidRDefault="00421B08" w:rsidP="00421B08">
      <w:pPr>
        <w:pStyle w:val="CEABullet-Level1"/>
        <w:numPr>
          <w:ilvl w:val="1"/>
          <w:numId w:val="1"/>
        </w:numPr>
      </w:pPr>
      <w:r w:rsidRPr="00421B08">
        <w:t>Simplify the reporting of tiering and annual movements by aligning these requirements with other existing templates.</w:t>
      </w:r>
    </w:p>
    <w:p w14:paraId="2265F4D5" w14:textId="77777777" w:rsidR="00232F80" w:rsidRDefault="00232F80" w:rsidP="000D1EC1">
      <w:pPr>
        <w:rPr>
          <w:b/>
          <w:bCs/>
        </w:rPr>
      </w:pPr>
    </w:p>
    <w:p w14:paraId="1215B88E" w14:textId="77777777" w:rsidR="00C457AA" w:rsidRDefault="00C457AA" w:rsidP="000D1EC1">
      <w:pPr>
        <w:rPr>
          <w:b/>
          <w:bCs/>
        </w:rPr>
      </w:pPr>
    </w:p>
    <w:p w14:paraId="751C3FAE" w14:textId="77777777" w:rsidR="00C457AA" w:rsidRDefault="00C457AA" w:rsidP="000D1EC1">
      <w:pPr>
        <w:rPr>
          <w:b/>
          <w:bCs/>
        </w:rPr>
      </w:pPr>
    </w:p>
    <w:p w14:paraId="3C55CAEF" w14:textId="26CA3CA2" w:rsidR="00EA392C" w:rsidRPr="00EA392C" w:rsidRDefault="00EA392C" w:rsidP="00EA392C">
      <w:pPr>
        <w:rPr>
          <w:b/>
          <w:bCs/>
        </w:rPr>
      </w:pPr>
      <w:r w:rsidRPr="00EA392C">
        <w:rPr>
          <w:b/>
          <w:bCs/>
        </w:rPr>
        <w:t xml:space="preserve">Template S.24 – </w:t>
      </w:r>
      <w:r w:rsidR="0024549C" w:rsidRPr="008B478D">
        <w:rPr>
          <w:b/>
        </w:rPr>
        <w:t xml:space="preserve">Participations </w:t>
      </w:r>
      <w:r w:rsidR="0024549C" w:rsidRPr="008B478D">
        <w:rPr>
          <w:b/>
          <w:bCs/>
        </w:rPr>
        <w:t>held</w:t>
      </w:r>
    </w:p>
    <w:p w14:paraId="416C37A3" w14:textId="37D260D0" w:rsidR="00306AEC" w:rsidRPr="008B478D" w:rsidRDefault="00306AEC" w:rsidP="00EA392C">
      <w:pPr>
        <w:pStyle w:val="CEABullet-Level1"/>
        <w:rPr>
          <w:b/>
          <w:bCs/>
        </w:rPr>
      </w:pPr>
      <w:r w:rsidRPr="008B478D">
        <w:rPr>
          <w:b/>
          <w:bCs/>
        </w:rPr>
        <w:t>Issues:</w:t>
      </w:r>
    </w:p>
    <w:p w14:paraId="37F59CC6" w14:textId="77777777" w:rsidR="00306AEC" w:rsidRPr="008B478D" w:rsidRDefault="00306AEC" w:rsidP="00306AEC">
      <w:pPr>
        <w:pStyle w:val="CEABullet-Level2"/>
      </w:pPr>
    </w:p>
    <w:p w14:paraId="425712F5" w14:textId="7341E146" w:rsidR="00EA392C" w:rsidRPr="00EA392C" w:rsidRDefault="00EA392C" w:rsidP="00EA392C">
      <w:pPr>
        <w:pStyle w:val="CEABullet-Level1"/>
        <w:rPr>
          <w:b/>
          <w:bCs/>
        </w:rPr>
      </w:pPr>
      <w:r w:rsidRPr="00EA392C">
        <w:rPr>
          <w:b/>
          <w:bCs/>
        </w:rPr>
        <w:t>Proposals:</w:t>
      </w:r>
    </w:p>
    <w:p w14:paraId="217F1C92" w14:textId="738FDA68" w:rsidR="00EA392C" w:rsidRPr="00EA392C" w:rsidRDefault="007518CD" w:rsidP="00EA392C">
      <w:pPr>
        <w:pStyle w:val="CEABullet-Level1"/>
        <w:numPr>
          <w:ilvl w:val="1"/>
          <w:numId w:val="1"/>
        </w:numPr>
      </w:pPr>
      <w:r>
        <w:t xml:space="preserve">Solo templates: </w:t>
      </w:r>
      <w:r w:rsidR="00EA392C" w:rsidRPr="00EA392C">
        <w:t>Delete the template entirely, as it provides limited supervisory value and duplicates information available in other QRTs.</w:t>
      </w:r>
    </w:p>
    <w:p w14:paraId="7C2B6B1E" w14:textId="77777777" w:rsidR="006C602D" w:rsidRDefault="006C602D" w:rsidP="000D1EC1">
      <w:pPr>
        <w:rPr>
          <w:b/>
          <w:bCs/>
        </w:rPr>
      </w:pPr>
    </w:p>
    <w:p w14:paraId="53FC6153" w14:textId="5388217B" w:rsidR="000D1EC1" w:rsidRPr="000D1EC1" w:rsidRDefault="000D1EC1" w:rsidP="000D1EC1">
      <w:pPr>
        <w:rPr>
          <w:b/>
          <w:bCs/>
        </w:rPr>
      </w:pPr>
      <w:r w:rsidRPr="000D1EC1">
        <w:rPr>
          <w:b/>
          <w:bCs/>
        </w:rPr>
        <w:t>S.25.05 – Solvency Capital Requirement</w:t>
      </w:r>
      <w:r w:rsidR="00CC3708">
        <w:rPr>
          <w:b/>
          <w:bCs/>
        </w:rPr>
        <w:t xml:space="preserve"> </w:t>
      </w:r>
      <w:r w:rsidR="00CC3708" w:rsidRPr="00CC3708">
        <w:rPr>
          <w:b/>
          <w:bCs/>
        </w:rPr>
        <w:t>- for undertakings using an internal model (partial or full)</w:t>
      </w:r>
    </w:p>
    <w:p w14:paraId="142E8CEA" w14:textId="77777777" w:rsidR="000D1EC1" w:rsidRPr="000D1EC1" w:rsidRDefault="000D1EC1" w:rsidP="00387BAC">
      <w:pPr>
        <w:numPr>
          <w:ilvl w:val="0"/>
          <w:numId w:val="18"/>
        </w:numPr>
      </w:pPr>
      <w:r w:rsidRPr="000D1EC1">
        <w:rPr>
          <w:b/>
          <w:bCs/>
        </w:rPr>
        <w:t>Issues</w:t>
      </w:r>
      <w:r w:rsidRPr="000D1EC1">
        <w:t>:</w:t>
      </w:r>
    </w:p>
    <w:p w14:paraId="58E0A5BA" w14:textId="2E8CE02D" w:rsidR="000D1EC1" w:rsidRPr="000D1EC1" w:rsidRDefault="000D1EC1" w:rsidP="00387BAC">
      <w:pPr>
        <w:numPr>
          <w:ilvl w:val="1"/>
          <w:numId w:val="18"/>
        </w:numPr>
      </w:pPr>
      <w:r w:rsidRPr="00385BD1">
        <w:rPr>
          <w:b/>
        </w:rPr>
        <w:t>Lack of consistency between SCR figures in this template, the annual report, and ORSA.</w:t>
      </w:r>
      <w:r w:rsidR="00385BD1">
        <w:t xml:space="preserve"> - </w:t>
      </w:r>
      <w:r w:rsidR="00385BD1" w:rsidRPr="00385BD1">
        <w:t xml:space="preserve">The updated QRT </w:t>
      </w:r>
      <w:r w:rsidR="00385BD1" w:rsidRPr="00B75640">
        <w:rPr>
          <w:b/>
          <w:bCs/>
        </w:rPr>
        <w:t>S.25.05.22</w:t>
      </w:r>
      <w:r w:rsidR="00385BD1" w:rsidRPr="00385BD1">
        <w:t xml:space="preserve"> "Solvency II Capital Requirement" used in the group SFCR produces insufficiently diversified risk capital figures at the individual risk category level for groups with both internal and standard model entities. This does not align with the SCR values presented in the annual report and the ORSA. </w:t>
      </w:r>
    </w:p>
    <w:p w14:paraId="3D42BDAB" w14:textId="77777777" w:rsidR="000D1EC1" w:rsidRPr="000D1EC1" w:rsidRDefault="000D1EC1" w:rsidP="00387BAC">
      <w:pPr>
        <w:numPr>
          <w:ilvl w:val="0"/>
          <w:numId w:val="18"/>
        </w:numPr>
      </w:pPr>
      <w:r w:rsidRPr="000D1EC1">
        <w:rPr>
          <w:b/>
          <w:bCs/>
        </w:rPr>
        <w:t>Proposals</w:t>
      </w:r>
      <w:r w:rsidRPr="000D1EC1">
        <w:t>:</w:t>
      </w:r>
    </w:p>
    <w:p w14:paraId="5B1A7B6C" w14:textId="77777777" w:rsidR="00B75640" w:rsidRDefault="00B75640" w:rsidP="005E4571">
      <w:pPr>
        <w:pStyle w:val="Odsekzoznamu"/>
        <w:numPr>
          <w:ilvl w:val="1"/>
          <w:numId w:val="18"/>
        </w:numPr>
        <w:jc w:val="left"/>
      </w:pPr>
      <w:r>
        <w:t>S.25.05.22:</w:t>
      </w:r>
    </w:p>
    <w:p w14:paraId="79DCB7C7" w14:textId="4803F6A9" w:rsidR="005E4571" w:rsidRDefault="000D1EC1" w:rsidP="00B75640">
      <w:pPr>
        <w:pStyle w:val="Odsekzoznamu"/>
        <w:numPr>
          <w:ilvl w:val="2"/>
          <w:numId w:val="18"/>
        </w:numPr>
        <w:jc w:val="left"/>
      </w:pPr>
      <w:r w:rsidRPr="000D1EC1">
        <w:t xml:space="preserve">Update template </w:t>
      </w:r>
      <w:r w:rsidR="00272CE3" w:rsidRPr="00385BD1">
        <w:t xml:space="preserve">S.25.05.22 </w:t>
      </w:r>
      <w:r w:rsidR="005E4571" w:rsidRPr="005E4571">
        <w:t>to ensure that the SCR reporting in the group SFCR is consistent with its use in the annual report and the ORSA, and allows for further consistent granularity (in both the RSR and the ORSA).</w:t>
      </w:r>
    </w:p>
    <w:p w14:paraId="017620E3" w14:textId="77777777" w:rsidR="008831F8" w:rsidRPr="008831F8" w:rsidRDefault="00B75640" w:rsidP="008831F8">
      <w:pPr>
        <w:pStyle w:val="Odsekzoznamu"/>
        <w:numPr>
          <w:ilvl w:val="2"/>
          <w:numId w:val="18"/>
        </w:numPr>
        <w:jc w:val="left"/>
      </w:pPr>
      <w:r>
        <w:t>R</w:t>
      </w:r>
      <w:r w:rsidRPr="00B75640">
        <w:t xml:space="preserve">emove the templates S25.05.22/.21 and </w:t>
      </w:r>
      <w:r>
        <w:t xml:space="preserve">request </w:t>
      </w:r>
      <w:r w:rsidRPr="00B75640">
        <w:t>the information on USP and simplifications towards the S.25.05.04/.01</w:t>
      </w:r>
      <w:r w:rsidR="008831F8">
        <w:t xml:space="preserve">, given that </w:t>
      </w:r>
      <w:r w:rsidR="008831F8" w:rsidRPr="008831F8">
        <w:t>most of the information reported in the S.25.05.22/.21 is already part of the S. 25.05.04.01</w:t>
      </w:r>
    </w:p>
    <w:p w14:paraId="0D032C38" w14:textId="23834FE5" w:rsidR="000D1EC1" w:rsidRPr="000D1EC1" w:rsidRDefault="000D1EC1" w:rsidP="00387BAC">
      <w:pPr>
        <w:numPr>
          <w:ilvl w:val="1"/>
          <w:numId w:val="18"/>
        </w:numPr>
      </w:pPr>
      <w:r w:rsidRPr="000D1EC1">
        <w:t xml:space="preserve">Remove duplicated fields already covered in </w:t>
      </w:r>
      <w:r w:rsidRPr="000D1EC1">
        <w:rPr>
          <w:b/>
          <w:bCs/>
        </w:rPr>
        <w:t>S.25.04.01</w:t>
      </w:r>
      <w:r w:rsidRPr="000D1EC1">
        <w:t>.</w:t>
      </w:r>
    </w:p>
    <w:p w14:paraId="36681636" w14:textId="77777777" w:rsidR="00C73471" w:rsidRDefault="00C73471" w:rsidP="00F918BF"/>
    <w:p w14:paraId="0361669B" w14:textId="77777777" w:rsidR="00E23703" w:rsidRDefault="00E23703" w:rsidP="00F918BF"/>
    <w:p w14:paraId="2CA707CC" w14:textId="543C7F5C" w:rsidR="00921416" w:rsidRPr="00921416" w:rsidRDefault="00921416" w:rsidP="00921416">
      <w:pPr>
        <w:rPr>
          <w:b/>
          <w:bCs/>
        </w:rPr>
      </w:pPr>
      <w:r w:rsidRPr="00921416">
        <w:rPr>
          <w:b/>
          <w:bCs/>
        </w:rPr>
        <w:t xml:space="preserve">Template S.27 – SCR </w:t>
      </w:r>
      <w:r w:rsidR="00304D8E">
        <w:rPr>
          <w:b/>
          <w:bCs/>
        </w:rPr>
        <w:t xml:space="preserve">- </w:t>
      </w:r>
      <w:r w:rsidR="00304D8E" w:rsidRPr="00304D8E">
        <w:rPr>
          <w:b/>
          <w:bCs/>
        </w:rPr>
        <w:t>Non-life and Health</w:t>
      </w:r>
      <w:r w:rsidRPr="00921416">
        <w:rPr>
          <w:b/>
          <w:bCs/>
        </w:rPr>
        <w:t xml:space="preserve"> Catastrophe Risk</w:t>
      </w:r>
    </w:p>
    <w:p w14:paraId="1EE2DF6C" w14:textId="77777777" w:rsidR="00921416" w:rsidRPr="00921416" w:rsidRDefault="00921416" w:rsidP="00921416">
      <w:pPr>
        <w:pStyle w:val="CEABullet-Level1"/>
        <w:rPr>
          <w:b/>
          <w:bCs/>
        </w:rPr>
      </w:pPr>
      <w:r w:rsidRPr="00921416">
        <w:rPr>
          <w:b/>
          <w:bCs/>
        </w:rPr>
        <w:t>Issues:</w:t>
      </w:r>
    </w:p>
    <w:p w14:paraId="00A20290" w14:textId="77777777" w:rsidR="00921416" w:rsidRPr="00921416" w:rsidRDefault="00921416" w:rsidP="00921416">
      <w:pPr>
        <w:pStyle w:val="CEABullet-Level1"/>
        <w:numPr>
          <w:ilvl w:val="1"/>
          <w:numId w:val="1"/>
        </w:numPr>
      </w:pPr>
      <w:r w:rsidRPr="00921416">
        <w:t>The template is excessively detailed, requiring granular information that is not always relevant for all undertakings.</w:t>
      </w:r>
    </w:p>
    <w:p w14:paraId="6248F6FF" w14:textId="77777777" w:rsidR="00921416" w:rsidRPr="00921416" w:rsidRDefault="00921416" w:rsidP="00921416">
      <w:pPr>
        <w:pStyle w:val="CEABullet-Level1"/>
        <w:numPr>
          <w:ilvl w:val="1"/>
          <w:numId w:val="1"/>
        </w:numPr>
      </w:pPr>
      <w:r w:rsidRPr="00921416">
        <w:t>Reporting is mandatory even when catastrophe risks are immaterial, leading to unnecessary workload.</w:t>
      </w:r>
    </w:p>
    <w:p w14:paraId="243886AE" w14:textId="77777777" w:rsidR="00921416" w:rsidRPr="00921416" w:rsidRDefault="00921416" w:rsidP="00921416">
      <w:pPr>
        <w:pStyle w:val="CEABullet-Level1"/>
        <w:numPr>
          <w:ilvl w:val="1"/>
          <w:numId w:val="1"/>
        </w:numPr>
      </w:pPr>
      <w:r w:rsidRPr="00921416">
        <w:t>The current design lacks proportionality, imposing the same requirements on entities with minimal exposure to catastrophe risks.</w:t>
      </w:r>
    </w:p>
    <w:p w14:paraId="279391B0" w14:textId="77777777" w:rsidR="00921416" w:rsidRPr="00921416" w:rsidRDefault="00921416" w:rsidP="00921416">
      <w:pPr>
        <w:pStyle w:val="CEABullet-Level1"/>
        <w:numPr>
          <w:ilvl w:val="1"/>
          <w:numId w:val="1"/>
        </w:numPr>
      </w:pPr>
      <w:r w:rsidRPr="00921416">
        <w:t>Information could be requested ad hoc when needed, rather than as part of routine submissions.</w:t>
      </w:r>
    </w:p>
    <w:p w14:paraId="6348C38F" w14:textId="77777777" w:rsidR="00921416" w:rsidRPr="00921416" w:rsidRDefault="00921416" w:rsidP="00921416">
      <w:pPr>
        <w:pStyle w:val="CEABullet-Level1"/>
        <w:rPr>
          <w:b/>
          <w:bCs/>
        </w:rPr>
      </w:pPr>
      <w:r w:rsidRPr="00921416">
        <w:rPr>
          <w:b/>
          <w:bCs/>
        </w:rPr>
        <w:t>Proposals:</w:t>
      </w:r>
    </w:p>
    <w:p w14:paraId="79832EBF" w14:textId="77777777" w:rsidR="00921416" w:rsidRPr="00921416" w:rsidRDefault="00921416" w:rsidP="00921416">
      <w:pPr>
        <w:pStyle w:val="CEABullet-Level1"/>
        <w:numPr>
          <w:ilvl w:val="1"/>
          <w:numId w:val="1"/>
        </w:numPr>
      </w:pPr>
      <w:r w:rsidRPr="00921416">
        <w:t>Reduce the level of detail required, focusing on aggregated data rather than granular inputs.</w:t>
      </w:r>
    </w:p>
    <w:p w14:paraId="38A54182" w14:textId="77777777" w:rsidR="00921416" w:rsidRPr="00921416" w:rsidRDefault="00921416" w:rsidP="00921416">
      <w:pPr>
        <w:pStyle w:val="CEABullet-Level1"/>
        <w:numPr>
          <w:ilvl w:val="1"/>
          <w:numId w:val="1"/>
        </w:numPr>
      </w:pPr>
      <w:r w:rsidRPr="00921416">
        <w:t>Limit mandatory reporting to entities with significant catastrophe risk exposure, introducing materiality thresholds to exclude immaterial risks.</w:t>
      </w:r>
    </w:p>
    <w:p w14:paraId="36CEF643" w14:textId="77777777" w:rsidR="00921416" w:rsidRPr="00921416" w:rsidRDefault="00921416" w:rsidP="00921416">
      <w:pPr>
        <w:pStyle w:val="CEABullet-Level1"/>
        <w:numPr>
          <w:ilvl w:val="1"/>
          <w:numId w:val="1"/>
        </w:numPr>
      </w:pPr>
      <w:r w:rsidRPr="00921416">
        <w:t>Require submission of this template only when specific supervisory concerns or significant changes to catastrophe risk profiles arise.</w:t>
      </w:r>
    </w:p>
    <w:p w14:paraId="2FF32209" w14:textId="77777777" w:rsidR="009D6F72" w:rsidRDefault="009D6F72" w:rsidP="00BF3DD5">
      <w:pPr>
        <w:rPr>
          <w:b/>
          <w:bCs/>
        </w:rPr>
      </w:pPr>
    </w:p>
    <w:p w14:paraId="0F9193EC" w14:textId="77777777" w:rsidR="009D6F72" w:rsidRDefault="009D6F72" w:rsidP="00BF3DD5">
      <w:pPr>
        <w:rPr>
          <w:b/>
          <w:bCs/>
        </w:rPr>
      </w:pPr>
    </w:p>
    <w:p w14:paraId="7E8E1B22" w14:textId="35C419E0" w:rsidR="00BF3DD5" w:rsidRPr="00BF3DD5" w:rsidRDefault="00BF3DD5" w:rsidP="00BF3DD5">
      <w:pPr>
        <w:rPr>
          <w:b/>
          <w:bCs/>
        </w:rPr>
      </w:pPr>
      <w:r w:rsidRPr="00BF3DD5">
        <w:rPr>
          <w:b/>
          <w:bCs/>
        </w:rPr>
        <w:t xml:space="preserve">S.29.01–S.29.04 – </w:t>
      </w:r>
      <w:r w:rsidRPr="00BF3DD5" w:rsidDel="00292808">
        <w:rPr>
          <w:b/>
          <w:bCs/>
        </w:rPr>
        <w:t>Variation Analysis</w:t>
      </w:r>
    </w:p>
    <w:p w14:paraId="2CB3DB7E" w14:textId="77777777" w:rsidR="00BF3DD5" w:rsidRPr="00BF3DD5" w:rsidRDefault="00BF3DD5" w:rsidP="00387BAC">
      <w:pPr>
        <w:numPr>
          <w:ilvl w:val="0"/>
          <w:numId w:val="19"/>
        </w:numPr>
      </w:pPr>
      <w:r w:rsidRPr="00BF3DD5">
        <w:rPr>
          <w:b/>
          <w:bCs/>
        </w:rPr>
        <w:t>Issues</w:t>
      </w:r>
      <w:r w:rsidRPr="00BF3DD5">
        <w:t>:</w:t>
      </w:r>
    </w:p>
    <w:p w14:paraId="611A0673" w14:textId="56873E6B" w:rsidR="00BF4F58" w:rsidRPr="00BF4F58" w:rsidRDefault="00BF3DD5" w:rsidP="00BF4F58">
      <w:pPr>
        <w:pStyle w:val="Odsekzoznamu"/>
        <w:numPr>
          <w:ilvl w:val="1"/>
          <w:numId w:val="19"/>
        </w:numPr>
        <w:jc w:val="left"/>
      </w:pPr>
      <w:r w:rsidRPr="00BF3DD5">
        <w:t>Extremely burdensome to produce due to additional calculations required solely for these templates.</w:t>
      </w:r>
      <w:r w:rsidR="00BF4F58" w:rsidRPr="00BF4F58">
        <w:t xml:space="preserve"> </w:t>
      </w:r>
      <w:r w:rsidR="00BF4F58">
        <w:t>For some undertakings it c</w:t>
      </w:r>
      <w:r w:rsidR="00BF4F58" w:rsidRPr="00BF4F58">
        <w:t>an take half of the total time of making the reports</w:t>
      </w:r>
      <w:r w:rsidR="00BF4F58">
        <w:t>.</w:t>
      </w:r>
    </w:p>
    <w:p w14:paraId="5283CE0C" w14:textId="7EECB24E" w:rsidR="00410F29" w:rsidRPr="00BF3DD5" w:rsidRDefault="00410F29" w:rsidP="00CE10AB">
      <w:pPr>
        <w:numPr>
          <w:ilvl w:val="1"/>
          <w:numId w:val="19"/>
        </w:numPr>
      </w:pPr>
      <w:r>
        <w:t xml:space="preserve">S.29.04: </w:t>
      </w:r>
      <w:r w:rsidRPr="00410F29">
        <w:t>actual figures for premiums, expenses, and claims are requested, split between in-force business and new business. While this breakdown is available for premiums, it is either extremely burdensome or sometimes not feasible for expenses and claims. In such cases, the split between in-force and new business is done using approximations based on the projection software.</w:t>
      </w:r>
    </w:p>
    <w:p w14:paraId="6FB858B5" w14:textId="77777777" w:rsidR="00BF3DD5" w:rsidRPr="00BF3DD5" w:rsidRDefault="00BF3DD5" w:rsidP="00387BAC">
      <w:pPr>
        <w:numPr>
          <w:ilvl w:val="0"/>
          <w:numId w:val="19"/>
        </w:numPr>
      </w:pPr>
      <w:r w:rsidRPr="00BF3DD5">
        <w:rPr>
          <w:b/>
          <w:bCs/>
        </w:rPr>
        <w:t>Proposals</w:t>
      </w:r>
      <w:r w:rsidRPr="00BF3DD5">
        <w:t>:</w:t>
      </w:r>
    </w:p>
    <w:p w14:paraId="2536B477" w14:textId="318B2230" w:rsidR="002D3761" w:rsidRPr="002D3761" w:rsidRDefault="00BF3DD5" w:rsidP="002D3761">
      <w:pPr>
        <w:pStyle w:val="Odsekzoznamu"/>
        <w:numPr>
          <w:ilvl w:val="1"/>
          <w:numId w:val="19"/>
        </w:numPr>
        <w:jc w:val="left"/>
      </w:pPr>
      <w:r w:rsidRPr="00BF3DD5">
        <w:t>Delete these templates</w:t>
      </w:r>
      <w:r w:rsidR="002D3761">
        <w:t>, in particular S.29.0</w:t>
      </w:r>
      <w:r w:rsidR="00160F9D">
        <w:t>1-S.29.03 – as t</w:t>
      </w:r>
      <w:r w:rsidR="002D3761" w:rsidRPr="002D3761">
        <w:t>he data provided do not have the desired informative value.</w:t>
      </w:r>
    </w:p>
    <w:p w14:paraId="0E301483" w14:textId="7300DCEA" w:rsidR="00BF3DD5" w:rsidRPr="00BF3DD5" w:rsidRDefault="002D3761" w:rsidP="00387BAC">
      <w:pPr>
        <w:numPr>
          <w:ilvl w:val="1"/>
          <w:numId w:val="19"/>
        </w:numPr>
      </w:pPr>
      <w:r>
        <w:t>Alternatively,</w:t>
      </w:r>
      <w:r w:rsidR="00BF3DD5" w:rsidRPr="00BF3DD5">
        <w:t xml:space="preserve"> significantly simplify data requirements.</w:t>
      </w:r>
    </w:p>
    <w:p w14:paraId="583FEAF5" w14:textId="445E19E7" w:rsidR="00D47CF9" w:rsidRPr="00D47CF9" w:rsidRDefault="00D47CF9" w:rsidP="00D47CF9">
      <w:pPr>
        <w:pStyle w:val="Odsekzoznamu"/>
        <w:numPr>
          <w:ilvl w:val="1"/>
          <w:numId w:val="19"/>
        </w:numPr>
        <w:jc w:val="left"/>
      </w:pPr>
      <w:r>
        <w:t xml:space="preserve">S.29.02: </w:t>
      </w:r>
      <w:r w:rsidRPr="00D47CF9">
        <w:t xml:space="preserve">This information can be collected from S.09.01 and therefore this template should be deleted.  </w:t>
      </w:r>
    </w:p>
    <w:p w14:paraId="1D59B5AD" w14:textId="7AD06FE6" w:rsidR="003A1D0A" w:rsidRPr="003A1D0A" w:rsidRDefault="00410F29" w:rsidP="003A1D0A">
      <w:pPr>
        <w:pStyle w:val="Odsekzoznamu"/>
        <w:numPr>
          <w:ilvl w:val="1"/>
          <w:numId w:val="19"/>
        </w:numPr>
        <w:jc w:val="left"/>
      </w:pPr>
      <w:r>
        <w:t xml:space="preserve">S.29.04: </w:t>
      </w:r>
      <w:r w:rsidR="00286AEA" w:rsidRPr="00286AEA">
        <w:t>replace the split of premiums, expenses, and claims in QRT</w:t>
      </w:r>
      <w:r w:rsidR="003A1D0A" w:rsidRPr="003A1D0A">
        <w:t xml:space="preserve"> between in-force and new business with the corresponding total values for the entire portfolio, without a split.</w:t>
      </w:r>
    </w:p>
    <w:p w14:paraId="222529B1" w14:textId="77777777" w:rsidR="00603517" w:rsidRDefault="00603517" w:rsidP="00F918BF"/>
    <w:p w14:paraId="5668623A" w14:textId="76DADBFD" w:rsidR="00F86A3D" w:rsidRPr="00F86A3D" w:rsidRDefault="00F86A3D" w:rsidP="00F86A3D">
      <w:pPr>
        <w:rPr>
          <w:b/>
          <w:bCs/>
        </w:rPr>
      </w:pPr>
      <w:r w:rsidRPr="00F86A3D">
        <w:rPr>
          <w:b/>
          <w:bCs/>
        </w:rPr>
        <w:t xml:space="preserve">S.30 – </w:t>
      </w:r>
      <w:r w:rsidR="007C5056" w:rsidRPr="007C5056">
        <w:rPr>
          <w:b/>
          <w:bCs/>
        </w:rPr>
        <w:t>Facultative covers for non-life and life business basic data</w:t>
      </w:r>
    </w:p>
    <w:p w14:paraId="7D8D2701" w14:textId="77777777" w:rsidR="00F86A3D" w:rsidRPr="00F86A3D" w:rsidRDefault="00F86A3D" w:rsidP="00387BAC">
      <w:pPr>
        <w:numPr>
          <w:ilvl w:val="0"/>
          <w:numId w:val="20"/>
        </w:numPr>
      </w:pPr>
      <w:r w:rsidRPr="00F86A3D">
        <w:rPr>
          <w:b/>
          <w:bCs/>
        </w:rPr>
        <w:t>Issues</w:t>
      </w:r>
      <w:r w:rsidRPr="00F86A3D">
        <w:t>:</w:t>
      </w:r>
    </w:p>
    <w:p w14:paraId="2B1E4CB2" w14:textId="77777777" w:rsidR="00F86A3D" w:rsidRPr="00F86A3D" w:rsidRDefault="00F86A3D" w:rsidP="00387BAC">
      <w:pPr>
        <w:numPr>
          <w:ilvl w:val="1"/>
          <w:numId w:val="20"/>
        </w:numPr>
      </w:pPr>
      <w:r w:rsidRPr="00F86A3D">
        <w:t>Excessive detail required for each reinsurance contract.</w:t>
      </w:r>
    </w:p>
    <w:p w14:paraId="447121E7" w14:textId="77777777" w:rsidR="00F86A3D" w:rsidRPr="00F86A3D" w:rsidRDefault="00F86A3D" w:rsidP="00387BAC">
      <w:pPr>
        <w:numPr>
          <w:ilvl w:val="0"/>
          <w:numId w:val="20"/>
        </w:numPr>
      </w:pPr>
      <w:r w:rsidRPr="00F86A3D">
        <w:rPr>
          <w:b/>
          <w:bCs/>
        </w:rPr>
        <w:t>Proposals</w:t>
      </w:r>
      <w:r w:rsidRPr="00F86A3D">
        <w:t>:</w:t>
      </w:r>
    </w:p>
    <w:p w14:paraId="6D72D68B" w14:textId="23599AC8" w:rsidR="004602DB" w:rsidRDefault="004602DB" w:rsidP="00CE10AB">
      <w:pPr>
        <w:numPr>
          <w:ilvl w:val="1"/>
          <w:numId w:val="20"/>
        </w:numPr>
      </w:pPr>
      <w:r>
        <w:t xml:space="preserve">Propose </w:t>
      </w:r>
      <w:r w:rsidR="00F277C0">
        <w:t xml:space="preserve">a </w:t>
      </w:r>
      <w:r w:rsidRPr="00C23CCB">
        <w:t>modification of the threshold for this group of templates, proposing a global threshold at company level</w:t>
      </w:r>
      <w:r>
        <w:t xml:space="preserve"> (</w:t>
      </w:r>
      <w:r w:rsidRPr="00C23CCB">
        <w:t>not separated by life and non-life activity</w:t>
      </w:r>
      <w:r>
        <w:t>).</w:t>
      </w:r>
    </w:p>
    <w:p w14:paraId="03859DEE" w14:textId="77777777" w:rsidR="00CA6445" w:rsidRDefault="00CA6445" w:rsidP="00CA6445">
      <w:pPr>
        <w:pStyle w:val="CEABullet-Level1"/>
        <w:numPr>
          <w:ilvl w:val="1"/>
          <w:numId w:val="20"/>
        </w:numPr>
      </w:pPr>
      <w:r>
        <w:t>Limit these templates to truly big risks or ceded sums (e.g. 100 million €, or 10% of own funds).</w:t>
      </w:r>
    </w:p>
    <w:p w14:paraId="6A2D9208" w14:textId="4B82A14D" w:rsidR="00F86A3D" w:rsidRPr="00F86A3D" w:rsidRDefault="00F86A3D" w:rsidP="00387BAC">
      <w:pPr>
        <w:numPr>
          <w:ilvl w:val="1"/>
          <w:numId w:val="20"/>
        </w:numPr>
      </w:pPr>
      <w:r w:rsidRPr="00F86A3D">
        <w:t>Merge similar templates (</w:t>
      </w:r>
      <w:r w:rsidRPr="00F86A3D">
        <w:rPr>
          <w:b/>
          <w:bCs/>
        </w:rPr>
        <w:t>S.30.01–S.30.04</w:t>
      </w:r>
      <w:r w:rsidRPr="00F86A3D">
        <w:t>) to avoid duplication.</w:t>
      </w:r>
    </w:p>
    <w:p w14:paraId="07E99C5F" w14:textId="77777777" w:rsidR="000C206F" w:rsidRDefault="000C206F" w:rsidP="000C206F">
      <w:pPr>
        <w:pStyle w:val="CEABullet-Level1"/>
        <w:numPr>
          <w:ilvl w:val="1"/>
          <w:numId w:val="20"/>
        </w:numPr>
      </w:pPr>
      <w:r>
        <w:t>Templates may be simplified, as they require too much detail of every single contract, with new fields implemented from last year. It would be needed a fixed structure to be able to automate the process.</w:t>
      </w:r>
    </w:p>
    <w:p w14:paraId="768557E4" w14:textId="77777777" w:rsidR="0027610F" w:rsidRPr="0027610F" w:rsidRDefault="0027610F" w:rsidP="0027610F">
      <w:pPr>
        <w:pStyle w:val="Odsekzoznamu"/>
        <w:numPr>
          <w:ilvl w:val="1"/>
          <w:numId w:val="20"/>
        </w:numPr>
        <w:jc w:val="left"/>
        <w:rPr>
          <w:rFonts w:cs="Frutiger LT Std 45 Light"/>
          <w:color w:val="000000"/>
          <w:szCs w:val="20"/>
        </w:rPr>
      </w:pPr>
      <w:r w:rsidRPr="0027610F">
        <w:rPr>
          <w:rFonts w:cs="Frutiger LT Std 45 Light"/>
          <w:color w:val="000000"/>
          <w:szCs w:val="20"/>
        </w:rPr>
        <w:t>S.30.01.01.02 - Facultative covers life (overall 20 largest facultative reinsurance exposures plus the largest two in each line of business if not covered by the largest 20) should be replaced with the previous version of the template (i.e. S.30.01.01.02 - Facultative covers life (10 most important risks in terms of reinsured exposure)). Analogously in other templates of this type.</w:t>
      </w:r>
    </w:p>
    <w:p w14:paraId="68AB5B1A" w14:textId="77777777" w:rsidR="00E324E4" w:rsidRDefault="00E324E4" w:rsidP="0027610F">
      <w:pPr>
        <w:pStyle w:val="CEABullet-Level1"/>
        <w:numPr>
          <w:ilvl w:val="0"/>
          <w:numId w:val="0"/>
        </w:numPr>
        <w:ind w:left="1440"/>
      </w:pPr>
    </w:p>
    <w:p w14:paraId="773EB1A9" w14:textId="77777777" w:rsidR="00C07D14" w:rsidRDefault="00C07D14" w:rsidP="00E324E4">
      <w:pPr>
        <w:rPr>
          <w:b/>
          <w:bCs/>
        </w:rPr>
      </w:pPr>
    </w:p>
    <w:p w14:paraId="6C1D517C" w14:textId="4A127551" w:rsidR="004842D4" w:rsidRPr="004842D4" w:rsidRDefault="004842D4" w:rsidP="004842D4">
      <w:pPr>
        <w:rPr>
          <w:b/>
          <w:bCs/>
        </w:rPr>
      </w:pPr>
      <w:r w:rsidRPr="004842D4">
        <w:rPr>
          <w:b/>
          <w:bCs/>
        </w:rPr>
        <w:t xml:space="preserve">Template S.31 – </w:t>
      </w:r>
      <w:r w:rsidR="00474045" w:rsidRPr="00474045">
        <w:rPr>
          <w:b/>
          <w:bCs/>
        </w:rPr>
        <w:t>Share of reinsurers</w:t>
      </w:r>
      <w:r w:rsidR="00474045">
        <w:rPr>
          <w:b/>
          <w:bCs/>
        </w:rPr>
        <w:t xml:space="preserve"> </w:t>
      </w:r>
      <w:r w:rsidR="00425AD0" w:rsidRPr="00425AD0">
        <w:rPr>
          <w:b/>
          <w:bCs/>
        </w:rPr>
        <w:t>(including Finite Reinsurance and SPV's)</w:t>
      </w:r>
    </w:p>
    <w:p w14:paraId="3BCBE8A0" w14:textId="77777777" w:rsidR="004842D4" w:rsidRPr="004842D4" w:rsidRDefault="004842D4" w:rsidP="004842D4">
      <w:pPr>
        <w:pStyle w:val="CEABullet-Level1"/>
        <w:rPr>
          <w:b/>
          <w:bCs/>
        </w:rPr>
      </w:pPr>
      <w:r w:rsidRPr="004842D4">
        <w:rPr>
          <w:b/>
          <w:bCs/>
        </w:rPr>
        <w:t>Issues:</w:t>
      </w:r>
    </w:p>
    <w:p w14:paraId="18A80F3B" w14:textId="77777777" w:rsidR="004842D4" w:rsidRPr="004842D4" w:rsidRDefault="004842D4" w:rsidP="004842D4">
      <w:pPr>
        <w:pStyle w:val="CEABullet-Level1"/>
        <w:numPr>
          <w:ilvl w:val="1"/>
          <w:numId w:val="1"/>
        </w:numPr>
      </w:pPr>
      <w:r w:rsidRPr="004842D4">
        <w:t>The current reporting requirements do not include thresholds, leading to excessive reporting burdens for small or low-impact reinsurance exposures.</w:t>
      </w:r>
    </w:p>
    <w:p w14:paraId="025CFA64" w14:textId="77777777" w:rsidR="004842D4" w:rsidRPr="004842D4" w:rsidRDefault="004842D4" w:rsidP="004842D4">
      <w:pPr>
        <w:pStyle w:val="CEABullet-Level1"/>
        <w:rPr>
          <w:b/>
          <w:bCs/>
        </w:rPr>
      </w:pPr>
      <w:r w:rsidRPr="004842D4">
        <w:rPr>
          <w:b/>
          <w:bCs/>
        </w:rPr>
        <w:t>Proposals:</w:t>
      </w:r>
    </w:p>
    <w:p w14:paraId="43FE8B65" w14:textId="77777777" w:rsidR="004842D4" w:rsidRDefault="004842D4" w:rsidP="004842D4">
      <w:pPr>
        <w:pStyle w:val="CEABullet-Level1"/>
        <w:numPr>
          <w:ilvl w:val="1"/>
          <w:numId w:val="1"/>
        </w:numPr>
      </w:pPr>
      <w:r w:rsidRPr="004842D4">
        <w:t>Introduce sufficiently high optional thresholds, similar to those in S.30, to reduce the reporting burden and focus on material reinsurance exposures.</w:t>
      </w:r>
    </w:p>
    <w:p w14:paraId="232A4D59" w14:textId="77777777" w:rsidR="00AE2914" w:rsidRDefault="00AE2914" w:rsidP="00AE2914">
      <w:pPr>
        <w:pStyle w:val="CEABullet-Level1"/>
        <w:numPr>
          <w:ilvl w:val="0"/>
          <w:numId w:val="0"/>
        </w:numPr>
      </w:pPr>
    </w:p>
    <w:p w14:paraId="7963C32A" w14:textId="4CBB3737" w:rsidR="00AE2914" w:rsidRPr="00AE2914" w:rsidRDefault="00AE2914" w:rsidP="00FA2492">
      <w:pPr>
        <w:pStyle w:val="CEABullet-Level1"/>
        <w:numPr>
          <w:ilvl w:val="0"/>
          <w:numId w:val="0"/>
        </w:numPr>
        <w:rPr>
          <w:b/>
          <w:bCs/>
        </w:rPr>
      </w:pPr>
      <w:r w:rsidRPr="00AE2914">
        <w:rPr>
          <w:b/>
          <w:bCs/>
        </w:rPr>
        <w:t xml:space="preserve">Templates </w:t>
      </w:r>
      <w:r w:rsidR="00FA2492">
        <w:rPr>
          <w:b/>
          <w:bCs/>
        </w:rPr>
        <w:t xml:space="preserve">S.32.01 </w:t>
      </w:r>
      <w:r w:rsidR="00FA2492" w:rsidRPr="00FA2492">
        <w:rPr>
          <w:b/>
          <w:bCs/>
        </w:rPr>
        <w:t>Undertakings in the Scope of the Group</w:t>
      </w:r>
      <w:r w:rsidR="00FA2492">
        <w:rPr>
          <w:b/>
          <w:bCs/>
        </w:rPr>
        <w:t xml:space="preserve">, </w:t>
      </w:r>
      <w:r w:rsidRPr="00AE2914">
        <w:rPr>
          <w:b/>
          <w:bCs/>
        </w:rPr>
        <w:t xml:space="preserve">S.33.01 </w:t>
      </w:r>
      <w:r w:rsidR="00456263" w:rsidRPr="00922210">
        <w:rPr>
          <w:b/>
        </w:rPr>
        <w:t xml:space="preserve">Insurance and Reinsurance individual </w:t>
      </w:r>
      <w:r w:rsidR="00456263" w:rsidRPr="00922210">
        <w:rPr>
          <w:b/>
          <w:bCs/>
        </w:rPr>
        <w:t>requirements</w:t>
      </w:r>
      <w:r w:rsidR="00D3646B">
        <w:rPr>
          <w:b/>
          <w:bCs/>
        </w:rPr>
        <w:t xml:space="preserve"> </w:t>
      </w:r>
      <w:r w:rsidRPr="00AE2914">
        <w:rPr>
          <w:b/>
          <w:bCs/>
        </w:rPr>
        <w:t xml:space="preserve">and S.34.01 </w:t>
      </w:r>
      <w:r w:rsidR="003800E6" w:rsidRPr="00922210">
        <w:rPr>
          <w:b/>
        </w:rPr>
        <w:t xml:space="preserve">Other regulated and non-regulated financial undertakings including insurance holding companies and mixed financial holding company individual </w:t>
      </w:r>
      <w:r w:rsidR="003800E6" w:rsidRPr="00922210">
        <w:rPr>
          <w:b/>
          <w:bCs/>
        </w:rPr>
        <w:t>requirements</w:t>
      </w:r>
    </w:p>
    <w:p w14:paraId="03432C6E" w14:textId="77777777" w:rsidR="00AE2914" w:rsidRPr="00AE2914" w:rsidRDefault="00AE2914" w:rsidP="00AE2914">
      <w:pPr>
        <w:pStyle w:val="CEABullet-Level1"/>
        <w:rPr>
          <w:b/>
          <w:bCs/>
        </w:rPr>
      </w:pPr>
      <w:r w:rsidRPr="00AE2914">
        <w:rPr>
          <w:b/>
          <w:bCs/>
        </w:rPr>
        <w:t>Proposals:</w:t>
      </w:r>
    </w:p>
    <w:p w14:paraId="430C2957" w14:textId="77777777" w:rsidR="00AE2914" w:rsidRDefault="00AE2914" w:rsidP="00AE2914">
      <w:pPr>
        <w:pStyle w:val="CEABullet-Level1"/>
        <w:numPr>
          <w:ilvl w:val="1"/>
          <w:numId w:val="1"/>
        </w:numPr>
      </w:pPr>
      <w:r w:rsidRPr="00AE2914">
        <w:t>Delete these templates, as the corresponding information is already retrieved at group level via S.32.</w:t>
      </w:r>
    </w:p>
    <w:p w14:paraId="4AB79FA4" w14:textId="4EFF23C2" w:rsidR="005E06C0" w:rsidRPr="00AE2914" w:rsidRDefault="005E06C0" w:rsidP="005E06C0">
      <w:pPr>
        <w:pStyle w:val="CEABullet-Level1"/>
        <w:numPr>
          <w:ilvl w:val="1"/>
          <w:numId w:val="1"/>
        </w:numPr>
      </w:pPr>
      <w:r w:rsidRPr="005E06C0">
        <w:t xml:space="preserve">Alternatively, explore the option of consolidating </w:t>
      </w:r>
      <w:r w:rsidRPr="005E06C0">
        <w:rPr>
          <w:b/>
          <w:bCs/>
        </w:rPr>
        <w:t>S.32.01</w:t>
      </w:r>
      <w:r w:rsidRPr="005E06C0">
        <w:t xml:space="preserve">, </w:t>
      </w:r>
      <w:r w:rsidRPr="005E06C0">
        <w:rPr>
          <w:b/>
          <w:bCs/>
        </w:rPr>
        <w:t>S.33.01</w:t>
      </w:r>
      <w:r w:rsidRPr="005E06C0">
        <w:t xml:space="preserve">, and </w:t>
      </w:r>
      <w:r w:rsidRPr="005E06C0">
        <w:rPr>
          <w:b/>
          <w:bCs/>
        </w:rPr>
        <w:t>S.34.01</w:t>
      </w:r>
      <w:r w:rsidRPr="005E06C0">
        <w:t xml:space="preserve"> into a single template to streamline reporting and avoid duplication.</w:t>
      </w:r>
    </w:p>
    <w:p w14:paraId="38950515" w14:textId="77777777" w:rsidR="00AE2914" w:rsidRDefault="00AE2914" w:rsidP="00AE2914">
      <w:pPr>
        <w:pStyle w:val="CEABullet-Level1"/>
        <w:numPr>
          <w:ilvl w:val="0"/>
          <w:numId w:val="0"/>
        </w:numPr>
        <w:ind w:left="360"/>
      </w:pPr>
    </w:p>
    <w:p w14:paraId="25AC1B2B" w14:textId="77777777" w:rsidR="00771610" w:rsidRPr="004842D4" w:rsidRDefault="00771610" w:rsidP="00771610">
      <w:pPr>
        <w:pStyle w:val="CEABullet-Level1"/>
        <w:numPr>
          <w:ilvl w:val="0"/>
          <w:numId w:val="0"/>
        </w:numPr>
        <w:ind w:left="720" w:hanging="360"/>
      </w:pPr>
    </w:p>
    <w:p w14:paraId="44EA89EE" w14:textId="2954B6F0" w:rsidR="00E324E4" w:rsidRPr="00E324E4" w:rsidRDefault="00E324E4" w:rsidP="00E324E4">
      <w:pPr>
        <w:rPr>
          <w:b/>
          <w:bCs/>
        </w:rPr>
      </w:pPr>
      <w:r w:rsidRPr="00E324E4">
        <w:rPr>
          <w:b/>
          <w:bCs/>
        </w:rPr>
        <w:t>S.36 – Intragroup Transactions</w:t>
      </w:r>
    </w:p>
    <w:p w14:paraId="74BA4ADF" w14:textId="77777777" w:rsidR="00E324E4" w:rsidRPr="00E324E4" w:rsidRDefault="00E324E4" w:rsidP="00387BAC">
      <w:pPr>
        <w:numPr>
          <w:ilvl w:val="0"/>
          <w:numId w:val="21"/>
        </w:numPr>
      </w:pPr>
      <w:r w:rsidRPr="00E324E4">
        <w:rPr>
          <w:b/>
          <w:bCs/>
        </w:rPr>
        <w:t>Issues</w:t>
      </w:r>
      <w:r w:rsidRPr="00E324E4">
        <w:t>:</w:t>
      </w:r>
    </w:p>
    <w:p w14:paraId="1A90E7D4" w14:textId="2C2D5F05" w:rsidR="000C7DD2" w:rsidRPr="000C7DD2" w:rsidRDefault="000C7DD2" w:rsidP="000C7DD2">
      <w:pPr>
        <w:pStyle w:val="Odsekzoznamu"/>
        <w:numPr>
          <w:ilvl w:val="1"/>
          <w:numId w:val="1"/>
        </w:numPr>
        <w:jc w:val="left"/>
        <w:rPr>
          <w:rFonts w:cs="Frutiger LT Std 45 Light"/>
          <w:color w:val="000000"/>
          <w:szCs w:val="20"/>
        </w:rPr>
      </w:pPr>
      <w:r>
        <w:rPr>
          <w:rFonts w:cs="Frutiger LT Std 45 Light"/>
          <w:color w:val="000000"/>
          <w:szCs w:val="20"/>
        </w:rPr>
        <w:t>The QRT</w:t>
      </w:r>
      <w:r w:rsidRPr="000C7DD2">
        <w:rPr>
          <w:rFonts w:cs="Frutiger LT Std 45 Light"/>
          <w:color w:val="000000"/>
          <w:szCs w:val="20"/>
        </w:rPr>
        <w:t xml:space="preserve"> requires an excessive workload non proportional to the intended risk to be mitigated. The oversight of the consolidated view after the elimination of internal transactions combined with the S</w:t>
      </w:r>
      <w:r>
        <w:rPr>
          <w:rFonts w:cs="Frutiger LT Std 45 Light"/>
          <w:color w:val="000000"/>
          <w:szCs w:val="20"/>
        </w:rPr>
        <w:t>II</w:t>
      </w:r>
      <w:r w:rsidRPr="000C7DD2">
        <w:rPr>
          <w:rFonts w:cs="Frutiger LT Std 45 Light"/>
          <w:color w:val="000000"/>
          <w:szCs w:val="20"/>
        </w:rPr>
        <w:t xml:space="preserve"> requirements around availability and fungibility of capital are sufficient to monitor the risks that insurance players are representing for the market.</w:t>
      </w:r>
    </w:p>
    <w:p w14:paraId="2EFF0BF1" w14:textId="7D2EB79A" w:rsidR="00476B76" w:rsidRPr="00476B76" w:rsidRDefault="00476B76" w:rsidP="00476B76">
      <w:pPr>
        <w:pStyle w:val="CEABullet-Level1"/>
        <w:numPr>
          <w:ilvl w:val="1"/>
          <w:numId w:val="1"/>
        </w:numPr>
      </w:pPr>
      <w:r w:rsidRPr="00476B76">
        <w:t xml:space="preserve">Overlapping information is reported across multiple templates (e.g., </w:t>
      </w:r>
      <w:r w:rsidRPr="00476B76">
        <w:rPr>
          <w:b/>
          <w:bCs/>
        </w:rPr>
        <w:t>S.36.01</w:t>
      </w:r>
      <w:r w:rsidRPr="00476B76">
        <w:t xml:space="preserve"> and </w:t>
      </w:r>
      <w:r w:rsidRPr="00476B76">
        <w:rPr>
          <w:b/>
          <w:bCs/>
        </w:rPr>
        <w:t>S.36.05</w:t>
      </w:r>
      <w:r w:rsidRPr="00476B76">
        <w:t>), leading to duplication of effort.</w:t>
      </w:r>
    </w:p>
    <w:p w14:paraId="0979ED67" w14:textId="4EB4305E" w:rsidR="00476B76" w:rsidRPr="00476B76" w:rsidRDefault="00476B76" w:rsidP="00476B76">
      <w:pPr>
        <w:pStyle w:val="CEABullet-Level1"/>
        <w:numPr>
          <w:ilvl w:val="1"/>
          <w:numId w:val="1"/>
        </w:numPr>
      </w:pPr>
      <w:r w:rsidRPr="00476B76">
        <w:t>Unclear instructions for these templates increase the workload for preparers.</w:t>
      </w:r>
    </w:p>
    <w:p w14:paraId="25953B85" w14:textId="35C8DB1C" w:rsidR="00476B76" w:rsidRPr="00476B76" w:rsidRDefault="00476B76" w:rsidP="00476B76">
      <w:pPr>
        <w:pStyle w:val="CEABullet-Level1"/>
        <w:numPr>
          <w:ilvl w:val="1"/>
          <w:numId w:val="1"/>
        </w:numPr>
      </w:pPr>
      <w:r w:rsidRPr="00476B76">
        <w:t>Current reporting requirements include all transactions during the reporting period, even those that have matured or expired, adding unnecessary complexity and effort.</w:t>
      </w:r>
    </w:p>
    <w:p w14:paraId="69193282" w14:textId="0A789857" w:rsidR="00476B76" w:rsidRPr="00476B76" w:rsidRDefault="00476B76" w:rsidP="00476B76">
      <w:pPr>
        <w:pStyle w:val="CEABullet-Level1"/>
        <w:numPr>
          <w:ilvl w:val="1"/>
          <w:numId w:val="1"/>
        </w:numPr>
      </w:pPr>
      <w:r w:rsidRPr="00476B76">
        <w:t>The absence of clear materiality thresholds results in reporting of insignificant intragroup transactions, further increasing the burden.</w:t>
      </w:r>
    </w:p>
    <w:p w14:paraId="06B3933A" w14:textId="0B55EC3A" w:rsidR="00476B76" w:rsidRPr="00476B76" w:rsidRDefault="00476B76" w:rsidP="00476B76">
      <w:pPr>
        <w:pStyle w:val="CEABullet-Level1"/>
        <w:numPr>
          <w:ilvl w:val="1"/>
          <w:numId w:val="1"/>
        </w:numPr>
      </w:pPr>
      <w:r w:rsidRPr="00476B76">
        <w:t>Reporting is required per transaction rather than on an aggregated basis, leading to excessive complexity and granularity.</w:t>
      </w:r>
    </w:p>
    <w:p w14:paraId="3223BE0F" w14:textId="785E8E32" w:rsidR="00476B76" w:rsidRPr="00476B76" w:rsidRDefault="00476B76" w:rsidP="00476B76">
      <w:pPr>
        <w:pStyle w:val="CEABullet-Level1"/>
        <w:numPr>
          <w:ilvl w:val="1"/>
          <w:numId w:val="1"/>
        </w:numPr>
      </w:pPr>
      <w:r w:rsidRPr="00476B76">
        <w:t>Changes introduced in taxonomy 2.8.0, such as new columns for indirect transactions and single economic operations, have added to the complexity of reporting without proportional benefits.</w:t>
      </w:r>
    </w:p>
    <w:p w14:paraId="0FF1FAA3" w14:textId="36E02F47" w:rsidR="00476B76" w:rsidRDefault="00476B76" w:rsidP="00476B76">
      <w:pPr>
        <w:pStyle w:val="CEABullet-Level1"/>
        <w:numPr>
          <w:ilvl w:val="1"/>
          <w:numId w:val="1"/>
        </w:numPr>
      </w:pPr>
      <w:r w:rsidRPr="00476B76">
        <w:t>Specific requirements, such as reporting the initial value of an intragroup position rather than focusing on movements during the year, are unnecessarily burdensome and do not add supervisory value.</w:t>
      </w:r>
    </w:p>
    <w:p w14:paraId="72D1463B" w14:textId="4FA53513" w:rsidR="00E324E4" w:rsidRPr="00E324E4" w:rsidRDefault="00E324E4" w:rsidP="00476B76">
      <w:pPr>
        <w:pStyle w:val="CEABullet-Level1"/>
      </w:pPr>
      <w:r w:rsidRPr="00E324E4">
        <w:rPr>
          <w:b/>
          <w:bCs/>
        </w:rPr>
        <w:t>Proposals</w:t>
      </w:r>
      <w:r w:rsidRPr="00E324E4">
        <w:t>:</w:t>
      </w:r>
    </w:p>
    <w:p w14:paraId="52454371" w14:textId="77777777" w:rsidR="000F39E0" w:rsidRDefault="00C844F5" w:rsidP="000F39E0">
      <w:pPr>
        <w:pStyle w:val="CEABullet-Level1"/>
        <w:numPr>
          <w:ilvl w:val="1"/>
          <w:numId w:val="1"/>
        </w:numPr>
      </w:pPr>
      <w:r w:rsidRPr="00C844F5">
        <w:t>Deletion or at least reduction of QRTs:S.36.01 (group); S.36.02 (group); S.36.05 (group); S.36.06 (group); S.36.07 (group).</w:t>
      </w:r>
      <w:r w:rsidR="000F39E0" w:rsidRPr="000F39E0">
        <w:t xml:space="preserve"> </w:t>
      </w:r>
    </w:p>
    <w:p w14:paraId="2753BE20" w14:textId="5C8FAC4B" w:rsidR="000F39E0" w:rsidRPr="00CC159C" w:rsidRDefault="000F39E0" w:rsidP="000F39E0">
      <w:pPr>
        <w:pStyle w:val="CEABullet-Level1"/>
        <w:numPr>
          <w:ilvl w:val="1"/>
          <w:numId w:val="1"/>
        </w:numPr>
      </w:pPr>
      <w:r>
        <w:t>Or at least l</w:t>
      </w:r>
      <w:r w:rsidRPr="00CC159C">
        <w:t>imit reporting to transactions that are outstanding at the reporting date.</w:t>
      </w:r>
    </w:p>
    <w:p w14:paraId="3243E7DB" w14:textId="00C9FF41" w:rsidR="00F0100C" w:rsidRPr="00CC159C" w:rsidRDefault="00F0100C" w:rsidP="00F0100C">
      <w:pPr>
        <w:pStyle w:val="CEABullet-Level1"/>
        <w:numPr>
          <w:ilvl w:val="1"/>
          <w:numId w:val="1"/>
        </w:numPr>
      </w:pPr>
      <w:r>
        <w:t>Alternatively, s</w:t>
      </w:r>
      <w:r w:rsidRPr="00CC159C">
        <w:t>implify oversight by relying on the consolidated view after eliminating internal transactions, which is sufficient when combined with Solvency II requirements for capital availability and fungibility.</w:t>
      </w:r>
    </w:p>
    <w:p w14:paraId="0A4D4AD3" w14:textId="77777777" w:rsidR="00D5110C" w:rsidRPr="00D5110C" w:rsidRDefault="00D5110C" w:rsidP="00D5110C">
      <w:pPr>
        <w:pStyle w:val="Odsekzoznamu"/>
        <w:numPr>
          <w:ilvl w:val="1"/>
          <w:numId w:val="1"/>
        </w:numPr>
        <w:jc w:val="left"/>
        <w:rPr>
          <w:rFonts w:cs="Frutiger LT Std 45 Light"/>
          <w:color w:val="000000"/>
          <w:szCs w:val="20"/>
        </w:rPr>
      </w:pPr>
      <w:r w:rsidRPr="00D5110C">
        <w:rPr>
          <w:rFonts w:cs="Frutiger LT Std 45 Light"/>
          <w:color w:val="000000"/>
          <w:szCs w:val="20"/>
        </w:rPr>
        <w:t>Group supervisor sets threshold for a significant and therefore reportable intra group transaction. A strict quantitative limit should be imposed rather than a combination of a threshold and requiring a certain number of IGTs to be reported in any case, even when all of them fall below the limit.</w:t>
      </w:r>
    </w:p>
    <w:p w14:paraId="5EDD898F" w14:textId="77777777" w:rsidR="00CC159C" w:rsidRPr="00CC159C" w:rsidRDefault="00CC159C" w:rsidP="00CC159C">
      <w:pPr>
        <w:pStyle w:val="CEABullet-Level1"/>
        <w:numPr>
          <w:ilvl w:val="1"/>
          <w:numId w:val="1"/>
        </w:numPr>
      </w:pPr>
      <w:r w:rsidRPr="00CC159C">
        <w:t>Allow the group supervisor to set thresholds based on proportionality and materiality to determine significant transactions.</w:t>
      </w:r>
    </w:p>
    <w:p w14:paraId="4FD6A0B1" w14:textId="77777777" w:rsidR="00CC159C" w:rsidRPr="00CC159C" w:rsidRDefault="00CC159C" w:rsidP="00CC159C">
      <w:pPr>
        <w:pStyle w:val="CEABullet-Level1"/>
        <w:numPr>
          <w:ilvl w:val="1"/>
          <w:numId w:val="1"/>
        </w:numPr>
      </w:pPr>
      <w:r w:rsidRPr="00CC159C">
        <w:t>Consolidate templates into fewer reports, focusing on outstanding transactions at the reporting date to reduce duplication and workload.</w:t>
      </w:r>
    </w:p>
    <w:p w14:paraId="52BCC856" w14:textId="77777777" w:rsidR="00CC159C" w:rsidRPr="00CC159C" w:rsidRDefault="00CC159C" w:rsidP="00CC159C">
      <w:pPr>
        <w:pStyle w:val="CEABullet-Level1"/>
        <w:numPr>
          <w:ilvl w:val="1"/>
          <w:numId w:val="1"/>
        </w:numPr>
      </w:pPr>
      <w:r w:rsidRPr="00CC159C">
        <w:t>Allow information to be delivered at an aggregated level, focusing on key balance sheet items such as the beginning and end-of-period balances, investments, divestments, and revaluations, rather than transaction-level reporting.</w:t>
      </w:r>
    </w:p>
    <w:p w14:paraId="2F5E7C29" w14:textId="77777777" w:rsidR="00CC159C" w:rsidRPr="00CC159C" w:rsidRDefault="00CC159C" w:rsidP="00CC159C">
      <w:pPr>
        <w:pStyle w:val="CEABullet-Level1"/>
        <w:numPr>
          <w:ilvl w:val="1"/>
          <w:numId w:val="1"/>
        </w:numPr>
      </w:pPr>
      <w:r w:rsidRPr="00CC159C">
        <w:t>Permit positions that can change from asset to liability to always be reported as an asset, even when the position is negative, to account for potential shifts during the year.</w:t>
      </w:r>
    </w:p>
    <w:p w14:paraId="56CE0078" w14:textId="77777777" w:rsidR="00CC159C" w:rsidRPr="00CC159C" w:rsidRDefault="00CC159C" w:rsidP="00CC159C">
      <w:pPr>
        <w:pStyle w:val="CEABullet-Level1"/>
        <w:numPr>
          <w:ilvl w:val="1"/>
          <w:numId w:val="1"/>
        </w:numPr>
      </w:pPr>
      <w:r w:rsidRPr="00CC159C">
        <w:t>Remove columns introduced in taxonomy 2.8.0 for indirect transactions and single economic operations to reduce unnecessary complexity.</w:t>
      </w:r>
    </w:p>
    <w:p w14:paraId="40E7CF9B" w14:textId="77777777" w:rsidR="00CC159C" w:rsidRDefault="00CC159C" w:rsidP="00CC159C">
      <w:pPr>
        <w:pStyle w:val="CEABullet-Level1"/>
        <w:numPr>
          <w:ilvl w:val="1"/>
          <w:numId w:val="1"/>
        </w:numPr>
      </w:pPr>
      <w:r w:rsidRPr="00CC159C">
        <w:t xml:space="preserve">Enrich S.36.02 with the ability to report multiple </w:t>
      </w:r>
      <w:proofErr w:type="spellStart"/>
      <w:r w:rsidRPr="00CC159C">
        <w:t>notionals</w:t>
      </w:r>
      <w:proofErr w:type="spellEnd"/>
      <w:r w:rsidRPr="00CC159C">
        <w:t xml:space="preserve"> in a single line to simplify reporting, and require consistent reporting of currency received/delivered across all multi-currency instruments, not just currency swaps.</w:t>
      </w:r>
    </w:p>
    <w:p w14:paraId="5531FF8B" w14:textId="229CECEE" w:rsidR="00975756" w:rsidRDefault="00975756" w:rsidP="00975756">
      <w:pPr>
        <w:pStyle w:val="CEABullet-Level1"/>
        <w:numPr>
          <w:ilvl w:val="1"/>
          <w:numId w:val="1"/>
        </w:numPr>
      </w:pPr>
      <w:r w:rsidRPr="00975756">
        <w:t xml:space="preserve">Remove </w:t>
      </w:r>
      <w:r w:rsidRPr="00975756">
        <w:rPr>
          <w:b/>
          <w:bCs/>
        </w:rPr>
        <w:t>S.36.05</w:t>
      </w:r>
      <w:r w:rsidRPr="00975756">
        <w:t xml:space="preserve">, as it essentially replicates P&amp;L information already included in other </w:t>
      </w:r>
      <w:r w:rsidRPr="00975756">
        <w:rPr>
          <w:b/>
          <w:bCs/>
        </w:rPr>
        <w:t>S.36</w:t>
      </w:r>
      <w:r w:rsidRPr="00975756">
        <w:t xml:space="preserve"> templates.</w:t>
      </w:r>
    </w:p>
    <w:p w14:paraId="5A794B51" w14:textId="77777777" w:rsidR="00D30FA6" w:rsidRDefault="00D30FA6" w:rsidP="00D30FA6">
      <w:pPr>
        <w:rPr>
          <w:rFonts w:cs="Frutiger LT Std 45 Light"/>
          <w:color w:val="000000"/>
          <w:szCs w:val="20"/>
        </w:rPr>
      </w:pPr>
    </w:p>
    <w:p w14:paraId="2A40C9DE" w14:textId="18143671" w:rsidR="00D30FA6" w:rsidRPr="00D30FA6" w:rsidRDefault="00D30FA6" w:rsidP="00D30FA6">
      <w:pPr>
        <w:rPr>
          <w:b/>
          <w:bCs/>
        </w:rPr>
      </w:pPr>
      <w:r w:rsidRPr="00D30FA6">
        <w:rPr>
          <w:b/>
          <w:bCs/>
        </w:rPr>
        <w:t>S.37 – Risk Concentration</w:t>
      </w:r>
    </w:p>
    <w:p w14:paraId="128D188D" w14:textId="77777777" w:rsidR="00D30FA6" w:rsidRPr="00D30FA6" w:rsidRDefault="00D30FA6" w:rsidP="00387BAC">
      <w:pPr>
        <w:numPr>
          <w:ilvl w:val="0"/>
          <w:numId w:val="22"/>
        </w:numPr>
      </w:pPr>
      <w:r w:rsidRPr="00D30FA6">
        <w:rPr>
          <w:b/>
          <w:bCs/>
        </w:rPr>
        <w:t>Issues</w:t>
      </w:r>
      <w:r w:rsidRPr="00D30FA6">
        <w:t>:</w:t>
      </w:r>
    </w:p>
    <w:p w14:paraId="6FCAFB16" w14:textId="23AEC6D0" w:rsidR="003775CA" w:rsidRDefault="003775CA" w:rsidP="008B1523">
      <w:pPr>
        <w:pStyle w:val="CEABullet-Level1"/>
        <w:numPr>
          <w:ilvl w:val="1"/>
          <w:numId w:val="1"/>
        </w:numPr>
        <w:rPr>
          <w:lang w:eastAsia="en-GB"/>
        </w:rPr>
      </w:pPr>
      <w:r w:rsidRPr="004C0160">
        <w:rPr>
          <w:lang w:val="en-US"/>
        </w:rPr>
        <w:t>The template requires the collection of a very large amount of data, which means long processing times. The introduction of taxonomy 2.8.0 saw the appearance of templates S.37.02.04 and S.37.03.04, as well as the addition of new columns in template S.37.01.04 requesting more details on exposures by instrument type. These elements did not exist before, and therefore increase the reporting burden.</w:t>
      </w:r>
    </w:p>
    <w:p w14:paraId="0E238AC2" w14:textId="31C1B860" w:rsidR="008B1523" w:rsidRPr="00120641" w:rsidRDefault="008B1523" w:rsidP="008B1523">
      <w:pPr>
        <w:pStyle w:val="CEABullet-Level1"/>
        <w:numPr>
          <w:ilvl w:val="1"/>
          <w:numId w:val="1"/>
        </w:numPr>
        <w:rPr>
          <w:lang w:eastAsia="en-GB"/>
        </w:rPr>
      </w:pPr>
      <w:r w:rsidRPr="00120641">
        <w:rPr>
          <w:lang w:eastAsia="en-GB"/>
        </w:rPr>
        <w:t>Significant duplication of data already available in other templates (</w:t>
      </w:r>
      <w:proofErr w:type="spellStart"/>
      <w:r w:rsidRPr="00120641">
        <w:rPr>
          <w:lang w:eastAsia="en-GB"/>
        </w:rPr>
        <w:t>e.g</w:t>
      </w:r>
      <w:proofErr w:type="spellEnd"/>
      <w:r w:rsidRPr="00A56AC6">
        <w:rPr>
          <w:szCs w:val="17"/>
        </w:rPr>
        <w:t xml:space="preserve"> </w:t>
      </w:r>
      <w:r w:rsidRPr="00A56AC6">
        <w:rPr>
          <w:b/>
          <w:bCs/>
          <w:szCs w:val="17"/>
        </w:rPr>
        <w:t>S.02.02</w:t>
      </w:r>
      <w:r w:rsidRPr="00B145E5">
        <w:rPr>
          <w:szCs w:val="17"/>
        </w:rPr>
        <w:t xml:space="preserve">, </w:t>
      </w:r>
      <w:r w:rsidRPr="00120641">
        <w:rPr>
          <w:b/>
          <w:bCs/>
          <w:lang w:eastAsia="en-GB"/>
        </w:rPr>
        <w:t>S.06.02</w:t>
      </w:r>
      <w:r w:rsidRPr="00120641">
        <w:rPr>
          <w:lang w:eastAsia="en-GB"/>
        </w:rPr>
        <w:t xml:space="preserve">, </w:t>
      </w:r>
      <w:r w:rsidRPr="00120641">
        <w:rPr>
          <w:b/>
          <w:bCs/>
          <w:lang w:eastAsia="en-GB"/>
        </w:rPr>
        <w:t>S.31.01</w:t>
      </w:r>
      <w:r w:rsidRPr="00120641">
        <w:rPr>
          <w:lang w:eastAsia="en-GB"/>
        </w:rPr>
        <w:t xml:space="preserve">, </w:t>
      </w:r>
      <w:r w:rsidRPr="00120641">
        <w:rPr>
          <w:b/>
          <w:bCs/>
          <w:lang w:eastAsia="en-GB"/>
        </w:rPr>
        <w:t>S.21.02</w:t>
      </w:r>
      <w:r w:rsidRPr="00120641">
        <w:rPr>
          <w:lang w:eastAsia="en-GB"/>
        </w:rPr>
        <w:t xml:space="preserve">, and </w:t>
      </w:r>
      <w:r w:rsidRPr="00120641">
        <w:rPr>
          <w:b/>
          <w:bCs/>
          <w:lang w:eastAsia="en-GB"/>
        </w:rPr>
        <w:t>S.21.03</w:t>
      </w:r>
      <w:r w:rsidRPr="00120641">
        <w:rPr>
          <w:lang w:eastAsia="en-GB"/>
        </w:rPr>
        <w:t>) increases inefficiencies.</w:t>
      </w:r>
    </w:p>
    <w:p w14:paraId="361919E4" w14:textId="5134FA76" w:rsidR="00120641" w:rsidRPr="00120641" w:rsidRDefault="00120641" w:rsidP="00120641">
      <w:pPr>
        <w:pStyle w:val="CEABullet-Level1"/>
        <w:numPr>
          <w:ilvl w:val="1"/>
          <w:numId w:val="1"/>
        </w:numPr>
        <w:rPr>
          <w:lang w:eastAsia="en-GB"/>
        </w:rPr>
      </w:pPr>
      <w:r w:rsidRPr="00120641">
        <w:rPr>
          <w:lang w:eastAsia="en-GB"/>
        </w:rPr>
        <w:t xml:space="preserve">High level of granularity required for exposures by currency, sector, and asset class in </w:t>
      </w:r>
      <w:r w:rsidRPr="00120641">
        <w:rPr>
          <w:b/>
          <w:bCs/>
          <w:lang w:eastAsia="en-GB"/>
        </w:rPr>
        <w:t>S.37.01</w:t>
      </w:r>
      <w:r w:rsidRPr="00120641">
        <w:rPr>
          <w:lang w:eastAsia="en-GB"/>
        </w:rPr>
        <w:t xml:space="preserve">, </w:t>
      </w:r>
      <w:r w:rsidRPr="00120641">
        <w:rPr>
          <w:b/>
          <w:bCs/>
          <w:lang w:eastAsia="en-GB"/>
        </w:rPr>
        <w:t>S.37.02</w:t>
      </w:r>
      <w:r w:rsidRPr="00120641">
        <w:rPr>
          <w:lang w:eastAsia="en-GB"/>
        </w:rPr>
        <w:t xml:space="preserve">, and </w:t>
      </w:r>
      <w:r w:rsidRPr="00120641">
        <w:rPr>
          <w:b/>
          <w:bCs/>
          <w:lang w:eastAsia="en-GB"/>
        </w:rPr>
        <w:t>S.37.03</w:t>
      </w:r>
      <w:r w:rsidRPr="00120641">
        <w:rPr>
          <w:lang w:eastAsia="en-GB"/>
        </w:rPr>
        <w:t xml:space="preserve"> is burdensome and not proportional to its supervisory value.</w:t>
      </w:r>
    </w:p>
    <w:p w14:paraId="1DCE88DD" w14:textId="365C9606" w:rsidR="00120641" w:rsidRPr="00120641" w:rsidRDefault="00120641" w:rsidP="00120641">
      <w:pPr>
        <w:pStyle w:val="CEABullet-Level1"/>
        <w:numPr>
          <w:ilvl w:val="1"/>
          <w:numId w:val="1"/>
        </w:numPr>
        <w:rPr>
          <w:lang w:eastAsia="en-GB"/>
        </w:rPr>
      </w:pPr>
      <w:r w:rsidRPr="00120641">
        <w:rPr>
          <w:lang w:eastAsia="en-GB"/>
        </w:rPr>
        <w:t>Inclusion of insurance policy exposures, particularly unit-linked products, is questionable, as the associated risks are typically borne by policyholders, not the undertaking.</w:t>
      </w:r>
    </w:p>
    <w:p w14:paraId="1765550A" w14:textId="033F3CB2" w:rsidR="00120641" w:rsidRPr="00120641" w:rsidRDefault="00120641" w:rsidP="00120641">
      <w:pPr>
        <w:pStyle w:val="CEABullet-Level1"/>
        <w:numPr>
          <w:ilvl w:val="1"/>
          <w:numId w:val="1"/>
        </w:numPr>
        <w:rPr>
          <w:lang w:eastAsia="en-GB"/>
        </w:rPr>
      </w:pPr>
      <w:r w:rsidRPr="00120641">
        <w:rPr>
          <w:lang w:eastAsia="en-GB"/>
        </w:rPr>
        <w:t>Some requested data, such as risk concentration information for insurance policies, is not commonly collected, requiring significant effort to prepare new data.</w:t>
      </w:r>
    </w:p>
    <w:p w14:paraId="257C1070" w14:textId="7C0563A0" w:rsidR="00120641" w:rsidRPr="00120641" w:rsidRDefault="00120641" w:rsidP="00120641">
      <w:pPr>
        <w:pStyle w:val="CEABullet-Level1"/>
        <w:numPr>
          <w:ilvl w:val="1"/>
          <w:numId w:val="1"/>
        </w:numPr>
        <w:rPr>
          <w:lang w:eastAsia="en-GB"/>
        </w:rPr>
      </w:pPr>
      <w:r w:rsidRPr="00120641">
        <w:rPr>
          <w:lang w:eastAsia="en-GB"/>
        </w:rPr>
        <w:t xml:space="preserve">The “total balance sheet approach” in </w:t>
      </w:r>
      <w:r w:rsidRPr="00120641">
        <w:rPr>
          <w:b/>
          <w:bCs/>
          <w:lang w:eastAsia="en-GB"/>
        </w:rPr>
        <w:t>S.37.02</w:t>
      </w:r>
      <w:r w:rsidRPr="00120641">
        <w:rPr>
          <w:lang w:eastAsia="en-GB"/>
        </w:rPr>
        <w:t xml:space="preserve"> requires analysis of all exposures, including immaterial ones, which is excessively granular and adds to the reporting burden.</w:t>
      </w:r>
    </w:p>
    <w:p w14:paraId="238F6E2F" w14:textId="3B89333F" w:rsidR="00120641" w:rsidRPr="00120641" w:rsidRDefault="00120641" w:rsidP="00120641">
      <w:pPr>
        <w:pStyle w:val="CEABullet-Level1"/>
        <w:numPr>
          <w:ilvl w:val="1"/>
          <w:numId w:val="1"/>
        </w:numPr>
        <w:rPr>
          <w:lang w:eastAsia="en-GB"/>
        </w:rPr>
      </w:pPr>
      <w:r w:rsidRPr="00120641">
        <w:rPr>
          <w:lang w:eastAsia="en-GB"/>
        </w:rPr>
        <w:t xml:space="preserve">Redundant reporting of insurance risk exposures, already addressed in templates like </w:t>
      </w:r>
      <w:r w:rsidRPr="00120641">
        <w:rPr>
          <w:b/>
          <w:bCs/>
          <w:lang w:eastAsia="en-GB"/>
        </w:rPr>
        <w:t>S.21.02.01</w:t>
      </w:r>
      <w:r w:rsidRPr="00120641">
        <w:rPr>
          <w:lang w:eastAsia="en-GB"/>
        </w:rPr>
        <w:t xml:space="preserve"> and </w:t>
      </w:r>
      <w:r w:rsidRPr="00120641">
        <w:rPr>
          <w:b/>
          <w:bCs/>
          <w:lang w:eastAsia="en-GB"/>
        </w:rPr>
        <w:t>S.21.03.01</w:t>
      </w:r>
      <w:r w:rsidRPr="00120641">
        <w:rPr>
          <w:lang w:eastAsia="en-GB"/>
        </w:rPr>
        <w:t>, adds unnecessary complexity.</w:t>
      </w:r>
    </w:p>
    <w:p w14:paraId="52375F74" w14:textId="13B9FAC7" w:rsidR="00120641" w:rsidRPr="00D30FA6" w:rsidRDefault="00120641" w:rsidP="00120641">
      <w:pPr>
        <w:pStyle w:val="CEABullet-Level1"/>
        <w:numPr>
          <w:ilvl w:val="1"/>
          <w:numId w:val="1"/>
        </w:numPr>
      </w:pPr>
      <w:r w:rsidRPr="00120641">
        <w:rPr>
          <w:lang w:eastAsia="en-GB"/>
        </w:rPr>
        <w:t>Current instructions for completing these templates are unclear, further complicating the reporting process.</w:t>
      </w:r>
    </w:p>
    <w:p w14:paraId="3129D770" w14:textId="77777777" w:rsidR="00D30FA6" w:rsidRPr="00D30FA6" w:rsidRDefault="00D30FA6" w:rsidP="00387BAC">
      <w:pPr>
        <w:numPr>
          <w:ilvl w:val="0"/>
          <w:numId w:val="22"/>
        </w:numPr>
      </w:pPr>
      <w:r w:rsidRPr="00D30FA6">
        <w:rPr>
          <w:b/>
          <w:bCs/>
        </w:rPr>
        <w:t>Proposals</w:t>
      </w:r>
      <w:r w:rsidRPr="00D30FA6">
        <w:t>:</w:t>
      </w:r>
    </w:p>
    <w:p w14:paraId="4F718778" w14:textId="3B235256" w:rsidR="001E73AF" w:rsidRPr="00B145E5" w:rsidRDefault="00681605" w:rsidP="001E73AF">
      <w:pPr>
        <w:pStyle w:val="CEABullet-Level1"/>
        <w:numPr>
          <w:ilvl w:val="1"/>
          <w:numId w:val="1"/>
        </w:numPr>
        <w:rPr>
          <w:szCs w:val="17"/>
        </w:rPr>
      </w:pPr>
      <w:r w:rsidRPr="00681605">
        <w:rPr>
          <w:b/>
          <w:bCs/>
          <w:szCs w:val="17"/>
        </w:rPr>
        <w:t>S.37.02 – S.37.03</w:t>
      </w:r>
      <w:r>
        <w:rPr>
          <w:szCs w:val="17"/>
        </w:rPr>
        <w:t xml:space="preserve"> - </w:t>
      </w:r>
      <w:r w:rsidR="001E73AF" w:rsidRPr="00B145E5">
        <w:rPr>
          <w:szCs w:val="17"/>
        </w:rPr>
        <w:t>Due to th</w:t>
      </w:r>
      <w:r w:rsidR="001E73AF">
        <w:rPr>
          <w:szCs w:val="17"/>
        </w:rPr>
        <w:t>e</w:t>
      </w:r>
      <w:r w:rsidR="001E73AF" w:rsidRPr="00B145E5">
        <w:rPr>
          <w:szCs w:val="17"/>
        </w:rPr>
        <w:t xml:space="preserve"> duplication of reporting, it would be desirable to eliminate these QRTs.</w:t>
      </w:r>
    </w:p>
    <w:p w14:paraId="389AB55D" w14:textId="77777777" w:rsidR="00AB6185" w:rsidRDefault="00AB6185" w:rsidP="00AB6185">
      <w:pPr>
        <w:pStyle w:val="CEABullet-Level1"/>
        <w:numPr>
          <w:ilvl w:val="1"/>
          <w:numId w:val="1"/>
        </w:numPr>
      </w:pPr>
      <w:r>
        <w:t>Limit the scope of S.37.01, S.37.02, and S.37.03 to financial assets and liabilities, excluding reinsurance and insurance policy exposures.</w:t>
      </w:r>
    </w:p>
    <w:p w14:paraId="3DB125E7" w14:textId="6C14ADAE" w:rsidR="00384CFE" w:rsidRPr="00821A45" w:rsidRDefault="00384CFE" w:rsidP="00384CFE">
      <w:pPr>
        <w:pStyle w:val="CEABullet-Level1"/>
        <w:numPr>
          <w:ilvl w:val="1"/>
          <w:numId w:val="1"/>
        </w:numPr>
        <w:rPr>
          <w:szCs w:val="17"/>
        </w:rPr>
      </w:pPr>
      <w:r>
        <w:rPr>
          <w:szCs w:val="17"/>
        </w:rPr>
        <w:t>A return to the previous version of this template or another type of simplification could be a possibility.</w:t>
      </w:r>
    </w:p>
    <w:p w14:paraId="222C7C3D" w14:textId="77777777" w:rsidR="00AB6185" w:rsidRDefault="00AB6185" w:rsidP="00AB6185">
      <w:pPr>
        <w:pStyle w:val="CEABullet-Level1"/>
        <w:numPr>
          <w:ilvl w:val="1"/>
          <w:numId w:val="1"/>
        </w:numPr>
      </w:pPr>
      <w:r>
        <w:t>Remove unit-linked insurance assets and exposures from these templates unless clearly justified.</w:t>
      </w:r>
    </w:p>
    <w:p w14:paraId="1FA706A1" w14:textId="77777777" w:rsidR="00AB6185" w:rsidRDefault="00AB6185" w:rsidP="00AB6185">
      <w:pPr>
        <w:pStyle w:val="CEABullet-Level1"/>
        <w:numPr>
          <w:ilvl w:val="1"/>
          <w:numId w:val="1"/>
        </w:numPr>
      </w:pPr>
      <w:r>
        <w:t>Introduce clear materiality thresholds for reporting, focusing only on significant exposures to reduce the reporting burden.</w:t>
      </w:r>
    </w:p>
    <w:p w14:paraId="65B6197D" w14:textId="3820EE24" w:rsidR="00AB6185" w:rsidRDefault="00AB6185" w:rsidP="00AB6185">
      <w:pPr>
        <w:pStyle w:val="CEABullet-Level1"/>
        <w:numPr>
          <w:ilvl w:val="1"/>
          <w:numId w:val="1"/>
        </w:numPr>
      </w:pPr>
      <w:r>
        <w:t>Use data already collected in other templates (e.g., S.</w:t>
      </w:r>
      <w:r w:rsidR="00E91319">
        <w:t xml:space="preserve">02.02, </w:t>
      </w:r>
      <w:r>
        <w:t>S.06.02, S.08.01, S.21.02, S.21.03) for analysis in S.37.02 and S.37.03, rather than duplicating reporting requirements.</w:t>
      </w:r>
    </w:p>
    <w:p w14:paraId="15FCC9CC" w14:textId="77777777" w:rsidR="00AB6185" w:rsidRDefault="00AB6185" w:rsidP="00AB6185">
      <w:pPr>
        <w:pStyle w:val="CEABullet-Level1"/>
        <w:numPr>
          <w:ilvl w:val="1"/>
          <w:numId w:val="1"/>
        </w:numPr>
      </w:pPr>
      <w:r>
        <w:t>Simplify the granularity of S.37.02 by removing the requirement for a “total balance sheet approach” and focusing on material exposures.</w:t>
      </w:r>
    </w:p>
    <w:p w14:paraId="1DD6547A" w14:textId="77777777" w:rsidR="00AB6185" w:rsidRDefault="00AB6185" w:rsidP="00AB6185">
      <w:pPr>
        <w:pStyle w:val="CEABullet-Level1"/>
        <w:numPr>
          <w:ilvl w:val="1"/>
          <w:numId w:val="1"/>
        </w:numPr>
      </w:pPr>
      <w:r>
        <w:t>Reduce the mandatory reporting scope of S.37.03, basing analysis on existing group-level data instead of requiring separate reporting.</w:t>
      </w:r>
    </w:p>
    <w:p w14:paraId="266DB0C7" w14:textId="42739D18" w:rsidR="00D30FA6" w:rsidRDefault="00AB6185" w:rsidP="00AB6185">
      <w:pPr>
        <w:pStyle w:val="CEABullet-Level1"/>
        <w:numPr>
          <w:ilvl w:val="1"/>
          <w:numId w:val="1"/>
        </w:numPr>
        <w:rPr>
          <w:b/>
          <w:bCs/>
        </w:rPr>
      </w:pPr>
      <w:r>
        <w:t>Improve instructions and guidance for completing S.37 templates to reduce misinterpretation and associated workload.</w:t>
      </w:r>
    </w:p>
    <w:p w14:paraId="6EF59BB7" w14:textId="77777777" w:rsidR="009D4511" w:rsidRDefault="009D4511" w:rsidP="009D4511">
      <w:pPr>
        <w:pStyle w:val="CEABullet-Level1"/>
        <w:numPr>
          <w:ilvl w:val="0"/>
          <w:numId w:val="0"/>
        </w:numPr>
        <w:ind w:left="1440"/>
        <w:rPr>
          <w:b/>
          <w:bCs/>
        </w:rPr>
      </w:pPr>
    </w:p>
    <w:p w14:paraId="1B63BAAC" w14:textId="77777777" w:rsidR="006E5669" w:rsidRDefault="006E5669" w:rsidP="006E5669">
      <w:pPr>
        <w:rPr>
          <w:b/>
          <w:bCs/>
          <w:i/>
          <w:iCs/>
        </w:rPr>
      </w:pPr>
    </w:p>
    <w:p w14:paraId="0392F226" w14:textId="490DD389" w:rsidR="00E44DE8" w:rsidRDefault="00E44DE8" w:rsidP="00E44DE8">
      <w:pPr>
        <w:pStyle w:val="CEABullet-Level1"/>
        <w:numPr>
          <w:ilvl w:val="0"/>
          <w:numId w:val="0"/>
        </w:numPr>
        <w:ind w:left="720" w:hanging="360"/>
        <w:rPr>
          <w:b/>
          <w:bCs/>
        </w:rPr>
      </w:pPr>
      <w:r w:rsidRPr="00E44DE8">
        <w:rPr>
          <w:b/>
          <w:bCs/>
        </w:rPr>
        <w:t xml:space="preserve">S.38 – </w:t>
      </w:r>
      <w:r w:rsidR="007A08AC" w:rsidRPr="00F24B47">
        <w:rPr>
          <w:b/>
        </w:rPr>
        <w:t xml:space="preserve">Duration of technical </w:t>
      </w:r>
      <w:r w:rsidR="007A08AC" w:rsidRPr="00F24B47">
        <w:rPr>
          <w:b/>
          <w:bCs/>
        </w:rPr>
        <w:t>provisions</w:t>
      </w:r>
    </w:p>
    <w:p w14:paraId="62E9955D" w14:textId="10C8D4A8" w:rsidR="005B79B6" w:rsidRPr="005B79B6" w:rsidRDefault="005B79B6" w:rsidP="005B79B6">
      <w:pPr>
        <w:pStyle w:val="CEABullet-Level1"/>
        <w:rPr>
          <w:b/>
          <w:bCs/>
        </w:rPr>
      </w:pPr>
      <w:r w:rsidRPr="005B79B6">
        <w:rPr>
          <w:b/>
          <w:bCs/>
        </w:rPr>
        <w:t>Issues:</w:t>
      </w:r>
    </w:p>
    <w:p w14:paraId="3613F5F0" w14:textId="77777777" w:rsidR="005B79B6" w:rsidRPr="005B79B6" w:rsidRDefault="005B79B6" w:rsidP="009731E6">
      <w:pPr>
        <w:pStyle w:val="CEABullet-Level1"/>
        <w:numPr>
          <w:ilvl w:val="1"/>
          <w:numId w:val="1"/>
        </w:numPr>
      </w:pPr>
      <w:r w:rsidRPr="005B79B6">
        <w:t>The reporting requirements for S.38 are burdensome and time-consuming, particularly due to the granularity of the information requested.</w:t>
      </w:r>
    </w:p>
    <w:p w14:paraId="36CEDA45" w14:textId="77777777" w:rsidR="005B79B6" w:rsidRPr="005B79B6" w:rsidRDefault="005B79B6" w:rsidP="009731E6">
      <w:pPr>
        <w:pStyle w:val="CEABullet-Level1"/>
        <w:numPr>
          <w:ilvl w:val="1"/>
          <w:numId w:val="1"/>
        </w:numPr>
      </w:pPr>
      <w:r w:rsidRPr="005B79B6">
        <w:t>The template duplicates information already available in other templates and regulatory frameworks, such as those addressing financial stability and liquidity risks.</w:t>
      </w:r>
    </w:p>
    <w:p w14:paraId="47C11F58" w14:textId="77777777" w:rsidR="005B79B6" w:rsidRDefault="005B79B6" w:rsidP="009731E6">
      <w:pPr>
        <w:pStyle w:val="CEABullet-Level1"/>
        <w:numPr>
          <w:ilvl w:val="1"/>
          <w:numId w:val="1"/>
        </w:numPr>
      </w:pPr>
      <w:r w:rsidRPr="005B79B6">
        <w:t>Reporting liquidity risks at the current level of detail does not align with the proportionality principle for undertakings with minimal liquidity risk exposure.</w:t>
      </w:r>
    </w:p>
    <w:p w14:paraId="1FEBE9B6" w14:textId="6F0EE6F7" w:rsidR="00FA76E7" w:rsidRPr="005B79B6" w:rsidRDefault="00FA76E7" w:rsidP="00FA76E7">
      <w:pPr>
        <w:pStyle w:val="CEABullet-Level1"/>
        <w:numPr>
          <w:ilvl w:val="1"/>
          <w:numId w:val="1"/>
        </w:numPr>
      </w:pPr>
      <w:r w:rsidRPr="00FA76E7">
        <w:t xml:space="preserve">The calculation of effective duration in sub-template </w:t>
      </w:r>
      <w:r w:rsidRPr="00FA76E7">
        <w:rPr>
          <w:b/>
          <w:bCs/>
        </w:rPr>
        <w:t>S.38.01.11.02</w:t>
      </w:r>
      <w:r w:rsidRPr="00FA76E7">
        <w:t xml:space="preserve"> requires additional launches of the flow projection model, which significantly slows down the reporting process and increases the burden.</w:t>
      </w:r>
    </w:p>
    <w:p w14:paraId="56DC440A" w14:textId="77777777" w:rsidR="005B79B6" w:rsidRPr="005B79B6" w:rsidRDefault="005B79B6" w:rsidP="005B79B6">
      <w:pPr>
        <w:pStyle w:val="CEABullet-Level1"/>
        <w:rPr>
          <w:b/>
          <w:bCs/>
        </w:rPr>
      </w:pPr>
      <w:r w:rsidRPr="005B79B6">
        <w:rPr>
          <w:b/>
          <w:bCs/>
        </w:rPr>
        <w:t>Proposals:</w:t>
      </w:r>
    </w:p>
    <w:p w14:paraId="5B2B2200" w14:textId="77777777" w:rsidR="005B79B6" w:rsidRPr="005B79B6" w:rsidRDefault="005B79B6" w:rsidP="009731E6">
      <w:pPr>
        <w:pStyle w:val="CEABullet-Level1"/>
        <w:numPr>
          <w:ilvl w:val="1"/>
          <w:numId w:val="1"/>
        </w:numPr>
      </w:pPr>
      <w:r w:rsidRPr="005B79B6">
        <w:t>Move the reporting frequency from quarterly to annual, reducing the burden while maintaining the availability of critical data.</w:t>
      </w:r>
    </w:p>
    <w:p w14:paraId="20C44932" w14:textId="77777777" w:rsidR="005B79B6" w:rsidRPr="005B79B6" w:rsidRDefault="005B79B6" w:rsidP="009731E6">
      <w:pPr>
        <w:pStyle w:val="CEABullet-Level1"/>
        <w:numPr>
          <w:ilvl w:val="1"/>
          <w:numId w:val="1"/>
        </w:numPr>
      </w:pPr>
      <w:r w:rsidRPr="005B79B6">
        <w:t>Introduce materiality thresholds to ensure only entities with significant liquidity risk exposure are required to report.</w:t>
      </w:r>
    </w:p>
    <w:p w14:paraId="2538CBEC" w14:textId="77777777" w:rsidR="005B79B6" w:rsidRPr="005B79B6" w:rsidRDefault="005B79B6" w:rsidP="009731E6">
      <w:pPr>
        <w:pStyle w:val="CEABullet-Level1"/>
        <w:numPr>
          <w:ilvl w:val="1"/>
          <w:numId w:val="1"/>
        </w:numPr>
      </w:pPr>
      <w:r w:rsidRPr="005B79B6">
        <w:t>Simplify the template by reducing the granularity of the information required, focusing on high-level liquidity indicators.</w:t>
      </w:r>
    </w:p>
    <w:p w14:paraId="361FC8C2" w14:textId="06D690D5" w:rsidR="00976E36" w:rsidRDefault="00976E36" w:rsidP="00976E36">
      <w:pPr>
        <w:pStyle w:val="CEABullet-Level1"/>
        <w:numPr>
          <w:ilvl w:val="1"/>
          <w:numId w:val="1"/>
        </w:numPr>
      </w:pPr>
      <w:r w:rsidRPr="00976E36">
        <w:t xml:space="preserve">Delete sub-template </w:t>
      </w:r>
      <w:r w:rsidRPr="00976E36">
        <w:rPr>
          <w:b/>
          <w:bCs/>
        </w:rPr>
        <w:t>S.38.01.11.02</w:t>
      </w:r>
      <w:r w:rsidRPr="00976E36">
        <w:t xml:space="preserve"> relating to the calculation of effective duration, as it requires additional and unnecessary computational effort.</w:t>
      </w:r>
    </w:p>
    <w:p w14:paraId="0EF3DE86" w14:textId="79203126" w:rsidR="005B79B6" w:rsidRPr="005B79B6" w:rsidRDefault="005B79B6" w:rsidP="009731E6">
      <w:pPr>
        <w:pStyle w:val="CEABullet-Level1"/>
        <w:numPr>
          <w:ilvl w:val="1"/>
          <w:numId w:val="1"/>
        </w:numPr>
      </w:pPr>
      <w:r w:rsidRPr="005B79B6">
        <w:t xml:space="preserve">Eliminate the template entirely if supervisors find limited value in </w:t>
      </w:r>
      <w:r w:rsidR="001D3F39" w:rsidRPr="0021327A">
        <w:t>analysing</w:t>
      </w:r>
      <w:r w:rsidRPr="005B79B6">
        <w:t xml:space="preserve"> liquidity positions through S.38.</w:t>
      </w:r>
    </w:p>
    <w:p w14:paraId="3CAC8097" w14:textId="77777777" w:rsidR="005B79B6" w:rsidRPr="005B79B6" w:rsidRDefault="005B79B6" w:rsidP="009731E6">
      <w:pPr>
        <w:pStyle w:val="CEABullet-Level1"/>
        <w:numPr>
          <w:ilvl w:val="1"/>
          <w:numId w:val="1"/>
        </w:numPr>
      </w:pPr>
      <w:r w:rsidRPr="005B79B6">
        <w:t>Consolidate liquidity risk reporting with other templates or frameworks to avoid duplication and streamline data collection.</w:t>
      </w:r>
    </w:p>
    <w:p w14:paraId="352C89A2" w14:textId="77777777" w:rsidR="006E5669" w:rsidRDefault="006E5669" w:rsidP="00D30FA6">
      <w:pPr>
        <w:rPr>
          <w:b/>
          <w:bCs/>
        </w:rPr>
      </w:pPr>
    </w:p>
    <w:p w14:paraId="52B58B6D" w14:textId="199AA474" w:rsidR="00D30FA6" w:rsidRPr="00D30FA6" w:rsidRDefault="00D30FA6" w:rsidP="00D30FA6">
      <w:pPr>
        <w:rPr>
          <w:b/>
          <w:bCs/>
        </w:rPr>
      </w:pPr>
      <w:r w:rsidRPr="0021327A">
        <w:rPr>
          <w:b/>
          <w:bCs/>
        </w:rPr>
        <w:t xml:space="preserve">S.41.01 – </w:t>
      </w:r>
      <w:r w:rsidR="00E803A0" w:rsidRPr="0021327A">
        <w:rPr>
          <w:b/>
          <w:bCs/>
        </w:rPr>
        <w:t>Lapses</w:t>
      </w:r>
    </w:p>
    <w:p w14:paraId="19B2C07F" w14:textId="77777777" w:rsidR="00D30FA6" w:rsidRPr="00D30FA6" w:rsidRDefault="00D30FA6" w:rsidP="00387BAC">
      <w:pPr>
        <w:numPr>
          <w:ilvl w:val="0"/>
          <w:numId w:val="23"/>
        </w:numPr>
      </w:pPr>
      <w:r w:rsidRPr="00D30FA6">
        <w:rPr>
          <w:b/>
          <w:bCs/>
        </w:rPr>
        <w:t>Issues</w:t>
      </w:r>
      <w:r w:rsidRPr="00D30FA6">
        <w:t>:</w:t>
      </w:r>
    </w:p>
    <w:p w14:paraId="798F9130" w14:textId="77777777" w:rsidR="00D30FA6" w:rsidRPr="00D30FA6" w:rsidRDefault="00D30FA6" w:rsidP="00387BAC">
      <w:pPr>
        <w:numPr>
          <w:ilvl w:val="1"/>
          <w:numId w:val="23"/>
        </w:numPr>
      </w:pPr>
      <w:r w:rsidRPr="00D30FA6">
        <w:t>High reporting frequency and level of detail.</w:t>
      </w:r>
    </w:p>
    <w:p w14:paraId="13C1E277" w14:textId="77777777" w:rsidR="00D30FA6" w:rsidRPr="00D30FA6" w:rsidRDefault="00D30FA6" w:rsidP="00387BAC">
      <w:pPr>
        <w:numPr>
          <w:ilvl w:val="0"/>
          <w:numId w:val="23"/>
        </w:numPr>
      </w:pPr>
      <w:r w:rsidRPr="00D30FA6">
        <w:rPr>
          <w:b/>
          <w:bCs/>
        </w:rPr>
        <w:t>Proposals</w:t>
      </w:r>
      <w:r w:rsidRPr="00D30FA6">
        <w:t>:</w:t>
      </w:r>
    </w:p>
    <w:p w14:paraId="1019A4CF" w14:textId="77777777" w:rsidR="00D30FA6" w:rsidRPr="00D30FA6" w:rsidRDefault="00D30FA6" w:rsidP="00387BAC">
      <w:pPr>
        <w:numPr>
          <w:ilvl w:val="1"/>
          <w:numId w:val="23"/>
        </w:numPr>
      </w:pPr>
      <w:r w:rsidRPr="00D30FA6">
        <w:t>Move to annual submission.</w:t>
      </w:r>
    </w:p>
    <w:p w14:paraId="42D447CE" w14:textId="77777777" w:rsidR="00D30FA6" w:rsidRPr="00D30FA6" w:rsidRDefault="00D30FA6" w:rsidP="00387BAC">
      <w:pPr>
        <w:numPr>
          <w:ilvl w:val="1"/>
          <w:numId w:val="23"/>
        </w:numPr>
      </w:pPr>
      <w:r w:rsidRPr="00D30FA6">
        <w:t>Reduce granularity to key data points.</w:t>
      </w:r>
    </w:p>
    <w:p w14:paraId="189C0A3E" w14:textId="77777777" w:rsidR="00F86A3D" w:rsidRDefault="00F86A3D" w:rsidP="00F918BF"/>
    <w:p w14:paraId="2BA60103" w14:textId="77777777" w:rsidR="005A2DBD" w:rsidRDefault="005A2DBD" w:rsidP="00F918BF"/>
    <w:p w14:paraId="6014C0A9" w14:textId="6EE2F1F3" w:rsidR="00F70C27" w:rsidRPr="00F70C27" w:rsidRDefault="00F70C27" w:rsidP="00F70C27">
      <w:pPr>
        <w:rPr>
          <w:b/>
          <w:bCs/>
        </w:rPr>
      </w:pPr>
      <w:r w:rsidRPr="00F70C27">
        <w:rPr>
          <w:b/>
          <w:bCs/>
        </w:rPr>
        <w:t xml:space="preserve">E.04 – </w:t>
      </w:r>
      <w:r w:rsidR="00DA28B1" w:rsidRPr="00DA28B1">
        <w:rPr>
          <w:b/>
          <w:bCs/>
        </w:rPr>
        <w:t>Investment revenues and expenses (part of TP and excess of assets over liabilities)</w:t>
      </w:r>
    </w:p>
    <w:p w14:paraId="172FF5DA" w14:textId="77777777" w:rsidR="00F70C27" w:rsidRPr="00F70C27" w:rsidRDefault="00F70C27" w:rsidP="00F70C27">
      <w:pPr>
        <w:pStyle w:val="CEABullet-Level1"/>
        <w:rPr>
          <w:b/>
          <w:bCs/>
        </w:rPr>
      </w:pPr>
      <w:r w:rsidRPr="00F70C27">
        <w:rPr>
          <w:b/>
          <w:bCs/>
        </w:rPr>
        <w:t>Issues:</w:t>
      </w:r>
    </w:p>
    <w:p w14:paraId="0F2FC518" w14:textId="77777777" w:rsidR="00F70C27" w:rsidRPr="00F70C27" w:rsidRDefault="00F70C27" w:rsidP="00F70C27">
      <w:pPr>
        <w:pStyle w:val="CEABullet-Level1"/>
        <w:numPr>
          <w:ilvl w:val="1"/>
          <w:numId w:val="1"/>
        </w:numPr>
      </w:pPr>
      <w:r w:rsidRPr="00F70C27">
        <w:rPr>
          <w:b/>
          <w:bCs/>
        </w:rPr>
        <w:t>E.04.01.16</w:t>
      </w:r>
      <w:r w:rsidRPr="00F70C27">
        <w:t xml:space="preserve">, included as part of the annual reporting package, duplicates information already provided in </w:t>
      </w:r>
      <w:r w:rsidRPr="00F70C27">
        <w:rPr>
          <w:b/>
          <w:bCs/>
        </w:rPr>
        <w:t>S.09.01.01</w:t>
      </w:r>
      <w:r w:rsidRPr="00F70C27">
        <w:t>, leading to redundancy and unnecessary workload.</w:t>
      </w:r>
    </w:p>
    <w:p w14:paraId="07AAB3CC" w14:textId="77777777" w:rsidR="00F70C27" w:rsidRPr="00F70C27" w:rsidRDefault="00F70C27" w:rsidP="00F70C27">
      <w:pPr>
        <w:pStyle w:val="CEABullet-Level1"/>
        <w:rPr>
          <w:b/>
          <w:bCs/>
        </w:rPr>
      </w:pPr>
      <w:r w:rsidRPr="00F70C27">
        <w:rPr>
          <w:b/>
          <w:bCs/>
        </w:rPr>
        <w:t>Proposals:</w:t>
      </w:r>
    </w:p>
    <w:p w14:paraId="3AC044DE" w14:textId="77777777" w:rsidR="00F70C27" w:rsidRPr="00F70C27" w:rsidRDefault="00F70C27" w:rsidP="00F70C27">
      <w:pPr>
        <w:pStyle w:val="CEABullet-Level1"/>
        <w:numPr>
          <w:ilvl w:val="1"/>
          <w:numId w:val="1"/>
        </w:numPr>
      </w:pPr>
      <w:r w:rsidRPr="00F70C27">
        <w:t xml:space="preserve">Integrate the analysis into </w:t>
      </w:r>
      <w:r w:rsidRPr="00F70C27">
        <w:rPr>
          <w:b/>
          <w:bCs/>
        </w:rPr>
        <w:t>S.29</w:t>
      </w:r>
      <w:r w:rsidRPr="00F70C27">
        <w:t>, reducing the number of separate templates while maintaining critical insights.</w:t>
      </w:r>
    </w:p>
    <w:p w14:paraId="22F0D1E9" w14:textId="77777777" w:rsidR="00F70C27" w:rsidRPr="00F70C27" w:rsidRDefault="00F70C27" w:rsidP="00F70C27">
      <w:pPr>
        <w:pStyle w:val="CEABullet-Level1"/>
        <w:numPr>
          <w:ilvl w:val="1"/>
          <w:numId w:val="1"/>
        </w:numPr>
      </w:pPr>
      <w:r w:rsidRPr="00F70C27">
        <w:t xml:space="preserve">Limit the scope of </w:t>
      </w:r>
      <w:r w:rsidRPr="00F70C27">
        <w:rPr>
          <w:b/>
          <w:bCs/>
        </w:rPr>
        <w:t>E.04.01</w:t>
      </w:r>
      <w:r w:rsidRPr="00F70C27">
        <w:t xml:space="preserve"> to life insurance, as the value of this information is negligible for non-life insurance business.</w:t>
      </w:r>
    </w:p>
    <w:p w14:paraId="0BB1A5CC" w14:textId="77777777" w:rsidR="00F70C27" w:rsidRDefault="00F70C27" w:rsidP="00F70C27">
      <w:pPr>
        <w:pStyle w:val="CEABullet-Level1"/>
        <w:numPr>
          <w:ilvl w:val="1"/>
          <w:numId w:val="1"/>
        </w:numPr>
      </w:pPr>
      <w:r w:rsidRPr="00F70C27">
        <w:t xml:space="preserve">Exclude </w:t>
      </w:r>
      <w:r w:rsidRPr="00F70C27">
        <w:rPr>
          <w:b/>
          <w:bCs/>
        </w:rPr>
        <w:t>E.04.01.16</w:t>
      </w:r>
      <w:r w:rsidRPr="00F70C27">
        <w:t xml:space="preserve"> from the reporting requirements to avoid duplication with </w:t>
      </w:r>
      <w:r w:rsidRPr="00F70C27">
        <w:rPr>
          <w:b/>
          <w:bCs/>
        </w:rPr>
        <w:t>S.09.01.01</w:t>
      </w:r>
      <w:r w:rsidRPr="00F70C27">
        <w:t>.</w:t>
      </w:r>
    </w:p>
    <w:p w14:paraId="1D04F438" w14:textId="77777777" w:rsidR="00284CDA" w:rsidRPr="00F70C27" w:rsidRDefault="00284CDA" w:rsidP="00284CDA">
      <w:pPr>
        <w:pStyle w:val="CEABullet-Level1"/>
        <w:numPr>
          <w:ilvl w:val="0"/>
          <w:numId w:val="0"/>
        </w:numPr>
        <w:ind w:left="1440"/>
      </w:pPr>
    </w:p>
    <w:p w14:paraId="75E54C27" w14:textId="34B1BEE2" w:rsidR="005E4F3E" w:rsidRPr="005B0675" w:rsidRDefault="005E4F3E" w:rsidP="005E4F3E">
      <w:pPr>
        <w:rPr>
          <w:b/>
          <w:bCs/>
        </w:rPr>
      </w:pPr>
      <w:r w:rsidRPr="005B0675">
        <w:rPr>
          <w:b/>
          <w:bCs/>
        </w:rPr>
        <w:t xml:space="preserve">Template </w:t>
      </w:r>
      <w:r>
        <w:rPr>
          <w:b/>
          <w:bCs/>
        </w:rPr>
        <w:t>SE</w:t>
      </w:r>
      <w:r w:rsidRPr="005B0675">
        <w:rPr>
          <w:b/>
          <w:bCs/>
        </w:rPr>
        <w:t>.</w:t>
      </w:r>
      <w:r>
        <w:rPr>
          <w:b/>
          <w:bCs/>
        </w:rPr>
        <w:t>06</w:t>
      </w:r>
      <w:r w:rsidRPr="005B0675">
        <w:rPr>
          <w:b/>
          <w:bCs/>
        </w:rPr>
        <w:t>.</w:t>
      </w:r>
      <w:r>
        <w:rPr>
          <w:b/>
          <w:bCs/>
        </w:rPr>
        <w:t>02.16.02</w:t>
      </w:r>
      <w:r w:rsidRPr="005B0675">
        <w:rPr>
          <w:b/>
          <w:bCs/>
        </w:rPr>
        <w:t xml:space="preserve"> </w:t>
      </w:r>
      <w:r w:rsidR="00B32132">
        <w:rPr>
          <w:b/>
          <w:bCs/>
        </w:rPr>
        <w:t>List of assets</w:t>
      </w:r>
      <w:r w:rsidR="002626F8">
        <w:rPr>
          <w:b/>
          <w:bCs/>
        </w:rPr>
        <w:t>. Information on assets</w:t>
      </w:r>
    </w:p>
    <w:p w14:paraId="0C5D9EAA" w14:textId="57BBA29F" w:rsidR="001310DC" w:rsidRPr="001310DC" w:rsidRDefault="001310DC" w:rsidP="005E4F3E">
      <w:pPr>
        <w:pStyle w:val="CEABullet-Level1"/>
        <w:rPr>
          <w:b/>
          <w:bCs/>
        </w:rPr>
      </w:pPr>
      <w:r w:rsidRPr="001310DC">
        <w:rPr>
          <w:b/>
          <w:bCs/>
        </w:rPr>
        <w:t>Proposals:</w:t>
      </w:r>
    </w:p>
    <w:p w14:paraId="78A75B0B" w14:textId="0A76D888" w:rsidR="005E4F3E" w:rsidRDefault="005E4F3E" w:rsidP="001310DC">
      <w:pPr>
        <w:pStyle w:val="CEABullet-Level1"/>
        <w:numPr>
          <w:ilvl w:val="1"/>
          <w:numId w:val="1"/>
        </w:numPr>
      </w:pPr>
      <w:r>
        <w:t>Unit Solvency II price C0370 in this template is unnecessary as this field is derived from part 01.</w:t>
      </w:r>
    </w:p>
    <w:p w14:paraId="475C9DF8" w14:textId="77777777" w:rsidR="005E4F3E" w:rsidRDefault="005E4F3E" w:rsidP="001310DC">
      <w:pPr>
        <w:pStyle w:val="CEABullet-Level1"/>
        <w:numPr>
          <w:ilvl w:val="1"/>
          <w:numId w:val="1"/>
        </w:numPr>
      </w:pPr>
      <w:r>
        <w:t xml:space="preserve">Unit percentage of </w:t>
      </w:r>
      <w:proofErr w:type="spellStart"/>
      <w:r>
        <w:t>par amount</w:t>
      </w:r>
      <w:proofErr w:type="spellEnd"/>
      <w:r>
        <w:t xml:space="preserve"> Solvency II price C0380 in this template is unnecessary as this field is derived from part 01.</w:t>
      </w:r>
    </w:p>
    <w:p w14:paraId="47251F5D" w14:textId="77777777" w:rsidR="005E4F3E" w:rsidRDefault="005E4F3E" w:rsidP="001310DC">
      <w:pPr>
        <w:pStyle w:val="CEABullet-Level1"/>
        <w:numPr>
          <w:ilvl w:val="1"/>
          <w:numId w:val="1"/>
        </w:numPr>
      </w:pPr>
      <w:r>
        <w:t xml:space="preserve">Issuer Sector according to ESA 2010 EC0231 as Issuer Sector is already provided. Alignment between these two should be made. </w:t>
      </w:r>
    </w:p>
    <w:p w14:paraId="1381CEC0" w14:textId="77777777" w:rsidR="005E4F3E" w:rsidRDefault="005E4F3E" w:rsidP="00F918BF"/>
    <w:p w14:paraId="4CA0204C" w14:textId="2C0632AB" w:rsidR="003F0B77" w:rsidRDefault="003F0B77" w:rsidP="00387BAC">
      <w:pPr>
        <w:pStyle w:val="Nadpis2"/>
        <w:numPr>
          <w:ilvl w:val="0"/>
          <w:numId w:val="34"/>
        </w:numPr>
      </w:pPr>
      <w:r>
        <w:t xml:space="preserve">Groups of templates </w:t>
      </w:r>
    </w:p>
    <w:p w14:paraId="41B23FED" w14:textId="77777777" w:rsidR="00DD30B7" w:rsidRDefault="00DD30B7" w:rsidP="00DB66BF">
      <w:pPr>
        <w:rPr>
          <w:b/>
          <w:bCs/>
        </w:rPr>
      </w:pPr>
    </w:p>
    <w:p w14:paraId="34DC3F35" w14:textId="77777777" w:rsidR="00BA5FF0" w:rsidRPr="00A67461" w:rsidRDefault="00BA5FF0" w:rsidP="00BA5FF0">
      <w:pPr>
        <w:rPr>
          <w:b/>
          <w:bCs/>
          <w:u w:val="single"/>
        </w:rPr>
      </w:pPr>
      <w:r w:rsidRPr="00A67461">
        <w:rPr>
          <w:b/>
          <w:bCs/>
          <w:u w:val="single"/>
        </w:rPr>
        <w:t>Internal Model Templates (S.26.x)</w:t>
      </w:r>
    </w:p>
    <w:p w14:paraId="0071AC60" w14:textId="77777777" w:rsidR="00BA5FF0" w:rsidRPr="00E23703" w:rsidRDefault="00BA5FF0" w:rsidP="00BA5FF0">
      <w:pPr>
        <w:numPr>
          <w:ilvl w:val="0"/>
          <w:numId w:val="24"/>
        </w:numPr>
      </w:pPr>
      <w:r w:rsidRPr="00E23703">
        <w:rPr>
          <w:b/>
          <w:bCs/>
        </w:rPr>
        <w:t>Issues</w:t>
      </w:r>
      <w:r w:rsidRPr="00E23703">
        <w:t>:</w:t>
      </w:r>
    </w:p>
    <w:p w14:paraId="23EE835E" w14:textId="77777777" w:rsidR="00BA5FF0" w:rsidRDefault="00BA5FF0" w:rsidP="00BA5FF0">
      <w:pPr>
        <w:numPr>
          <w:ilvl w:val="1"/>
          <w:numId w:val="24"/>
        </w:numPr>
      </w:pPr>
      <w:r w:rsidRPr="00E23703">
        <w:t>Excessive detail and reporting.</w:t>
      </w:r>
    </w:p>
    <w:p w14:paraId="1032723D" w14:textId="77777777" w:rsidR="00BA5FF0" w:rsidRPr="00E23703" w:rsidRDefault="00BA5FF0" w:rsidP="00BA5FF0">
      <w:pPr>
        <w:numPr>
          <w:ilvl w:val="1"/>
          <w:numId w:val="24"/>
        </w:numPr>
      </w:pPr>
      <w:r w:rsidRPr="00D80C9C">
        <w:rPr>
          <w:lang w:val="en-US"/>
        </w:rPr>
        <w:t>Does EIOPA use all the</w:t>
      </w:r>
      <w:r>
        <w:rPr>
          <w:lang w:val="en-US"/>
        </w:rPr>
        <w:t xml:space="preserve"> information provided as part of QRTs </w:t>
      </w:r>
      <w:r w:rsidRPr="00D80C9C">
        <w:rPr>
          <w:lang w:val="en-US"/>
        </w:rPr>
        <w:t>S26 equally</w:t>
      </w:r>
      <w:r>
        <w:rPr>
          <w:lang w:val="en-US"/>
        </w:rPr>
        <w:t>?</w:t>
      </w:r>
    </w:p>
    <w:p w14:paraId="7A5538E7" w14:textId="77777777" w:rsidR="00BA5FF0" w:rsidRPr="00E23703" w:rsidRDefault="00BA5FF0" w:rsidP="00BA5FF0">
      <w:pPr>
        <w:numPr>
          <w:ilvl w:val="0"/>
          <w:numId w:val="24"/>
        </w:numPr>
      </w:pPr>
      <w:r w:rsidRPr="00E23703">
        <w:rPr>
          <w:b/>
          <w:bCs/>
        </w:rPr>
        <w:t>Proposals</w:t>
      </w:r>
      <w:r w:rsidRPr="00E23703">
        <w:t>:</w:t>
      </w:r>
    </w:p>
    <w:p w14:paraId="3274FAF4" w14:textId="77777777" w:rsidR="00BA5FF0" w:rsidRDefault="00BA5FF0" w:rsidP="00BA5FF0">
      <w:pPr>
        <w:numPr>
          <w:ilvl w:val="1"/>
          <w:numId w:val="24"/>
        </w:numPr>
      </w:pPr>
      <w:r>
        <w:t>Consider requiring this level of detail for the SCR calculations in the annual reporting (i.e. more granular than the S.25 level of detail) only when certain thresholds are met, e.g., where a sub-module does not represent more than 5% BSCR or sub-modules collectively do not represent more than 10% of BSCR, these reports should only be submitted every three years as they could be considered as immaterial</w:t>
      </w:r>
    </w:p>
    <w:p w14:paraId="4CCC3CA1" w14:textId="77777777" w:rsidR="00BA5FF0" w:rsidRDefault="00BA5FF0" w:rsidP="00BA5FF0">
      <w:pPr>
        <w:numPr>
          <w:ilvl w:val="1"/>
          <w:numId w:val="24"/>
        </w:numPr>
      </w:pPr>
      <w:r>
        <w:t>Alternatively, only consider requiring the level of detail in S.26 in the annual reporting, if the SCR sub-modules covered change with +/-5% when compared to last year</w:t>
      </w:r>
    </w:p>
    <w:p w14:paraId="523ECC19" w14:textId="77777777" w:rsidR="00BA5FF0" w:rsidRDefault="00BA5FF0" w:rsidP="00BA5FF0">
      <w:pPr>
        <w:numPr>
          <w:ilvl w:val="1"/>
          <w:numId w:val="24"/>
        </w:numPr>
      </w:pPr>
      <w:r w:rsidRPr="00E23703">
        <w:t>Move to triennial reporting for immaterial sub-modules.</w:t>
      </w:r>
    </w:p>
    <w:p w14:paraId="25754A3E" w14:textId="77777777" w:rsidR="00DD30B7" w:rsidRDefault="00DD30B7" w:rsidP="00DB66BF">
      <w:pPr>
        <w:rPr>
          <w:b/>
          <w:bCs/>
        </w:rPr>
      </w:pPr>
    </w:p>
    <w:p w14:paraId="1FD1AEDF" w14:textId="101C732A" w:rsidR="00DD30B7" w:rsidRPr="00DD30B7" w:rsidRDefault="00DD30B7" w:rsidP="00DD30B7">
      <w:r w:rsidRPr="00DD30B7">
        <w:rPr>
          <w:rFonts w:eastAsia="Verdana" w:cs="Verdana"/>
          <w:b/>
          <w:bCs/>
          <w:color w:val="000000" w:themeColor="text1"/>
          <w:szCs w:val="17"/>
        </w:rPr>
        <w:t>26.09.01 Internal model: Market and Credit risk - for financial instruments</w:t>
      </w:r>
    </w:p>
    <w:p w14:paraId="4A2E5756" w14:textId="77777777" w:rsidR="00DD30B7" w:rsidRPr="00DD30B7" w:rsidRDefault="00DD30B7" w:rsidP="00DD30B7">
      <w:r w:rsidRPr="00DD30B7">
        <w:rPr>
          <w:rFonts w:eastAsia="Verdana" w:cs="Verdana"/>
          <w:color w:val="000000" w:themeColor="text1"/>
          <w:szCs w:val="17"/>
        </w:rPr>
        <w:t xml:space="preserve"> </w:t>
      </w:r>
    </w:p>
    <w:p w14:paraId="6ED94C2A" w14:textId="77777777" w:rsidR="00DD30B7" w:rsidRPr="00DD30B7" w:rsidRDefault="00DD30B7" w:rsidP="00DD30B7">
      <w:pPr>
        <w:pStyle w:val="CEABullet-Level1"/>
      </w:pPr>
      <w:r w:rsidRPr="00DD30B7">
        <w:rPr>
          <w:rFonts w:eastAsia="Verdana"/>
        </w:rPr>
        <w:t xml:space="preserve">Table: </w:t>
      </w:r>
      <w:r w:rsidRPr="00DD30B7">
        <w:rPr>
          <w:rFonts w:eastAsia="Verdana"/>
          <w:u w:val="single"/>
        </w:rPr>
        <w:t>26.09.01.03</w:t>
      </w:r>
      <w:r w:rsidRPr="00DD30B7">
        <w:rPr>
          <w:rFonts w:eastAsia="Verdana"/>
        </w:rPr>
        <w:t xml:space="preserve"> Market &amp; credit risk and sensitivities - sensitivities values</w:t>
      </w:r>
    </w:p>
    <w:p w14:paraId="214BE3DE" w14:textId="77777777" w:rsidR="00DD30B7" w:rsidRPr="00DD30B7" w:rsidRDefault="00DD30B7" w:rsidP="00DD30B7">
      <w:pPr>
        <w:pStyle w:val="Odsekzoznamu"/>
        <w:numPr>
          <w:ilvl w:val="0"/>
          <w:numId w:val="4"/>
        </w:numPr>
        <w:ind w:left="1068"/>
        <w:rPr>
          <w:rFonts w:eastAsia="Verdana" w:cs="Verdana"/>
          <w:color w:val="000000" w:themeColor="text1"/>
          <w:lang w:val="en-US"/>
        </w:rPr>
      </w:pPr>
      <w:r w:rsidRPr="00DD30B7">
        <w:rPr>
          <w:rFonts w:eastAsia="Verdana" w:cs="Verdana"/>
          <w:b/>
          <w:bCs/>
          <w:color w:val="000000" w:themeColor="text1"/>
        </w:rPr>
        <w:t xml:space="preserve">Provide </w:t>
      </w:r>
      <w:r w:rsidRPr="00DD30B7">
        <w:rPr>
          <w:rFonts w:eastAsia="Verdana" w:cs="Verdana"/>
          <w:b/>
          <w:bCs/>
          <w:color w:val="000000" w:themeColor="text1"/>
          <w:lang w:val="en-US"/>
        </w:rPr>
        <w:t>one set of sensitivities for each risk factor:</w:t>
      </w:r>
    </w:p>
    <w:p w14:paraId="777171D2" w14:textId="77777777" w:rsidR="00DD30B7" w:rsidRPr="00DD30B7" w:rsidRDefault="00DD30B7" w:rsidP="00DD30B7">
      <w:pPr>
        <w:pStyle w:val="Odsekzoznamu"/>
        <w:numPr>
          <w:ilvl w:val="1"/>
          <w:numId w:val="4"/>
        </w:numPr>
        <w:ind w:left="1788"/>
        <w:rPr>
          <w:rFonts w:eastAsia="Verdana" w:cs="Verdana"/>
          <w:color w:val="000000" w:themeColor="text1"/>
          <w:lang w:val="en-US"/>
        </w:rPr>
      </w:pPr>
      <w:r w:rsidRPr="00DD30B7">
        <w:rPr>
          <w:rFonts w:eastAsia="Verdana" w:cs="Verdana"/>
          <w:color w:val="000000" w:themeColor="text1"/>
          <w:lang w:val="en-US"/>
        </w:rPr>
        <w:t>Interest Rate: only "+/-100" to be retained, instead of "+/-100 and +/-50" (remove R0240 and R0250)</w:t>
      </w:r>
    </w:p>
    <w:p w14:paraId="56286BA4" w14:textId="77777777" w:rsidR="00DD30B7" w:rsidRPr="00DD30B7" w:rsidRDefault="00DD30B7" w:rsidP="00DD30B7">
      <w:pPr>
        <w:pStyle w:val="Odsekzoznamu"/>
        <w:numPr>
          <w:ilvl w:val="1"/>
          <w:numId w:val="4"/>
        </w:numPr>
        <w:ind w:left="1788"/>
        <w:rPr>
          <w:rFonts w:eastAsia="Verdana" w:cs="Verdana"/>
          <w:color w:val="000000" w:themeColor="text1"/>
          <w:lang w:val="en-US"/>
        </w:rPr>
      </w:pPr>
      <w:r w:rsidRPr="00DD30B7">
        <w:rPr>
          <w:rFonts w:eastAsia="Verdana" w:cs="Verdana"/>
          <w:color w:val="000000" w:themeColor="text1"/>
          <w:lang w:val="en-US"/>
        </w:rPr>
        <w:t>Interest Rate Volatility: only "+/-25%" to be retained, instead of "+/-25% and +/-20bp" (remove R0430 and R0450)</w:t>
      </w:r>
    </w:p>
    <w:p w14:paraId="67B65136" w14:textId="77777777" w:rsidR="00DD30B7" w:rsidRPr="00DD30B7" w:rsidRDefault="00DD30B7" w:rsidP="00DD30B7">
      <w:pPr>
        <w:ind w:left="1068" w:hanging="360"/>
        <w:rPr>
          <w:rFonts w:eastAsia="Verdana" w:cs="Verdana"/>
          <w:color w:val="000000" w:themeColor="text1"/>
          <w:lang w:val="en-US"/>
        </w:rPr>
      </w:pPr>
    </w:p>
    <w:p w14:paraId="58566E44" w14:textId="77777777" w:rsidR="00DD30B7" w:rsidRPr="00DD30B7" w:rsidRDefault="00DD30B7" w:rsidP="00BA5FF0">
      <w:pPr>
        <w:pStyle w:val="CEABullet-Level1"/>
        <w:numPr>
          <w:ilvl w:val="1"/>
          <w:numId w:val="1"/>
        </w:numPr>
        <w:rPr>
          <w:rFonts w:eastAsia="Verdana"/>
          <w:lang w:val="en-US"/>
        </w:rPr>
      </w:pPr>
      <w:r w:rsidRPr="00DD30B7">
        <w:rPr>
          <w:rFonts w:eastAsia="Verdana"/>
          <w:lang w:val="en-US"/>
        </w:rPr>
        <w:t xml:space="preserve">Rationale: An approximation of the excluded sensitivities can be derived from the retained sensitivities  </w:t>
      </w:r>
    </w:p>
    <w:p w14:paraId="06D104E4" w14:textId="77777777" w:rsidR="00DD30B7" w:rsidRPr="00DD30B7" w:rsidRDefault="00DD30B7" w:rsidP="00DD30B7">
      <w:pPr>
        <w:ind w:left="1068" w:hanging="360"/>
      </w:pPr>
      <w:r w:rsidRPr="00DD30B7">
        <w:rPr>
          <w:rFonts w:eastAsia="Verdana" w:cs="Verdana"/>
          <w:color w:val="000000" w:themeColor="text1"/>
          <w:lang w:val="en-US"/>
        </w:rPr>
        <w:t xml:space="preserve">                if required.</w:t>
      </w:r>
      <w:r w:rsidRPr="00DD30B7">
        <w:rPr>
          <w:rFonts w:eastAsia="Verdana" w:cs="Verdana"/>
          <w:b/>
          <w:bCs/>
          <w:color w:val="000000" w:themeColor="text1"/>
          <w:szCs w:val="17"/>
        </w:rPr>
        <w:t xml:space="preserve"> </w:t>
      </w:r>
    </w:p>
    <w:p w14:paraId="1BB55EAB" w14:textId="77777777" w:rsidR="00DD30B7" w:rsidRPr="00DD30B7" w:rsidRDefault="00DD30B7" w:rsidP="00DD30B7">
      <w:pPr>
        <w:rPr>
          <w:rFonts w:eastAsia="Verdana" w:cs="Verdana"/>
          <w:b/>
          <w:bCs/>
          <w:color w:val="000000" w:themeColor="text1"/>
          <w:szCs w:val="17"/>
        </w:rPr>
      </w:pPr>
    </w:p>
    <w:p w14:paraId="17FD96AC" w14:textId="36A52942" w:rsidR="00DD30B7" w:rsidRPr="00DD30B7" w:rsidRDefault="00DD30B7" w:rsidP="00DD30B7">
      <w:r w:rsidRPr="00DD30B7">
        <w:rPr>
          <w:rFonts w:eastAsia="Verdana" w:cs="Verdana"/>
          <w:b/>
          <w:bCs/>
          <w:color w:val="000000" w:themeColor="text1"/>
          <w:szCs w:val="17"/>
        </w:rPr>
        <w:t xml:space="preserve">26.10.01 Internal model - Credit event risk Portfolio view details </w:t>
      </w:r>
    </w:p>
    <w:p w14:paraId="768A0213" w14:textId="77777777" w:rsidR="00DD30B7" w:rsidRPr="00DD30B7" w:rsidRDefault="00DD30B7" w:rsidP="00DD30B7">
      <w:r w:rsidRPr="00DD30B7">
        <w:rPr>
          <w:rFonts w:eastAsia="Verdana" w:cs="Verdana"/>
          <w:color w:val="000000" w:themeColor="text1"/>
          <w:szCs w:val="17"/>
        </w:rPr>
        <w:t xml:space="preserve"> </w:t>
      </w:r>
    </w:p>
    <w:p w14:paraId="277E7895" w14:textId="77777777" w:rsidR="00DD30B7" w:rsidRPr="00DD30B7" w:rsidRDefault="00DD30B7" w:rsidP="00DD30B7">
      <w:pPr>
        <w:pStyle w:val="CEABullet-Level1"/>
        <w:rPr>
          <w:rFonts w:eastAsia="Verdana"/>
        </w:rPr>
      </w:pPr>
      <w:r w:rsidRPr="00DD30B7">
        <w:rPr>
          <w:rFonts w:eastAsia="Verdana"/>
          <w:u w:val="single"/>
        </w:rPr>
        <w:t>For all tables across the QRT 26.10</w:t>
      </w:r>
      <w:r w:rsidRPr="00DD30B7">
        <w:rPr>
          <w:rFonts w:eastAsia="Verdana"/>
        </w:rPr>
        <w:t xml:space="preserve"> where "Market value" and "Exposure of Default" are required:</w:t>
      </w:r>
    </w:p>
    <w:p w14:paraId="39E4B256"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Replace the two columns "Market Value" and "Exposure at Default" with a single column called "Exposure Measure" and add a table for the entity to describe which exposure measure is used.</w:t>
      </w:r>
    </w:p>
    <w:p w14:paraId="159A6EA7" w14:textId="77777777" w:rsidR="00DD30B7" w:rsidRPr="00DD30B7" w:rsidRDefault="00DD30B7" w:rsidP="00DD30B7">
      <w:pPr>
        <w:pStyle w:val="Odsekzoznamu"/>
        <w:ind w:left="1068"/>
        <w:rPr>
          <w:rFonts w:eastAsia="Verdana" w:cs="Verdana"/>
          <w:b/>
          <w:bCs/>
          <w:color w:val="000000" w:themeColor="text1"/>
        </w:rPr>
      </w:pPr>
    </w:p>
    <w:p w14:paraId="6093B53D" w14:textId="77777777" w:rsidR="00DD30B7" w:rsidRPr="00DD30B7" w:rsidRDefault="00DD30B7" w:rsidP="00BA5FF0">
      <w:pPr>
        <w:pStyle w:val="CEABullet-Level1"/>
        <w:numPr>
          <w:ilvl w:val="1"/>
          <w:numId w:val="1"/>
        </w:numPr>
        <w:rPr>
          <w:rFonts w:eastAsia="Verdana"/>
        </w:rPr>
      </w:pPr>
      <w:r w:rsidRPr="00DD30B7">
        <w:rPr>
          <w:rFonts w:eastAsia="Verdana"/>
        </w:rPr>
        <w:t>Rationale: This change will streamline the reporting, ensuring that the exposure measure that is used for the internal model calculation is aligned with the internal model QRTs.</w:t>
      </w:r>
    </w:p>
    <w:p w14:paraId="1D9CC452" w14:textId="77777777" w:rsidR="00DD30B7" w:rsidRPr="00DD30B7" w:rsidRDefault="00DD30B7" w:rsidP="00DD30B7">
      <w:r w:rsidRPr="00DD30B7">
        <w:rPr>
          <w:rFonts w:eastAsia="Verdana" w:cs="Verdana"/>
          <w:color w:val="000000" w:themeColor="text1"/>
          <w:szCs w:val="17"/>
        </w:rPr>
        <w:t xml:space="preserve"> </w:t>
      </w:r>
    </w:p>
    <w:p w14:paraId="22244B7E" w14:textId="77777777" w:rsidR="00DD30B7" w:rsidRPr="00DD30B7" w:rsidRDefault="00DD30B7" w:rsidP="00BA5FF0">
      <w:pPr>
        <w:pStyle w:val="CEABullet-Level1"/>
      </w:pPr>
      <w:r w:rsidRPr="00DD30B7">
        <w:rPr>
          <w:rFonts w:eastAsia="Verdana"/>
          <w:u w:val="single"/>
        </w:rPr>
        <w:t>Table: 26.10.01.01</w:t>
      </w:r>
      <w:r w:rsidRPr="00DD30B7">
        <w:rPr>
          <w:rFonts w:eastAsia="Verdana"/>
        </w:rPr>
        <w:t xml:space="preserve"> Internal model - Credit event risk Portfolio view details - Impact on SCR (group)</w:t>
      </w:r>
    </w:p>
    <w:p w14:paraId="6570E21C" w14:textId="77777777" w:rsidR="00DD30B7" w:rsidRPr="00DD30B7" w:rsidRDefault="00DD30B7" w:rsidP="00DD30B7">
      <w:r w:rsidRPr="00DD30B7">
        <w:rPr>
          <w:rFonts w:eastAsia="Verdana" w:cs="Verdana"/>
          <w:color w:val="000000" w:themeColor="text1"/>
        </w:rPr>
        <w:t xml:space="preserve">&amp; </w:t>
      </w:r>
      <w:r w:rsidRPr="00DD30B7">
        <w:rPr>
          <w:rFonts w:eastAsia="Verdana" w:cs="Verdana"/>
          <w:color w:val="000000" w:themeColor="text1"/>
          <w:u w:val="single"/>
        </w:rPr>
        <w:t>26.10.01.02</w:t>
      </w:r>
      <w:r w:rsidRPr="00DD30B7">
        <w:rPr>
          <w:rFonts w:eastAsia="Verdana" w:cs="Verdana"/>
          <w:color w:val="000000" w:themeColor="text1"/>
        </w:rPr>
        <w:t xml:space="preserve"> Internal model - Credit event risk Portfolio view details - Impact on SCR (single)</w:t>
      </w:r>
    </w:p>
    <w:p w14:paraId="369F34FF"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Exclude from reporting both tables listing the top 10 counterparties by "Impact on SCR".</w:t>
      </w:r>
    </w:p>
    <w:p w14:paraId="14C0F8E6" w14:textId="77777777" w:rsidR="00DD30B7" w:rsidRPr="00DD30B7" w:rsidRDefault="00DD30B7" w:rsidP="00DD30B7">
      <w:pPr>
        <w:ind w:left="708"/>
        <w:rPr>
          <w:rFonts w:eastAsia="Verdana" w:cs="Verdana"/>
          <w:color w:val="000000" w:themeColor="text1"/>
        </w:rPr>
      </w:pPr>
    </w:p>
    <w:p w14:paraId="4A19565D" w14:textId="77777777" w:rsidR="00DD30B7" w:rsidRPr="00DD30B7" w:rsidRDefault="00DD30B7" w:rsidP="00BA5FF0">
      <w:pPr>
        <w:pStyle w:val="CEABullet-Level1"/>
        <w:numPr>
          <w:ilvl w:val="1"/>
          <w:numId w:val="1"/>
        </w:numPr>
        <w:rPr>
          <w:rFonts w:eastAsia="Verdana"/>
        </w:rPr>
      </w:pPr>
      <w:r w:rsidRPr="00DD30B7">
        <w:rPr>
          <w:rFonts w:eastAsia="Verdana"/>
        </w:rPr>
        <w:t>Rationale: The need to use approximations or the excessive computational effort required to populate these tables, as well as the sensitivity of the top list of counterparties, supports the removal of these tables.</w:t>
      </w:r>
    </w:p>
    <w:p w14:paraId="4912FA36" w14:textId="77777777" w:rsidR="00DD30B7" w:rsidRPr="00DD30B7" w:rsidRDefault="00DD30B7" w:rsidP="00DD30B7">
      <w:r w:rsidRPr="00DD30B7">
        <w:rPr>
          <w:rFonts w:eastAsia="Verdana" w:cs="Verdana"/>
          <w:color w:val="000000" w:themeColor="text1"/>
          <w:szCs w:val="17"/>
        </w:rPr>
        <w:t xml:space="preserve"> </w:t>
      </w:r>
    </w:p>
    <w:p w14:paraId="7815CDF1"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26.10.01.04</w:t>
      </w:r>
      <w:r w:rsidRPr="00DD30B7">
        <w:rPr>
          <w:rFonts w:eastAsia="Verdana"/>
        </w:rPr>
        <w:t xml:space="preserve"> Internal model - credit event risk portfolio view details - market value (single)</w:t>
      </w:r>
    </w:p>
    <w:p w14:paraId="778A9F11"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Exclude the table from reporting.</w:t>
      </w:r>
    </w:p>
    <w:p w14:paraId="1C054D95" w14:textId="77777777" w:rsidR="00DD30B7" w:rsidRPr="00DD30B7" w:rsidRDefault="00DD30B7" w:rsidP="00DD30B7">
      <w:pPr>
        <w:ind w:left="708"/>
        <w:rPr>
          <w:rFonts w:eastAsia="Verdana" w:cs="Verdana"/>
          <w:color w:val="000000" w:themeColor="text1"/>
        </w:rPr>
      </w:pPr>
    </w:p>
    <w:p w14:paraId="127E1118" w14:textId="77777777" w:rsidR="00DD30B7" w:rsidRPr="00DD30B7" w:rsidRDefault="00DD30B7" w:rsidP="00BA5FF0">
      <w:pPr>
        <w:pStyle w:val="CEABullet-Level1"/>
        <w:numPr>
          <w:ilvl w:val="1"/>
          <w:numId w:val="1"/>
        </w:numPr>
        <w:rPr>
          <w:rFonts w:eastAsia="Verdana"/>
        </w:rPr>
      </w:pPr>
      <w:r w:rsidRPr="00DD30B7">
        <w:rPr>
          <w:rFonts w:eastAsia="Verdana"/>
        </w:rPr>
        <w:t>Rationale: This information is largely repetitive of the information provided in the table using the Group view (26.10.03). Additionally, the Group-level view is more appropriate for risk monitoring as subsidiaries may rely on parent-company guarantees.</w:t>
      </w:r>
    </w:p>
    <w:p w14:paraId="09626F88" w14:textId="77777777" w:rsidR="00DD30B7" w:rsidRPr="00DD30B7" w:rsidRDefault="00DD30B7" w:rsidP="00DD30B7">
      <w:pPr>
        <w:ind w:left="708"/>
        <w:rPr>
          <w:rFonts w:eastAsia="Verdana" w:cs="Verdana"/>
          <w:color w:val="000000" w:themeColor="text1"/>
        </w:rPr>
      </w:pPr>
    </w:p>
    <w:p w14:paraId="205D7585" w14:textId="77777777" w:rsidR="00DD30B7" w:rsidRPr="00DD30B7" w:rsidRDefault="00DD30B7" w:rsidP="00DD30B7">
      <w:pPr>
        <w:ind w:left="708"/>
        <w:rPr>
          <w:rFonts w:eastAsia="Verdana" w:cs="Verdana"/>
          <w:color w:val="000000" w:themeColor="text1"/>
        </w:rPr>
      </w:pPr>
    </w:p>
    <w:p w14:paraId="3C72433D" w14:textId="77777777" w:rsidR="00DD30B7" w:rsidRPr="00DD30B7" w:rsidRDefault="00DD30B7" w:rsidP="00DD30B7">
      <w:pPr>
        <w:ind w:left="1068" w:hanging="360"/>
      </w:pPr>
      <w:r w:rsidRPr="00DD30B7">
        <w:rPr>
          <w:rFonts w:eastAsia="Verdana" w:cs="Verdana"/>
          <w:b/>
          <w:bCs/>
          <w:color w:val="000000" w:themeColor="text1"/>
          <w:szCs w:val="17"/>
        </w:rPr>
        <w:t xml:space="preserve"> </w:t>
      </w:r>
    </w:p>
    <w:p w14:paraId="068A3F6C"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26.10.01.05</w:t>
      </w:r>
      <w:r w:rsidRPr="00DD30B7">
        <w:rPr>
          <w:rFonts w:eastAsia="Verdana"/>
        </w:rPr>
        <w:t xml:space="preserve"> Internal model - credit event risk portfolio view details - market value (group)</w:t>
      </w:r>
    </w:p>
    <w:p w14:paraId="00AFD7EC"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Align the split of "Bond and loans" subcategories with the split used in QRT 26.11.01.02.</w:t>
      </w:r>
    </w:p>
    <w:p w14:paraId="74FB295C" w14:textId="77777777" w:rsidR="00DD30B7" w:rsidRPr="00DD30B7" w:rsidRDefault="00DD30B7" w:rsidP="00DD30B7">
      <w:pPr>
        <w:ind w:left="708"/>
        <w:rPr>
          <w:rFonts w:eastAsia="Verdana" w:cs="Verdana"/>
          <w:color w:val="000000" w:themeColor="text1"/>
        </w:rPr>
      </w:pPr>
    </w:p>
    <w:p w14:paraId="626EAA34" w14:textId="77777777" w:rsidR="00DD30B7" w:rsidRPr="00DD30B7" w:rsidRDefault="00DD30B7" w:rsidP="00BA5FF0">
      <w:pPr>
        <w:pStyle w:val="CEABullet-Level1"/>
        <w:numPr>
          <w:ilvl w:val="1"/>
          <w:numId w:val="1"/>
        </w:numPr>
        <w:rPr>
          <w:rFonts w:eastAsia="Verdana"/>
        </w:rPr>
      </w:pPr>
      <w:r w:rsidRPr="00DD30B7">
        <w:rPr>
          <w:rFonts w:eastAsia="Verdana"/>
        </w:rPr>
        <w:t>Rationale: The alignment of the subcategories will allow for reporting simplification, with only one mapping table to be maintained, and consistency of views between QRTs.</w:t>
      </w:r>
    </w:p>
    <w:p w14:paraId="4A8474F7" w14:textId="77777777" w:rsidR="00DD30B7" w:rsidRPr="00DD30B7" w:rsidRDefault="00DD30B7" w:rsidP="00DD30B7">
      <w:r w:rsidRPr="00DD30B7">
        <w:rPr>
          <w:rFonts w:eastAsia="Verdana" w:cs="Verdana"/>
          <w:b/>
          <w:bCs/>
          <w:color w:val="000000" w:themeColor="text1"/>
          <w:szCs w:val="17"/>
        </w:rPr>
        <w:t xml:space="preserve"> </w:t>
      </w:r>
    </w:p>
    <w:p w14:paraId="56880D08" w14:textId="77777777" w:rsidR="00DD30B7" w:rsidRPr="00DD30B7" w:rsidRDefault="00DD30B7" w:rsidP="00DD30B7">
      <w:r w:rsidRPr="00DD30B7">
        <w:rPr>
          <w:rFonts w:eastAsia="Verdana" w:cs="Verdana"/>
          <w:b/>
          <w:bCs/>
          <w:color w:val="000000" w:themeColor="text1"/>
        </w:rPr>
        <w:t>QRT 26.11.01 Internal model - Credit risk details for financial instruments</w:t>
      </w:r>
    </w:p>
    <w:p w14:paraId="3C68DBED" w14:textId="77777777" w:rsidR="00DD30B7" w:rsidRPr="00DD30B7" w:rsidRDefault="00DD30B7" w:rsidP="00DD30B7">
      <w:pPr>
        <w:rPr>
          <w:rFonts w:eastAsia="Verdana" w:cs="Verdana"/>
          <w:color w:val="000000" w:themeColor="text1"/>
        </w:rPr>
      </w:pPr>
    </w:p>
    <w:p w14:paraId="1DC9DBC8"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26.11.01.01</w:t>
      </w:r>
      <w:r w:rsidRPr="00DD30B7">
        <w:rPr>
          <w:rFonts w:eastAsia="Verdana"/>
        </w:rPr>
        <w:t xml:space="preserve"> Credit event risk for financial instruments - Exposure at Default</w:t>
      </w:r>
    </w:p>
    <w:p w14:paraId="64014279"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Change the basis for providing information in the template from "Exposure at Default" to "Exposure measure".</w:t>
      </w:r>
    </w:p>
    <w:p w14:paraId="1F600C5A" w14:textId="77777777" w:rsidR="00DD30B7" w:rsidRPr="00DD30B7" w:rsidRDefault="00DD30B7" w:rsidP="00DD30B7">
      <w:pPr>
        <w:ind w:left="708"/>
        <w:rPr>
          <w:rFonts w:eastAsia="Verdana" w:cs="Verdana"/>
          <w:color w:val="000000" w:themeColor="text1"/>
        </w:rPr>
      </w:pPr>
    </w:p>
    <w:p w14:paraId="42C69DDB" w14:textId="77777777" w:rsidR="00DD30B7" w:rsidRPr="00DD30B7" w:rsidRDefault="00DD30B7" w:rsidP="00BA5FF0">
      <w:pPr>
        <w:pStyle w:val="CEABullet-Level1"/>
        <w:numPr>
          <w:ilvl w:val="1"/>
          <w:numId w:val="1"/>
        </w:numPr>
        <w:rPr>
          <w:rFonts w:eastAsia="Verdana"/>
        </w:rPr>
      </w:pPr>
      <w:r w:rsidRPr="00DD30B7">
        <w:rPr>
          <w:rFonts w:eastAsia="Verdana"/>
        </w:rPr>
        <w:t>Rationale: This change will streamline the reporting, ensuring that the exposure measure that is used for the internal model calculation is aligned with the internal model QRTs.</w:t>
      </w:r>
    </w:p>
    <w:p w14:paraId="58A2A722" w14:textId="77777777" w:rsidR="00DD30B7" w:rsidRPr="00DD30B7" w:rsidRDefault="00DD30B7" w:rsidP="00DD30B7">
      <w:pPr>
        <w:ind w:left="708"/>
      </w:pPr>
      <w:r w:rsidRPr="00DD30B7">
        <w:rPr>
          <w:rFonts w:eastAsia="Verdana" w:cs="Verdana"/>
          <w:color w:val="000000" w:themeColor="text1"/>
          <w:szCs w:val="17"/>
        </w:rPr>
        <w:t xml:space="preserve"> </w:t>
      </w:r>
    </w:p>
    <w:p w14:paraId="72F2B59D"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26.11.01.02</w:t>
      </w:r>
      <w:r w:rsidRPr="00DD30B7">
        <w:rPr>
          <w:rFonts w:eastAsia="Verdana"/>
        </w:rPr>
        <w:t xml:space="preserve"> Internal model - Credit risk details for financial instruments</w:t>
      </w:r>
    </w:p>
    <w:p w14:paraId="642E484F"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Align the split of "Bond and loans" subcategories with the split used in QRT 26.10.01.05.</w:t>
      </w:r>
    </w:p>
    <w:p w14:paraId="5E98FDB3" w14:textId="77777777" w:rsidR="00DD30B7" w:rsidRPr="00DD30B7" w:rsidRDefault="00DD30B7" w:rsidP="00DD30B7">
      <w:pPr>
        <w:ind w:left="708"/>
        <w:rPr>
          <w:rFonts w:eastAsia="Verdana" w:cs="Verdana"/>
          <w:color w:val="000000" w:themeColor="text1"/>
        </w:rPr>
      </w:pPr>
    </w:p>
    <w:p w14:paraId="2E49B7A9" w14:textId="77777777" w:rsidR="00DD30B7" w:rsidRPr="00DD30B7" w:rsidRDefault="00DD30B7" w:rsidP="00BA5FF0">
      <w:pPr>
        <w:pStyle w:val="CEABullet-Level1"/>
        <w:numPr>
          <w:ilvl w:val="1"/>
          <w:numId w:val="1"/>
        </w:numPr>
        <w:rPr>
          <w:rFonts w:eastAsia="Verdana"/>
        </w:rPr>
      </w:pPr>
      <w:r w:rsidRPr="00DD30B7">
        <w:rPr>
          <w:rFonts w:eastAsia="Verdana"/>
        </w:rPr>
        <w:t>Rationale: The alignment of the subcategories will allow for reporting simplification, with only one mapping table to be maintained, and consistency of views between QRTs.</w:t>
      </w:r>
    </w:p>
    <w:p w14:paraId="5D179CFE" w14:textId="77777777" w:rsidR="00DD30B7" w:rsidRPr="00DD30B7" w:rsidRDefault="00DD30B7" w:rsidP="00DD30B7">
      <w:r w:rsidRPr="00DD30B7">
        <w:rPr>
          <w:rFonts w:eastAsia="Verdana" w:cs="Verdana"/>
          <w:b/>
          <w:bCs/>
          <w:color w:val="000000" w:themeColor="text1"/>
          <w:szCs w:val="17"/>
        </w:rPr>
        <w:t xml:space="preserve"> </w:t>
      </w:r>
    </w:p>
    <w:p w14:paraId="6DEEAADD" w14:textId="77777777" w:rsidR="00DD30B7" w:rsidRPr="00DD30B7" w:rsidRDefault="00DD30B7" w:rsidP="00DD30B7">
      <w:r w:rsidRPr="00DD30B7">
        <w:rPr>
          <w:rFonts w:eastAsia="Verdana" w:cs="Verdana"/>
          <w:b/>
          <w:bCs/>
          <w:color w:val="000000" w:themeColor="text1"/>
        </w:rPr>
        <w:t>QRT 26.13.01 Internal model - Non-life &amp; Health NSLT Underwriting risk</w:t>
      </w:r>
    </w:p>
    <w:p w14:paraId="781DE461" w14:textId="77777777" w:rsidR="00DD30B7" w:rsidRPr="00DD30B7" w:rsidRDefault="00DD30B7" w:rsidP="00DD30B7">
      <w:pPr>
        <w:rPr>
          <w:rFonts w:eastAsia="Verdana" w:cs="Verdana"/>
          <w:color w:val="000000" w:themeColor="text1"/>
        </w:rPr>
      </w:pPr>
    </w:p>
    <w:p w14:paraId="2DCF666F" w14:textId="77777777" w:rsidR="00DD30B7" w:rsidRPr="00DD30B7" w:rsidRDefault="00DD30B7" w:rsidP="00BA5FF0">
      <w:pPr>
        <w:pStyle w:val="CEABullet-Level1"/>
        <w:rPr>
          <w:rFonts w:eastAsia="Verdana"/>
        </w:rPr>
      </w:pPr>
      <w:r w:rsidRPr="00DD30B7">
        <w:rPr>
          <w:rFonts w:eastAsia="Verdana"/>
        </w:rPr>
        <w:t xml:space="preserve">Table: </w:t>
      </w:r>
      <w:r w:rsidRPr="00DD30B7">
        <w:rPr>
          <w:rFonts w:eastAsia="Verdana"/>
          <w:u w:val="single"/>
        </w:rPr>
        <w:t>26.13.01.02</w:t>
      </w:r>
      <w:r w:rsidRPr="00DD30B7">
        <w:rPr>
          <w:rFonts w:eastAsia="Verdana"/>
        </w:rPr>
        <w:t xml:space="preserve"> </w:t>
      </w:r>
      <w:proofErr w:type="gramStart"/>
      <w:r w:rsidRPr="00DD30B7">
        <w:rPr>
          <w:rFonts w:eastAsia="Verdana"/>
        </w:rPr>
        <w:t>Non-life</w:t>
      </w:r>
      <w:proofErr w:type="gramEnd"/>
      <w:r w:rsidRPr="00DD30B7">
        <w:rPr>
          <w:rFonts w:eastAsia="Verdana"/>
        </w:rPr>
        <w:t xml:space="preserve"> &amp; health non-SLT - internal lob mapping</w:t>
      </w:r>
    </w:p>
    <w:p w14:paraId="08997A48" w14:textId="77777777" w:rsidR="00DD30B7" w:rsidRPr="00DD30B7" w:rsidRDefault="00DD30B7" w:rsidP="00BA5FF0">
      <w:pPr>
        <w:pStyle w:val="CEABullet-Level1"/>
        <w:rPr>
          <w:rFonts w:eastAsia="Verdana"/>
        </w:rPr>
      </w:pPr>
      <w:r w:rsidRPr="00DD30B7">
        <w:rPr>
          <w:rFonts w:eastAsia="Verdana"/>
        </w:rPr>
        <w:t xml:space="preserve">Table: </w:t>
      </w:r>
      <w:r w:rsidRPr="00DD30B7">
        <w:rPr>
          <w:rFonts w:eastAsia="Verdana"/>
          <w:u w:val="single"/>
        </w:rPr>
        <w:t>26.13.01.04</w:t>
      </w:r>
      <w:r w:rsidRPr="00DD30B7">
        <w:rPr>
          <w:rFonts w:eastAsia="Verdana"/>
        </w:rPr>
        <w:t xml:space="preserve"> </w:t>
      </w:r>
      <w:proofErr w:type="gramStart"/>
      <w:r w:rsidRPr="00DD30B7">
        <w:rPr>
          <w:rFonts w:eastAsia="Verdana"/>
        </w:rPr>
        <w:t>Non-life</w:t>
      </w:r>
      <w:proofErr w:type="gramEnd"/>
      <w:r w:rsidRPr="00DD30B7">
        <w:rPr>
          <w:rFonts w:eastAsia="Verdana"/>
        </w:rPr>
        <w:t xml:space="preserve"> &amp; health non-SLT - reserve risk model data - SII lob</w:t>
      </w:r>
    </w:p>
    <w:p w14:paraId="02F4DA5A" w14:textId="77777777" w:rsidR="00DD30B7" w:rsidRPr="00DD30B7" w:rsidRDefault="00DD30B7" w:rsidP="00BA5FF0">
      <w:pPr>
        <w:pStyle w:val="CEABullet-Level1"/>
        <w:rPr>
          <w:rFonts w:eastAsia="Verdana"/>
        </w:rPr>
      </w:pPr>
      <w:r w:rsidRPr="00DD30B7">
        <w:rPr>
          <w:rFonts w:eastAsia="Verdana"/>
        </w:rPr>
        <w:t xml:space="preserve">Table: </w:t>
      </w:r>
      <w:r w:rsidRPr="00DD30B7">
        <w:rPr>
          <w:rFonts w:eastAsia="Verdana"/>
          <w:u w:val="single"/>
        </w:rPr>
        <w:t>26.13.01.07</w:t>
      </w:r>
      <w:r w:rsidRPr="00DD30B7">
        <w:rPr>
          <w:rFonts w:eastAsia="Verdana"/>
        </w:rPr>
        <w:t xml:space="preserve"> </w:t>
      </w:r>
      <w:proofErr w:type="gramStart"/>
      <w:r w:rsidRPr="00DD30B7">
        <w:rPr>
          <w:rFonts w:eastAsia="Verdana"/>
        </w:rPr>
        <w:t>Non-life</w:t>
      </w:r>
      <w:proofErr w:type="gramEnd"/>
      <w:r w:rsidRPr="00DD30B7">
        <w:rPr>
          <w:rFonts w:eastAsia="Verdana"/>
        </w:rPr>
        <w:t xml:space="preserve"> &amp; health non-SLT - premium risk model data - SII lob</w:t>
      </w:r>
    </w:p>
    <w:p w14:paraId="06695909"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Exclude all three tables from reporting.</w:t>
      </w:r>
    </w:p>
    <w:p w14:paraId="12895370" w14:textId="77777777" w:rsidR="00DD30B7" w:rsidRPr="00DD30B7" w:rsidRDefault="00DD30B7" w:rsidP="00DD30B7">
      <w:pPr>
        <w:pStyle w:val="Odsekzoznamu"/>
        <w:ind w:left="1068"/>
        <w:rPr>
          <w:rFonts w:eastAsia="Verdana" w:cs="Verdana"/>
          <w:b/>
          <w:bCs/>
          <w:color w:val="000000" w:themeColor="text1"/>
        </w:rPr>
      </w:pPr>
    </w:p>
    <w:p w14:paraId="3952BDC1" w14:textId="77777777" w:rsidR="00DD30B7" w:rsidRPr="00DD30B7" w:rsidRDefault="00DD30B7" w:rsidP="00BA5FF0">
      <w:pPr>
        <w:pStyle w:val="CEABullet-Level1"/>
        <w:numPr>
          <w:ilvl w:val="1"/>
          <w:numId w:val="1"/>
        </w:numPr>
        <w:rPr>
          <w:rFonts w:eastAsia="Verdana"/>
        </w:rPr>
      </w:pPr>
      <w:r w:rsidRPr="00DD30B7">
        <w:rPr>
          <w:rFonts w:eastAsia="Verdana"/>
        </w:rPr>
        <w:t>Rationale: Internal lines of business are the primary and fundamental dimensions for internal model reporting, being the only relevant dimensions for internal model QRTs. It is therefore redundant for companies using an internal model to map their internal lines of business to the Solvency II lines of business.</w:t>
      </w:r>
    </w:p>
    <w:p w14:paraId="36466A0C" w14:textId="77777777" w:rsidR="00DD30B7" w:rsidRPr="00DD30B7" w:rsidRDefault="00DD30B7" w:rsidP="00DD30B7">
      <w:pPr>
        <w:rPr>
          <w:rFonts w:eastAsia="Verdana" w:cs="Verdana"/>
          <w:b/>
          <w:bCs/>
          <w:color w:val="000000" w:themeColor="text1"/>
        </w:rPr>
      </w:pPr>
      <w:r w:rsidRPr="00DD30B7">
        <w:rPr>
          <w:rFonts w:eastAsia="Verdana" w:cs="Verdana"/>
          <w:b/>
          <w:bCs/>
          <w:color w:val="000000" w:themeColor="text1"/>
        </w:rPr>
        <w:t xml:space="preserve"> </w:t>
      </w:r>
    </w:p>
    <w:p w14:paraId="465F10BF"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26.13.01.10</w:t>
      </w:r>
      <w:r w:rsidRPr="00DD30B7">
        <w:rPr>
          <w:rFonts w:eastAsia="Verdana"/>
        </w:rPr>
        <w:t xml:space="preserve"> Distribution of losses from catastrophe perils - vendor models - own lines</w:t>
      </w:r>
    </w:p>
    <w:p w14:paraId="481246AE"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Remove "Total Sum Insured" from the table.</w:t>
      </w:r>
    </w:p>
    <w:p w14:paraId="002E4C25" w14:textId="77777777" w:rsidR="00DD30B7" w:rsidRPr="00DD30B7" w:rsidRDefault="00DD30B7" w:rsidP="00DD30B7">
      <w:pPr>
        <w:ind w:left="708"/>
        <w:rPr>
          <w:rFonts w:eastAsia="Verdana" w:cs="Verdana"/>
          <w:color w:val="000000" w:themeColor="text1"/>
        </w:rPr>
      </w:pPr>
    </w:p>
    <w:p w14:paraId="0B2BCD22" w14:textId="77777777" w:rsidR="00DD30B7" w:rsidRPr="00DD30B7" w:rsidRDefault="00DD30B7" w:rsidP="00BA5FF0">
      <w:pPr>
        <w:pStyle w:val="CEABullet-Level1"/>
        <w:numPr>
          <w:ilvl w:val="1"/>
          <w:numId w:val="1"/>
        </w:numPr>
        <w:rPr>
          <w:rFonts w:eastAsia="Verdana"/>
        </w:rPr>
      </w:pPr>
      <w:r w:rsidRPr="00DD30B7">
        <w:rPr>
          <w:rFonts w:eastAsia="Verdana"/>
        </w:rPr>
        <w:t>Rationale: This change will streamline the reporting, ensuring that the exposure measure that is used for the internal model calculation is aligned with the internal model QRTs.</w:t>
      </w:r>
    </w:p>
    <w:p w14:paraId="2A6952D8" w14:textId="77777777" w:rsidR="00DD30B7" w:rsidRPr="00DD30B7" w:rsidRDefault="00DD30B7" w:rsidP="00DD30B7">
      <w:pPr>
        <w:ind w:left="1068" w:hanging="360"/>
      </w:pPr>
      <w:r w:rsidRPr="00DD30B7">
        <w:rPr>
          <w:rFonts w:eastAsia="Verdana" w:cs="Verdana"/>
          <w:color w:val="000000" w:themeColor="text1"/>
          <w:szCs w:val="17"/>
        </w:rPr>
        <w:t xml:space="preserve"> </w:t>
      </w:r>
    </w:p>
    <w:p w14:paraId="259BE0E2" w14:textId="77777777" w:rsidR="00DD30B7" w:rsidRPr="00DD30B7" w:rsidRDefault="00DD30B7" w:rsidP="00BA5FF0">
      <w:pPr>
        <w:pStyle w:val="CEABullet-Level1"/>
      </w:pPr>
      <w:r w:rsidRPr="00DD30B7">
        <w:rPr>
          <w:rFonts w:eastAsia="Verdana"/>
        </w:rPr>
        <w:t>Table:</w:t>
      </w:r>
      <w:r w:rsidRPr="00DD30B7">
        <w:rPr>
          <w:rFonts w:eastAsia="Verdana"/>
          <w:u w:val="single"/>
        </w:rPr>
        <w:t xml:space="preserve"> 26.13.01.11</w:t>
      </w:r>
      <w:r w:rsidRPr="00DD30B7">
        <w:rPr>
          <w:rFonts w:eastAsia="Verdana"/>
        </w:rPr>
        <w:t xml:space="preserve"> Distribution of losses from Catastrophe Perils - Total (property and non-property) business - Own lines</w:t>
      </w:r>
    </w:p>
    <w:p w14:paraId="680F0013"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 xml:space="preserve">Limit the reporting to the "Aggregate of all perils" level, removing further granularity (the "Aggregate of all </w:t>
      </w:r>
      <w:proofErr w:type="spellStart"/>
      <w:r w:rsidRPr="00DD30B7">
        <w:rPr>
          <w:rFonts w:eastAsia="Verdana" w:cs="Verdana"/>
          <w:b/>
          <w:bCs/>
          <w:color w:val="000000" w:themeColor="text1"/>
        </w:rPr>
        <w:t>NatCat</w:t>
      </w:r>
      <w:proofErr w:type="spellEnd"/>
      <w:r w:rsidRPr="00DD30B7">
        <w:rPr>
          <w:rFonts w:eastAsia="Verdana" w:cs="Verdana"/>
          <w:b/>
          <w:bCs/>
          <w:color w:val="000000" w:themeColor="text1"/>
        </w:rPr>
        <w:t>" and "Aggregate of all man-made perils").</w:t>
      </w:r>
    </w:p>
    <w:p w14:paraId="2282C36A" w14:textId="77777777" w:rsidR="00DD30B7" w:rsidRPr="00DD30B7" w:rsidRDefault="00DD30B7" w:rsidP="00DD30B7">
      <w:pPr>
        <w:ind w:left="708"/>
        <w:rPr>
          <w:rFonts w:eastAsia="Verdana" w:cs="Verdana"/>
          <w:color w:val="000000" w:themeColor="text1"/>
        </w:rPr>
      </w:pPr>
    </w:p>
    <w:p w14:paraId="0D8F87E3" w14:textId="77777777" w:rsidR="00DD30B7" w:rsidRPr="00DD30B7" w:rsidRDefault="00DD30B7" w:rsidP="00BA5FF0">
      <w:pPr>
        <w:pStyle w:val="CEABullet-Level1"/>
        <w:numPr>
          <w:ilvl w:val="1"/>
          <w:numId w:val="1"/>
        </w:numPr>
        <w:rPr>
          <w:rFonts w:eastAsia="Verdana"/>
        </w:rPr>
      </w:pPr>
      <w:r w:rsidRPr="00DD30B7">
        <w:rPr>
          <w:rFonts w:eastAsia="Verdana"/>
        </w:rPr>
        <w:t>Rationale: Entities are given the flexibility to report the figures in this table on the basis of their own classes. Enforcing further granularity on internal dimensions creates unnecessary reporting burden.</w:t>
      </w:r>
    </w:p>
    <w:p w14:paraId="565CC2CA" w14:textId="77777777" w:rsidR="00DD30B7" w:rsidRPr="00DD30B7" w:rsidRDefault="00DD30B7" w:rsidP="00DD30B7">
      <w:pPr>
        <w:rPr>
          <w:rFonts w:eastAsia="Verdana" w:cs="Verdana"/>
          <w:color w:val="000000" w:themeColor="text1"/>
        </w:rPr>
      </w:pPr>
    </w:p>
    <w:p w14:paraId="3FA9A97B" w14:textId="77777777" w:rsidR="00DD30B7" w:rsidRPr="00DD30B7" w:rsidRDefault="00DD30B7" w:rsidP="00DD30B7">
      <w:pPr>
        <w:rPr>
          <w:rFonts w:eastAsia="Verdana" w:cs="Verdana"/>
          <w:color w:val="000000" w:themeColor="text1"/>
        </w:rPr>
      </w:pPr>
    </w:p>
    <w:p w14:paraId="6AD7B550"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26.13.01.12</w:t>
      </w:r>
      <w:r w:rsidRPr="00DD30B7">
        <w:rPr>
          <w:rFonts w:eastAsia="Verdana"/>
        </w:rPr>
        <w:t xml:space="preserve"> Distribution of losses from catastrophe perils - premium and sums insured data</w:t>
      </w:r>
    </w:p>
    <w:p w14:paraId="7053B1E6" w14:textId="77777777"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Align the geographical split for Direct Insurance and Reinsurance by applying the Reinsurance categories to both (Europe, North America, Rest of World, Unallocated).</w:t>
      </w:r>
    </w:p>
    <w:p w14:paraId="55DCBDDD" w14:textId="77777777" w:rsidR="00DD30B7" w:rsidRPr="00DD30B7" w:rsidRDefault="00DD30B7" w:rsidP="00DD30B7">
      <w:pPr>
        <w:ind w:left="708"/>
        <w:rPr>
          <w:rFonts w:eastAsia="Verdana" w:cs="Verdana"/>
          <w:color w:val="000000" w:themeColor="text1"/>
        </w:rPr>
      </w:pPr>
    </w:p>
    <w:p w14:paraId="106CA420" w14:textId="77777777" w:rsidR="00DD30B7" w:rsidRPr="00DD30B7" w:rsidRDefault="00DD30B7" w:rsidP="00BA5FF0">
      <w:pPr>
        <w:pStyle w:val="CEABullet-Level1"/>
        <w:numPr>
          <w:ilvl w:val="1"/>
          <w:numId w:val="1"/>
        </w:numPr>
      </w:pPr>
      <w:r w:rsidRPr="00DD30B7">
        <w:rPr>
          <w:rFonts w:eastAsia="Verdana"/>
        </w:rPr>
        <w:t>Rationale: Simplification by mapping alignment.</w:t>
      </w:r>
    </w:p>
    <w:p w14:paraId="32E11520" w14:textId="77777777" w:rsidR="00DD30B7" w:rsidRPr="00DD30B7" w:rsidRDefault="00DD30B7" w:rsidP="00DD30B7">
      <w:r w:rsidRPr="00DD30B7">
        <w:rPr>
          <w:rFonts w:eastAsia="Verdana" w:cs="Verdana"/>
          <w:b/>
          <w:bCs/>
          <w:color w:val="000000" w:themeColor="text1"/>
          <w:szCs w:val="17"/>
        </w:rPr>
        <w:t xml:space="preserve"> </w:t>
      </w:r>
    </w:p>
    <w:p w14:paraId="7FF43A9F" w14:textId="77777777" w:rsidR="00DD30B7" w:rsidRPr="00DD30B7" w:rsidRDefault="00DD30B7" w:rsidP="00DD30B7">
      <w:r w:rsidRPr="00DD30B7">
        <w:rPr>
          <w:rFonts w:eastAsia="Verdana" w:cs="Verdana"/>
          <w:b/>
          <w:bCs/>
          <w:color w:val="000000" w:themeColor="text1"/>
        </w:rPr>
        <w:t>QRT 26.14.01 Internal model - Life and Health underwriting risk</w:t>
      </w:r>
    </w:p>
    <w:p w14:paraId="5779E956" w14:textId="77777777" w:rsidR="00DD30B7" w:rsidRPr="00DD30B7" w:rsidRDefault="00DD30B7" w:rsidP="00DD30B7">
      <w:pPr>
        <w:rPr>
          <w:rFonts w:eastAsia="Verdana" w:cs="Verdana"/>
          <w:color w:val="000000" w:themeColor="text1"/>
        </w:rPr>
      </w:pPr>
    </w:p>
    <w:p w14:paraId="7AF96094"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26.14.01.01</w:t>
      </w:r>
      <w:r w:rsidRPr="00DD30B7">
        <w:rPr>
          <w:rFonts w:eastAsia="Verdana"/>
        </w:rPr>
        <w:t xml:space="preserve"> Life and Health underwriting risk - Life SCR and percentiles</w:t>
      </w:r>
    </w:p>
    <w:p w14:paraId="4BFB13E3" w14:textId="77777777" w:rsidR="00DD30B7" w:rsidRPr="00DD30B7" w:rsidRDefault="00DD30B7" w:rsidP="00BA5FF0">
      <w:pPr>
        <w:pStyle w:val="CEABullet-Level1"/>
      </w:pPr>
      <w:r w:rsidRPr="00DD30B7">
        <w:rPr>
          <w:rFonts w:eastAsia="Verdana"/>
        </w:rPr>
        <w:t xml:space="preserve">Table: </w:t>
      </w:r>
      <w:r w:rsidRPr="00DD30B7">
        <w:rPr>
          <w:rFonts w:eastAsia="Verdana"/>
          <w:u w:val="single"/>
        </w:rPr>
        <w:t>26.14.01.03</w:t>
      </w:r>
      <w:r w:rsidRPr="00DD30B7">
        <w:rPr>
          <w:rFonts w:eastAsia="Verdana"/>
        </w:rPr>
        <w:t xml:space="preserve"> Life and health underwriting risk - health SCR and percentiles</w:t>
      </w:r>
    </w:p>
    <w:p w14:paraId="7A36CAB2" w14:textId="3074F6C1" w:rsidR="00DD30B7" w:rsidRPr="00DD30B7" w:rsidRDefault="00DD30B7" w:rsidP="00DD30B7">
      <w:pPr>
        <w:pStyle w:val="Odsekzoznamu"/>
        <w:numPr>
          <w:ilvl w:val="0"/>
          <w:numId w:val="4"/>
        </w:numPr>
        <w:ind w:left="1068"/>
        <w:rPr>
          <w:rFonts w:eastAsia="Verdana" w:cs="Verdana"/>
          <w:b/>
          <w:bCs/>
          <w:color w:val="000000" w:themeColor="text1"/>
        </w:rPr>
      </w:pPr>
      <w:r w:rsidRPr="00DD30B7">
        <w:rPr>
          <w:rFonts w:eastAsia="Verdana" w:cs="Verdana"/>
          <w:b/>
          <w:bCs/>
          <w:color w:val="000000" w:themeColor="text1"/>
        </w:rPr>
        <w:t>Limit the reporting to the aggregate level</w:t>
      </w:r>
      <w:r w:rsidR="00880F7C">
        <w:rPr>
          <w:rFonts w:eastAsia="Verdana" w:cs="Verdana"/>
          <w:b/>
          <w:bCs/>
          <w:color w:val="000000" w:themeColor="text1"/>
        </w:rPr>
        <w:t>, alternatively delete this template.</w:t>
      </w:r>
    </w:p>
    <w:p w14:paraId="230B09B3" w14:textId="77777777" w:rsidR="00DD30B7" w:rsidRPr="00DD30B7" w:rsidRDefault="00DD30B7" w:rsidP="00DD30B7">
      <w:pPr>
        <w:ind w:left="708"/>
        <w:rPr>
          <w:rFonts w:eastAsia="Verdana" w:cs="Verdana"/>
          <w:color w:val="000000" w:themeColor="text1"/>
        </w:rPr>
      </w:pPr>
    </w:p>
    <w:p w14:paraId="797FD564" w14:textId="77777777" w:rsidR="00DD30B7" w:rsidRPr="00DD30B7" w:rsidRDefault="00DD30B7" w:rsidP="00BA5FF0">
      <w:pPr>
        <w:pStyle w:val="CEABullet-Level1"/>
        <w:numPr>
          <w:ilvl w:val="1"/>
          <w:numId w:val="1"/>
        </w:numPr>
        <w:rPr>
          <w:rFonts w:eastAsia="Verdana"/>
        </w:rPr>
      </w:pPr>
      <w:r w:rsidRPr="00DD30B7">
        <w:rPr>
          <w:rFonts w:eastAsia="Verdana"/>
        </w:rPr>
        <w:t>Rationale: Simplification by removing excessive granularity.</w:t>
      </w:r>
    </w:p>
    <w:p w14:paraId="382A5477" w14:textId="77777777" w:rsidR="00DD30B7" w:rsidRPr="00DD30B7" w:rsidRDefault="00DD30B7" w:rsidP="00DD30B7">
      <w:r w:rsidRPr="00DD30B7">
        <w:rPr>
          <w:rFonts w:eastAsia="Verdana" w:cs="Verdana"/>
          <w:b/>
          <w:bCs/>
          <w:color w:val="000000" w:themeColor="text1"/>
          <w:szCs w:val="17"/>
        </w:rPr>
        <w:t xml:space="preserve"> </w:t>
      </w:r>
    </w:p>
    <w:p w14:paraId="4AF72BE0" w14:textId="77777777" w:rsidR="00DD30B7" w:rsidRPr="00DD30B7" w:rsidRDefault="00DD30B7" w:rsidP="00DD30B7">
      <w:r w:rsidRPr="00DD30B7">
        <w:rPr>
          <w:rFonts w:eastAsia="Verdana" w:cs="Verdana"/>
          <w:b/>
          <w:bCs/>
          <w:color w:val="000000" w:themeColor="text1"/>
          <w:szCs w:val="17"/>
        </w:rPr>
        <w:t xml:space="preserve"> </w:t>
      </w:r>
    </w:p>
    <w:p w14:paraId="075B17A1" w14:textId="77777777" w:rsidR="00DD30B7" w:rsidRPr="00DD30B7" w:rsidRDefault="00DD30B7" w:rsidP="00DD30B7">
      <w:r w:rsidRPr="00DD30B7">
        <w:rPr>
          <w:rFonts w:eastAsia="Verdana" w:cs="Verdana"/>
          <w:b/>
          <w:bCs/>
          <w:color w:val="000000" w:themeColor="text1"/>
          <w:szCs w:val="17"/>
        </w:rPr>
        <w:t>QRT 26.16.01 Internal model - Model Changes</w:t>
      </w:r>
    </w:p>
    <w:p w14:paraId="4CA63A81" w14:textId="37AD2E09" w:rsidR="00DD30B7" w:rsidRPr="00DD30B7" w:rsidRDefault="00D84CAB" w:rsidP="00A67461">
      <w:pPr>
        <w:pStyle w:val="CEABullet-Level1"/>
        <w:rPr>
          <w:rFonts w:eastAsia="Verdana"/>
        </w:rPr>
      </w:pPr>
      <w:r>
        <w:rPr>
          <w:rFonts w:eastAsia="Verdana"/>
          <w:b/>
          <w:bCs/>
        </w:rPr>
        <w:t>Delete</w:t>
      </w:r>
      <w:r w:rsidR="00DD30B7" w:rsidRPr="00D84CAB">
        <w:rPr>
          <w:rFonts w:eastAsia="Verdana"/>
          <w:b/>
          <w:bCs/>
        </w:rPr>
        <w:t xml:space="preserve"> the entire template from reporting</w:t>
      </w:r>
      <w:r w:rsidR="00DD30B7" w:rsidRPr="00DD30B7">
        <w:rPr>
          <w:rFonts w:eastAsia="Verdana"/>
        </w:rPr>
        <w:t>.</w:t>
      </w:r>
    </w:p>
    <w:p w14:paraId="201F377D" w14:textId="77777777" w:rsidR="00DD30B7" w:rsidRPr="00DD30B7" w:rsidRDefault="00DD30B7" w:rsidP="00DD30B7">
      <w:pPr>
        <w:ind w:left="708"/>
        <w:rPr>
          <w:rFonts w:eastAsia="Verdana" w:cs="Verdana"/>
          <w:color w:val="000000" w:themeColor="text1"/>
        </w:rPr>
      </w:pPr>
    </w:p>
    <w:p w14:paraId="68A07AF8" w14:textId="77777777" w:rsidR="00DD30B7" w:rsidRPr="00FE0F82" w:rsidRDefault="00DD30B7" w:rsidP="00A67461">
      <w:pPr>
        <w:pStyle w:val="CEABullet-Level1"/>
        <w:numPr>
          <w:ilvl w:val="1"/>
          <w:numId w:val="1"/>
        </w:numPr>
      </w:pPr>
      <w:r w:rsidRPr="00DD30B7">
        <w:rPr>
          <w:rFonts w:eastAsia="Verdana"/>
        </w:rPr>
        <w:t>Rationale: Internal model changes (minor and major) are subject to extensive reporting to the NSA, where detailed information is provided. This template is therefore entirely redundant to existing requirements.</w:t>
      </w:r>
    </w:p>
    <w:p w14:paraId="7B198373" w14:textId="77777777" w:rsidR="00DD30B7" w:rsidRDefault="00DD30B7" w:rsidP="00DB66BF">
      <w:pPr>
        <w:rPr>
          <w:b/>
          <w:bCs/>
        </w:rPr>
      </w:pPr>
    </w:p>
    <w:p w14:paraId="31DBE649" w14:textId="77777777" w:rsidR="00A67461" w:rsidRDefault="00A67461" w:rsidP="00DB66BF">
      <w:pPr>
        <w:rPr>
          <w:b/>
          <w:bCs/>
        </w:rPr>
      </w:pPr>
    </w:p>
    <w:p w14:paraId="33A603DB" w14:textId="3117DA2B" w:rsidR="00DB66BF" w:rsidRPr="00DB66BF" w:rsidRDefault="00DB66BF" w:rsidP="00DB66BF">
      <w:pPr>
        <w:rPr>
          <w:b/>
          <w:u w:val="single"/>
        </w:rPr>
      </w:pPr>
      <w:r w:rsidRPr="00DB66BF">
        <w:rPr>
          <w:b/>
          <w:u w:val="single"/>
        </w:rPr>
        <w:t>Templates for the Non-Life Business</w:t>
      </w:r>
    </w:p>
    <w:p w14:paraId="02EEAE9C" w14:textId="77777777" w:rsidR="00DB66BF" w:rsidRPr="00DB66BF" w:rsidRDefault="00DB66BF" w:rsidP="00DB66BF">
      <w:r w:rsidRPr="00DB66BF">
        <w:rPr>
          <w:b/>
          <w:bCs/>
        </w:rPr>
        <w:t>(S.14.02, S.14.05, S.16, S.17, S.18, S.19, S.20, S.21.01, S.21.02, S.21.03, S.26.04, S.27)</w:t>
      </w:r>
    </w:p>
    <w:p w14:paraId="19AD5AE6" w14:textId="77777777" w:rsidR="00DB66BF" w:rsidRPr="00DB66BF" w:rsidRDefault="00DB66BF" w:rsidP="00DB66BF">
      <w:pPr>
        <w:pStyle w:val="CEABullet-Level1"/>
        <w:rPr>
          <w:b/>
          <w:bCs/>
        </w:rPr>
      </w:pPr>
      <w:r w:rsidRPr="00DB66BF">
        <w:rPr>
          <w:b/>
          <w:bCs/>
        </w:rPr>
        <w:t>Issues:</w:t>
      </w:r>
    </w:p>
    <w:p w14:paraId="2A84D894" w14:textId="77777777" w:rsidR="00DB66BF" w:rsidRPr="00DB66BF" w:rsidRDefault="00DB66BF" w:rsidP="00DB66BF">
      <w:pPr>
        <w:pStyle w:val="CEABullet-Level1"/>
        <w:numPr>
          <w:ilvl w:val="1"/>
          <w:numId w:val="1"/>
        </w:numPr>
      </w:pPr>
      <w:r w:rsidRPr="00DB66BF">
        <w:t>Reporting requirements do not allow for exclusions of immaterial products, leading to unnecessary reporting efforts for non-material data.</w:t>
      </w:r>
    </w:p>
    <w:p w14:paraId="45755C47" w14:textId="77777777" w:rsidR="00DB66BF" w:rsidRPr="00DB66BF" w:rsidRDefault="00DB66BF" w:rsidP="00DB66BF">
      <w:pPr>
        <w:pStyle w:val="CEABullet-Level1"/>
        <w:numPr>
          <w:ilvl w:val="1"/>
          <w:numId w:val="1"/>
        </w:numPr>
      </w:pPr>
      <w:r w:rsidRPr="00DB66BF">
        <w:t>The absence of materiality thresholds results in significant reporting burdens for non-life business that contributes minimally to solvency risk.</w:t>
      </w:r>
    </w:p>
    <w:p w14:paraId="4261DBF5" w14:textId="77777777" w:rsidR="00DB66BF" w:rsidRPr="00DB66BF" w:rsidRDefault="00DB66BF" w:rsidP="00DB66BF">
      <w:pPr>
        <w:pStyle w:val="CEABullet-Level1"/>
        <w:numPr>
          <w:ilvl w:val="1"/>
          <w:numId w:val="1"/>
        </w:numPr>
      </w:pPr>
      <w:r w:rsidRPr="00DB66BF">
        <w:t xml:space="preserve">Some templates, such as </w:t>
      </w:r>
      <w:r w:rsidRPr="00DB66BF">
        <w:rPr>
          <w:b/>
          <w:bCs/>
        </w:rPr>
        <w:t>S.19</w:t>
      </w:r>
      <w:r w:rsidRPr="00DB66BF">
        <w:t xml:space="preserve">, </w:t>
      </w:r>
      <w:r w:rsidRPr="00DB66BF">
        <w:rPr>
          <w:b/>
          <w:bCs/>
        </w:rPr>
        <w:t>S.20</w:t>
      </w:r>
      <w:r w:rsidRPr="00DB66BF">
        <w:t xml:space="preserve">, and </w:t>
      </w:r>
      <w:r w:rsidRPr="00DB66BF">
        <w:rPr>
          <w:b/>
          <w:bCs/>
        </w:rPr>
        <w:t>S.21</w:t>
      </w:r>
      <w:r w:rsidRPr="00DB66BF">
        <w:t>, do not provide core Solvency II information, raising questions about their supervisory value.</w:t>
      </w:r>
    </w:p>
    <w:p w14:paraId="3F40252A" w14:textId="77777777" w:rsidR="00DB66BF" w:rsidRPr="00DB66BF" w:rsidRDefault="00DB66BF" w:rsidP="00DB66BF">
      <w:pPr>
        <w:pStyle w:val="CEABullet-Level1"/>
        <w:numPr>
          <w:ilvl w:val="1"/>
          <w:numId w:val="1"/>
        </w:numPr>
      </w:pPr>
      <w:r w:rsidRPr="00DB66BF">
        <w:t>New QRTs implemented from 4Q2023 lack clear instructions for completing fields, increasing complexity and reporting errors.</w:t>
      </w:r>
    </w:p>
    <w:p w14:paraId="1ADE89F6" w14:textId="3D6FA31B" w:rsidR="00DB66BF" w:rsidRPr="00DB66BF" w:rsidRDefault="003E5D0F" w:rsidP="00DB66BF">
      <w:pPr>
        <w:pStyle w:val="CEABullet-Level1"/>
        <w:numPr>
          <w:ilvl w:val="1"/>
          <w:numId w:val="1"/>
        </w:numPr>
      </w:pPr>
      <w:r>
        <w:t>In case of quarterly frequency, t</w:t>
      </w:r>
      <w:r w:rsidR="00DB66BF" w:rsidRPr="00DB66BF">
        <w:t>he current reporting frequency</w:t>
      </w:r>
      <w:r w:rsidR="00DB66BF" w:rsidRPr="00DB66BF" w:rsidDel="00A5072A">
        <w:t xml:space="preserve">, </w:t>
      </w:r>
      <w:r w:rsidR="00DB66BF" w:rsidRPr="00DB66BF">
        <w:t>is excessive and adds to the workload unnecessarily.</w:t>
      </w:r>
    </w:p>
    <w:p w14:paraId="665F63B4" w14:textId="77777777" w:rsidR="00DB66BF" w:rsidRPr="00DB66BF" w:rsidRDefault="00DB66BF" w:rsidP="00DB66BF">
      <w:pPr>
        <w:pStyle w:val="CEABullet-Level1"/>
        <w:rPr>
          <w:b/>
          <w:bCs/>
        </w:rPr>
      </w:pPr>
      <w:r w:rsidRPr="00DB66BF">
        <w:rPr>
          <w:b/>
          <w:bCs/>
        </w:rPr>
        <w:t>Proposals:</w:t>
      </w:r>
    </w:p>
    <w:p w14:paraId="7480D936" w14:textId="77777777" w:rsidR="00DB66BF" w:rsidRPr="00DB66BF" w:rsidRDefault="00DB66BF" w:rsidP="00DB66BF">
      <w:pPr>
        <w:pStyle w:val="CEABullet-Level1"/>
        <w:numPr>
          <w:ilvl w:val="1"/>
          <w:numId w:val="1"/>
        </w:numPr>
      </w:pPr>
      <w:r w:rsidRPr="00DB66BF">
        <w:t>Allow immaterial products to be excluded from reporting or reported only in an aggregated format.</w:t>
      </w:r>
    </w:p>
    <w:p w14:paraId="0E19F13E" w14:textId="77777777" w:rsidR="00DB66BF" w:rsidRPr="00DB66BF" w:rsidRDefault="00DB66BF" w:rsidP="00DB66BF">
      <w:pPr>
        <w:pStyle w:val="CEABullet-Level1"/>
        <w:numPr>
          <w:ilvl w:val="1"/>
          <w:numId w:val="1"/>
        </w:numPr>
      </w:pPr>
      <w:r w:rsidRPr="00DB66BF">
        <w:t>Introduce materiality thresholds for non-life business reporting to focus on significant exposures.</w:t>
      </w:r>
    </w:p>
    <w:p w14:paraId="14489E7C" w14:textId="77777777" w:rsidR="00DB66BF" w:rsidRPr="00DB66BF" w:rsidRDefault="00DB66BF" w:rsidP="00DB66BF">
      <w:pPr>
        <w:pStyle w:val="CEABullet-Level1"/>
        <w:numPr>
          <w:ilvl w:val="1"/>
          <w:numId w:val="1"/>
        </w:numPr>
      </w:pPr>
      <w:r w:rsidRPr="00DB66BF">
        <w:t>Simplify templates to reduce irrelevant information and workload, focusing on core solvency data.</w:t>
      </w:r>
    </w:p>
    <w:p w14:paraId="40F4AF0C" w14:textId="77777777" w:rsidR="00DB66BF" w:rsidRPr="00DB66BF" w:rsidRDefault="00DB66BF" w:rsidP="00DB66BF">
      <w:pPr>
        <w:pStyle w:val="CEABullet-Level1"/>
        <w:numPr>
          <w:ilvl w:val="1"/>
          <w:numId w:val="1"/>
        </w:numPr>
      </w:pPr>
      <w:r w:rsidRPr="00DB66BF">
        <w:t>Ensure clearer and more comprehensive instructions for completing new QRTs, especially those implemented recently (e.g., from 4Q2023).</w:t>
      </w:r>
    </w:p>
    <w:p w14:paraId="05EC3B73" w14:textId="77777777" w:rsidR="00DB66BF" w:rsidRPr="00DB66BF" w:rsidRDefault="00DB66BF" w:rsidP="00DB66BF">
      <w:pPr>
        <w:pStyle w:val="CEABullet-Level1"/>
        <w:numPr>
          <w:ilvl w:val="1"/>
          <w:numId w:val="1"/>
        </w:numPr>
      </w:pPr>
      <w:r w:rsidRPr="00DB66BF">
        <w:t>Reduce the reporting frequency to once a year for all non-life templates to align with the proportionality principle.</w:t>
      </w:r>
    </w:p>
    <w:p w14:paraId="1B1D7D44" w14:textId="77777777" w:rsidR="003F0B77" w:rsidRDefault="003F0B77" w:rsidP="00F918BF"/>
    <w:p w14:paraId="034E79DD" w14:textId="77777777" w:rsidR="006E49B0" w:rsidRDefault="006E49B0" w:rsidP="00F918BF"/>
    <w:p w14:paraId="75A29716" w14:textId="1BE03F9F" w:rsidR="006E49B0" w:rsidRPr="006E49B0" w:rsidRDefault="006E49B0" w:rsidP="006E49B0">
      <w:pPr>
        <w:rPr>
          <w:b/>
          <w:bCs/>
        </w:rPr>
      </w:pPr>
      <w:r w:rsidRPr="006E49B0">
        <w:rPr>
          <w:b/>
          <w:bCs/>
        </w:rPr>
        <w:t xml:space="preserve">Financial </w:t>
      </w:r>
      <w:r>
        <w:rPr>
          <w:b/>
          <w:bCs/>
        </w:rPr>
        <w:t>s</w:t>
      </w:r>
      <w:r w:rsidRPr="006E49B0">
        <w:rPr>
          <w:b/>
          <w:bCs/>
        </w:rPr>
        <w:t xml:space="preserve">tability </w:t>
      </w:r>
      <w:r>
        <w:rPr>
          <w:b/>
          <w:bCs/>
        </w:rPr>
        <w:t>t</w:t>
      </w:r>
      <w:r w:rsidRPr="006E49B0">
        <w:rPr>
          <w:b/>
          <w:bCs/>
        </w:rPr>
        <w:t>emplates</w:t>
      </w:r>
    </w:p>
    <w:p w14:paraId="798B24CB" w14:textId="77777777" w:rsidR="006E49B0" w:rsidRPr="006E49B0" w:rsidRDefault="006E49B0" w:rsidP="00387BAC">
      <w:pPr>
        <w:pStyle w:val="CEABullet-Level1"/>
        <w:numPr>
          <w:ilvl w:val="0"/>
          <w:numId w:val="35"/>
        </w:numPr>
        <w:rPr>
          <w:b/>
          <w:bCs/>
        </w:rPr>
      </w:pPr>
      <w:r w:rsidRPr="006E49B0">
        <w:rPr>
          <w:b/>
          <w:bCs/>
        </w:rPr>
        <w:t>Issues:</w:t>
      </w:r>
    </w:p>
    <w:p w14:paraId="6A0F7F0C" w14:textId="77777777" w:rsidR="006E49B0" w:rsidRPr="006E49B0" w:rsidRDefault="006E49B0" w:rsidP="00387BAC">
      <w:pPr>
        <w:numPr>
          <w:ilvl w:val="1"/>
          <w:numId w:val="35"/>
        </w:numPr>
      </w:pPr>
      <w:r w:rsidRPr="006E49B0">
        <w:t>The financial stability templates duplicate information already provided in supervisory QRTs, creating redundancy.</w:t>
      </w:r>
    </w:p>
    <w:p w14:paraId="6F89E093" w14:textId="77777777" w:rsidR="006E49B0" w:rsidRPr="006E49B0" w:rsidRDefault="006E49B0" w:rsidP="00387BAC">
      <w:pPr>
        <w:numPr>
          <w:ilvl w:val="1"/>
          <w:numId w:val="35"/>
        </w:numPr>
      </w:pPr>
      <w:r w:rsidRPr="006E49B0">
        <w:t>Reporting requirements are excessively granular and burdensome, particularly for smaller entities with limited financial stability implications.</w:t>
      </w:r>
    </w:p>
    <w:p w14:paraId="177952DA" w14:textId="77777777" w:rsidR="006E49B0" w:rsidRPr="006E49B0" w:rsidRDefault="006E49B0" w:rsidP="00387BAC">
      <w:pPr>
        <w:numPr>
          <w:ilvl w:val="1"/>
          <w:numId w:val="35"/>
        </w:numPr>
      </w:pPr>
      <w:r w:rsidRPr="006E49B0">
        <w:t>The frequency of reporting (e.g., quarterly submissions) is disproportionate, especially given the overlap with annual supervisory reports.</w:t>
      </w:r>
    </w:p>
    <w:p w14:paraId="246C3AF5" w14:textId="77777777" w:rsidR="006E49B0" w:rsidRPr="006E49B0" w:rsidRDefault="006E49B0" w:rsidP="00387BAC">
      <w:pPr>
        <w:numPr>
          <w:ilvl w:val="1"/>
          <w:numId w:val="35"/>
        </w:numPr>
      </w:pPr>
      <w:r w:rsidRPr="006E49B0">
        <w:t>Templates lack materiality thresholds, requiring reporting of data that may have negligible impact on financial stability.</w:t>
      </w:r>
    </w:p>
    <w:p w14:paraId="671E8099" w14:textId="77777777" w:rsidR="006E49B0" w:rsidRPr="006E49B0" w:rsidRDefault="006E49B0" w:rsidP="00387BAC">
      <w:pPr>
        <w:numPr>
          <w:ilvl w:val="1"/>
          <w:numId w:val="35"/>
        </w:numPr>
      </w:pPr>
      <w:r w:rsidRPr="006E49B0">
        <w:t>Some templates, such as S.14.04, S.14.05, S.38, S.39, and S.41, provide limited added value for supervisors in their current format.</w:t>
      </w:r>
    </w:p>
    <w:p w14:paraId="1838653F" w14:textId="77777777" w:rsidR="006E49B0" w:rsidRPr="006E49B0" w:rsidRDefault="006E49B0" w:rsidP="00387BAC">
      <w:pPr>
        <w:pStyle w:val="CEABullet-Level1"/>
        <w:numPr>
          <w:ilvl w:val="0"/>
          <w:numId w:val="35"/>
        </w:numPr>
        <w:rPr>
          <w:b/>
          <w:bCs/>
        </w:rPr>
      </w:pPr>
      <w:r w:rsidRPr="006E49B0">
        <w:rPr>
          <w:b/>
          <w:bCs/>
        </w:rPr>
        <w:t>Proposals:</w:t>
      </w:r>
    </w:p>
    <w:p w14:paraId="4690D86F" w14:textId="77777777" w:rsidR="006E49B0" w:rsidRPr="006E49B0" w:rsidRDefault="006E49B0" w:rsidP="00387BAC">
      <w:pPr>
        <w:numPr>
          <w:ilvl w:val="1"/>
          <w:numId w:val="35"/>
        </w:numPr>
      </w:pPr>
      <w:r w:rsidRPr="006E49B0">
        <w:t>Delete financial stability templates entirely, as the necessary data can be sourced from existing supervisory QRTs, with aggregation handled by entities such as the ECB.</w:t>
      </w:r>
    </w:p>
    <w:p w14:paraId="3DCBFD28" w14:textId="77777777" w:rsidR="006E49B0" w:rsidRPr="006E49B0" w:rsidRDefault="006E49B0" w:rsidP="00387BAC">
      <w:pPr>
        <w:numPr>
          <w:ilvl w:val="1"/>
          <w:numId w:val="35"/>
        </w:numPr>
      </w:pPr>
      <w:r w:rsidRPr="006E49B0">
        <w:t>Integrate essential financial stability data into regular supervisory templates, reducing duplication and ensuring consistency.</w:t>
      </w:r>
    </w:p>
    <w:p w14:paraId="55BBB169" w14:textId="77777777" w:rsidR="006E49B0" w:rsidRPr="006E49B0" w:rsidRDefault="006E49B0" w:rsidP="00387BAC">
      <w:pPr>
        <w:numPr>
          <w:ilvl w:val="1"/>
          <w:numId w:val="35"/>
        </w:numPr>
      </w:pPr>
      <w:r w:rsidRPr="006E49B0">
        <w:t>Introduce materiality thresholds to focus reporting on entities or exposures with significant financial stability implications.</w:t>
      </w:r>
    </w:p>
    <w:p w14:paraId="1C91E6BC" w14:textId="77777777" w:rsidR="006E49B0" w:rsidRPr="006E49B0" w:rsidRDefault="006E49B0" w:rsidP="00387BAC">
      <w:pPr>
        <w:numPr>
          <w:ilvl w:val="1"/>
          <w:numId w:val="35"/>
        </w:numPr>
      </w:pPr>
      <w:r w:rsidRPr="006E49B0">
        <w:t>Reduce the reporting frequency for financial stability templates from quarterly to annual, aligning with proportionality principles.</w:t>
      </w:r>
    </w:p>
    <w:p w14:paraId="244D68C1" w14:textId="3C5DBBCE" w:rsidR="006E49B0" w:rsidRPr="006E49B0" w:rsidRDefault="006E49B0" w:rsidP="00387BAC">
      <w:pPr>
        <w:numPr>
          <w:ilvl w:val="1"/>
          <w:numId w:val="35"/>
        </w:numPr>
      </w:pPr>
      <w:r w:rsidRPr="006E49B0">
        <w:t>Simplify the templates by consolidating fields and aligning with other supervisory requirements to minimi</w:t>
      </w:r>
      <w:r>
        <w:t>s</w:t>
      </w:r>
      <w:r w:rsidRPr="006E49B0">
        <w:t>e reporting efforts.</w:t>
      </w:r>
    </w:p>
    <w:p w14:paraId="6D662781" w14:textId="77777777" w:rsidR="00A7252A" w:rsidRDefault="00A7252A" w:rsidP="00A7252A"/>
    <w:p w14:paraId="7A3AEFBF" w14:textId="77777777" w:rsidR="004C3229" w:rsidRDefault="004C3229" w:rsidP="00F918BF"/>
    <w:p w14:paraId="26953C02" w14:textId="77777777" w:rsidR="00BF0B5E" w:rsidRDefault="00BF0B5E" w:rsidP="003417FE">
      <w:pPr>
        <w:pStyle w:val="CEABullet-Level1"/>
        <w:numPr>
          <w:ilvl w:val="0"/>
          <w:numId w:val="0"/>
        </w:numPr>
        <w:rPr>
          <w:u w:val="single"/>
        </w:rPr>
      </w:pPr>
    </w:p>
    <w:p w14:paraId="4571025B" w14:textId="77777777" w:rsidR="0048650D" w:rsidRPr="00A274F3" w:rsidRDefault="0048650D" w:rsidP="00CF185C">
      <w:pPr>
        <w:pStyle w:val="Nadpis2"/>
      </w:pPr>
      <w:r w:rsidRPr="00A274F3">
        <w:t>Other aspects:</w:t>
      </w:r>
    </w:p>
    <w:p w14:paraId="1B7448E2" w14:textId="77777777" w:rsidR="0048650D" w:rsidRDefault="0048650D" w:rsidP="0048650D">
      <w:pPr>
        <w:pStyle w:val="CEABullet-Level1"/>
        <w:numPr>
          <w:ilvl w:val="0"/>
          <w:numId w:val="0"/>
        </w:numPr>
      </w:pPr>
    </w:p>
    <w:p w14:paraId="571CC830" w14:textId="77777777" w:rsidR="0048650D" w:rsidRPr="005B0675" w:rsidRDefault="0048650D" w:rsidP="0048650D">
      <w:pPr>
        <w:pStyle w:val="CEABullet-Level1"/>
        <w:numPr>
          <w:ilvl w:val="0"/>
          <w:numId w:val="0"/>
        </w:numPr>
        <w:rPr>
          <w:b/>
          <w:bCs/>
        </w:rPr>
      </w:pPr>
      <w:r>
        <w:rPr>
          <w:b/>
          <w:bCs/>
        </w:rPr>
        <w:t>National Reporting Templates (CBI</w:t>
      </w:r>
      <w:r w:rsidRPr="005B0675">
        <w:rPr>
          <w:b/>
          <w:bCs/>
        </w:rPr>
        <w:t xml:space="preserve"> Template</w:t>
      </w:r>
      <w:r>
        <w:rPr>
          <w:b/>
          <w:bCs/>
        </w:rPr>
        <w:t>s</w:t>
      </w:r>
      <w:r w:rsidRPr="005B0675">
        <w:rPr>
          <w:b/>
          <w:bCs/>
        </w:rPr>
        <w:t xml:space="preserve"> </w:t>
      </w:r>
      <w:r>
        <w:rPr>
          <w:b/>
          <w:bCs/>
        </w:rPr>
        <w:t>NST.12 and NST.13)</w:t>
      </w:r>
    </w:p>
    <w:p w14:paraId="6106301F" w14:textId="0638BB39" w:rsidR="0048650D" w:rsidRDefault="0048650D" w:rsidP="0048650D">
      <w:pPr>
        <w:pStyle w:val="CEABullet-Level1"/>
        <w:numPr>
          <w:ilvl w:val="0"/>
          <w:numId w:val="0"/>
        </w:numPr>
      </w:pPr>
      <w:r>
        <w:t xml:space="preserve">Avoid duplication of National Reporting Requirement, e.g., Irish CBI </w:t>
      </w:r>
      <w:r w:rsidRPr="00460857">
        <w:t xml:space="preserve">NST 12 and NST 13 are just re-formatting of data submitted </w:t>
      </w:r>
      <w:r>
        <w:t>as part of</w:t>
      </w:r>
      <w:r w:rsidRPr="00460857">
        <w:t xml:space="preserve"> the QRTs</w:t>
      </w:r>
      <w:r>
        <w:t>.</w:t>
      </w:r>
    </w:p>
    <w:p w14:paraId="174AF89E" w14:textId="77777777" w:rsidR="004C4AD7" w:rsidRDefault="004C4AD7" w:rsidP="0048650D">
      <w:pPr>
        <w:pStyle w:val="CEABullet-Level1"/>
        <w:numPr>
          <w:ilvl w:val="0"/>
          <w:numId w:val="0"/>
        </w:numPr>
      </w:pPr>
    </w:p>
    <w:p w14:paraId="3C8C2253" w14:textId="77777777" w:rsidR="004C4AD7" w:rsidRPr="005B0675" w:rsidRDefault="004C4AD7" w:rsidP="004C4AD7">
      <w:pPr>
        <w:pStyle w:val="CEABullet-Level1"/>
        <w:numPr>
          <w:ilvl w:val="0"/>
          <w:numId w:val="0"/>
        </w:numPr>
        <w:rPr>
          <w:b/>
          <w:bCs/>
        </w:rPr>
      </w:pPr>
      <w:r w:rsidRPr="005B0675">
        <w:rPr>
          <w:b/>
          <w:bCs/>
        </w:rPr>
        <w:t>Template</w:t>
      </w:r>
      <w:r>
        <w:rPr>
          <w:b/>
          <w:bCs/>
        </w:rPr>
        <w:t>– Group reporting</w:t>
      </w:r>
    </w:p>
    <w:p w14:paraId="670D94B4" w14:textId="77777777" w:rsidR="004C4AD7" w:rsidRDefault="004C4AD7" w:rsidP="004C4AD7">
      <w:pPr>
        <w:pStyle w:val="CEABullet-Level1"/>
      </w:pPr>
      <w:r>
        <w:t>Can consideration be given to reducing Group supervision reporting requirements? S.37 Risk Concentration in particular which consumes significant time given the look-through nature of it</w:t>
      </w:r>
    </w:p>
    <w:p w14:paraId="0F0EB355" w14:textId="77777777" w:rsidR="004C4AD7" w:rsidRPr="006D0F7D" w:rsidRDefault="004C4AD7" w:rsidP="004C4AD7">
      <w:pPr>
        <w:pStyle w:val="CEABullet-Level1"/>
        <w:rPr>
          <w:lang w:val="en-US"/>
        </w:rPr>
      </w:pPr>
      <w:r>
        <w:t>Can Group supervision regulators accept home country templates rather than EIOPA templates where Parent resides outside EU? E.g. PRA templates will diverge from CBI from YE 24.</w:t>
      </w:r>
    </w:p>
    <w:p w14:paraId="54BB57FE" w14:textId="77777777" w:rsidR="0048650D" w:rsidRPr="004C4AD7" w:rsidRDefault="0048650D" w:rsidP="0048650D">
      <w:pPr>
        <w:pStyle w:val="CEABullet-Level1"/>
        <w:numPr>
          <w:ilvl w:val="0"/>
          <w:numId w:val="0"/>
        </w:numPr>
        <w:rPr>
          <w:u w:val="single"/>
          <w:lang w:val="en-US"/>
        </w:rPr>
      </w:pPr>
    </w:p>
    <w:sectPr w:rsidR="0048650D" w:rsidRPr="004C4AD7" w:rsidSect="009176FF">
      <w:headerReference w:type="default" r:id="rId11"/>
      <w:footerReference w:type="default" r:id="rId12"/>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92704" w14:textId="77777777" w:rsidR="00EC25A8" w:rsidRDefault="00EC25A8">
      <w:pPr>
        <w:spacing w:line="240" w:lineRule="auto"/>
      </w:pPr>
      <w:r>
        <w:separator/>
      </w:r>
    </w:p>
  </w:endnote>
  <w:endnote w:type="continuationSeparator" w:id="0">
    <w:p w14:paraId="38E0FEA2" w14:textId="77777777" w:rsidR="00EC25A8" w:rsidRDefault="00EC25A8">
      <w:pPr>
        <w:spacing w:line="240" w:lineRule="auto"/>
      </w:pPr>
      <w:r>
        <w:continuationSeparator/>
      </w:r>
    </w:p>
  </w:endnote>
  <w:endnote w:type="continuationNotice" w:id="1">
    <w:p w14:paraId="41D3577D" w14:textId="77777777" w:rsidR="00EC25A8" w:rsidRDefault="00EC25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2111100"/>
      <w:docPartObj>
        <w:docPartGallery w:val="Page Numbers (Bottom of Page)"/>
        <w:docPartUnique/>
      </w:docPartObj>
    </w:sdtPr>
    <w:sdtEndPr/>
    <w:sdtContent>
      <w:p w14:paraId="6CE6B76E" w14:textId="4EFAD523" w:rsidR="00857393" w:rsidRDefault="00857393">
        <w:pPr>
          <w:pStyle w:val="Pta"/>
          <w:jc w:val="right"/>
        </w:pPr>
        <w:r>
          <w:fldChar w:fldCharType="begin"/>
        </w:r>
        <w:r>
          <w:instrText>PAGE   \* MERGEFORMAT</w:instrText>
        </w:r>
        <w:r>
          <w:fldChar w:fldCharType="separate"/>
        </w:r>
        <w:r>
          <w:t>2</w:t>
        </w:r>
        <w:r>
          <w:fldChar w:fldCharType="end"/>
        </w:r>
      </w:p>
    </w:sdtContent>
  </w:sdt>
  <w:p w14:paraId="17DE7E99" w14:textId="77777777" w:rsidR="005B0675" w:rsidRPr="00CD51F6" w:rsidRDefault="005B0675" w:rsidP="004C3CEC">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A2385" w14:textId="77777777" w:rsidR="00EC25A8" w:rsidRDefault="00EC25A8">
      <w:pPr>
        <w:spacing w:line="240" w:lineRule="auto"/>
      </w:pPr>
      <w:r>
        <w:separator/>
      </w:r>
    </w:p>
  </w:footnote>
  <w:footnote w:type="continuationSeparator" w:id="0">
    <w:p w14:paraId="62F58FB6" w14:textId="77777777" w:rsidR="00EC25A8" w:rsidRDefault="00EC25A8">
      <w:pPr>
        <w:spacing w:line="240" w:lineRule="auto"/>
      </w:pPr>
      <w:r>
        <w:continuationSeparator/>
      </w:r>
    </w:p>
  </w:footnote>
  <w:footnote w:type="continuationNotice" w:id="1">
    <w:p w14:paraId="1C406CDC" w14:textId="77777777" w:rsidR="00EC25A8" w:rsidRDefault="00EC25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7E96" w14:textId="4A6A7742" w:rsidR="005B0675" w:rsidRPr="000846C0" w:rsidRDefault="00A7365E" w:rsidP="004C3CEC">
    <w:pPr>
      <w:pStyle w:val="Noparagraphstyle"/>
      <w:jc w:val="right"/>
      <w:rPr>
        <w:sz w:val="18"/>
        <w:szCs w:val="18"/>
      </w:rPr>
    </w:pPr>
    <w:sdt>
      <w:sdtPr>
        <w:rPr>
          <w:rFonts w:ascii="Verdana" w:hAnsi="Verdana"/>
          <w:b/>
          <w:bCs/>
          <w:color w:val="FF0000"/>
          <w:sz w:val="17"/>
          <w:szCs w:val="17"/>
        </w:rPr>
        <w:id w:val="715788042"/>
        <w:docPartObj>
          <w:docPartGallery w:val="Watermarks"/>
          <w:docPartUnique/>
        </w:docPartObj>
      </w:sdtPr>
      <w:sdtEndPr/>
      <w:sdtContent>
        <w:r>
          <w:rPr>
            <w:rFonts w:ascii="Verdana" w:hAnsi="Verdana"/>
            <w:b/>
            <w:bCs/>
            <w:noProof/>
            <w:color w:val="FF0000"/>
            <w:sz w:val="17"/>
            <w:szCs w:val="17"/>
          </w:rPr>
          <w:pict w14:anchorId="07AEF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33EC2" w:rsidRPr="00127A47">
      <w:rPr>
        <w:rFonts w:ascii="Verdana" w:hAnsi="Verdana"/>
        <w:b/>
        <w:bCs/>
        <w:color w:val="FF0000"/>
        <w:sz w:val="17"/>
        <w:szCs w:val="17"/>
      </w:rPr>
      <w:t>Deadline</w:t>
    </w:r>
    <w:r w:rsidR="00933EC2">
      <w:rPr>
        <w:rFonts w:ascii="Verdana" w:hAnsi="Verdana"/>
        <w:b/>
        <w:bCs/>
        <w:color w:val="FF0000"/>
        <w:sz w:val="17"/>
        <w:szCs w:val="17"/>
      </w:rPr>
      <w:t xml:space="preserve"> for feedback:</w:t>
    </w:r>
    <w:r w:rsidR="00933EC2" w:rsidRPr="00127A47">
      <w:rPr>
        <w:rFonts w:ascii="Verdana" w:hAnsi="Verdana"/>
        <w:b/>
        <w:bCs/>
        <w:color w:val="FF0000"/>
        <w:sz w:val="17"/>
        <w:szCs w:val="17"/>
      </w:rPr>
      <w:t xml:space="preserve"> </w:t>
    </w:r>
    <w:r w:rsidR="007B2099">
      <w:rPr>
        <w:rFonts w:ascii="Verdana" w:hAnsi="Verdana"/>
        <w:b/>
        <w:bCs/>
        <w:color w:val="FF0000"/>
        <w:sz w:val="17"/>
        <w:szCs w:val="17"/>
      </w:rPr>
      <w:t>03</w:t>
    </w:r>
    <w:r w:rsidR="00933EC2" w:rsidRPr="00933EC2">
      <w:rPr>
        <w:rFonts w:ascii="Verdana" w:hAnsi="Verdana"/>
        <w:b/>
        <w:bCs/>
        <w:color w:val="FF0000"/>
        <w:sz w:val="17"/>
        <w:szCs w:val="17"/>
      </w:rPr>
      <w:t xml:space="preserve"> </w:t>
    </w:r>
    <w:r w:rsidR="007B2099">
      <w:rPr>
        <w:rFonts w:ascii="Verdana" w:hAnsi="Verdana"/>
        <w:b/>
        <w:bCs/>
        <w:color w:val="FF0000"/>
        <w:sz w:val="17"/>
        <w:szCs w:val="17"/>
      </w:rPr>
      <w:t>December</w:t>
    </w:r>
    <w:r w:rsidR="00933EC2">
      <w:rPr>
        <w:rFonts w:ascii="Verdana" w:hAnsi="Verdana"/>
        <w:b/>
        <w:bCs/>
        <w:color w:val="FF0000"/>
        <w:sz w:val="17"/>
        <w:szCs w:val="17"/>
      </w:rPr>
      <w:t xml:space="preserve"> </w:t>
    </w:r>
    <w:proofErr w:type="spellStart"/>
    <w:r w:rsidR="00933EC2">
      <w:rPr>
        <w:rFonts w:ascii="Verdana" w:hAnsi="Verdana"/>
        <w:b/>
        <w:bCs/>
        <w:color w:val="FF0000"/>
        <w:sz w:val="17"/>
        <w:szCs w:val="17"/>
      </w:rPr>
      <w:t>C</w:t>
    </w:r>
    <w:r w:rsidR="00933EC2" w:rsidRPr="00127A47">
      <w:rPr>
        <w:rFonts w:ascii="Verdana" w:hAnsi="Verdana"/>
        <w:b/>
        <w:bCs/>
        <w:color w:val="FF0000"/>
        <w:sz w:val="17"/>
        <w:szCs w:val="17"/>
      </w:rPr>
      <w:t>o</w:t>
    </w:r>
    <w:r w:rsidR="00933EC2">
      <w:rPr>
        <w:rFonts w:ascii="Verdana" w:hAnsi="Verdana"/>
        <w:b/>
        <w:bCs/>
        <w:color w:val="FF0000"/>
        <w:sz w:val="17"/>
        <w:szCs w:val="17"/>
      </w:rPr>
      <w:t>B</w:t>
    </w:r>
    <w:proofErr w:type="spellEnd"/>
  </w:p>
  <w:p w14:paraId="17DE7E97" w14:textId="77777777" w:rsidR="005B0675" w:rsidRPr="00CD51F6" w:rsidRDefault="009176FF" w:rsidP="004C3CEC">
    <w:pPr>
      <w:pStyle w:val="Noparagraphstyle"/>
      <w:jc w:val="right"/>
      <w:rPr>
        <w:rFonts w:ascii="Arial" w:hAnsi="Arial" w:cs="Arial"/>
        <w:i/>
        <w:iCs/>
        <w:color w:val="034EA2"/>
      </w:rPr>
    </w:pPr>
    <w:r>
      <w:tab/>
    </w:r>
  </w:p>
  <w:p w14:paraId="17DE7E98" w14:textId="77777777" w:rsidR="005B0675" w:rsidRPr="007349E1" w:rsidRDefault="009176FF" w:rsidP="004C3CEC">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7216" behindDoc="0" locked="0" layoutInCell="1" allowOverlap="1" wp14:anchorId="17DE7E9A" wp14:editId="17DE7E9B">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3B76"/>
    <w:multiLevelType w:val="multilevel"/>
    <w:tmpl w:val="978A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4994"/>
    <w:multiLevelType w:val="multilevel"/>
    <w:tmpl w:val="FB0E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3061F"/>
    <w:multiLevelType w:val="multilevel"/>
    <w:tmpl w:val="2124BB4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054071E"/>
    <w:multiLevelType w:val="hybridMultilevel"/>
    <w:tmpl w:val="F3A80FE4"/>
    <w:lvl w:ilvl="0" w:tplc="A0240652">
      <w:start w:val="165"/>
      <w:numFmt w:val="bullet"/>
      <w:pStyle w:val="CEABullet-Level2"/>
      <w:lvlText w:val=""/>
      <w:lvlJc w:val="left"/>
      <w:pPr>
        <w:ind w:left="1800" w:hanging="360"/>
      </w:pPr>
      <w:rPr>
        <w:rFonts w:ascii="Symbol" w:hAnsi="Symbol"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 w15:restartNumberingAfterBreak="0">
    <w:nsid w:val="144F4469"/>
    <w:multiLevelType w:val="multilevel"/>
    <w:tmpl w:val="61E61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70D2"/>
    <w:multiLevelType w:val="multilevel"/>
    <w:tmpl w:val="084C8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0A42"/>
    <w:multiLevelType w:val="multilevel"/>
    <w:tmpl w:val="818A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85FCE"/>
    <w:multiLevelType w:val="hybridMultilevel"/>
    <w:tmpl w:val="3CC8492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83A02"/>
    <w:multiLevelType w:val="multilevel"/>
    <w:tmpl w:val="5148B0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3702B9B"/>
    <w:multiLevelType w:val="multilevel"/>
    <w:tmpl w:val="08DC3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21084"/>
    <w:multiLevelType w:val="multilevel"/>
    <w:tmpl w:val="7EF61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5004D"/>
    <w:multiLevelType w:val="multilevel"/>
    <w:tmpl w:val="8F821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76430"/>
    <w:multiLevelType w:val="multilevel"/>
    <w:tmpl w:val="8EFE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40355"/>
    <w:multiLevelType w:val="multilevel"/>
    <w:tmpl w:val="19CE7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04ED1"/>
    <w:multiLevelType w:val="multilevel"/>
    <w:tmpl w:val="CF2E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13278"/>
    <w:multiLevelType w:val="multilevel"/>
    <w:tmpl w:val="C422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F1F6A"/>
    <w:multiLevelType w:val="multilevel"/>
    <w:tmpl w:val="C82A9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8" w15:restartNumberingAfterBreak="0">
    <w:nsid w:val="44A952ED"/>
    <w:multiLevelType w:val="multilevel"/>
    <w:tmpl w:val="182003B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4AAF55F5"/>
    <w:multiLevelType w:val="multilevel"/>
    <w:tmpl w:val="A0EC0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EED97"/>
    <w:multiLevelType w:val="hybridMultilevel"/>
    <w:tmpl w:val="FFFFFFFF"/>
    <w:lvl w:ilvl="0" w:tplc="2D9AF088">
      <w:start w:val="1"/>
      <w:numFmt w:val="bullet"/>
      <w:lvlText w:val="o"/>
      <w:lvlJc w:val="left"/>
      <w:pPr>
        <w:ind w:left="720" w:hanging="360"/>
      </w:pPr>
      <w:rPr>
        <w:rFonts w:ascii="Symbol" w:hAnsi="Symbol" w:hint="default"/>
      </w:rPr>
    </w:lvl>
    <w:lvl w:ilvl="1" w:tplc="4A7006D6">
      <w:start w:val="1"/>
      <w:numFmt w:val="bullet"/>
      <w:lvlText w:val="o"/>
      <w:lvlJc w:val="left"/>
      <w:pPr>
        <w:ind w:left="1440" w:hanging="360"/>
      </w:pPr>
      <w:rPr>
        <w:rFonts w:ascii="Courier New" w:hAnsi="Courier New" w:hint="default"/>
      </w:rPr>
    </w:lvl>
    <w:lvl w:ilvl="2" w:tplc="A9BC087A">
      <w:start w:val="1"/>
      <w:numFmt w:val="bullet"/>
      <w:lvlText w:val=""/>
      <w:lvlJc w:val="left"/>
      <w:pPr>
        <w:ind w:left="2160" w:hanging="360"/>
      </w:pPr>
      <w:rPr>
        <w:rFonts w:ascii="Wingdings" w:hAnsi="Wingdings" w:hint="default"/>
      </w:rPr>
    </w:lvl>
    <w:lvl w:ilvl="3" w:tplc="9D1CEB5E">
      <w:start w:val="1"/>
      <w:numFmt w:val="bullet"/>
      <w:lvlText w:val=""/>
      <w:lvlJc w:val="left"/>
      <w:pPr>
        <w:ind w:left="2880" w:hanging="360"/>
      </w:pPr>
      <w:rPr>
        <w:rFonts w:ascii="Symbol" w:hAnsi="Symbol" w:hint="default"/>
      </w:rPr>
    </w:lvl>
    <w:lvl w:ilvl="4" w:tplc="0CFEA6EC">
      <w:start w:val="1"/>
      <w:numFmt w:val="bullet"/>
      <w:lvlText w:val="o"/>
      <w:lvlJc w:val="left"/>
      <w:pPr>
        <w:ind w:left="3600" w:hanging="360"/>
      </w:pPr>
      <w:rPr>
        <w:rFonts w:ascii="Courier New" w:hAnsi="Courier New" w:hint="default"/>
      </w:rPr>
    </w:lvl>
    <w:lvl w:ilvl="5" w:tplc="1834FB00">
      <w:start w:val="1"/>
      <w:numFmt w:val="bullet"/>
      <w:lvlText w:val=""/>
      <w:lvlJc w:val="left"/>
      <w:pPr>
        <w:ind w:left="4320" w:hanging="360"/>
      </w:pPr>
      <w:rPr>
        <w:rFonts w:ascii="Wingdings" w:hAnsi="Wingdings" w:hint="default"/>
      </w:rPr>
    </w:lvl>
    <w:lvl w:ilvl="6" w:tplc="DC1E2754">
      <w:start w:val="1"/>
      <w:numFmt w:val="bullet"/>
      <w:lvlText w:val=""/>
      <w:lvlJc w:val="left"/>
      <w:pPr>
        <w:ind w:left="5040" w:hanging="360"/>
      </w:pPr>
      <w:rPr>
        <w:rFonts w:ascii="Symbol" w:hAnsi="Symbol" w:hint="default"/>
      </w:rPr>
    </w:lvl>
    <w:lvl w:ilvl="7" w:tplc="501A471A">
      <w:start w:val="1"/>
      <w:numFmt w:val="bullet"/>
      <w:lvlText w:val="o"/>
      <w:lvlJc w:val="left"/>
      <w:pPr>
        <w:ind w:left="5760" w:hanging="360"/>
      </w:pPr>
      <w:rPr>
        <w:rFonts w:ascii="Courier New" w:hAnsi="Courier New" w:hint="default"/>
      </w:rPr>
    </w:lvl>
    <w:lvl w:ilvl="8" w:tplc="02F0E856">
      <w:start w:val="1"/>
      <w:numFmt w:val="bullet"/>
      <w:lvlText w:val=""/>
      <w:lvlJc w:val="left"/>
      <w:pPr>
        <w:ind w:left="6480" w:hanging="360"/>
      </w:pPr>
      <w:rPr>
        <w:rFonts w:ascii="Wingdings" w:hAnsi="Wingdings" w:hint="default"/>
      </w:rPr>
    </w:lvl>
  </w:abstractNum>
  <w:abstractNum w:abstractNumId="21" w15:restartNumberingAfterBreak="0">
    <w:nsid w:val="4DE062AB"/>
    <w:multiLevelType w:val="multilevel"/>
    <w:tmpl w:val="0B96E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05E20"/>
    <w:multiLevelType w:val="multilevel"/>
    <w:tmpl w:val="7AC20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653B1"/>
    <w:multiLevelType w:val="hybridMultilevel"/>
    <w:tmpl w:val="0CF68B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753068"/>
    <w:multiLevelType w:val="multilevel"/>
    <w:tmpl w:val="7B8C14E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609A3433"/>
    <w:multiLevelType w:val="multilevel"/>
    <w:tmpl w:val="89D2D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801DF"/>
    <w:multiLevelType w:val="multilevel"/>
    <w:tmpl w:val="DF229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17650"/>
    <w:multiLevelType w:val="multilevel"/>
    <w:tmpl w:val="5DCE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C7CE2"/>
    <w:multiLevelType w:val="multilevel"/>
    <w:tmpl w:val="9F80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9E2B88"/>
    <w:multiLevelType w:val="hybridMultilevel"/>
    <w:tmpl w:val="102E05FA"/>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1F3ACF"/>
    <w:multiLevelType w:val="multilevel"/>
    <w:tmpl w:val="B9489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72C93"/>
    <w:multiLevelType w:val="hybridMultilevel"/>
    <w:tmpl w:val="C8D07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7B5B33"/>
    <w:multiLevelType w:val="multilevel"/>
    <w:tmpl w:val="1F7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7B3F50"/>
    <w:multiLevelType w:val="multilevel"/>
    <w:tmpl w:val="57D03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76897"/>
    <w:multiLevelType w:val="multilevel"/>
    <w:tmpl w:val="76B09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798315">
    <w:abstractNumId w:val="29"/>
  </w:num>
  <w:num w:numId="2" w16cid:durableId="1696540115">
    <w:abstractNumId w:val="3"/>
  </w:num>
  <w:num w:numId="3" w16cid:durableId="1469742052">
    <w:abstractNumId w:val="17"/>
  </w:num>
  <w:num w:numId="4" w16cid:durableId="1075591010">
    <w:abstractNumId w:val="20"/>
  </w:num>
  <w:num w:numId="5" w16cid:durableId="376438842">
    <w:abstractNumId w:val="31"/>
  </w:num>
  <w:num w:numId="6" w16cid:durableId="521088332">
    <w:abstractNumId w:val="26"/>
  </w:num>
  <w:num w:numId="7" w16cid:durableId="447621383">
    <w:abstractNumId w:val="4"/>
  </w:num>
  <w:num w:numId="8" w16cid:durableId="438258844">
    <w:abstractNumId w:val="1"/>
  </w:num>
  <w:num w:numId="9" w16cid:durableId="1825122978">
    <w:abstractNumId w:val="33"/>
  </w:num>
  <w:num w:numId="10" w16cid:durableId="1015766754">
    <w:abstractNumId w:val="30"/>
  </w:num>
  <w:num w:numId="11" w16cid:durableId="442261398">
    <w:abstractNumId w:val="25"/>
  </w:num>
  <w:num w:numId="12" w16cid:durableId="903183474">
    <w:abstractNumId w:val="32"/>
  </w:num>
  <w:num w:numId="13" w16cid:durableId="2089767881">
    <w:abstractNumId w:val="10"/>
  </w:num>
  <w:num w:numId="14" w16cid:durableId="269052402">
    <w:abstractNumId w:val="14"/>
  </w:num>
  <w:num w:numId="15" w16cid:durableId="1485389923">
    <w:abstractNumId w:val="13"/>
  </w:num>
  <w:num w:numId="16" w16cid:durableId="787625286">
    <w:abstractNumId w:val="0"/>
  </w:num>
  <w:num w:numId="17" w16cid:durableId="2116056291">
    <w:abstractNumId w:val="19"/>
  </w:num>
  <w:num w:numId="18" w16cid:durableId="74135538">
    <w:abstractNumId w:val="22"/>
  </w:num>
  <w:num w:numId="19" w16cid:durableId="1336297466">
    <w:abstractNumId w:val="9"/>
  </w:num>
  <w:num w:numId="20" w16cid:durableId="1626347570">
    <w:abstractNumId w:val="15"/>
  </w:num>
  <w:num w:numId="21" w16cid:durableId="798259835">
    <w:abstractNumId w:val="12"/>
  </w:num>
  <w:num w:numId="22" w16cid:durableId="150828432">
    <w:abstractNumId w:val="28"/>
  </w:num>
  <w:num w:numId="23" w16cid:durableId="1287202386">
    <w:abstractNumId w:val="6"/>
  </w:num>
  <w:num w:numId="24" w16cid:durableId="1978219311">
    <w:abstractNumId w:val="16"/>
  </w:num>
  <w:num w:numId="25" w16cid:durableId="432552584">
    <w:abstractNumId w:val="27"/>
  </w:num>
  <w:num w:numId="26" w16cid:durableId="1896356607">
    <w:abstractNumId w:val="34"/>
  </w:num>
  <w:num w:numId="27" w16cid:durableId="162479152">
    <w:abstractNumId w:val="21"/>
  </w:num>
  <w:num w:numId="28" w16cid:durableId="243227137">
    <w:abstractNumId w:val="5"/>
  </w:num>
  <w:num w:numId="29" w16cid:durableId="1290284070">
    <w:abstractNumId w:val="11"/>
  </w:num>
  <w:num w:numId="30" w16cid:durableId="618224563">
    <w:abstractNumId w:val="24"/>
  </w:num>
  <w:num w:numId="31" w16cid:durableId="829833461">
    <w:abstractNumId w:val="8"/>
  </w:num>
  <w:num w:numId="32" w16cid:durableId="588122120">
    <w:abstractNumId w:val="2"/>
  </w:num>
  <w:num w:numId="33" w16cid:durableId="2016490765">
    <w:abstractNumId w:val="18"/>
  </w:num>
  <w:num w:numId="34" w16cid:durableId="1502158967">
    <w:abstractNumId w:val="7"/>
  </w:num>
  <w:num w:numId="35" w16cid:durableId="1122309453">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07C4"/>
    <w:rsid w:val="00001759"/>
    <w:rsid w:val="00004D56"/>
    <w:rsid w:val="000129D9"/>
    <w:rsid w:val="00013FBD"/>
    <w:rsid w:val="00014B31"/>
    <w:rsid w:val="000201D6"/>
    <w:rsid w:val="000258F1"/>
    <w:rsid w:val="000260C9"/>
    <w:rsid w:val="00030883"/>
    <w:rsid w:val="00036D04"/>
    <w:rsid w:val="00037504"/>
    <w:rsid w:val="000419AC"/>
    <w:rsid w:val="00042E20"/>
    <w:rsid w:val="000451B4"/>
    <w:rsid w:val="00054685"/>
    <w:rsid w:val="000567DD"/>
    <w:rsid w:val="00073426"/>
    <w:rsid w:val="00075445"/>
    <w:rsid w:val="00075AC0"/>
    <w:rsid w:val="00075FB6"/>
    <w:rsid w:val="00076CD4"/>
    <w:rsid w:val="00080361"/>
    <w:rsid w:val="0008304F"/>
    <w:rsid w:val="00085390"/>
    <w:rsid w:val="000858D5"/>
    <w:rsid w:val="00090B2B"/>
    <w:rsid w:val="00093CDA"/>
    <w:rsid w:val="00093E73"/>
    <w:rsid w:val="00094174"/>
    <w:rsid w:val="00094430"/>
    <w:rsid w:val="000A284A"/>
    <w:rsid w:val="000A30CC"/>
    <w:rsid w:val="000A42F9"/>
    <w:rsid w:val="000A5911"/>
    <w:rsid w:val="000B4AD1"/>
    <w:rsid w:val="000B6323"/>
    <w:rsid w:val="000B641E"/>
    <w:rsid w:val="000C206F"/>
    <w:rsid w:val="000C4495"/>
    <w:rsid w:val="000C4904"/>
    <w:rsid w:val="000C649C"/>
    <w:rsid w:val="000C6C34"/>
    <w:rsid w:val="000C7DD2"/>
    <w:rsid w:val="000D1E2C"/>
    <w:rsid w:val="000D1EC1"/>
    <w:rsid w:val="000D49F7"/>
    <w:rsid w:val="000D4DFD"/>
    <w:rsid w:val="000E3884"/>
    <w:rsid w:val="000F39E0"/>
    <w:rsid w:val="000F6BF1"/>
    <w:rsid w:val="0010378D"/>
    <w:rsid w:val="00104F43"/>
    <w:rsid w:val="001055CA"/>
    <w:rsid w:val="001062CF"/>
    <w:rsid w:val="001077BC"/>
    <w:rsid w:val="001113D9"/>
    <w:rsid w:val="00111C8B"/>
    <w:rsid w:val="00111DD3"/>
    <w:rsid w:val="001126A0"/>
    <w:rsid w:val="0011416E"/>
    <w:rsid w:val="00116535"/>
    <w:rsid w:val="001205E4"/>
    <w:rsid w:val="00120641"/>
    <w:rsid w:val="00122A2F"/>
    <w:rsid w:val="00124831"/>
    <w:rsid w:val="00126E25"/>
    <w:rsid w:val="00126EA3"/>
    <w:rsid w:val="00130431"/>
    <w:rsid w:val="001310DC"/>
    <w:rsid w:val="001363DE"/>
    <w:rsid w:val="00140998"/>
    <w:rsid w:val="00143036"/>
    <w:rsid w:val="0014417E"/>
    <w:rsid w:val="00144D0A"/>
    <w:rsid w:val="00151BE4"/>
    <w:rsid w:val="00155412"/>
    <w:rsid w:val="00156FAD"/>
    <w:rsid w:val="00160F9D"/>
    <w:rsid w:val="00161DCF"/>
    <w:rsid w:val="00170372"/>
    <w:rsid w:val="00171983"/>
    <w:rsid w:val="001741F8"/>
    <w:rsid w:val="00176A71"/>
    <w:rsid w:val="00176EA7"/>
    <w:rsid w:val="00180AC7"/>
    <w:rsid w:val="00185DDF"/>
    <w:rsid w:val="00186207"/>
    <w:rsid w:val="001951C7"/>
    <w:rsid w:val="001A5092"/>
    <w:rsid w:val="001A51D6"/>
    <w:rsid w:val="001B34F2"/>
    <w:rsid w:val="001B52C0"/>
    <w:rsid w:val="001C1EBA"/>
    <w:rsid w:val="001C322D"/>
    <w:rsid w:val="001C3607"/>
    <w:rsid w:val="001D0E90"/>
    <w:rsid w:val="001D318C"/>
    <w:rsid w:val="001D3F39"/>
    <w:rsid w:val="001D57FE"/>
    <w:rsid w:val="001E376C"/>
    <w:rsid w:val="001E708C"/>
    <w:rsid w:val="001E72DD"/>
    <w:rsid w:val="001E73AF"/>
    <w:rsid w:val="001E74F4"/>
    <w:rsid w:val="001E7882"/>
    <w:rsid w:val="001E7BD2"/>
    <w:rsid w:val="0020173D"/>
    <w:rsid w:val="00206B62"/>
    <w:rsid w:val="00206DB7"/>
    <w:rsid w:val="0021107D"/>
    <w:rsid w:val="00211552"/>
    <w:rsid w:val="0021215F"/>
    <w:rsid w:val="0021327A"/>
    <w:rsid w:val="0022230E"/>
    <w:rsid w:val="00225B94"/>
    <w:rsid w:val="002325AC"/>
    <w:rsid w:val="00232F80"/>
    <w:rsid w:val="00233F5D"/>
    <w:rsid w:val="00234D86"/>
    <w:rsid w:val="00235541"/>
    <w:rsid w:val="002356EF"/>
    <w:rsid w:val="0023582A"/>
    <w:rsid w:val="00237088"/>
    <w:rsid w:val="00240156"/>
    <w:rsid w:val="00240AAF"/>
    <w:rsid w:val="0024363D"/>
    <w:rsid w:val="0024549C"/>
    <w:rsid w:val="00252286"/>
    <w:rsid w:val="00253E36"/>
    <w:rsid w:val="00255A4E"/>
    <w:rsid w:val="00255CD2"/>
    <w:rsid w:val="00260873"/>
    <w:rsid w:val="00262078"/>
    <w:rsid w:val="002626F8"/>
    <w:rsid w:val="002641C1"/>
    <w:rsid w:val="00264F98"/>
    <w:rsid w:val="00272430"/>
    <w:rsid w:val="00272968"/>
    <w:rsid w:val="00272CE3"/>
    <w:rsid w:val="002738E0"/>
    <w:rsid w:val="0027391B"/>
    <w:rsid w:val="002747EE"/>
    <w:rsid w:val="00275B2A"/>
    <w:rsid w:val="0027610F"/>
    <w:rsid w:val="002765C7"/>
    <w:rsid w:val="00280179"/>
    <w:rsid w:val="00280BC7"/>
    <w:rsid w:val="0028216A"/>
    <w:rsid w:val="00282D09"/>
    <w:rsid w:val="00284C56"/>
    <w:rsid w:val="00284CDA"/>
    <w:rsid w:val="002856A0"/>
    <w:rsid w:val="00286571"/>
    <w:rsid w:val="00286AEA"/>
    <w:rsid w:val="0029131D"/>
    <w:rsid w:val="00291CF5"/>
    <w:rsid w:val="00292808"/>
    <w:rsid w:val="002929D7"/>
    <w:rsid w:val="00292A3C"/>
    <w:rsid w:val="002937CD"/>
    <w:rsid w:val="002940D3"/>
    <w:rsid w:val="00295060"/>
    <w:rsid w:val="00296800"/>
    <w:rsid w:val="002A0D9E"/>
    <w:rsid w:val="002A5D29"/>
    <w:rsid w:val="002A6C6D"/>
    <w:rsid w:val="002B239A"/>
    <w:rsid w:val="002B74CD"/>
    <w:rsid w:val="002C0C6C"/>
    <w:rsid w:val="002C172D"/>
    <w:rsid w:val="002C1C3C"/>
    <w:rsid w:val="002C1DD3"/>
    <w:rsid w:val="002C5316"/>
    <w:rsid w:val="002C5B0E"/>
    <w:rsid w:val="002C744C"/>
    <w:rsid w:val="002D2F5C"/>
    <w:rsid w:val="002D3761"/>
    <w:rsid w:val="002D692E"/>
    <w:rsid w:val="002D7566"/>
    <w:rsid w:val="002E09CC"/>
    <w:rsid w:val="002E2128"/>
    <w:rsid w:val="002E4D37"/>
    <w:rsid w:val="002E58C4"/>
    <w:rsid w:val="002F301B"/>
    <w:rsid w:val="002F64E6"/>
    <w:rsid w:val="00301DAD"/>
    <w:rsid w:val="0030294C"/>
    <w:rsid w:val="00304153"/>
    <w:rsid w:val="00304398"/>
    <w:rsid w:val="00304D8E"/>
    <w:rsid w:val="00306AEC"/>
    <w:rsid w:val="00306E5A"/>
    <w:rsid w:val="003079FE"/>
    <w:rsid w:val="0031154C"/>
    <w:rsid w:val="00312C3E"/>
    <w:rsid w:val="00331047"/>
    <w:rsid w:val="00332205"/>
    <w:rsid w:val="00332A94"/>
    <w:rsid w:val="00333A0F"/>
    <w:rsid w:val="00334341"/>
    <w:rsid w:val="0033594C"/>
    <w:rsid w:val="00336CB6"/>
    <w:rsid w:val="003371D2"/>
    <w:rsid w:val="00340F4E"/>
    <w:rsid w:val="003417FE"/>
    <w:rsid w:val="003436F9"/>
    <w:rsid w:val="00350DFE"/>
    <w:rsid w:val="00351D1A"/>
    <w:rsid w:val="003557B2"/>
    <w:rsid w:val="00357B8A"/>
    <w:rsid w:val="00366948"/>
    <w:rsid w:val="003775CA"/>
    <w:rsid w:val="003800E6"/>
    <w:rsid w:val="00380C70"/>
    <w:rsid w:val="00383035"/>
    <w:rsid w:val="00384CFE"/>
    <w:rsid w:val="00385720"/>
    <w:rsid w:val="00385BD1"/>
    <w:rsid w:val="003872FE"/>
    <w:rsid w:val="00387BAC"/>
    <w:rsid w:val="00390EB3"/>
    <w:rsid w:val="00394C8D"/>
    <w:rsid w:val="003A1D0A"/>
    <w:rsid w:val="003A1E93"/>
    <w:rsid w:val="003A2455"/>
    <w:rsid w:val="003A5116"/>
    <w:rsid w:val="003B3339"/>
    <w:rsid w:val="003B70CC"/>
    <w:rsid w:val="003B70DE"/>
    <w:rsid w:val="003B7285"/>
    <w:rsid w:val="003C28B8"/>
    <w:rsid w:val="003C5D57"/>
    <w:rsid w:val="003D22A4"/>
    <w:rsid w:val="003D2A8F"/>
    <w:rsid w:val="003D4190"/>
    <w:rsid w:val="003D41DC"/>
    <w:rsid w:val="003D785D"/>
    <w:rsid w:val="003E5BC4"/>
    <w:rsid w:val="003E5D0F"/>
    <w:rsid w:val="003E79A7"/>
    <w:rsid w:val="003E7C44"/>
    <w:rsid w:val="003F0850"/>
    <w:rsid w:val="003F0B77"/>
    <w:rsid w:val="003F10D7"/>
    <w:rsid w:val="003F33BB"/>
    <w:rsid w:val="003F3D4C"/>
    <w:rsid w:val="003F4353"/>
    <w:rsid w:val="004004DA"/>
    <w:rsid w:val="0040212B"/>
    <w:rsid w:val="004029A5"/>
    <w:rsid w:val="00404F8A"/>
    <w:rsid w:val="0040740A"/>
    <w:rsid w:val="00410F29"/>
    <w:rsid w:val="00411B4B"/>
    <w:rsid w:val="00412E83"/>
    <w:rsid w:val="004135D6"/>
    <w:rsid w:val="00414197"/>
    <w:rsid w:val="00421B08"/>
    <w:rsid w:val="00425AD0"/>
    <w:rsid w:val="00425D41"/>
    <w:rsid w:val="00427FB3"/>
    <w:rsid w:val="0043240D"/>
    <w:rsid w:val="0043533F"/>
    <w:rsid w:val="004359D5"/>
    <w:rsid w:val="00437CBB"/>
    <w:rsid w:val="00440FEE"/>
    <w:rsid w:val="004422E0"/>
    <w:rsid w:val="00450CC7"/>
    <w:rsid w:val="00451AD8"/>
    <w:rsid w:val="0045274E"/>
    <w:rsid w:val="0045489F"/>
    <w:rsid w:val="00456263"/>
    <w:rsid w:val="00457481"/>
    <w:rsid w:val="004577A3"/>
    <w:rsid w:val="004602DB"/>
    <w:rsid w:val="00460E24"/>
    <w:rsid w:val="00461AF8"/>
    <w:rsid w:val="00465FFE"/>
    <w:rsid w:val="004703DC"/>
    <w:rsid w:val="00470F4E"/>
    <w:rsid w:val="00474045"/>
    <w:rsid w:val="00475C9F"/>
    <w:rsid w:val="00476B76"/>
    <w:rsid w:val="00480A6C"/>
    <w:rsid w:val="004842D4"/>
    <w:rsid w:val="0048441E"/>
    <w:rsid w:val="0048650D"/>
    <w:rsid w:val="00486BDE"/>
    <w:rsid w:val="00491CEB"/>
    <w:rsid w:val="00492493"/>
    <w:rsid w:val="00495AE6"/>
    <w:rsid w:val="00497003"/>
    <w:rsid w:val="004975EC"/>
    <w:rsid w:val="004A0F65"/>
    <w:rsid w:val="004A5C5E"/>
    <w:rsid w:val="004A6AEC"/>
    <w:rsid w:val="004B3856"/>
    <w:rsid w:val="004C1A07"/>
    <w:rsid w:val="004C3229"/>
    <w:rsid w:val="004C3CEC"/>
    <w:rsid w:val="004C4084"/>
    <w:rsid w:val="004C4AD7"/>
    <w:rsid w:val="004D2F03"/>
    <w:rsid w:val="004E065D"/>
    <w:rsid w:val="004F7BBF"/>
    <w:rsid w:val="0050150A"/>
    <w:rsid w:val="0050295D"/>
    <w:rsid w:val="00513B7B"/>
    <w:rsid w:val="00513C12"/>
    <w:rsid w:val="00517D6B"/>
    <w:rsid w:val="0052042D"/>
    <w:rsid w:val="00522098"/>
    <w:rsid w:val="00522B7D"/>
    <w:rsid w:val="00526549"/>
    <w:rsid w:val="0053167E"/>
    <w:rsid w:val="00532AF4"/>
    <w:rsid w:val="0053417E"/>
    <w:rsid w:val="0053611D"/>
    <w:rsid w:val="00540394"/>
    <w:rsid w:val="00541C36"/>
    <w:rsid w:val="00543924"/>
    <w:rsid w:val="00547389"/>
    <w:rsid w:val="0055133F"/>
    <w:rsid w:val="00551CD3"/>
    <w:rsid w:val="0056215D"/>
    <w:rsid w:val="00565280"/>
    <w:rsid w:val="00565695"/>
    <w:rsid w:val="00565892"/>
    <w:rsid w:val="005676AC"/>
    <w:rsid w:val="00572611"/>
    <w:rsid w:val="00580DF7"/>
    <w:rsid w:val="00584EF6"/>
    <w:rsid w:val="00585901"/>
    <w:rsid w:val="00591D06"/>
    <w:rsid w:val="00592104"/>
    <w:rsid w:val="0059296D"/>
    <w:rsid w:val="005934B4"/>
    <w:rsid w:val="005A0ABA"/>
    <w:rsid w:val="005A2DBD"/>
    <w:rsid w:val="005A7D6B"/>
    <w:rsid w:val="005B0675"/>
    <w:rsid w:val="005B79B6"/>
    <w:rsid w:val="005C2BC3"/>
    <w:rsid w:val="005C77E4"/>
    <w:rsid w:val="005C7CDF"/>
    <w:rsid w:val="005D18A4"/>
    <w:rsid w:val="005E06C0"/>
    <w:rsid w:val="005E0CF5"/>
    <w:rsid w:val="005E2644"/>
    <w:rsid w:val="005E4571"/>
    <w:rsid w:val="005E4F3E"/>
    <w:rsid w:val="005E61B6"/>
    <w:rsid w:val="005E632F"/>
    <w:rsid w:val="005E63C0"/>
    <w:rsid w:val="005E6966"/>
    <w:rsid w:val="005E7F59"/>
    <w:rsid w:val="005F2821"/>
    <w:rsid w:val="006005FD"/>
    <w:rsid w:val="00603517"/>
    <w:rsid w:val="00603CD1"/>
    <w:rsid w:val="00604551"/>
    <w:rsid w:val="0060489C"/>
    <w:rsid w:val="006128FA"/>
    <w:rsid w:val="0061478C"/>
    <w:rsid w:val="00616774"/>
    <w:rsid w:val="0061687B"/>
    <w:rsid w:val="00624013"/>
    <w:rsid w:val="00635388"/>
    <w:rsid w:val="006530E1"/>
    <w:rsid w:val="0065377F"/>
    <w:rsid w:val="006547FD"/>
    <w:rsid w:val="00656673"/>
    <w:rsid w:val="00656C40"/>
    <w:rsid w:val="00657AB6"/>
    <w:rsid w:val="00657AD1"/>
    <w:rsid w:val="00660C62"/>
    <w:rsid w:val="006619F1"/>
    <w:rsid w:val="00665092"/>
    <w:rsid w:val="00666F7A"/>
    <w:rsid w:val="00675750"/>
    <w:rsid w:val="00681605"/>
    <w:rsid w:val="00681DAE"/>
    <w:rsid w:val="006879DF"/>
    <w:rsid w:val="00692BEF"/>
    <w:rsid w:val="00693835"/>
    <w:rsid w:val="00694D1B"/>
    <w:rsid w:val="00695146"/>
    <w:rsid w:val="006952C6"/>
    <w:rsid w:val="006A0268"/>
    <w:rsid w:val="006A0370"/>
    <w:rsid w:val="006A10DB"/>
    <w:rsid w:val="006A3978"/>
    <w:rsid w:val="006B06BC"/>
    <w:rsid w:val="006B07FE"/>
    <w:rsid w:val="006B1BB7"/>
    <w:rsid w:val="006B7F3E"/>
    <w:rsid w:val="006C5061"/>
    <w:rsid w:val="006C602D"/>
    <w:rsid w:val="006C7FCA"/>
    <w:rsid w:val="006D0F7D"/>
    <w:rsid w:val="006D365D"/>
    <w:rsid w:val="006D5F02"/>
    <w:rsid w:val="006D781A"/>
    <w:rsid w:val="006E49B0"/>
    <w:rsid w:val="006E5669"/>
    <w:rsid w:val="006E72BF"/>
    <w:rsid w:val="006E773C"/>
    <w:rsid w:val="006F1340"/>
    <w:rsid w:val="006F2AB6"/>
    <w:rsid w:val="006F2C8C"/>
    <w:rsid w:val="006F5D0B"/>
    <w:rsid w:val="00700EAA"/>
    <w:rsid w:val="0070157B"/>
    <w:rsid w:val="00712CB4"/>
    <w:rsid w:val="007145BA"/>
    <w:rsid w:val="007147D9"/>
    <w:rsid w:val="00720F9F"/>
    <w:rsid w:val="007213DE"/>
    <w:rsid w:val="00723C8C"/>
    <w:rsid w:val="00726E22"/>
    <w:rsid w:val="0072725E"/>
    <w:rsid w:val="00730ED6"/>
    <w:rsid w:val="00740999"/>
    <w:rsid w:val="00743BFD"/>
    <w:rsid w:val="007462D8"/>
    <w:rsid w:val="007518CD"/>
    <w:rsid w:val="0075480F"/>
    <w:rsid w:val="00771610"/>
    <w:rsid w:val="00774821"/>
    <w:rsid w:val="00775C24"/>
    <w:rsid w:val="007805E5"/>
    <w:rsid w:val="00787416"/>
    <w:rsid w:val="00792818"/>
    <w:rsid w:val="007931F8"/>
    <w:rsid w:val="007A08AC"/>
    <w:rsid w:val="007A0B36"/>
    <w:rsid w:val="007A1A6B"/>
    <w:rsid w:val="007A373D"/>
    <w:rsid w:val="007A5338"/>
    <w:rsid w:val="007A5986"/>
    <w:rsid w:val="007A5C1A"/>
    <w:rsid w:val="007A7BD4"/>
    <w:rsid w:val="007B2099"/>
    <w:rsid w:val="007B23BF"/>
    <w:rsid w:val="007B3A86"/>
    <w:rsid w:val="007B5925"/>
    <w:rsid w:val="007B640D"/>
    <w:rsid w:val="007C00DB"/>
    <w:rsid w:val="007C23E9"/>
    <w:rsid w:val="007C3234"/>
    <w:rsid w:val="007C5056"/>
    <w:rsid w:val="007C6CEC"/>
    <w:rsid w:val="007C7959"/>
    <w:rsid w:val="007D67E1"/>
    <w:rsid w:val="007D7373"/>
    <w:rsid w:val="007E0B2B"/>
    <w:rsid w:val="007E20C1"/>
    <w:rsid w:val="007E2C88"/>
    <w:rsid w:val="007E5240"/>
    <w:rsid w:val="007F41D7"/>
    <w:rsid w:val="007F4800"/>
    <w:rsid w:val="00800726"/>
    <w:rsid w:val="00800C81"/>
    <w:rsid w:val="00805B89"/>
    <w:rsid w:val="00806FE4"/>
    <w:rsid w:val="00807375"/>
    <w:rsid w:val="0081435D"/>
    <w:rsid w:val="00815A73"/>
    <w:rsid w:val="00815FCF"/>
    <w:rsid w:val="008201F9"/>
    <w:rsid w:val="00821A45"/>
    <w:rsid w:val="008227CF"/>
    <w:rsid w:val="0082449E"/>
    <w:rsid w:val="00835A6B"/>
    <w:rsid w:val="008375E7"/>
    <w:rsid w:val="008376A8"/>
    <w:rsid w:val="008421E2"/>
    <w:rsid w:val="00842684"/>
    <w:rsid w:val="00843494"/>
    <w:rsid w:val="00843D83"/>
    <w:rsid w:val="008442F0"/>
    <w:rsid w:val="0084442E"/>
    <w:rsid w:val="008531B7"/>
    <w:rsid w:val="00857267"/>
    <w:rsid w:val="00857393"/>
    <w:rsid w:val="00857B61"/>
    <w:rsid w:val="00863673"/>
    <w:rsid w:val="00870E2D"/>
    <w:rsid w:val="00874EB4"/>
    <w:rsid w:val="008774E2"/>
    <w:rsid w:val="0088019B"/>
    <w:rsid w:val="00880F7C"/>
    <w:rsid w:val="00881F69"/>
    <w:rsid w:val="00882EE5"/>
    <w:rsid w:val="008831F8"/>
    <w:rsid w:val="00896829"/>
    <w:rsid w:val="008A38CA"/>
    <w:rsid w:val="008A54E0"/>
    <w:rsid w:val="008A6471"/>
    <w:rsid w:val="008B02E6"/>
    <w:rsid w:val="008B1523"/>
    <w:rsid w:val="008B1C6B"/>
    <w:rsid w:val="008B416B"/>
    <w:rsid w:val="008B4295"/>
    <w:rsid w:val="008B478D"/>
    <w:rsid w:val="008B4CAA"/>
    <w:rsid w:val="008B4F86"/>
    <w:rsid w:val="008B6FF2"/>
    <w:rsid w:val="008B749A"/>
    <w:rsid w:val="008C16F6"/>
    <w:rsid w:val="008C2796"/>
    <w:rsid w:val="008E14FC"/>
    <w:rsid w:val="008E1F2D"/>
    <w:rsid w:val="008E2A2F"/>
    <w:rsid w:val="008E5422"/>
    <w:rsid w:val="008F3CEA"/>
    <w:rsid w:val="008F54E8"/>
    <w:rsid w:val="0090089C"/>
    <w:rsid w:val="00900C01"/>
    <w:rsid w:val="00901CB4"/>
    <w:rsid w:val="0090344A"/>
    <w:rsid w:val="009039D9"/>
    <w:rsid w:val="00904A4A"/>
    <w:rsid w:val="00906911"/>
    <w:rsid w:val="009122A8"/>
    <w:rsid w:val="0091496B"/>
    <w:rsid w:val="00916E9E"/>
    <w:rsid w:val="009176FF"/>
    <w:rsid w:val="00921416"/>
    <w:rsid w:val="00922210"/>
    <w:rsid w:val="00923D01"/>
    <w:rsid w:val="00924994"/>
    <w:rsid w:val="00926626"/>
    <w:rsid w:val="00930263"/>
    <w:rsid w:val="00930E69"/>
    <w:rsid w:val="00933CD6"/>
    <w:rsid w:val="00933EC2"/>
    <w:rsid w:val="0093549C"/>
    <w:rsid w:val="00935985"/>
    <w:rsid w:val="00937531"/>
    <w:rsid w:val="00940507"/>
    <w:rsid w:val="009407E3"/>
    <w:rsid w:val="009425A4"/>
    <w:rsid w:val="00942E48"/>
    <w:rsid w:val="009456B4"/>
    <w:rsid w:val="009615AB"/>
    <w:rsid w:val="009618A7"/>
    <w:rsid w:val="00964DA5"/>
    <w:rsid w:val="00967377"/>
    <w:rsid w:val="00971E07"/>
    <w:rsid w:val="009731E6"/>
    <w:rsid w:val="00975756"/>
    <w:rsid w:val="00976E36"/>
    <w:rsid w:val="00982C8B"/>
    <w:rsid w:val="00986344"/>
    <w:rsid w:val="009864F7"/>
    <w:rsid w:val="00986E4E"/>
    <w:rsid w:val="009875C5"/>
    <w:rsid w:val="00990C95"/>
    <w:rsid w:val="009916C4"/>
    <w:rsid w:val="009A17A3"/>
    <w:rsid w:val="009A38FA"/>
    <w:rsid w:val="009A79EB"/>
    <w:rsid w:val="009B0C18"/>
    <w:rsid w:val="009B14E5"/>
    <w:rsid w:val="009B4D7C"/>
    <w:rsid w:val="009B511A"/>
    <w:rsid w:val="009B54AA"/>
    <w:rsid w:val="009B590B"/>
    <w:rsid w:val="009B7AAA"/>
    <w:rsid w:val="009C5A64"/>
    <w:rsid w:val="009D2832"/>
    <w:rsid w:val="009D4511"/>
    <w:rsid w:val="009D4EB9"/>
    <w:rsid w:val="009D5C1A"/>
    <w:rsid w:val="009D6F72"/>
    <w:rsid w:val="009E24F0"/>
    <w:rsid w:val="009E4518"/>
    <w:rsid w:val="009E458F"/>
    <w:rsid w:val="009E6288"/>
    <w:rsid w:val="009E662B"/>
    <w:rsid w:val="009E7365"/>
    <w:rsid w:val="009F5C6A"/>
    <w:rsid w:val="00A02808"/>
    <w:rsid w:val="00A0339B"/>
    <w:rsid w:val="00A07A3C"/>
    <w:rsid w:val="00A07D7A"/>
    <w:rsid w:val="00A100C1"/>
    <w:rsid w:val="00A10504"/>
    <w:rsid w:val="00A14995"/>
    <w:rsid w:val="00A1618B"/>
    <w:rsid w:val="00A169BD"/>
    <w:rsid w:val="00A24351"/>
    <w:rsid w:val="00A33503"/>
    <w:rsid w:val="00A354D2"/>
    <w:rsid w:val="00A35B5E"/>
    <w:rsid w:val="00A368B0"/>
    <w:rsid w:val="00A36AF9"/>
    <w:rsid w:val="00A42827"/>
    <w:rsid w:val="00A4633A"/>
    <w:rsid w:val="00A4646B"/>
    <w:rsid w:val="00A47402"/>
    <w:rsid w:val="00A502D8"/>
    <w:rsid w:val="00A5072A"/>
    <w:rsid w:val="00A56AC6"/>
    <w:rsid w:val="00A67374"/>
    <w:rsid w:val="00A67461"/>
    <w:rsid w:val="00A7252A"/>
    <w:rsid w:val="00A72D29"/>
    <w:rsid w:val="00A7365E"/>
    <w:rsid w:val="00A73660"/>
    <w:rsid w:val="00A76F39"/>
    <w:rsid w:val="00A810F5"/>
    <w:rsid w:val="00A81A45"/>
    <w:rsid w:val="00A8282E"/>
    <w:rsid w:val="00A8359A"/>
    <w:rsid w:val="00A853D9"/>
    <w:rsid w:val="00A90A5F"/>
    <w:rsid w:val="00A91B8F"/>
    <w:rsid w:val="00A93F35"/>
    <w:rsid w:val="00AA1A91"/>
    <w:rsid w:val="00AA47DB"/>
    <w:rsid w:val="00AA4E33"/>
    <w:rsid w:val="00AA548B"/>
    <w:rsid w:val="00AA6690"/>
    <w:rsid w:val="00AB4FEA"/>
    <w:rsid w:val="00AB6185"/>
    <w:rsid w:val="00AC1B82"/>
    <w:rsid w:val="00AC680C"/>
    <w:rsid w:val="00AD1788"/>
    <w:rsid w:val="00AD7FED"/>
    <w:rsid w:val="00AE2914"/>
    <w:rsid w:val="00AE2D68"/>
    <w:rsid w:val="00AE7E73"/>
    <w:rsid w:val="00AF0D05"/>
    <w:rsid w:val="00AF29F8"/>
    <w:rsid w:val="00AF62E3"/>
    <w:rsid w:val="00B00EDF"/>
    <w:rsid w:val="00B04EC1"/>
    <w:rsid w:val="00B07009"/>
    <w:rsid w:val="00B0741E"/>
    <w:rsid w:val="00B124E8"/>
    <w:rsid w:val="00B145E5"/>
    <w:rsid w:val="00B14621"/>
    <w:rsid w:val="00B172FD"/>
    <w:rsid w:val="00B20712"/>
    <w:rsid w:val="00B27D38"/>
    <w:rsid w:val="00B32132"/>
    <w:rsid w:val="00B353C9"/>
    <w:rsid w:val="00B37E72"/>
    <w:rsid w:val="00B40D57"/>
    <w:rsid w:val="00B42A7C"/>
    <w:rsid w:val="00B43C14"/>
    <w:rsid w:val="00B47D81"/>
    <w:rsid w:val="00B511D2"/>
    <w:rsid w:val="00B527CE"/>
    <w:rsid w:val="00B54981"/>
    <w:rsid w:val="00B56215"/>
    <w:rsid w:val="00B60FC7"/>
    <w:rsid w:val="00B6169F"/>
    <w:rsid w:val="00B61F4C"/>
    <w:rsid w:val="00B63740"/>
    <w:rsid w:val="00B641B3"/>
    <w:rsid w:val="00B67498"/>
    <w:rsid w:val="00B67B3D"/>
    <w:rsid w:val="00B70231"/>
    <w:rsid w:val="00B70B2D"/>
    <w:rsid w:val="00B75640"/>
    <w:rsid w:val="00B764D9"/>
    <w:rsid w:val="00B80F94"/>
    <w:rsid w:val="00B8147D"/>
    <w:rsid w:val="00B82439"/>
    <w:rsid w:val="00B826AF"/>
    <w:rsid w:val="00B83625"/>
    <w:rsid w:val="00B87396"/>
    <w:rsid w:val="00B91017"/>
    <w:rsid w:val="00B9264C"/>
    <w:rsid w:val="00B92D7B"/>
    <w:rsid w:val="00B94F1E"/>
    <w:rsid w:val="00B969BE"/>
    <w:rsid w:val="00BA1E70"/>
    <w:rsid w:val="00BA41D0"/>
    <w:rsid w:val="00BA573C"/>
    <w:rsid w:val="00BA57BE"/>
    <w:rsid w:val="00BA5FF0"/>
    <w:rsid w:val="00BB023A"/>
    <w:rsid w:val="00BB15F7"/>
    <w:rsid w:val="00BB1909"/>
    <w:rsid w:val="00BB6967"/>
    <w:rsid w:val="00BB7561"/>
    <w:rsid w:val="00BC08F5"/>
    <w:rsid w:val="00BC2C0B"/>
    <w:rsid w:val="00BC449E"/>
    <w:rsid w:val="00BC5063"/>
    <w:rsid w:val="00BC6250"/>
    <w:rsid w:val="00BC6918"/>
    <w:rsid w:val="00BC7334"/>
    <w:rsid w:val="00BD17C6"/>
    <w:rsid w:val="00BD22B2"/>
    <w:rsid w:val="00BD4807"/>
    <w:rsid w:val="00BD60B3"/>
    <w:rsid w:val="00BE138A"/>
    <w:rsid w:val="00BE7452"/>
    <w:rsid w:val="00BE7AD8"/>
    <w:rsid w:val="00BF0B5E"/>
    <w:rsid w:val="00BF3DD5"/>
    <w:rsid w:val="00BF3E99"/>
    <w:rsid w:val="00BF4086"/>
    <w:rsid w:val="00BF4F58"/>
    <w:rsid w:val="00BF5416"/>
    <w:rsid w:val="00BF5D9F"/>
    <w:rsid w:val="00C002A2"/>
    <w:rsid w:val="00C00B63"/>
    <w:rsid w:val="00C01DBB"/>
    <w:rsid w:val="00C04BA9"/>
    <w:rsid w:val="00C05BDA"/>
    <w:rsid w:val="00C07D14"/>
    <w:rsid w:val="00C14846"/>
    <w:rsid w:val="00C14B8C"/>
    <w:rsid w:val="00C1524B"/>
    <w:rsid w:val="00C244C1"/>
    <w:rsid w:val="00C2738F"/>
    <w:rsid w:val="00C3005A"/>
    <w:rsid w:val="00C32315"/>
    <w:rsid w:val="00C34176"/>
    <w:rsid w:val="00C400D4"/>
    <w:rsid w:val="00C41074"/>
    <w:rsid w:val="00C457AA"/>
    <w:rsid w:val="00C517A7"/>
    <w:rsid w:val="00C53946"/>
    <w:rsid w:val="00C55E54"/>
    <w:rsid w:val="00C57093"/>
    <w:rsid w:val="00C57E05"/>
    <w:rsid w:val="00C60909"/>
    <w:rsid w:val="00C61CA3"/>
    <w:rsid w:val="00C63874"/>
    <w:rsid w:val="00C639B7"/>
    <w:rsid w:val="00C63B59"/>
    <w:rsid w:val="00C64FFC"/>
    <w:rsid w:val="00C6523A"/>
    <w:rsid w:val="00C6784D"/>
    <w:rsid w:val="00C7004D"/>
    <w:rsid w:val="00C73471"/>
    <w:rsid w:val="00C7563C"/>
    <w:rsid w:val="00C77296"/>
    <w:rsid w:val="00C8385A"/>
    <w:rsid w:val="00C844F5"/>
    <w:rsid w:val="00C87A20"/>
    <w:rsid w:val="00C95ABB"/>
    <w:rsid w:val="00C96F02"/>
    <w:rsid w:val="00CA5202"/>
    <w:rsid w:val="00CA6445"/>
    <w:rsid w:val="00CB1106"/>
    <w:rsid w:val="00CB3D47"/>
    <w:rsid w:val="00CB5D60"/>
    <w:rsid w:val="00CC159C"/>
    <w:rsid w:val="00CC21DE"/>
    <w:rsid w:val="00CC33DD"/>
    <w:rsid w:val="00CC3708"/>
    <w:rsid w:val="00CC5655"/>
    <w:rsid w:val="00CC581C"/>
    <w:rsid w:val="00CC69C4"/>
    <w:rsid w:val="00CD0BED"/>
    <w:rsid w:val="00CD28F0"/>
    <w:rsid w:val="00CD78EA"/>
    <w:rsid w:val="00CD7FAF"/>
    <w:rsid w:val="00CE10AB"/>
    <w:rsid w:val="00CE3340"/>
    <w:rsid w:val="00CE489D"/>
    <w:rsid w:val="00CE65F2"/>
    <w:rsid w:val="00CE7ED3"/>
    <w:rsid w:val="00CF185C"/>
    <w:rsid w:val="00D05F6F"/>
    <w:rsid w:val="00D10881"/>
    <w:rsid w:val="00D1114A"/>
    <w:rsid w:val="00D12834"/>
    <w:rsid w:val="00D16ABF"/>
    <w:rsid w:val="00D23FF8"/>
    <w:rsid w:val="00D30FA6"/>
    <w:rsid w:val="00D3133C"/>
    <w:rsid w:val="00D32154"/>
    <w:rsid w:val="00D3646B"/>
    <w:rsid w:val="00D4093B"/>
    <w:rsid w:val="00D40986"/>
    <w:rsid w:val="00D44766"/>
    <w:rsid w:val="00D47CF9"/>
    <w:rsid w:val="00D47DCE"/>
    <w:rsid w:val="00D5004D"/>
    <w:rsid w:val="00D5110C"/>
    <w:rsid w:val="00D62CD3"/>
    <w:rsid w:val="00D66ABC"/>
    <w:rsid w:val="00D675BE"/>
    <w:rsid w:val="00D67D31"/>
    <w:rsid w:val="00D715DF"/>
    <w:rsid w:val="00D774C9"/>
    <w:rsid w:val="00D80C9C"/>
    <w:rsid w:val="00D84CAB"/>
    <w:rsid w:val="00D91BCA"/>
    <w:rsid w:val="00D9565D"/>
    <w:rsid w:val="00D961F0"/>
    <w:rsid w:val="00D97647"/>
    <w:rsid w:val="00DA28B1"/>
    <w:rsid w:val="00DA324D"/>
    <w:rsid w:val="00DA40E2"/>
    <w:rsid w:val="00DA568B"/>
    <w:rsid w:val="00DB2D0A"/>
    <w:rsid w:val="00DB63D8"/>
    <w:rsid w:val="00DB66BF"/>
    <w:rsid w:val="00DC0707"/>
    <w:rsid w:val="00DC34A6"/>
    <w:rsid w:val="00DC38BF"/>
    <w:rsid w:val="00DD0218"/>
    <w:rsid w:val="00DD14BC"/>
    <w:rsid w:val="00DD18CC"/>
    <w:rsid w:val="00DD2514"/>
    <w:rsid w:val="00DD30B7"/>
    <w:rsid w:val="00DD3801"/>
    <w:rsid w:val="00DD69F2"/>
    <w:rsid w:val="00DE033A"/>
    <w:rsid w:val="00DE6341"/>
    <w:rsid w:val="00DF3BC0"/>
    <w:rsid w:val="00DF6BEE"/>
    <w:rsid w:val="00E0410A"/>
    <w:rsid w:val="00E11DBD"/>
    <w:rsid w:val="00E14ED3"/>
    <w:rsid w:val="00E156DF"/>
    <w:rsid w:val="00E15E11"/>
    <w:rsid w:val="00E23703"/>
    <w:rsid w:val="00E24DBE"/>
    <w:rsid w:val="00E25262"/>
    <w:rsid w:val="00E26054"/>
    <w:rsid w:val="00E2693B"/>
    <w:rsid w:val="00E30675"/>
    <w:rsid w:val="00E324E4"/>
    <w:rsid w:val="00E3284F"/>
    <w:rsid w:val="00E33CAF"/>
    <w:rsid w:val="00E344E6"/>
    <w:rsid w:val="00E36C0C"/>
    <w:rsid w:val="00E37180"/>
    <w:rsid w:val="00E372E7"/>
    <w:rsid w:val="00E443F6"/>
    <w:rsid w:val="00E4464D"/>
    <w:rsid w:val="00E44B42"/>
    <w:rsid w:val="00E44DE8"/>
    <w:rsid w:val="00E462AB"/>
    <w:rsid w:val="00E46D15"/>
    <w:rsid w:val="00E52268"/>
    <w:rsid w:val="00E56AEA"/>
    <w:rsid w:val="00E600D5"/>
    <w:rsid w:val="00E603F2"/>
    <w:rsid w:val="00E64A18"/>
    <w:rsid w:val="00E660BA"/>
    <w:rsid w:val="00E672FB"/>
    <w:rsid w:val="00E67CD9"/>
    <w:rsid w:val="00E71DFB"/>
    <w:rsid w:val="00E728DD"/>
    <w:rsid w:val="00E72D7A"/>
    <w:rsid w:val="00E803A0"/>
    <w:rsid w:val="00E8453E"/>
    <w:rsid w:val="00E871F0"/>
    <w:rsid w:val="00E8726B"/>
    <w:rsid w:val="00E87C79"/>
    <w:rsid w:val="00E90453"/>
    <w:rsid w:val="00E90FFD"/>
    <w:rsid w:val="00E91319"/>
    <w:rsid w:val="00E92FA7"/>
    <w:rsid w:val="00EA392C"/>
    <w:rsid w:val="00EA4573"/>
    <w:rsid w:val="00EA5C16"/>
    <w:rsid w:val="00EA5F89"/>
    <w:rsid w:val="00EA788B"/>
    <w:rsid w:val="00EB5719"/>
    <w:rsid w:val="00EC13F0"/>
    <w:rsid w:val="00EC25A8"/>
    <w:rsid w:val="00EC7301"/>
    <w:rsid w:val="00ED28AF"/>
    <w:rsid w:val="00ED2EDA"/>
    <w:rsid w:val="00ED48C6"/>
    <w:rsid w:val="00ED68C5"/>
    <w:rsid w:val="00ED70F4"/>
    <w:rsid w:val="00EE2349"/>
    <w:rsid w:val="00EE4A9B"/>
    <w:rsid w:val="00EE523A"/>
    <w:rsid w:val="00EE5481"/>
    <w:rsid w:val="00EF0E36"/>
    <w:rsid w:val="00EF12FD"/>
    <w:rsid w:val="00EF15B6"/>
    <w:rsid w:val="00EF1E77"/>
    <w:rsid w:val="00EF28D2"/>
    <w:rsid w:val="00EF29A7"/>
    <w:rsid w:val="00F00E36"/>
    <w:rsid w:val="00F0100C"/>
    <w:rsid w:val="00F02FB5"/>
    <w:rsid w:val="00F0679E"/>
    <w:rsid w:val="00F15ADF"/>
    <w:rsid w:val="00F160E8"/>
    <w:rsid w:val="00F1694A"/>
    <w:rsid w:val="00F20ABA"/>
    <w:rsid w:val="00F2298A"/>
    <w:rsid w:val="00F232F0"/>
    <w:rsid w:val="00F2457E"/>
    <w:rsid w:val="00F24B47"/>
    <w:rsid w:val="00F26DCD"/>
    <w:rsid w:val="00F26EA1"/>
    <w:rsid w:val="00F277C0"/>
    <w:rsid w:val="00F312D3"/>
    <w:rsid w:val="00F31DC7"/>
    <w:rsid w:val="00F32548"/>
    <w:rsid w:val="00F35E14"/>
    <w:rsid w:val="00F44D66"/>
    <w:rsid w:val="00F452D2"/>
    <w:rsid w:val="00F478D1"/>
    <w:rsid w:val="00F47D6A"/>
    <w:rsid w:val="00F63711"/>
    <w:rsid w:val="00F665DE"/>
    <w:rsid w:val="00F70C27"/>
    <w:rsid w:val="00F70F99"/>
    <w:rsid w:val="00F71D2F"/>
    <w:rsid w:val="00F73021"/>
    <w:rsid w:val="00F73CD0"/>
    <w:rsid w:val="00F77A9C"/>
    <w:rsid w:val="00F80116"/>
    <w:rsid w:val="00F823A0"/>
    <w:rsid w:val="00F84CB6"/>
    <w:rsid w:val="00F85AB9"/>
    <w:rsid w:val="00F86A3D"/>
    <w:rsid w:val="00F8705B"/>
    <w:rsid w:val="00F9063F"/>
    <w:rsid w:val="00F915CC"/>
    <w:rsid w:val="00F918BF"/>
    <w:rsid w:val="00F9283F"/>
    <w:rsid w:val="00F9394F"/>
    <w:rsid w:val="00F97ED8"/>
    <w:rsid w:val="00FA1373"/>
    <w:rsid w:val="00FA2492"/>
    <w:rsid w:val="00FA4DAB"/>
    <w:rsid w:val="00FA6300"/>
    <w:rsid w:val="00FA7477"/>
    <w:rsid w:val="00FA76E7"/>
    <w:rsid w:val="00FB377F"/>
    <w:rsid w:val="00FB660E"/>
    <w:rsid w:val="00FC51BA"/>
    <w:rsid w:val="00FC5491"/>
    <w:rsid w:val="00FC76E7"/>
    <w:rsid w:val="00FD1993"/>
    <w:rsid w:val="00FD1BF9"/>
    <w:rsid w:val="00FD37C2"/>
    <w:rsid w:val="00FD4847"/>
    <w:rsid w:val="00FD4E4B"/>
    <w:rsid w:val="00FE0BBC"/>
    <w:rsid w:val="00FE0F82"/>
    <w:rsid w:val="00FE1755"/>
    <w:rsid w:val="00FE18C0"/>
    <w:rsid w:val="00FE5CB0"/>
    <w:rsid w:val="00FE7C61"/>
    <w:rsid w:val="00FF06BC"/>
    <w:rsid w:val="00FF0839"/>
    <w:rsid w:val="00FF4F8D"/>
    <w:rsid w:val="00FF71C1"/>
    <w:rsid w:val="63273F1D"/>
    <w:rsid w:val="7C8EF54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7E90"/>
  <w15:docId w15:val="{D8D40ADF-9156-4B5D-9FBF-6726F890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paragraph" w:styleId="Nadpis1">
    <w:name w:val="heading 1"/>
    <w:basedOn w:val="Normlny"/>
    <w:next w:val="Normlny"/>
    <w:link w:val="Nadpis1Char"/>
    <w:uiPriority w:val="9"/>
    <w:qFormat/>
    <w:rsid w:val="00486B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5316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EA4573"/>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basedOn w:val="Normlny"/>
    <w:next w:val="Normlny"/>
    <w:link w:val="Nadpis4Char"/>
    <w:uiPriority w:val="9"/>
    <w:semiHidden/>
    <w:unhideWhenUsed/>
    <w:qFormat/>
    <w:rsid w:val="00ED70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rsid w:val="009176FF"/>
    <w:pPr>
      <w:tabs>
        <w:tab w:val="center" w:pos="4320"/>
        <w:tab w:val="right" w:pos="8640"/>
      </w:tabs>
    </w:pPr>
  </w:style>
  <w:style w:type="character" w:customStyle="1" w:styleId="PtaChar">
    <w:name w:val="Päta Char"/>
    <w:basedOn w:val="Predvolenpsmoodseku"/>
    <w:link w:val="Pta"/>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character" w:customStyle="1" w:styleId="Nadpis1Char">
    <w:name w:val="Nadpis 1 Char"/>
    <w:basedOn w:val="Predvolenpsmoodseku"/>
    <w:link w:val="Nadpis1"/>
    <w:uiPriority w:val="9"/>
    <w:rsid w:val="00486BDE"/>
    <w:rPr>
      <w:rFonts w:asciiTheme="majorHAnsi" w:eastAsiaTheme="majorEastAsia" w:hAnsiTheme="majorHAnsi" w:cstheme="majorBidi"/>
      <w:color w:val="365F91" w:themeColor="accent1" w:themeShade="BF"/>
      <w:sz w:val="32"/>
      <w:szCs w:val="32"/>
      <w:lang w:val="en-GB"/>
    </w:rPr>
  </w:style>
  <w:style w:type="paragraph" w:styleId="Revzia">
    <w:name w:val="Revision"/>
    <w:hidden/>
    <w:uiPriority w:val="99"/>
    <w:semiHidden/>
    <w:rsid w:val="00253E36"/>
    <w:pPr>
      <w:spacing w:after="0" w:line="240" w:lineRule="auto"/>
    </w:pPr>
    <w:rPr>
      <w:rFonts w:ascii="Verdana" w:eastAsia="Times New Roman" w:hAnsi="Verdana" w:cs="Times New Roman"/>
      <w:sz w:val="17"/>
      <w:szCs w:val="24"/>
      <w:lang w:val="en-GB"/>
    </w:rPr>
  </w:style>
  <w:style w:type="character" w:styleId="Odkaznakomentr">
    <w:name w:val="annotation reference"/>
    <w:basedOn w:val="Predvolenpsmoodseku"/>
    <w:uiPriority w:val="99"/>
    <w:semiHidden/>
    <w:unhideWhenUsed/>
    <w:rsid w:val="00130431"/>
    <w:rPr>
      <w:sz w:val="16"/>
      <w:szCs w:val="16"/>
    </w:rPr>
  </w:style>
  <w:style w:type="paragraph" w:styleId="Textkomentra">
    <w:name w:val="annotation text"/>
    <w:basedOn w:val="Normlny"/>
    <w:link w:val="TextkomentraChar"/>
    <w:uiPriority w:val="99"/>
    <w:unhideWhenUsed/>
    <w:rsid w:val="00130431"/>
    <w:pPr>
      <w:spacing w:line="240" w:lineRule="auto"/>
    </w:pPr>
    <w:rPr>
      <w:sz w:val="20"/>
      <w:szCs w:val="20"/>
    </w:rPr>
  </w:style>
  <w:style w:type="character" w:customStyle="1" w:styleId="TextkomentraChar">
    <w:name w:val="Text komentára Char"/>
    <w:basedOn w:val="Predvolenpsmoodseku"/>
    <w:link w:val="Textkomentra"/>
    <w:uiPriority w:val="99"/>
    <w:rsid w:val="00130431"/>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130431"/>
    <w:rPr>
      <w:b/>
      <w:bCs/>
    </w:rPr>
  </w:style>
  <w:style w:type="character" w:customStyle="1" w:styleId="PredmetkomentraChar">
    <w:name w:val="Predmet komentára Char"/>
    <w:basedOn w:val="TextkomentraChar"/>
    <w:link w:val="Predmetkomentra"/>
    <w:uiPriority w:val="99"/>
    <w:semiHidden/>
    <w:rsid w:val="00130431"/>
    <w:rPr>
      <w:rFonts w:ascii="Verdana" w:eastAsia="Times New Roman" w:hAnsi="Verdana" w:cs="Times New Roman"/>
      <w:b/>
      <w:bCs/>
      <w:sz w:val="20"/>
      <w:szCs w:val="20"/>
      <w:lang w:val="en-GB"/>
    </w:rPr>
  </w:style>
  <w:style w:type="paragraph" w:styleId="Odsekzoznamu">
    <w:name w:val="List Paragraph"/>
    <w:basedOn w:val="Normlny"/>
    <w:uiPriority w:val="34"/>
    <w:qFormat/>
    <w:rsid w:val="00FC5491"/>
    <w:pPr>
      <w:ind w:left="720"/>
      <w:contextualSpacing/>
    </w:pPr>
  </w:style>
  <w:style w:type="paragraph" w:styleId="Normlnywebov">
    <w:name w:val="Normal (Web)"/>
    <w:basedOn w:val="Normlny"/>
    <w:uiPriority w:val="99"/>
    <w:semiHidden/>
    <w:unhideWhenUsed/>
    <w:rsid w:val="00286571"/>
    <w:pPr>
      <w:spacing w:before="100" w:beforeAutospacing="1" w:after="100" w:afterAutospacing="1" w:line="240" w:lineRule="auto"/>
      <w:jc w:val="left"/>
    </w:pPr>
    <w:rPr>
      <w:rFonts w:ascii="Times New Roman" w:hAnsi="Times New Roman"/>
      <w:sz w:val="24"/>
      <w:lang w:eastAsia="en-GB"/>
    </w:rPr>
  </w:style>
  <w:style w:type="character" w:styleId="Vrazn">
    <w:name w:val="Strong"/>
    <w:basedOn w:val="Predvolenpsmoodseku"/>
    <w:uiPriority w:val="22"/>
    <w:qFormat/>
    <w:rsid w:val="00C14846"/>
    <w:rPr>
      <w:b/>
      <w:bCs/>
    </w:rPr>
  </w:style>
  <w:style w:type="character" w:customStyle="1" w:styleId="Nadpis2Char">
    <w:name w:val="Nadpis 2 Char"/>
    <w:basedOn w:val="Predvolenpsmoodseku"/>
    <w:link w:val="Nadpis2"/>
    <w:uiPriority w:val="9"/>
    <w:rsid w:val="0053167E"/>
    <w:rPr>
      <w:rFonts w:asciiTheme="majorHAnsi" w:eastAsiaTheme="majorEastAsia" w:hAnsiTheme="majorHAnsi" w:cstheme="majorBidi"/>
      <w:color w:val="365F91" w:themeColor="accent1" w:themeShade="BF"/>
      <w:sz w:val="26"/>
      <w:szCs w:val="26"/>
      <w:lang w:val="en-GB"/>
    </w:rPr>
  </w:style>
  <w:style w:type="character" w:customStyle="1" w:styleId="Nadpis4Char">
    <w:name w:val="Nadpis 4 Char"/>
    <w:basedOn w:val="Predvolenpsmoodseku"/>
    <w:link w:val="Nadpis4"/>
    <w:uiPriority w:val="9"/>
    <w:semiHidden/>
    <w:rsid w:val="00ED70F4"/>
    <w:rPr>
      <w:rFonts w:asciiTheme="majorHAnsi" w:eastAsiaTheme="majorEastAsia" w:hAnsiTheme="majorHAnsi" w:cstheme="majorBidi"/>
      <w:i/>
      <w:iCs/>
      <w:color w:val="365F91" w:themeColor="accent1" w:themeShade="BF"/>
      <w:sz w:val="17"/>
      <w:szCs w:val="24"/>
      <w:lang w:val="en-GB"/>
    </w:rPr>
  </w:style>
  <w:style w:type="character" w:customStyle="1" w:styleId="Nadpis3Char">
    <w:name w:val="Nadpis 3 Char"/>
    <w:basedOn w:val="Predvolenpsmoodseku"/>
    <w:link w:val="Nadpis3"/>
    <w:uiPriority w:val="9"/>
    <w:semiHidden/>
    <w:rsid w:val="00EA4573"/>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454">
      <w:bodyDiv w:val="1"/>
      <w:marLeft w:val="0"/>
      <w:marRight w:val="0"/>
      <w:marTop w:val="0"/>
      <w:marBottom w:val="0"/>
      <w:divBdr>
        <w:top w:val="none" w:sz="0" w:space="0" w:color="auto"/>
        <w:left w:val="none" w:sz="0" w:space="0" w:color="auto"/>
        <w:bottom w:val="none" w:sz="0" w:space="0" w:color="auto"/>
        <w:right w:val="none" w:sz="0" w:space="0" w:color="auto"/>
      </w:divBdr>
    </w:div>
    <w:div w:id="18093205">
      <w:bodyDiv w:val="1"/>
      <w:marLeft w:val="0"/>
      <w:marRight w:val="0"/>
      <w:marTop w:val="0"/>
      <w:marBottom w:val="0"/>
      <w:divBdr>
        <w:top w:val="none" w:sz="0" w:space="0" w:color="auto"/>
        <w:left w:val="none" w:sz="0" w:space="0" w:color="auto"/>
        <w:bottom w:val="none" w:sz="0" w:space="0" w:color="auto"/>
        <w:right w:val="none" w:sz="0" w:space="0" w:color="auto"/>
      </w:divBdr>
    </w:div>
    <w:div w:id="34235472">
      <w:bodyDiv w:val="1"/>
      <w:marLeft w:val="0"/>
      <w:marRight w:val="0"/>
      <w:marTop w:val="0"/>
      <w:marBottom w:val="0"/>
      <w:divBdr>
        <w:top w:val="none" w:sz="0" w:space="0" w:color="auto"/>
        <w:left w:val="none" w:sz="0" w:space="0" w:color="auto"/>
        <w:bottom w:val="none" w:sz="0" w:space="0" w:color="auto"/>
        <w:right w:val="none" w:sz="0" w:space="0" w:color="auto"/>
      </w:divBdr>
    </w:div>
    <w:div w:id="52430097">
      <w:bodyDiv w:val="1"/>
      <w:marLeft w:val="0"/>
      <w:marRight w:val="0"/>
      <w:marTop w:val="0"/>
      <w:marBottom w:val="0"/>
      <w:divBdr>
        <w:top w:val="none" w:sz="0" w:space="0" w:color="auto"/>
        <w:left w:val="none" w:sz="0" w:space="0" w:color="auto"/>
        <w:bottom w:val="none" w:sz="0" w:space="0" w:color="auto"/>
        <w:right w:val="none" w:sz="0" w:space="0" w:color="auto"/>
      </w:divBdr>
    </w:div>
    <w:div w:id="58405467">
      <w:bodyDiv w:val="1"/>
      <w:marLeft w:val="0"/>
      <w:marRight w:val="0"/>
      <w:marTop w:val="0"/>
      <w:marBottom w:val="0"/>
      <w:divBdr>
        <w:top w:val="none" w:sz="0" w:space="0" w:color="auto"/>
        <w:left w:val="none" w:sz="0" w:space="0" w:color="auto"/>
        <w:bottom w:val="none" w:sz="0" w:space="0" w:color="auto"/>
        <w:right w:val="none" w:sz="0" w:space="0" w:color="auto"/>
      </w:divBdr>
    </w:div>
    <w:div w:id="58790860">
      <w:bodyDiv w:val="1"/>
      <w:marLeft w:val="0"/>
      <w:marRight w:val="0"/>
      <w:marTop w:val="0"/>
      <w:marBottom w:val="0"/>
      <w:divBdr>
        <w:top w:val="none" w:sz="0" w:space="0" w:color="auto"/>
        <w:left w:val="none" w:sz="0" w:space="0" w:color="auto"/>
        <w:bottom w:val="none" w:sz="0" w:space="0" w:color="auto"/>
        <w:right w:val="none" w:sz="0" w:space="0" w:color="auto"/>
      </w:divBdr>
    </w:div>
    <w:div w:id="60640956">
      <w:bodyDiv w:val="1"/>
      <w:marLeft w:val="0"/>
      <w:marRight w:val="0"/>
      <w:marTop w:val="0"/>
      <w:marBottom w:val="0"/>
      <w:divBdr>
        <w:top w:val="none" w:sz="0" w:space="0" w:color="auto"/>
        <w:left w:val="none" w:sz="0" w:space="0" w:color="auto"/>
        <w:bottom w:val="none" w:sz="0" w:space="0" w:color="auto"/>
        <w:right w:val="none" w:sz="0" w:space="0" w:color="auto"/>
      </w:divBdr>
    </w:div>
    <w:div w:id="79914626">
      <w:bodyDiv w:val="1"/>
      <w:marLeft w:val="0"/>
      <w:marRight w:val="0"/>
      <w:marTop w:val="0"/>
      <w:marBottom w:val="0"/>
      <w:divBdr>
        <w:top w:val="none" w:sz="0" w:space="0" w:color="auto"/>
        <w:left w:val="none" w:sz="0" w:space="0" w:color="auto"/>
        <w:bottom w:val="none" w:sz="0" w:space="0" w:color="auto"/>
        <w:right w:val="none" w:sz="0" w:space="0" w:color="auto"/>
      </w:divBdr>
    </w:div>
    <w:div w:id="80373240">
      <w:bodyDiv w:val="1"/>
      <w:marLeft w:val="0"/>
      <w:marRight w:val="0"/>
      <w:marTop w:val="0"/>
      <w:marBottom w:val="0"/>
      <w:divBdr>
        <w:top w:val="none" w:sz="0" w:space="0" w:color="auto"/>
        <w:left w:val="none" w:sz="0" w:space="0" w:color="auto"/>
        <w:bottom w:val="none" w:sz="0" w:space="0" w:color="auto"/>
        <w:right w:val="none" w:sz="0" w:space="0" w:color="auto"/>
      </w:divBdr>
    </w:div>
    <w:div w:id="125319900">
      <w:bodyDiv w:val="1"/>
      <w:marLeft w:val="0"/>
      <w:marRight w:val="0"/>
      <w:marTop w:val="0"/>
      <w:marBottom w:val="0"/>
      <w:divBdr>
        <w:top w:val="none" w:sz="0" w:space="0" w:color="auto"/>
        <w:left w:val="none" w:sz="0" w:space="0" w:color="auto"/>
        <w:bottom w:val="none" w:sz="0" w:space="0" w:color="auto"/>
        <w:right w:val="none" w:sz="0" w:space="0" w:color="auto"/>
      </w:divBdr>
    </w:div>
    <w:div w:id="146433705">
      <w:bodyDiv w:val="1"/>
      <w:marLeft w:val="0"/>
      <w:marRight w:val="0"/>
      <w:marTop w:val="0"/>
      <w:marBottom w:val="0"/>
      <w:divBdr>
        <w:top w:val="none" w:sz="0" w:space="0" w:color="auto"/>
        <w:left w:val="none" w:sz="0" w:space="0" w:color="auto"/>
        <w:bottom w:val="none" w:sz="0" w:space="0" w:color="auto"/>
        <w:right w:val="none" w:sz="0" w:space="0" w:color="auto"/>
      </w:divBdr>
    </w:div>
    <w:div w:id="147526768">
      <w:bodyDiv w:val="1"/>
      <w:marLeft w:val="0"/>
      <w:marRight w:val="0"/>
      <w:marTop w:val="0"/>
      <w:marBottom w:val="0"/>
      <w:divBdr>
        <w:top w:val="none" w:sz="0" w:space="0" w:color="auto"/>
        <w:left w:val="none" w:sz="0" w:space="0" w:color="auto"/>
        <w:bottom w:val="none" w:sz="0" w:space="0" w:color="auto"/>
        <w:right w:val="none" w:sz="0" w:space="0" w:color="auto"/>
      </w:divBdr>
    </w:div>
    <w:div w:id="184905763">
      <w:bodyDiv w:val="1"/>
      <w:marLeft w:val="0"/>
      <w:marRight w:val="0"/>
      <w:marTop w:val="0"/>
      <w:marBottom w:val="0"/>
      <w:divBdr>
        <w:top w:val="none" w:sz="0" w:space="0" w:color="auto"/>
        <w:left w:val="none" w:sz="0" w:space="0" w:color="auto"/>
        <w:bottom w:val="none" w:sz="0" w:space="0" w:color="auto"/>
        <w:right w:val="none" w:sz="0" w:space="0" w:color="auto"/>
      </w:divBdr>
    </w:div>
    <w:div w:id="230117762">
      <w:bodyDiv w:val="1"/>
      <w:marLeft w:val="0"/>
      <w:marRight w:val="0"/>
      <w:marTop w:val="0"/>
      <w:marBottom w:val="0"/>
      <w:divBdr>
        <w:top w:val="none" w:sz="0" w:space="0" w:color="auto"/>
        <w:left w:val="none" w:sz="0" w:space="0" w:color="auto"/>
        <w:bottom w:val="none" w:sz="0" w:space="0" w:color="auto"/>
        <w:right w:val="none" w:sz="0" w:space="0" w:color="auto"/>
      </w:divBdr>
    </w:div>
    <w:div w:id="243950685">
      <w:bodyDiv w:val="1"/>
      <w:marLeft w:val="0"/>
      <w:marRight w:val="0"/>
      <w:marTop w:val="0"/>
      <w:marBottom w:val="0"/>
      <w:divBdr>
        <w:top w:val="none" w:sz="0" w:space="0" w:color="auto"/>
        <w:left w:val="none" w:sz="0" w:space="0" w:color="auto"/>
        <w:bottom w:val="none" w:sz="0" w:space="0" w:color="auto"/>
        <w:right w:val="none" w:sz="0" w:space="0" w:color="auto"/>
      </w:divBdr>
    </w:div>
    <w:div w:id="245919524">
      <w:bodyDiv w:val="1"/>
      <w:marLeft w:val="0"/>
      <w:marRight w:val="0"/>
      <w:marTop w:val="0"/>
      <w:marBottom w:val="0"/>
      <w:divBdr>
        <w:top w:val="none" w:sz="0" w:space="0" w:color="auto"/>
        <w:left w:val="none" w:sz="0" w:space="0" w:color="auto"/>
        <w:bottom w:val="none" w:sz="0" w:space="0" w:color="auto"/>
        <w:right w:val="none" w:sz="0" w:space="0" w:color="auto"/>
      </w:divBdr>
    </w:div>
    <w:div w:id="260575475">
      <w:bodyDiv w:val="1"/>
      <w:marLeft w:val="0"/>
      <w:marRight w:val="0"/>
      <w:marTop w:val="0"/>
      <w:marBottom w:val="0"/>
      <w:divBdr>
        <w:top w:val="none" w:sz="0" w:space="0" w:color="auto"/>
        <w:left w:val="none" w:sz="0" w:space="0" w:color="auto"/>
        <w:bottom w:val="none" w:sz="0" w:space="0" w:color="auto"/>
        <w:right w:val="none" w:sz="0" w:space="0" w:color="auto"/>
      </w:divBdr>
    </w:div>
    <w:div w:id="261425622">
      <w:bodyDiv w:val="1"/>
      <w:marLeft w:val="0"/>
      <w:marRight w:val="0"/>
      <w:marTop w:val="0"/>
      <w:marBottom w:val="0"/>
      <w:divBdr>
        <w:top w:val="none" w:sz="0" w:space="0" w:color="auto"/>
        <w:left w:val="none" w:sz="0" w:space="0" w:color="auto"/>
        <w:bottom w:val="none" w:sz="0" w:space="0" w:color="auto"/>
        <w:right w:val="none" w:sz="0" w:space="0" w:color="auto"/>
      </w:divBdr>
    </w:div>
    <w:div w:id="262882497">
      <w:bodyDiv w:val="1"/>
      <w:marLeft w:val="0"/>
      <w:marRight w:val="0"/>
      <w:marTop w:val="0"/>
      <w:marBottom w:val="0"/>
      <w:divBdr>
        <w:top w:val="none" w:sz="0" w:space="0" w:color="auto"/>
        <w:left w:val="none" w:sz="0" w:space="0" w:color="auto"/>
        <w:bottom w:val="none" w:sz="0" w:space="0" w:color="auto"/>
        <w:right w:val="none" w:sz="0" w:space="0" w:color="auto"/>
      </w:divBdr>
    </w:div>
    <w:div w:id="264197956">
      <w:bodyDiv w:val="1"/>
      <w:marLeft w:val="0"/>
      <w:marRight w:val="0"/>
      <w:marTop w:val="0"/>
      <w:marBottom w:val="0"/>
      <w:divBdr>
        <w:top w:val="none" w:sz="0" w:space="0" w:color="auto"/>
        <w:left w:val="none" w:sz="0" w:space="0" w:color="auto"/>
        <w:bottom w:val="none" w:sz="0" w:space="0" w:color="auto"/>
        <w:right w:val="none" w:sz="0" w:space="0" w:color="auto"/>
      </w:divBdr>
    </w:div>
    <w:div w:id="269624261">
      <w:bodyDiv w:val="1"/>
      <w:marLeft w:val="0"/>
      <w:marRight w:val="0"/>
      <w:marTop w:val="0"/>
      <w:marBottom w:val="0"/>
      <w:divBdr>
        <w:top w:val="none" w:sz="0" w:space="0" w:color="auto"/>
        <w:left w:val="none" w:sz="0" w:space="0" w:color="auto"/>
        <w:bottom w:val="none" w:sz="0" w:space="0" w:color="auto"/>
        <w:right w:val="none" w:sz="0" w:space="0" w:color="auto"/>
      </w:divBdr>
    </w:div>
    <w:div w:id="273680424">
      <w:bodyDiv w:val="1"/>
      <w:marLeft w:val="0"/>
      <w:marRight w:val="0"/>
      <w:marTop w:val="0"/>
      <w:marBottom w:val="0"/>
      <w:divBdr>
        <w:top w:val="none" w:sz="0" w:space="0" w:color="auto"/>
        <w:left w:val="none" w:sz="0" w:space="0" w:color="auto"/>
        <w:bottom w:val="none" w:sz="0" w:space="0" w:color="auto"/>
        <w:right w:val="none" w:sz="0" w:space="0" w:color="auto"/>
      </w:divBdr>
      <w:divsChild>
        <w:div w:id="184949292">
          <w:marLeft w:val="0"/>
          <w:marRight w:val="0"/>
          <w:marTop w:val="0"/>
          <w:marBottom w:val="0"/>
          <w:divBdr>
            <w:top w:val="none" w:sz="0" w:space="0" w:color="auto"/>
            <w:left w:val="none" w:sz="0" w:space="0" w:color="auto"/>
            <w:bottom w:val="none" w:sz="0" w:space="0" w:color="auto"/>
            <w:right w:val="none" w:sz="0" w:space="0" w:color="auto"/>
          </w:divBdr>
          <w:divsChild>
            <w:div w:id="1814061743">
              <w:marLeft w:val="0"/>
              <w:marRight w:val="0"/>
              <w:marTop w:val="0"/>
              <w:marBottom w:val="0"/>
              <w:divBdr>
                <w:top w:val="none" w:sz="0" w:space="0" w:color="auto"/>
                <w:left w:val="none" w:sz="0" w:space="0" w:color="auto"/>
                <w:bottom w:val="none" w:sz="0" w:space="0" w:color="auto"/>
                <w:right w:val="none" w:sz="0" w:space="0" w:color="auto"/>
              </w:divBdr>
              <w:divsChild>
                <w:div w:id="1706834737">
                  <w:marLeft w:val="0"/>
                  <w:marRight w:val="0"/>
                  <w:marTop w:val="0"/>
                  <w:marBottom w:val="0"/>
                  <w:divBdr>
                    <w:top w:val="none" w:sz="0" w:space="0" w:color="auto"/>
                    <w:left w:val="none" w:sz="0" w:space="0" w:color="auto"/>
                    <w:bottom w:val="none" w:sz="0" w:space="0" w:color="auto"/>
                    <w:right w:val="none" w:sz="0" w:space="0" w:color="auto"/>
                  </w:divBdr>
                  <w:divsChild>
                    <w:div w:id="10111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0571">
          <w:marLeft w:val="0"/>
          <w:marRight w:val="0"/>
          <w:marTop w:val="0"/>
          <w:marBottom w:val="0"/>
          <w:divBdr>
            <w:top w:val="none" w:sz="0" w:space="0" w:color="auto"/>
            <w:left w:val="none" w:sz="0" w:space="0" w:color="auto"/>
            <w:bottom w:val="none" w:sz="0" w:space="0" w:color="auto"/>
            <w:right w:val="none" w:sz="0" w:space="0" w:color="auto"/>
          </w:divBdr>
          <w:divsChild>
            <w:div w:id="2038001664">
              <w:marLeft w:val="0"/>
              <w:marRight w:val="0"/>
              <w:marTop w:val="0"/>
              <w:marBottom w:val="0"/>
              <w:divBdr>
                <w:top w:val="none" w:sz="0" w:space="0" w:color="auto"/>
                <w:left w:val="none" w:sz="0" w:space="0" w:color="auto"/>
                <w:bottom w:val="none" w:sz="0" w:space="0" w:color="auto"/>
                <w:right w:val="none" w:sz="0" w:space="0" w:color="auto"/>
              </w:divBdr>
              <w:divsChild>
                <w:div w:id="929434728">
                  <w:marLeft w:val="0"/>
                  <w:marRight w:val="0"/>
                  <w:marTop w:val="0"/>
                  <w:marBottom w:val="0"/>
                  <w:divBdr>
                    <w:top w:val="none" w:sz="0" w:space="0" w:color="auto"/>
                    <w:left w:val="none" w:sz="0" w:space="0" w:color="auto"/>
                    <w:bottom w:val="none" w:sz="0" w:space="0" w:color="auto"/>
                    <w:right w:val="none" w:sz="0" w:space="0" w:color="auto"/>
                  </w:divBdr>
                  <w:divsChild>
                    <w:div w:id="7258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55294">
      <w:bodyDiv w:val="1"/>
      <w:marLeft w:val="0"/>
      <w:marRight w:val="0"/>
      <w:marTop w:val="0"/>
      <w:marBottom w:val="0"/>
      <w:divBdr>
        <w:top w:val="none" w:sz="0" w:space="0" w:color="auto"/>
        <w:left w:val="none" w:sz="0" w:space="0" w:color="auto"/>
        <w:bottom w:val="none" w:sz="0" w:space="0" w:color="auto"/>
        <w:right w:val="none" w:sz="0" w:space="0" w:color="auto"/>
      </w:divBdr>
    </w:div>
    <w:div w:id="309528504">
      <w:bodyDiv w:val="1"/>
      <w:marLeft w:val="0"/>
      <w:marRight w:val="0"/>
      <w:marTop w:val="0"/>
      <w:marBottom w:val="0"/>
      <w:divBdr>
        <w:top w:val="none" w:sz="0" w:space="0" w:color="auto"/>
        <w:left w:val="none" w:sz="0" w:space="0" w:color="auto"/>
        <w:bottom w:val="none" w:sz="0" w:space="0" w:color="auto"/>
        <w:right w:val="none" w:sz="0" w:space="0" w:color="auto"/>
      </w:divBdr>
    </w:div>
    <w:div w:id="315959475">
      <w:bodyDiv w:val="1"/>
      <w:marLeft w:val="0"/>
      <w:marRight w:val="0"/>
      <w:marTop w:val="0"/>
      <w:marBottom w:val="0"/>
      <w:divBdr>
        <w:top w:val="none" w:sz="0" w:space="0" w:color="auto"/>
        <w:left w:val="none" w:sz="0" w:space="0" w:color="auto"/>
        <w:bottom w:val="none" w:sz="0" w:space="0" w:color="auto"/>
        <w:right w:val="none" w:sz="0" w:space="0" w:color="auto"/>
      </w:divBdr>
    </w:div>
    <w:div w:id="317881382">
      <w:bodyDiv w:val="1"/>
      <w:marLeft w:val="0"/>
      <w:marRight w:val="0"/>
      <w:marTop w:val="0"/>
      <w:marBottom w:val="0"/>
      <w:divBdr>
        <w:top w:val="none" w:sz="0" w:space="0" w:color="auto"/>
        <w:left w:val="none" w:sz="0" w:space="0" w:color="auto"/>
        <w:bottom w:val="none" w:sz="0" w:space="0" w:color="auto"/>
        <w:right w:val="none" w:sz="0" w:space="0" w:color="auto"/>
      </w:divBdr>
    </w:div>
    <w:div w:id="332993658">
      <w:bodyDiv w:val="1"/>
      <w:marLeft w:val="0"/>
      <w:marRight w:val="0"/>
      <w:marTop w:val="0"/>
      <w:marBottom w:val="0"/>
      <w:divBdr>
        <w:top w:val="none" w:sz="0" w:space="0" w:color="auto"/>
        <w:left w:val="none" w:sz="0" w:space="0" w:color="auto"/>
        <w:bottom w:val="none" w:sz="0" w:space="0" w:color="auto"/>
        <w:right w:val="none" w:sz="0" w:space="0" w:color="auto"/>
      </w:divBdr>
    </w:div>
    <w:div w:id="372268978">
      <w:bodyDiv w:val="1"/>
      <w:marLeft w:val="0"/>
      <w:marRight w:val="0"/>
      <w:marTop w:val="0"/>
      <w:marBottom w:val="0"/>
      <w:divBdr>
        <w:top w:val="none" w:sz="0" w:space="0" w:color="auto"/>
        <w:left w:val="none" w:sz="0" w:space="0" w:color="auto"/>
        <w:bottom w:val="none" w:sz="0" w:space="0" w:color="auto"/>
        <w:right w:val="none" w:sz="0" w:space="0" w:color="auto"/>
      </w:divBdr>
    </w:div>
    <w:div w:id="399401793">
      <w:bodyDiv w:val="1"/>
      <w:marLeft w:val="0"/>
      <w:marRight w:val="0"/>
      <w:marTop w:val="0"/>
      <w:marBottom w:val="0"/>
      <w:divBdr>
        <w:top w:val="none" w:sz="0" w:space="0" w:color="auto"/>
        <w:left w:val="none" w:sz="0" w:space="0" w:color="auto"/>
        <w:bottom w:val="none" w:sz="0" w:space="0" w:color="auto"/>
        <w:right w:val="none" w:sz="0" w:space="0" w:color="auto"/>
      </w:divBdr>
    </w:div>
    <w:div w:id="399989486">
      <w:bodyDiv w:val="1"/>
      <w:marLeft w:val="0"/>
      <w:marRight w:val="0"/>
      <w:marTop w:val="0"/>
      <w:marBottom w:val="0"/>
      <w:divBdr>
        <w:top w:val="none" w:sz="0" w:space="0" w:color="auto"/>
        <w:left w:val="none" w:sz="0" w:space="0" w:color="auto"/>
        <w:bottom w:val="none" w:sz="0" w:space="0" w:color="auto"/>
        <w:right w:val="none" w:sz="0" w:space="0" w:color="auto"/>
      </w:divBdr>
    </w:div>
    <w:div w:id="431171322">
      <w:bodyDiv w:val="1"/>
      <w:marLeft w:val="0"/>
      <w:marRight w:val="0"/>
      <w:marTop w:val="0"/>
      <w:marBottom w:val="0"/>
      <w:divBdr>
        <w:top w:val="none" w:sz="0" w:space="0" w:color="auto"/>
        <w:left w:val="none" w:sz="0" w:space="0" w:color="auto"/>
        <w:bottom w:val="none" w:sz="0" w:space="0" w:color="auto"/>
        <w:right w:val="none" w:sz="0" w:space="0" w:color="auto"/>
      </w:divBdr>
    </w:div>
    <w:div w:id="436025114">
      <w:bodyDiv w:val="1"/>
      <w:marLeft w:val="0"/>
      <w:marRight w:val="0"/>
      <w:marTop w:val="0"/>
      <w:marBottom w:val="0"/>
      <w:divBdr>
        <w:top w:val="none" w:sz="0" w:space="0" w:color="auto"/>
        <w:left w:val="none" w:sz="0" w:space="0" w:color="auto"/>
        <w:bottom w:val="none" w:sz="0" w:space="0" w:color="auto"/>
        <w:right w:val="none" w:sz="0" w:space="0" w:color="auto"/>
      </w:divBdr>
    </w:div>
    <w:div w:id="442192141">
      <w:bodyDiv w:val="1"/>
      <w:marLeft w:val="0"/>
      <w:marRight w:val="0"/>
      <w:marTop w:val="0"/>
      <w:marBottom w:val="0"/>
      <w:divBdr>
        <w:top w:val="none" w:sz="0" w:space="0" w:color="auto"/>
        <w:left w:val="none" w:sz="0" w:space="0" w:color="auto"/>
        <w:bottom w:val="none" w:sz="0" w:space="0" w:color="auto"/>
        <w:right w:val="none" w:sz="0" w:space="0" w:color="auto"/>
      </w:divBdr>
    </w:div>
    <w:div w:id="479427497">
      <w:bodyDiv w:val="1"/>
      <w:marLeft w:val="0"/>
      <w:marRight w:val="0"/>
      <w:marTop w:val="0"/>
      <w:marBottom w:val="0"/>
      <w:divBdr>
        <w:top w:val="none" w:sz="0" w:space="0" w:color="auto"/>
        <w:left w:val="none" w:sz="0" w:space="0" w:color="auto"/>
        <w:bottom w:val="none" w:sz="0" w:space="0" w:color="auto"/>
        <w:right w:val="none" w:sz="0" w:space="0" w:color="auto"/>
      </w:divBdr>
    </w:div>
    <w:div w:id="498227679">
      <w:bodyDiv w:val="1"/>
      <w:marLeft w:val="0"/>
      <w:marRight w:val="0"/>
      <w:marTop w:val="0"/>
      <w:marBottom w:val="0"/>
      <w:divBdr>
        <w:top w:val="none" w:sz="0" w:space="0" w:color="auto"/>
        <w:left w:val="none" w:sz="0" w:space="0" w:color="auto"/>
        <w:bottom w:val="none" w:sz="0" w:space="0" w:color="auto"/>
        <w:right w:val="none" w:sz="0" w:space="0" w:color="auto"/>
      </w:divBdr>
    </w:div>
    <w:div w:id="502933539">
      <w:bodyDiv w:val="1"/>
      <w:marLeft w:val="0"/>
      <w:marRight w:val="0"/>
      <w:marTop w:val="0"/>
      <w:marBottom w:val="0"/>
      <w:divBdr>
        <w:top w:val="none" w:sz="0" w:space="0" w:color="auto"/>
        <w:left w:val="none" w:sz="0" w:space="0" w:color="auto"/>
        <w:bottom w:val="none" w:sz="0" w:space="0" w:color="auto"/>
        <w:right w:val="none" w:sz="0" w:space="0" w:color="auto"/>
      </w:divBdr>
    </w:div>
    <w:div w:id="534733991">
      <w:bodyDiv w:val="1"/>
      <w:marLeft w:val="0"/>
      <w:marRight w:val="0"/>
      <w:marTop w:val="0"/>
      <w:marBottom w:val="0"/>
      <w:divBdr>
        <w:top w:val="none" w:sz="0" w:space="0" w:color="auto"/>
        <w:left w:val="none" w:sz="0" w:space="0" w:color="auto"/>
        <w:bottom w:val="none" w:sz="0" w:space="0" w:color="auto"/>
        <w:right w:val="none" w:sz="0" w:space="0" w:color="auto"/>
      </w:divBdr>
    </w:div>
    <w:div w:id="566577733">
      <w:bodyDiv w:val="1"/>
      <w:marLeft w:val="0"/>
      <w:marRight w:val="0"/>
      <w:marTop w:val="0"/>
      <w:marBottom w:val="0"/>
      <w:divBdr>
        <w:top w:val="none" w:sz="0" w:space="0" w:color="auto"/>
        <w:left w:val="none" w:sz="0" w:space="0" w:color="auto"/>
        <w:bottom w:val="none" w:sz="0" w:space="0" w:color="auto"/>
        <w:right w:val="none" w:sz="0" w:space="0" w:color="auto"/>
      </w:divBdr>
    </w:div>
    <w:div w:id="600603431">
      <w:bodyDiv w:val="1"/>
      <w:marLeft w:val="0"/>
      <w:marRight w:val="0"/>
      <w:marTop w:val="0"/>
      <w:marBottom w:val="0"/>
      <w:divBdr>
        <w:top w:val="none" w:sz="0" w:space="0" w:color="auto"/>
        <w:left w:val="none" w:sz="0" w:space="0" w:color="auto"/>
        <w:bottom w:val="none" w:sz="0" w:space="0" w:color="auto"/>
        <w:right w:val="none" w:sz="0" w:space="0" w:color="auto"/>
      </w:divBdr>
    </w:div>
    <w:div w:id="606278464">
      <w:bodyDiv w:val="1"/>
      <w:marLeft w:val="0"/>
      <w:marRight w:val="0"/>
      <w:marTop w:val="0"/>
      <w:marBottom w:val="0"/>
      <w:divBdr>
        <w:top w:val="none" w:sz="0" w:space="0" w:color="auto"/>
        <w:left w:val="none" w:sz="0" w:space="0" w:color="auto"/>
        <w:bottom w:val="none" w:sz="0" w:space="0" w:color="auto"/>
        <w:right w:val="none" w:sz="0" w:space="0" w:color="auto"/>
      </w:divBdr>
    </w:div>
    <w:div w:id="619990601">
      <w:bodyDiv w:val="1"/>
      <w:marLeft w:val="0"/>
      <w:marRight w:val="0"/>
      <w:marTop w:val="0"/>
      <w:marBottom w:val="0"/>
      <w:divBdr>
        <w:top w:val="none" w:sz="0" w:space="0" w:color="auto"/>
        <w:left w:val="none" w:sz="0" w:space="0" w:color="auto"/>
        <w:bottom w:val="none" w:sz="0" w:space="0" w:color="auto"/>
        <w:right w:val="none" w:sz="0" w:space="0" w:color="auto"/>
      </w:divBdr>
    </w:div>
    <w:div w:id="622199218">
      <w:bodyDiv w:val="1"/>
      <w:marLeft w:val="0"/>
      <w:marRight w:val="0"/>
      <w:marTop w:val="0"/>
      <w:marBottom w:val="0"/>
      <w:divBdr>
        <w:top w:val="none" w:sz="0" w:space="0" w:color="auto"/>
        <w:left w:val="none" w:sz="0" w:space="0" w:color="auto"/>
        <w:bottom w:val="none" w:sz="0" w:space="0" w:color="auto"/>
        <w:right w:val="none" w:sz="0" w:space="0" w:color="auto"/>
      </w:divBdr>
    </w:div>
    <w:div w:id="625966290">
      <w:bodyDiv w:val="1"/>
      <w:marLeft w:val="0"/>
      <w:marRight w:val="0"/>
      <w:marTop w:val="0"/>
      <w:marBottom w:val="0"/>
      <w:divBdr>
        <w:top w:val="none" w:sz="0" w:space="0" w:color="auto"/>
        <w:left w:val="none" w:sz="0" w:space="0" w:color="auto"/>
        <w:bottom w:val="none" w:sz="0" w:space="0" w:color="auto"/>
        <w:right w:val="none" w:sz="0" w:space="0" w:color="auto"/>
      </w:divBdr>
    </w:div>
    <w:div w:id="631793699">
      <w:bodyDiv w:val="1"/>
      <w:marLeft w:val="0"/>
      <w:marRight w:val="0"/>
      <w:marTop w:val="0"/>
      <w:marBottom w:val="0"/>
      <w:divBdr>
        <w:top w:val="none" w:sz="0" w:space="0" w:color="auto"/>
        <w:left w:val="none" w:sz="0" w:space="0" w:color="auto"/>
        <w:bottom w:val="none" w:sz="0" w:space="0" w:color="auto"/>
        <w:right w:val="none" w:sz="0" w:space="0" w:color="auto"/>
      </w:divBdr>
    </w:div>
    <w:div w:id="676155667">
      <w:bodyDiv w:val="1"/>
      <w:marLeft w:val="0"/>
      <w:marRight w:val="0"/>
      <w:marTop w:val="0"/>
      <w:marBottom w:val="0"/>
      <w:divBdr>
        <w:top w:val="none" w:sz="0" w:space="0" w:color="auto"/>
        <w:left w:val="none" w:sz="0" w:space="0" w:color="auto"/>
        <w:bottom w:val="none" w:sz="0" w:space="0" w:color="auto"/>
        <w:right w:val="none" w:sz="0" w:space="0" w:color="auto"/>
      </w:divBdr>
    </w:div>
    <w:div w:id="681516962">
      <w:bodyDiv w:val="1"/>
      <w:marLeft w:val="0"/>
      <w:marRight w:val="0"/>
      <w:marTop w:val="0"/>
      <w:marBottom w:val="0"/>
      <w:divBdr>
        <w:top w:val="none" w:sz="0" w:space="0" w:color="auto"/>
        <w:left w:val="none" w:sz="0" w:space="0" w:color="auto"/>
        <w:bottom w:val="none" w:sz="0" w:space="0" w:color="auto"/>
        <w:right w:val="none" w:sz="0" w:space="0" w:color="auto"/>
      </w:divBdr>
    </w:div>
    <w:div w:id="686250300">
      <w:bodyDiv w:val="1"/>
      <w:marLeft w:val="0"/>
      <w:marRight w:val="0"/>
      <w:marTop w:val="0"/>
      <w:marBottom w:val="0"/>
      <w:divBdr>
        <w:top w:val="none" w:sz="0" w:space="0" w:color="auto"/>
        <w:left w:val="none" w:sz="0" w:space="0" w:color="auto"/>
        <w:bottom w:val="none" w:sz="0" w:space="0" w:color="auto"/>
        <w:right w:val="none" w:sz="0" w:space="0" w:color="auto"/>
      </w:divBdr>
    </w:div>
    <w:div w:id="741411061">
      <w:bodyDiv w:val="1"/>
      <w:marLeft w:val="0"/>
      <w:marRight w:val="0"/>
      <w:marTop w:val="0"/>
      <w:marBottom w:val="0"/>
      <w:divBdr>
        <w:top w:val="none" w:sz="0" w:space="0" w:color="auto"/>
        <w:left w:val="none" w:sz="0" w:space="0" w:color="auto"/>
        <w:bottom w:val="none" w:sz="0" w:space="0" w:color="auto"/>
        <w:right w:val="none" w:sz="0" w:space="0" w:color="auto"/>
      </w:divBdr>
    </w:div>
    <w:div w:id="764153614">
      <w:bodyDiv w:val="1"/>
      <w:marLeft w:val="0"/>
      <w:marRight w:val="0"/>
      <w:marTop w:val="0"/>
      <w:marBottom w:val="0"/>
      <w:divBdr>
        <w:top w:val="none" w:sz="0" w:space="0" w:color="auto"/>
        <w:left w:val="none" w:sz="0" w:space="0" w:color="auto"/>
        <w:bottom w:val="none" w:sz="0" w:space="0" w:color="auto"/>
        <w:right w:val="none" w:sz="0" w:space="0" w:color="auto"/>
      </w:divBdr>
    </w:div>
    <w:div w:id="777483861">
      <w:bodyDiv w:val="1"/>
      <w:marLeft w:val="0"/>
      <w:marRight w:val="0"/>
      <w:marTop w:val="0"/>
      <w:marBottom w:val="0"/>
      <w:divBdr>
        <w:top w:val="none" w:sz="0" w:space="0" w:color="auto"/>
        <w:left w:val="none" w:sz="0" w:space="0" w:color="auto"/>
        <w:bottom w:val="none" w:sz="0" w:space="0" w:color="auto"/>
        <w:right w:val="none" w:sz="0" w:space="0" w:color="auto"/>
      </w:divBdr>
    </w:div>
    <w:div w:id="805928013">
      <w:bodyDiv w:val="1"/>
      <w:marLeft w:val="0"/>
      <w:marRight w:val="0"/>
      <w:marTop w:val="0"/>
      <w:marBottom w:val="0"/>
      <w:divBdr>
        <w:top w:val="none" w:sz="0" w:space="0" w:color="auto"/>
        <w:left w:val="none" w:sz="0" w:space="0" w:color="auto"/>
        <w:bottom w:val="none" w:sz="0" w:space="0" w:color="auto"/>
        <w:right w:val="none" w:sz="0" w:space="0" w:color="auto"/>
      </w:divBdr>
    </w:div>
    <w:div w:id="836963812">
      <w:bodyDiv w:val="1"/>
      <w:marLeft w:val="0"/>
      <w:marRight w:val="0"/>
      <w:marTop w:val="0"/>
      <w:marBottom w:val="0"/>
      <w:divBdr>
        <w:top w:val="none" w:sz="0" w:space="0" w:color="auto"/>
        <w:left w:val="none" w:sz="0" w:space="0" w:color="auto"/>
        <w:bottom w:val="none" w:sz="0" w:space="0" w:color="auto"/>
        <w:right w:val="none" w:sz="0" w:space="0" w:color="auto"/>
      </w:divBdr>
    </w:div>
    <w:div w:id="862665886">
      <w:bodyDiv w:val="1"/>
      <w:marLeft w:val="0"/>
      <w:marRight w:val="0"/>
      <w:marTop w:val="0"/>
      <w:marBottom w:val="0"/>
      <w:divBdr>
        <w:top w:val="none" w:sz="0" w:space="0" w:color="auto"/>
        <w:left w:val="none" w:sz="0" w:space="0" w:color="auto"/>
        <w:bottom w:val="none" w:sz="0" w:space="0" w:color="auto"/>
        <w:right w:val="none" w:sz="0" w:space="0" w:color="auto"/>
      </w:divBdr>
    </w:div>
    <w:div w:id="872423172">
      <w:bodyDiv w:val="1"/>
      <w:marLeft w:val="0"/>
      <w:marRight w:val="0"/>
      <w:marTop w:val="0"/>
      <w:marBottom w:val="0"/>
      <w:divBdr>
        <w:top w:val="none" w:sz="0" w:space="0" w:color="auto"/>
        <w:left w:val="none" w:sz="0" w:space="0" w:color="auto"/>
        <w:bottom w:val="none" w:sz="0" w:space="0" w:color="auto"/>
        <w:right w:val="none" w:sz="0" w:space="0" w:color="auto"/>
      </w:divBdr>
    </w:div>
    <w:div w:id="901788982">
      <w:bodyDiv w:val="1"/>
      <w:marLeft w:val="0"/>
      <w:marRight w:val="0"/>
      <w:marTop w:val="0"/>
      <w:marBottom w:val="0"/>
      <w:divBdr>
        <w:top w:val="none" w:sz="0" w:space="0" w:color="auto"/>
        <w:left w:val="none" w:sz="0" w:space="0" w:color="auto"/>
        <w:bottom w:val="none" w:sz="0" w:space="0" w:color="auto"/>
        <w:right w:val="none" w:sz="0" w:space="0" w:color="auto"/>
      </w:divBdr>
    </w:div>
    <w:div w:id="904333948">
      <w:bodyDiv w:val="1"/>
      <w:marLeft w:val="0"/>
      <w:marRight w:val="0"/>
      <w:marTop w:val="0"/>
      <w:marBottom w:val="0"/>
      <w:divBdr>
        <w:top w:val="none" w:sz="0" w:space="0" w:color="auto"/>
        <w:left w:val="none" w:sz="0" w:space="0" w:color="auto"/>
        <w:bottom w:val="none" w:sz="0" w:space="0" w:color="auto"/>
        <w:right w:val="none" w:sz="0" w:space="0" w:color="auto"/>
      </w:divBdr>
    </w:div>
    <w:div w:id="925382952">
      <w:bodyDiv w:val="1"/>
      <w:marLeft w:val="0"/>
      <w:marRight w:val="0"/>
      <w:marTop w:val="0"/>
      <w:marBottom w:val="0"/>
      <w:divBdr>
        <w:top w:val="none" w:sz="0" w:space="0" w:color="auto"/>
        <w:left w:val="none" w:sz="0" w:space="0" w:color="auto"/>
        <w:bottom w:val="none" w:sz="0" w:space="0" w:color="auto"/>
        <w:right w:val="none" w:sz="0" w:space="0" w:color="auto"/>
      </w:divBdr>
    </w:div>
    <w:div w:id="933710700">
      <w:bodyDiv w:val="1"/>
      <w:marLeft w:val="0"/>
      <w:marRight w:val="0"/>
      <w:marTop w:val="0"/>
      <w:marBottom w:val="0"/>
      <w:divBdr>
        <w:top w:val="none" w:sz="0" w:space="0" w:color="auto"/>
        <w:left w:val="none" w:sz="0" w:space="0" w:color="auto"/>
        <w:bottom w:val="none" w:sz="0" w:space="0" w:color="auto"/>
        <w:right w:val="none" w:sz="0" w:space="0" w:color="auto"/>
      </w:divBdr>
    </w:div>
    <w:div w:id="938609663">
      <w:bodyDiv w:val="1"/>
      <w:marLeft w:val="0"/>
      <w:marRight w:val="0"/>
      <w:marTop w:val="0"/>
      <w:marBottom w:val="0"/>
      <w:divBdr>
        <w:top w:val="none" w:sz="0" w:space="0" w:color="auto"/>
        <w:left w:val="none" w:sz="0" w:space="0" w:color="auto"/>
        <w:bottom w:val="none" w:sz="0" w:space="0" w:color="auto"/>
        <w:right w:val="none" w:sz="0" w:space="0" w:color="auto"/>
      </w:divBdr>
    </w:div>
    <w:div w:id="962737664">
      <w:bodyDiv w:val="1"/>
      <w:marLeft w:val="0"/>
      <w:marRight w:val="0"/>
      <w:marTop w:val="0"/>
      <w:marBottom w:val="0"/>
      <w:divBdr>
        <w:top w:val="none" w:sz="0" w:space="0" w:color="auto"/>
        <w:left w:val="none" w:sz="0" w:space="0" w:color="auto"/>
        <w:bottom w:val="none" w:sz="0" w:space="0" w:color="auto"/>
        <w:right w:val="none" w:sz="0" w:space="0" w:color="auto"/>
      </w:divBdr>
    </w:div>
    <w:div w:id="965086064">
      <w:bodyDiv w:val="1"/>
      <w:marLeft w:val="0"/>
      <w:marRight w:val="0"/>
      <w:marTop w:val="0"/>
      <w:marBottom w:val="0"/>
      <w:divBdr>
        <w:top w:val="none" w:sz="0" w:space="0" w:color="auto"/>
        <w:left w:val="none" w:sz="0" w:space="0" w:color="auto"/>
        <w:bottom w:val="none" w:sz="0" w:space="0" w:color="auto"/>
        <w:right w:val="none" w:sz="0" w:space="0" w:color="auto"/>
      </w:divBdr>
    </w:div>
    <w:div w:id="965893377">
      <w:bodyDiv w:val="1"/>
      <w:marLeft w:val="0"/>
      <w:marRight w:val="0"/>
      <w:marTop w:val="0"/>
      <w:marBottom w:val="0"/>
      <w:divBdr>
        <w:top w:val="none" w:sz="0" w:space="0" w:color="auto"/>
        <w:left w:val="none" w:sz="0" w:space="0" w:color="auto"/>
        <w:bottom w:val="none" w:sz="0" w:space="0" w:color="auto"/>
        <w:right w:val="none" w:sz="0" w:space="0" w:color="auto"/>
      </w:divBdr>
    </w:div>
    <w:div w:id="995306077">
      <w:bodyDiv w:val="1"/>
      <w:marLeft w:val="0"/>
      <w:marRight w:val="0"/>
      <w:marTop w:val="0"/>
      <w:marBottom w:val="0"/>
      <w:divBdr>
        <w:top w:val="none" w:sz="0" w:space="0" w:color="auto"/>
        <w:left w:val="none" w:sz="0" w:space="0" w:color="auto"/>
        <w:bottom w:val="none" w:sz="0" w:space="0" w:color="auto"/>
        <w:right w:val="none" w:sz="0" w:space="0" w:color="auto"/>
      </w:divBdr>
    </w:div>
    <w:div w:id="999381926">
      <w:bodyDiv w:val="1"/>
      <w:marLeft w:val="0"/>
      <w:marRight w:val="0"/>
      <w:marTop w:val="0"/>
      <w:marBottom w:val="0"/>
      <w:divBdr>
        <w:top w:val="none" w:sz="0" w:space="0" w:color="auto"/>
        <w:left w:val="none" w:sz="0" w:space="0" w:color="auto"/>
        <w:bottom w:val="none" w:sz="0" w:space="0" w:color="auto"/>
        <w:right w:val="none" w:sz="0" w:space="0" w:color="auto"/>
      </w:divBdr>
    </w:div>
    <w:div w:id="1002439738">
      <w:bodyDiv w:val="1"/>
      <w:marLeft w:val="0"/>
      <w:marRight w:val="0"/>
      <w:marTop w:val="0"/>
      <w:marBottom w:val="0"/>
      <w:divBdr>
        <w:top w:val="none" w:sz="0" w:space="0" w:color="auto"/>
        <w:left w:val="none" w:sz="0" w:space="0" w:color="auto"/>
        <w:bottom w:val="none" w:sz="0" w:space="0" w:color="auto"/>
        <w:right w:val="none" w:sz="0" w:space="0" w:color="auto"/>
      </w:divBdr>
    </w:div>
    <w:div w:id="1005354708">
      <w:bodyDiv w:val="1"/>
      <w:marLeft w:val="0"/>
      <w:marRight w:val="0"/>
      <w:marTop w:val="0"/>
      <w:marBottom w:val="0"/>
      <w:divBdr>
        <w:top w:val="none" w:sz="0" w:space="0" w:color="auto"/>
        <w:left w:val="none" w:sz="0" w:space="0" w:color="auto"/>
        <w:bottom w:val="none" w:sz="0" w:space="0" w:color="auto"/>
        <w:right w:val="none" w:sz="0" w:space="0" w:color="auto"/>
      </w:divBdr>
    </w:div>
    <w:div w:id="1017123457">
      <w:bodyDiv w:val="1"/>
      <w:marLeft w:val="0"/>
      <w:marRight w:val="0"/>
      <w:marTop w:val="0"/>
      <w:marBottom w:val="0"/>
      <w:divBdr>
        <w:top w:val="none" w:sz="0" w:space="0" w:color="auto"/>
        <w:left w:val="none" w:sz="0" w:space="0" w:color="auto"/>
        <w:bottom w:val="none" w:sz="0" w:space="0" w:color="auto"/>
        <w:right w:val="none" w:sz="0" w:space="0" w:color="auto"/>
      </w:divBdr>
    </w:div>
    <w:div w:id="1026179925">
      <w:bodyDiv w:val="1"/>
      <w:marLeft w:val="0"/>
      <w:marRight w:val="0"/>
      <w:marTop w:val="0"/>
      <w:marBottom w:val="0"/>
      <w:divBdr>
        <w:top w:val="none" w:sz="0" w:space="0" w:color="auto"/>
        <w:left w:val="none" w:sz="0" w:space="0" w:color="auto"/>
        <w:bottom w:val="none" w:sz="0" w:space="0" w:color="auto"/>
        <w:right w:val="none" w:sz="0" w:space="0" w:color="auto"/>
      </w:divBdr>
    </w:div>
    <w:div w:id="1031958352">
      <w:bodyDiv w:val="1"/>
      <w:marLeft w:val="0"/>
      <w:marRight w:val="0"/>
      <w:marTop w:val="0"/>
      <w:marBottom w:val="0"/>
      <w:divBdr>
        <w:top w:val="none" w:sz="0" w:space="0" w:color="auto"/>
        <w:left w:val="none" w:sz="0" w:space="0" w:color="auto"/>
        <w:bottom w:val="none" w:sz="0" w:space="0" w:color="auto"/>
        <w:right w:val="none" w:sz="0" w:space="0" w:color="auto"/>
      </w:divBdr>
    </w:div>
    <w:div w:id="1032027176">
      <w:bodyDiv w:val="1"/>
      <w:marLeft w:val="0"/>
      <w:marRight w:val="0"/>
      <w:marTop w:val="0"/>
      <w:marBottom w:val="0"/>
      <w:divBdr>
        <w:top w:val="none" w:sz="0" w:space="0" w:color="auto"/>
        <w:left w:val="none" w:sz="0" w:space="0" w:color="auto"/>
        <w:bottom w:val="none" w:sz="0" w:space="0" w:color="auto"/>
        <w:right w:val="none" w:sz="0" w:space="0" w:color="auto"/>
      </w:divBdr>
    </w:div>
    <w:div w:id="1065758759">
      <w:bodyDiv w:val="1"/>
      <w:marLeft w:val="0"/>
      <w:marRight w:val="0"/>
      <w:marTop w:val="0"/>
      <w:marBottom w:val="0"/>
      <w:divBdr>
        <w:top w:val="none" w:sz="0" w:space="0" w:color="auto"/>
        <w:left w:val="none" w:sz="0" w:space="0" w:color="auto"/>
        <w:bottom w:val="none" w:sz="0" w:space="0" w:color="auto"/>
        <w:right w:val="none" w:sz="0" w:space="0" w:color="auto"/>
      </w:divBdr>
    </w:div>
    <w:div w:id="1082292081">
      <w:bodyDiv w:val="1"/>
      <w:marLeft w:val="0"/>
      <w:marRight w:val="0"/>
      <w:marTop w:val="0"/>
      <w:marBottom w:val="0"/>
      <w:divBdr>
        <w:top w:val="none" w:sz="0" w:space="0" w:color="auto"/>
        <w:left w:val="none" w:sz="0" w:space="0" w:color="auto"/>
        <w:bottom w:val="none" w:sz="0" w:space="0" w:color="auto"/>
        <w:right w:val="none" w:sz="0" w:space="0" w:color="auto"/>
      </w:divBdr>
    </w:div>
    <w:div w:id="1094478429">
      <w:bodyDiv w:val="1"/>
      <w:marLeft w:val="0"/>
      <w:marRight w:val="0"/>
      <w:marTop w:val="0"/>
      <w:marBottom w:val="0"/>
      <w:divBdr>
        <w:top w:val="none" w:sz="0" w:space="0" w:color="auto"/>
        <w:left w:val="none" w:sz="0" w:space="0" w:color="auto"/>
        <w:bottom w:val="none" w:sz="0" w:space="0" w:color="auto"/>
        <w:right w:val="none" w:sz="0" w:space="0" w:color="auto"/>
      </w:divBdr>
    </w:div>
    <w:div w:id="1105149633">
      <w:bodyDiv w:val="1"/>
      <w:marLeft w:val="0"/>
      <w:marRight w:val="0"/>
      <w:marTop w:val="0"/>
      <w:marBottom w:val="0"/>
      <w:divBdr>
        <w:top w:val="none" w:sz="0" w:space="0" w:color="auto"/>
        <w:left w:val="none" w:sz="0" w:space="0" w:color="auto"/>
        <w:bottom w:val="none" w:sz="0" w:space="0" w:color="auto"/>
        <w:right w:val="none" w:sz="0" w:space="0" w:color="auto"/>
      </w:divBdr>
    </w:div>
    <w:div w:id="1125079524">
      <w:bodyDiv w:val="1"/>
      <w:marLeft w:val="0"/>
      <w:marRight w:val="0"/>
      <w:marTop w:val="0"/>
      <w:marBottom w:val="0"/>
      <w:divBdr>
        <w:top w:val="none" w:sz="0" w:space="0" w:color="auto"/>
        <w:left w:val="none" w:sz="0" w:space="0" w:color="auto"/>
        <w:bottom w:val="none" w:sz="0" w:space="0" w:color="auto"/>
        <w:right w:val="none" w:sz="0" w:space="0" w:color="auto"/>
      </w:divBdr>
    </w:div>
    <w:div w:id="1134716049">
      <w:bodyDiv w:val="1"/>
      <w:marLeft w:val="0"/>
      <w:marRight w:val="0"/>
      <w:marTop w:val="0"/>
      <w:marBottom w:val="0"/>
      <w:divBdr>
        <w:top w:val="none" w:sz="0" w:space="0" w:color="auto"/>
        <w:left w:val="none" w:sz="0" w:space="0" w:color="auto"/>
        <w:bottom w:val="none" w:sz="0" w:space="0" w:color="auto"/>
        <w:right w:val="none" w:sz="0" w:space="0" w:color="auto"/>
      </w:divBdr>
    </w:div>
    <w:div w:id="1137071392">
      <w:bodyDiv w:val="1"/>
      <w:marLeft w:val="0"/>
      <w:marRight w:val="0"/>
      <w:marTop w:val="0"/>
      <w:marBottom w:val="0"/>
      <w:divBdr>
        <w:top w:val="none" w:sz="0" w:space="0" w:color="auto"/>
        <w:left w:val="none" w:sz="0" w:space="0" w:color="auto"/>
        <w:bottom w:val="none" w:sz="0" w:space="0" w:color="auto"/>
        <w:right w:val="none" w:sz="0" w:space="0" w:color="auto"/>
      </w:divBdr>
    </w:div>
    <w:div w:id="1153063283">
      <w:bodyDiv w:val="1"/>
      <w:marLeft w:val="0"/>
      <w:marRight w:val="0"/>
      <w:marTop w:val="0"/>
      <w:marBottom w:val="0"/>
      <w:divBdr>
        <w:top w:val="none" w:sz="0" w:space="0" w:color="auto"/>
        <w:left w:val="none" w:sz="0" w:space="0" w:color="auto"/>
        <w:bottom w:val="none" w:sz="0" w:space="0" w:color="auto"/>
        <w:right w:val="none" w:sz="0" w:space="0" w:color="auto"/>
      </w:divBdr>
    </w:div>
    <w:div w:id="1172992662">
      <w:bodyDiv w:val="1"/>
      <w:marLeft w:val="0"/>
      <w:marRight w:val="0"/>
      <w:marTop w:val="0"/>
      <w:marBottom w:val="0"/>
      <w:divBdr>
        <w:top w:val="none" w:sz="0" w:space="0" w:color="auto"/>
        <w:left w:val="none" w:sz="0" w:space="0" w:color="auto"/>
        <w:bottom w:val="none" w:sz="0" w:space="0" w:color="auto"/>
        <w:right w:val="none" w:sz="0" w:space="0" w:color="auto"/>
      </w:divBdr>
    </w:div>
    <w:div w:id="1177696327">
      <w:bodyDiv w:val="1"/>
      <w:marLeft w:val="0"/>
      <w:marRight w:val="0"/>
      <w:marTop w:val="0"/>
      <w:marBottom w:val="0"/>
      <w:divBdr>
        <w:top w:val="none" w:sz="0" w:space="0" w:color="auto"/>
        <w:left w:val="none" w:sz="0" w:space="0" w:color="auto"/>
        <w:bottom w:val="none" w:sz="0" w:space="0" w:color="auto"/>
        <w:right w:val="none" w:sz="0" w:space="0" w:color="auto"/>
      </w:divBdr>
    </w:div>
    <w:div w:id="1211264860">
      <w:bodyDiv w:val="1"/>
      <w:marLeft w:val="0"/>
      <w:marRight w:val="0"/>
      <w:marTop w:val="0"/>
      <w:marBottom w:val="0"/>
      <w:divBdr>
        <w:top w:val="none" w:sz="0" w:space="0" w:color="auto"/>
        <w:left w:val="none" w:sz="0" w:space="0" w:color="auto"/>
        <w:bottom w:val="none" w:sz="0" w:space="0" w:color="auto"/>
        <w:right w:val="none" w:sz="0" w:space="0" w:color="auto"/>
      </w:divBdr>
    </w:div>
    <w:div w:id="1222903027">
      <w:bodyDiv w:val="1"/>
      <w:marLeft w:val="0"/>
      <w:marRight w:val="0"/>
      <w:marTop w:val="0"/>
      <w:marBottom w:val="0"/>
      <w:divBdr>
        <w:top w:val="none" w:sz="0" w:space="0" w:color="auto"/>
        <w:left w:val="none" w:sz="0" w:space="0" w:color="auto"/>
        <w:bottom w:val="none" w:sz="0" w:space="0" w:color="auto"/>
        <w:right w:val="none" w:sz="0" w:space="0" w:color="auto"/>
      </w:divBdr>
    </w:div>
    <w:div w:id="1225679614">
      <w:bodyDiv w:val="1"/>
      <w:marLeft w:val="0"/>
      <w:marRight w:val="0"/>
      <w:marTop w:val="0"/>
      <w:marBottom w:val="0"/>
      <w:divBdr>
        <w:top w:val="none" w:sz="0" w:space="0" w:color="auto"/>
        <w:left w:val="none" w:sz="0" w:space="0" w:color="auto"/>
        <w:bottom w:val="none" w:sz="0" w:space="0" w:color="auto"/>
        <w:right w:val="none" w:sz="0" w:space="0" w:color="auto"/>
      </w:divBdr>
    </w:div>
    <w:div w:id="1262378364">
      <w:bodyDiv w:val="1"/>
      <w:marLeft w:val="0"/>
      <w:marRight w:val="0"/>
      <w:marTop w:val="0"/>
      <w:marBottom w:val="0"/>
      <w:divBdr>
        <w:top w:val="none" w:sz="0" w:space="0" w:color="auto"/>
        <w:left w:val="none" w:sz="0" w:space="0" w:color="auto"/>
        <w:bottom w:val="none" w:sz="0" w:space="0" w:color="auto"/>
        <w:right w:val="none" w:sz="0" w:space="0" w:color="auto"/>
      </w:divBdr>
    </w:div>
    <w:div w:id="1272931973">
      <w:bodyDiv w:val="1"/>
      <w:marLeft w:val="0"/>
      <w:marRight w:val="0"/>
      <w:marTop w:val="0"/>
      <w:marBottom w:val="0"/>
      <w:divBdr>
        <w:top w:val="none" w:sz="0" w:space="0" w:color="auto"/>
        <w:left w:val="none" w:sz="0" w:space="0" w:color="auto"/>
        <w:bottom w:val="none" w:sz="0" w:space="0" w:color="auto"/>
        <w:right w:val="none" w:sz="0" w:space="0" w:color="auto"/>
      </w:divBdr>
    </w:div>
    <w:div w:id="1275594608">
      <w:bodyDiv w:val="1"/>
      <w:marLeft w:val="0"/>
      <w:marRight w:val="0"/>
      <w:marTop w:val="0"/>
      <w:marBottom w:val="0"/>
      <w:divBdr>
        <w:top w:val="none" w:sz="0" w:space="0" w:color="auto"/>
        <w:left w:val="none" w:sz="0" w:space="0" w:color="auto"/>
        <w:bottom w:val="none" w:sz="0" w:space="0" w:color="auto"/>
        <w:right w:val="none" w:sz="0" w:space="0" w:color="auto"/>
      </w:divBdr>
    </w:div>
    <w:div w:id="1277327214">
      <w:bodyDiv w:val="1"/>
      <w:marLeft w:val="0"/>
      <w:marRight w:val="0"/>
      <w:marTop w:val="0"/>
      <w:marBottom w:val="0"/>
      <w:divBdr>
        <w:top w:val="none" w:sz="0" w:space="0" w:color="auto"/>
        <w:left w:val="none" w:sz="0" w:space="0" w:color="auto"/>
        <w:bottom w:val="none" w:sz="0" w:space="0" w:color="auto"/>
        <w:right w:val="none" w:sz="0" w:space="0" w:color="auto"/>
      </w:divBdr>
    </w:div>
    <w:div w:id="1292442512">
      <w:bodyDiv w:val="1"/>
      <w:marLeft w:val="0"/>
      <w:marRight w:val="0"/>
      <w:marTop w:val="0"/>
      <w:marBottom w:val="0"/>
      <w:divBdr>
        <w:top w:val="none" w:sz="0" w:space="0" w:color="auto"/>
        <w:left w:val="none" w:sz="0" w:space="0" w:color="auto"/>
        <w:bottom w:val="none" w:sz="0" w:space="0" w:color="auto"/>
        <w:right w:val="none" w:sz="0" w:space="0" w:color="auto"/>
      </w:divBdr>
    </w:div>
    <w:div w:id="1298224740">
      <w:bodyDiv w:val="1"/>
      <w:marLeft w:val="0"/>
      <w:marRight w:val="0"/>
      <w:marTop w:val="0"/>
      <w:marBottom w:val="0"/>
      <w:divBdr>
        <w:top w:val="none" w:sz="0" w:space="0" w:color="auto"/>
        <w:left w:val="none" w:sz="0" w:space="0" w:color="auto"/>
        <w:bottom w:val="none" w:sz="0" w:space="0" w:color="auto"/>
        <w:right w:val="none" w:sz="0" w:space="0" w:color="auto"/>
      </w:divBdr>
    </w:div>
    <w:div w:id="1306811743">
      <w:bodyDiv w:val="1"/>
      <w:marLeft w:val="0"/>
      <w:marRight w:val="0"/>
      <w:marTop w:val="0"/>
      <w:marBottom w:val="0"/>
      <w:divBdr>
        <w:top w:val="none" w:sz="0" w:space="0" w:color="auto"/>
        <w:left w:val="none" w:sz="0" w:space="0" w:color="auto"/>
        <w:bottom w:val="none" w:sz="0" w:space="0" w:color="auto"/>
        <w:right w:val="none" w:sz="0" w:space="0" w:color="auto"/>
      </w:divBdr>
    </w:div>
    <w:div w:id="1329556937">
      <w:bodyDiv w:val="1"/>
      <w:marLeft w:val="0"/>
      <w:marRight w:val="0"/>
      <w:marTop w:val="0"/>
      <w:marBottom w:val="0"/>
      <w:divBdr>
        <w:top w:val="none" w:sz="0" w:space="0" w:color="auto"/>
        <w:left w:val="none" w:sz="0" w:space="0" w:color="auto"/>
        <w:bottom w:val="none" w:sz="0" w:space="0" w:color="auto"/>
        <w:right w:val="none" w:sz="0" w:space="0" w:color="auto"/>
      </w:divBdr>
    </w:div>
    <w:div w:id="1353263121">
      <w:bodyDiv w:val="1"/>
      <w:marLeft w:val="0"/>
      <w:marRight w:val="0"/>
      <w:marTop w:val="0"/>
      <w:marBottom w:val="0"/>
      <w:divBdr>
        <w:top w:val="none" w:sz="0" w:space="0" w:color="auto"/>
        <w:left w:val="none" w:sz="0" w:space="0" w:color="auto"/>
        <w:bottom w:val="none" w:sz="0" w:space="0" w:color="auto"/>
        <w:right w:val="none" w:sz="0" w:space="0" w:color="auto"/>
      </w:divBdr>
    </w:div>
    <w:div w:id="1355426687">
      <w:bodyDiv w:val="1"/>
      <w:marLeft w:val="0"/>
      <w:marRight w:val="0"/>
      <w:marTop w:val="0"/>
      <w:marBottom w:val="0"/>
      <w:divBdr>
        <w:top w:val="none" w:sz="0" w:space="0" w:color="auto"/>
        <w:left w:val="none" w:sz="0" w:space="0" w:color="auto"/>
        <w:bottom w:val="none" w:sz="0" w:space="0" w:color="auto"/>
        <w:right w:val="none" w:sz="0" w:space="0" w:color="auto"/>
      </w:divBdr>
    </w:div>
    <w:div w:id="1364479102">
      <w:bodyDiv w:val="1"/>
      <w:marLeft w:val="0"/>
      <w:marRight w:val="0"/>
      <w:marTop w:val="0"/>
      <w:marBottom w:val="0"/>
      <w:divBdr>
        <w:top w:val="none" w:sz="0" w:space="0" w:color="auto"/>
        <w:left w:val="none" w:sz="0" w:space="0" w:color="auto"/>
        <w:bottom w:val="none" w:sz="0" w:space="0" w:color="auto"/>
        <w:right w:val="none" w:sz="0" w:space="0" w:color="auto"/>
      </w:divBdr>
    </w:div>
    <w:div w:id="1365642373">
      <w:bodyDiv w:val="1"/>
      <w:marLeft w:val="0"/>
      <w:marRight w:val="0"/>
      <w:marTop w:val="0"/>
      <w:marBottom w:val="0"/>
      <w:divBdr>
        <w:top w:val="none" w:sz="0" w:space="0" w:color="auto"/>
        <w:left w:val="none" w:sz="0" w:space="0" w:color="auto"/>
        <w:bottom w:val="none" w:sz="0" w:space="0" w:color="auto"/>
        <w:right w:val="none" w:sz="0" w:space="0" w:color="auto"/>
      </w:divBdr>
    </w:div>
    <w:div w:id="1369183609">
      <w:bodyDiv w:val="1"/>
      <w:marLeft w:val="0"/>
      <w:marRight w:val="0"/>
      <w:marTop w:val="0"/>
      <w:marBottom w:val="0"/>
      <w:divBdr>
        <w:top w:val="none" w:sz="0" w:space="0" w:color="auto"/>
        <w:left w:val="none" w:sz="0" w:space="0" w:color="auto"/>
        <w:bottom w:val="none" w:sz="0" w:space="0" w:color="auto"/>
        <w:right w:val="none" w:sz="0" w:space="0" w:color="auto"/>
      </w:divBdr>
    </w:div>
    <w:div w:id="1378507226">
      <w:bodyDiv w:val="1"/>
      <w:marLeft w:val="0"/>
      <w:marRight w:val="0"/>
      <w:marTop w:val="0"/>
      <w:marBottom w:val="0"/>
      <w:divBdr>
        <w:top w:val="none" w:sz="0" w:space="0" w:color="auto"/>
        <w:left w:val="none" w:sz="0" w:space="0" w:color="auto"/>
        <w:bottom w:val="none" w:sz="0" w:space="0" w:color="auto"/>
        <w:right w:val="none" w:sz="0" w:space="0" w:color="auto"/>
      </w:divBdr>
    </w:div>
    <w:div w:id="1388869552">
      <w:bodyDiv w:val="1"/>
      <w:marLeft w:val="0"/>
      <w:marRight w:val="0"/>
      <w:marTop w:val="0"/>
      <w:marBottom w:val="0"/>
      <w:divBdr>
        <w:top w:val="none" w:sz="0" w:space="0" w:color="auto"/>
        <w:left w:val="none" w:sz="0" w:space="0" w:color="auto"/>
        <w:bottom w:val="none" w:sz="0" w:space="0" w:color="auto"/>
        <w:right w:val="none" w:sz="0" w:space="0" w:color="auto"/>
      </w:divBdr>
    </w:div>
    <w:div w:id="1396010349">
      <w:bodyDiv w:val="1"/>
      <w:marLeft w:val="0"/>
      <w:marRight w:val="0"/>
      <w:marTop w:val="0"/>
      <w:marBottom w:val="0"/>
      <w:divBdr>
        <w:top w:val="none" w:sz="0" w:space="0" w:color="auto"/>
        <w:left w:val="none" w:sz="0" w:space="0" w:color="auto"/>
        <w:bottom w:val="none" w:sz="0" w:space="0" w:color="auto"/>
        <w:right w:val="none" w:sz="0" w:space="0" w:color="auto"/>
      </w:divBdr>
    </w:div>
    <w:div w:id="1408041741">
      <w:bodyDiv w:val="1"/>
      <w:marLeft w:val="0"/>
      <w:marRight w:val="0"/>
      <w:marTop w:val="0"/>
      <w:marBottom w:val="0"/>
      <w:divBdr>
        <w:top w:val="none" w:sz="0" w:space="0" w:color="auto"/>
        <w:left w:val="none" w:sz="0" w:space="0" w:color="auto"/>
        <w:bottom w:val="none" w:sz="0" w:space="0" w:color="auto"/>
        <w:right w:val="none" w:sz="0" w:space="0" w:color="auto"/>
      </w:divBdr>
      <w:divsChild>
        <w:div w:id="1267225778">
          <w:marLeft w:val="0"/>
          <w:marRight w:val="0"/>
          <w:marTop w:val="0"/>
          <w:marBottom w:val="0"/>
          <w:divBdr>
            <w:top w:val="none" w:sz="0" w:space="0" w:color="auto"/>
            <w:left w:val="none" w:sz="0" w:space="0" w:color="auto"/>
            <w:bottom w:val="none" w:sz="0" w:space="0" w:color="auto"/>
            <w:right w:val="none" w:sz="0" w:space="0" w:color="auto"/>
          </w:divBdr>
          <w:divsChild>
            <w:div w:id="8607525">
              <w:marLeft w:val="0"/>
              <w:marRight w:val="0"/>
              <w:marTop w:val="0"/>
              <w:marBottom w:val="0"/>
              <w:divBdr>
                <w:top w:val="none" w:sz="0" w:space="0" w:color="auto"/>
                <w:left w:val="none" w:sz="0" w:space="0" w:color="auto"/>
                <w:bottom w:val="none" w:sz="0" w:space="0" w:color="auto"/>
                <w:right w:val="none" w:sz="0" w:space="0" w:color="auto"/>
              </w:divBdr>
              <w:divsChild>
                <w:div w:id="1218590520">
                  <w:marLeft w:val="0"/>
                  <w:marRight w:val="0"/>
                  <w:marTop w:val="0"/>
                  <w:marBottom w:val="0"/>
                  <w:divBdr>
                    <w:top w:val="none" w:sz="0" w:space="0" w:color="auto"/>
                    <w:left w:val="none" w:sz="0" w:space="0" w:color="auto"/>
                    <w:bottom w:val="none" w:sz="0" w:space="0" w:color="auto"/>
                    <w:right w:val="none" w:sz="0" w:space="0" w:color="auto"/>
                  </w:divBdr>
                  <w:divsChild>
                    <w:div w:id="10298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3079">
          <w:marLeft w:val="0"/>
          <w:marRight w:val="0"/>
          <w:marTop w:val="0"/>
          <w:marBottom w:val="0"/>
          <w:divBdr>
            <w:top w:val="none" w:sz="0" w:space="0" w:color="auto"/>
            <w:left w:val="none" w:sz="0" w:space="0" w:color="auto"/>
            <w:bottom w:val="none" w:sz="0" w:space="0" w:color="auto"/>
            <w:right w:val="none" w:sz="0" w:space="0" w:color="auto"/>
          </w:divBdr>
          <w:divsChild>
            <w:div w:id="268899840">
              <w:marLeft w:val="0"/>
              <w:marRight w:val="0"/>
              <w:marTop w:val="0"/>
              <w:marBottom w:val="0"/>
              <w:divBdr>
                <w:top w:val="none" w:sz="0" w:space="0" w:color="auto"/>
                <w:left w:val="none" w:sz="0" w:space="0" w:color="auto"/>
                <w:bottom w:val="none" w:sz="0" w:space="0" w:color="auto"/>
                <w:right w:val="none" w:sz="0" w:space="0" w:color="auto"/>
              </w:divBdr>
              <w:divsChild>
                <w:div w:id="1268847080">
                  <w:marLeft w:val="0"/>
                  <w:marRight w:val="0"/>
                  <w:marTop w:val="0"/>
                  <w:marBottom w:val="0"/>
                  <w:divBdr>
                    <w:top w:val="none" w:sz="0" w:space="0" w:color="auto"/>
                    <w:left w:val="none" w:sz="0" w:space="0" w:color="auto"/>
                    <w:bottom w:val="none" w:sz="0" w:space="0" w:color="auto"/>
                    <w:right w:val="none" w:sz="0" w:space="0" w:color="auto"/>
                  </w:divBdr>
                  <w:divsChild>
                    <w:div w:id="4965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1547">
      <w:bodyDiv w:val="1"/>
      <w:marLeft w:val="0"/>
      <w:marRight w:val="0"/>
      <w:marTop w:val="0"/>
      <w:marBottom w:val="0"/>
      <w:divBdr>
        <w:top w:val="none" w:sz="0" w:space="0" w:color="auto"/>
        <w:left w:val="none" w:sz="0" w:space="0" w:color="auto"/>
        <w:bottom w:val="none" w:sz="0" w:space="0" w:color="auto"/>
        <w:right w:val="none" w:sz="0" w:space="0" w:color="auto"/>
      </w:divBdr>
    </w:div>
    <w:div w:id="1411273544">
      <w:bodyDiv w:val="1"/>
      <w:marLeft w:val="0"/>
      <w:marRight w:val="0"/>
      <w:marTop w:val="0"/>
      <w:marBottom w:val="0"/>
      <w:divBdr>
        <w:top w:val="none" w:sz="0" w:space="0" w:color="auto"/>
        <w:left w:val="none" w:sz="0" w:space="0" w:color="auto"/>
        <w:bottom w:val="none" w:sz="0" w:space="0" w:color="auto"/>
        <w:right w:val="none" w:sz="0" w:space="0" w:color="auto"/>
      </w:divBdr>
    </w:div>
    <w:div w:id="1413238868">
      <w:bodyDiv w:val="1"/>
      <w:marLeft w:val="0"/>
      <w:marRight w:val="0"/>
      <w:marTop w:val="0"/>
      <w:marBottom w:val="0"/>
      <w:divBdr>
        <w:top w:val="none" w:sz="0" w:space="0" w:color="auto"/>
        <w:left w:val="none" w:sz="0" w:space="0" w:color="auto"/>
        <w:bottom w:val="none" w:sz="0" w:space="0" w:color="auto"/>
        <w:right w:val="none" w:sz="0" w:space="0" w:color="auto"/>
      </w:divBdr>
    </w:div>
    <w:div w:id="1414355404">
      <w:bodyDiv w:val="1"/>
      <w:marLeft w:val="0"/>
      <w:marRight w:val="0"/>
      <w:marTop w:val="0"/>
      <w:marBottom w:val="0"/>
      <w:divBdr>
        <w:top w:val="none" w:sz="0" w:space="0" w:color="auto"/>
        <w:left w:val="none" w:sz="0" w:space="0" w:color="auto"/>
        <w:bottom w:val="none" w:sz="0" w:space="0" w:color="auto"/>
        <w:right w:val="none" w:sz="0" w:space="0" w:color="auto"/>
      </w:divBdr>
    </w:div>
    <w:div w:id="1451044874">
      <w:bodyDiv w:val="1"/>
      <w:marLeft w:val="0"/>
      <w:marRight w:val="0"/>
      <w:marTop w:val="0"/>
      <w:marBottom w:val="0"/>
      <w:divBdr>
        <w:top w:val="none" w:sz="0" w:space="0" w:color="auto"/>
        <w:left w:val="none" w:sz="0" w:space="0" w:color="auto"/>
        <w:bottom w:val="none" w:sz="0" w:space="0" w:color="auto"/>
        <w:right w:val="none" w:sz="0" w:space="0" w:color="auto"/>
      </w:divBdr>
    </w:div>
    <w:div w:id="1452822831">
      <w:bodyDiv w:val="1"/>
      <w:marLeft w:val="0"/>
      <w:marRight w:val="0"/>
      <w:marTop w:val="0"/>
      <w:marBottom w:val="0"/>
      <w:divBdr>
        <w:top w:val="none" w:sz="0" w:space="0" w:color="auto"/>
        <w:left w:val="none" w:sz="0" w:space="0" w:color="auto"/>
        <w:bottom w:val="none" w:sz="0" w:space="0" w:color="auto"/>
        <w:right w:val="none" w:sz="0" w:space="0" w:color="auto"/>
      </w:divBdr>
    </w:div>
    <w:div w:id="1453015251">
      <w:bodyDiv w:val="1"/>
      <w:marLeft w:val="0"/>
      <w:marRight w:val="0"/>
      <w:marTop w:val="0"/>
      <w:marBottom w:val="0"/>
      <w:divBdr>
        <w:top w:val="none" w:sz="0" w:space="0" w:color="auto"/>
        <w:left w:val="none" w:sz="0" w:space="0" w:color="auto"/>
        <w:bottom w:val="none" w:sz="0" w:space="0" w:color="auto"/>
        <w:right w:val="none" w:sz="0" w:space="0" w:color="auto"/>
      </w:divBdr>
    </w:div>
    <w:div w:id="1456170506">
      <w:bodyDiv w:val="1"/>
      <w:marLeft w:val="0"/>
      <w:marRight w:val="0"/>
      <w:marTop w:val="0"/>
      <w:marBottom w:val="0"/>
      <w:divBdr>
        <w:top w:val="none" w:sz="0" w:space="0" w:color="auto"/>
        <w:left w:val="none" w:sz="0" w:space="0" w:color="auto"/>
        <w:bottom w:val="none" w:sz="0" w:space="0" w:color="auto"/>
        <w:right w:val="none" w:sz="0" w:space="0" w:color="auto"/>
      </w:divBdr>
    </w:div>
    <w:div w:id="1476411104">
      <w:bodyDiv w:val="1"/>
      <w:marLeft w:val="0"/>
      <w:marRight w:val="0"/>
      <w:marTop w:val="0"/>
      <w:marBottom w:val="0"/>
      <w:divBdr>
        <w:top w:val="none" w:sz="0" w:space="0" w:color="auto"/>
        <w:left w:val="none" w:sz="0" w:space="0" w:color="auto"/>
        <w:bottom w:val="none" w:sz="0" w:space="0" w:color="auto"/>
        <w:right w:val="none" w:sz="0" w:space="0" w:color="auto"/>
      </w:divBdr>
    </w:div>
    <w:div w:id="1487018217">
      <w:bodyDiv w:val="1"/>
      <w:marLeft w:val="0"/>
      <w:marRight w:val="0"/>
      <w:marTop w:val="0"/>
      <w:marBottom w:val="0"/>
      <w:divBdr>
        <w:top w:val="none" w:sz="0" w:space="0" w:color="auto"/>
        <w:left w:val="none" w:sz="0" w:space="0" w:color="auto"/>
        <w:bottom w:val="none" w:sz="0" w:space="0" w:color="auto"/>
        <w:right w:val="none" w:sz="0" w:space="0" w:color="auto"/>
      </w:divBdr>
    </w:div>
    <w:div w:id="1521816904">
      <w:bodyDiv w:val="1"/>
      <w:marLeft w:val="0"/>
      <w:marRight w:val="0"/>
      <w:marTop w:val="0"/>
      <w:marBottom w:val="0"/>
      <w:divBdr>
        <w:top w:val="none" w:sz="0" w:space="0" w:color="auto"/>
        <w:left w:val="none" w:sz="0" w:space="0" w:color="auto"/>
        <w:bottom w:val="none" w:sz="0" w:space="0" w:color="auto"/>
        <w:right w:val="none" w:sz="0" w:space="0" w:color="auto"/>
      </w:divBdr>
    </w:div>
    <w:div w:id="1528134415">
      <w:bodyDiv w:val="1"/>
      <w:marLeft w:val="0"/>
      <w:marRight w:val="0"/>
      <w:marTop w:val="0"/>
      <w:marBottom w:val="0"/>
      <w:divBdr>
        <w:top w:val="none" w:sz="0" w:space="0" w:color="auto"/>
        <w:left w:val="none" w:sz="0" w:space="0" w:color="auto"/>
        <w:bottom w:val="none" w:sz="0" w:space="0" w:color="auto"/>
        <w:right w:val="none" w:sz="0" w:space="0" w:color="auto"/>
      </w:divBdr>
    </w:div>
    <w:div w:id="1571502119">
      <w:bodyDiv w:val="1"/>
      <w:marLeft w:val="0"/>
      <w:marRight w:val="0"/>
      <w:marTop w:val="0"/>
      <w:marBottom w:val="0"/>
      <w:divBdr>
        <w:top w:val="none" w:sz="0" w:space="0" w:color="auto"/>
        <w:left w:val="none" w:sz="0" w:space="0" w:color="auto"/>
        <w:bottom w:val="none" w:sz="0" w:space="0" w:color="auto"/>
        <w:right w:val="none" w:sz="0" w:space="0" w:color="auto"/>
      </w:divBdr>
    </w:div>
    <w:div w:id="1614557764">
      <w:bodyDiv w:val="1"/>
      <w:marLeft w:val="0"/>
      <w:marRight w:val="0"/>
      <w:marTop w:val="0"/>
      <w:marBottom w:val="0"/>
      <w:divBdr>
        <w:top w:val="none" w:sz="0" w:space="0" w:color="auto"/>
        <w:left w:val="none" w:sz="0" w:space="0" w:color="auto"/>
        <w:bottom w:val="none" w:sz="0" w:space="0" w:color="auto"/>
        <w:right w:val="none" w:sz="0" w:space="0" w:color="auto"/>
      </w:divBdr>
    </w:div>
    <w:div w:id="1616014559">
      <w:bodyDiv w:val="1"/>
      <w:marLeft w:val="0"/>
      <w:marRight w:val="0"/>
      <w:marTop w:val="0"/>
      <w:marBottom w:val="0"/>
      <w:divBdr>
        <w:top w:val="none" w:sz="0" w:space="0" w:color="auto"/>
        <w:left w:val="none" w:sz="0" w:space="0" w:color="auto"/>
        <w:bottom w:val="none" w:sz="0" w:space="0" w:color="auto"/>
        <w:right w:val="none" w:sz="0" w:space="0" w:color="auto"/>
      </w:divBdr>
    </w:div>
    <w:div w:id="1635598338">
      <w:bodyDiv w:val="1"/>
      <w:marLeft w:val="0"/>
      <w:marRight w:val="0"/>
      <w:marTop w:val="0"/>
      <w:marBottom w:val="0"/>
      <w:divBdr>
        <w:top w:val="none" w:sz="0" w:space="0" w:color="auto"/>
        <w:left w:val="none" w:sz="0" w:space="0" w:color="auto"/>
        <w:bottom w:val="none" w:sz="0" w:space="0" w:color="auto"/>
        <w:right w:val="none" w:sz="0" w:space="0" w:color="auto"/>
      </w:divBdr>
    </w:div>
    <w:div w:id="1646200873">
      <w:bodyDiv w:val="1"/>
      <w:marLeft w:val="0"/>
      <w:marRight w:val="0"/>
      <w:marTop w:val="0"/>
      <w:marBottom w:val="0"/>
      <w:divBdr>
        <w:top w:val="none" w:sz="0" w:space="0" w:color="auto"/>
        <w:left w:val="none" w:sz="0" w:space="0" w:color="auto"/>
        <w:bottom w:val="none" w:sz="0" w:space="0" w:color="auto"/>
        <w:right w:val="none" w:sz="0" w:space="0" w:color="auto"/>
      </w:divBdr>
    </w:div>
    <w:div w:id="1655641538">
      <w:bodyDiv w:val="1"/>
      <w:marLeft w:val="0"/>
      <w:marRight w:val="0"/>
      <w:marTop w:val="0"/>
      <w:marBottom w:val="0"/>
      <w:divBdr>
        <w:top w:val="none" w:sz="0" w:space="0" w:color="auto"/>
        <w:left w:val="none" w:sz="0" w:space="0" w:color="auto"/>
        <w:bottom w:val="none" w:sz="0" w:space="0" w:color="auto"/>
        <w:right w:val="none" w:sz="0" w:space="0" w:color="auto"/>
      </w:divBdr>
    </w:div>
    <w:div w:id="1673874474">
      <w:bodyDiv w:val="1"/>
      <w:marLeft w:val="0"/>
      <w:marRight w:val="0"/>
      <w:marTop w:val="0"/>
      <w:marBottom w:val="0"/>
      <w:divBdr>
        <w:top w:val="none" w:sz="0" w:space="0" w:color="auto"/>
        <w:left w:val="none" w:sz="0" w:space="0" w:color="auto"/>
        <w:bottom w:val="none" w:sz="0" w:space="0" w:color="auto"/>
        <w:right w:val="none" w:sz="0" w:space="0" w:color="auto"/>
      </w:divBdr>
    </w:div>
    <w:div w:id="1686857355">
      <w:bodyDiv w:val="1"/>
      <w:marLeft w:val="0"/>
      <w:marRight w:val="0"/>
      <w:marTop w:val="0"/>
      <w:marBottom w:val="0"/>
      <w:divBdr>
        <w:top w:val="none" w:sz="0" w:space="0" w:color="auto"/>
        <w:left w:val="none" w:sz="0" w:space="0" w:color="auto"/>
        <w:bottom w:val="none" w:sz="0" w:space="0" w:color="auto"/>
        <w:right w:val="none" w:sz="0" w:space="0" w:color="auto"/>
      </w:divBdr>
    </w:div>
    <w:div w:id="1688411855">
      <w:bodyDiv w:val="1"/>
      <w:marLeft w:val="0"/>
      <w:marRight w:val="0"/>
      <w:marTop w:val="0"/>
      <w:marBottom w:val="0"/>
      <w:divBdr>
        <w:top w:val="none" w:sz="0" w:space="0" w:color="auto"/>
        <w:left w:val="none" w:sz="0" w:space="0" w:color="auto"/>
        <w:bottom w:val="none" w:sz="0" w:space="0" w:color="auto"/>
        <w:right w:val="none" w:sz="0" w:space="0" w:color="auto"/>
      </w:divBdr>
    </w:div>
    <w:div w:id="1688949028">
      <w:bodyDiv w:val="1"/>
      <w:marLeft w:val="0"/>
      <w:marRight w:val="0"/>
      <w:marTop w:val="0"/>
      <w:marBottom w:val="0"/>
      <w:divBdr>
        <w:top w:val="none" w:sz="0" w:space="0" w:color="auto"/>
        <w:left w:val="none" w:sz="0" w:space="0" w:color="auto"/>
        <w:bottom w:val="none" w:sz="0" w:space="0" w:color="auto"/>
        <w:right w:val="none" w:sz="0" w:space="0" w:color="auto"/>
      </w:divBdr>
    </w:div>
    <w:div w:id="1694762355">
      <w:bodyDiv w:val="1"/>
      <w:marLeft w:val="0"/>
      <w:marRight w:val="0"/>
      <w:marTop w:val="0"/>
      <w:marBottom w:val="0"/>
      <w:divBdr>
        <w:top w:val="none" w:sz="0" w:space="0" w:color="auto"/>
        <w:left w:val="none" w:sz="0" w:space="0" w:color="auto"/>
        <w:bottom w:val="none" w:sz="0" w:space="0" w:color="auto"/>
        <w:right w:val="none" w:sz="0" w:space="0" w:color="auto"/>
      </w:divBdr>
    </w:div>
    <w:div w:id="1724520327">
      <w:bodyDiv w:val="1"/>
      <w:marLeft w:val="0"/>
      <w:marRight w:val="0"/>
      <w:marTop w:val="0"/>
      <w:marBottom w:val="0"/>
      <w:divBdr>
        <w:top w:val="none" w:sz="0" w:space="0" w:color="auto"/>
        <w:left w:val="none" w:sz="0" w:space="0" w:color="auto"/>
        <w:bottom w:val="none" w:sz="0" w:space="0" w:color="auto"/>
        <w:right w:val="none" w:sz="0" w:space="0" w:color="auto"/>
      </w:divBdr>
    </w:div>
    <w:div w:id="1724593459">
      <w:bodyDiv w:val="1"/>
      <w:marLeft w:val="0"/>
      <w:marRight w:val="0"/>
      <w:marTop w:val="0"/>
      <w:marBottom w:val="0"/>
      <w:divBdr>
        <w:top w:val="none" w:sz="0" w:space="0" w:color="auto"/>
        <w:left w:val="none" w:sz="0" w:space="0" w:color="auto"/>
        <w:bottom w:val="none" w:sz="0" w:space="0" w:color="auto"/>
        <w:right w:val="none" w:sz="0" w:space="0" w:color="auto"/>
      </w:divBdr>
    </w:div>
    <w:div w:id="1729382772">
      <w:bodyDiv w:val="1"/>
      <w:marLeft w:val="0"/>
      <w:marRight w:val="0"/>
      <w:marTop w:val="0"/>
      <w:marBottom w:val="0"/>
      <w:divBdr>
        <w:top w:val="none" w:sz="0" w:space="0" w:color="auto"/>
        <w:left w:val="none" w:sz="0" w:space="0" w:color="auto"/>
        <w:bottom w:val="none" w:sz="0" w:space="0" w:color="auto"/>
        <w:right w:val="none" w:sz="0" w:space="0" w:color="auto"/>
      </w:divBdr>
    </w:div>
    <w:div w:id="1738160728">
      <w:bodyDiv w:val="1"/>
      <w:marLeft w:val="0"/>
      <w:marRight w:val="0"/>
      <w:marTop w:val="0"/>
      <w:marBottom w:val="0"/>
      <w:divBdr>
        <w:top w:val="none" w:sz="0" w:space="0" w:color="auto"/>
        <w:left w:val="none" w:sz="0" w:space="0" w:color="auto"/>
        <w:bottom w:val="none" w:sz="0" w:space="0" w:color="auto"/>
        <w:right w:val="none" w:sz="0" w:space="0" w:color="auto"/>
      </w:divBdr>
    </w:div>
    <w:div w:id="1744140350">
      <w:bodyDiv w:val="1"/>
      <w:marLeft w:val="0"/>
      <w:marRight w:val="0"/>
      <w:marTop w:val="0"/>
      <w:marBottom w:val="0"/>
      <w:divBdr>
        <w:top w:val="none" w:sz="0" w:space="0" w:color="auto"/>
        <w:left w:val="none" w:sz="0" w:space="0" w:color="auto"/>
        <w:bottom w:val="none" w:sz="0" w:space="0" w:color="auto"/>
        <w:right w:val="none" w:sz="0" w:space="0" w:color="auto"/>
      </w:divBdr>
    </w:div>
    <w:div w:id="1767574324">
      <w:bodyDiv w:val="1"/>
      <w:marLeft w:val="0"/>
      <w:marRight w:val="0"/>
      <w:marTop w:val="0"/>
      <w:marBottom w:val="0"/>
      <w:divBdr>
        <w:top w:val="none" w:sz="0" w:space="0" w:color="auto"/>
        <w:left w:val="none" w:sz="0" w:space="0" w:color="auto"/>
        <w:bottom w:val="none" w:sz="0" w:space="0" w:color="auto"/>
        <w:right w:val="none" w:sz="0" w:space="0" w:color="auto"/>
      </w:divBdr>
    </w:div>
    <w:div w:id="1768230327">
      <w:bodyDiv w:val="1"/>
      <w:marLeft w:val="0"/>
      <w:marRight w:val="0"/>
      <w:marTop w:val="0"/>
      <w:marBottom w:val="0"/>
      <w:divBdr>
        <w:top w:val="none" w:sz="0" w:space="0" w:color="auto"/>
        <w:left w:val="none" w:sz="0" w:space="0" w:color="auto"/>
        <w:bottom w:val="none" w:sz="0" w:space="0" w:color="auto"/>
        <w:right w:val="none" w:sz="0" w:space="0" w:color="auto"/>
      </w:divBdr>
    </w:div>
    <w:div w:id="1781604914">
      <w:bodyDiv w:val="1"/>
      <w:marLeft w:val="0"/>
      <w:marRight w:val="0"/>
      <w:marTop w:val="0"/>
      <w:marBottom w:val="0"/>
      <w:divBdr>
        <w:top w:val="none" w:sz="0" w:space="0" w:color="auto"/>
        <w:left w:val="none" w:sz="0" w:space="0" w:color="auto"/>
        <w:bottom w:val="none" w:sz="0" w:space="0" w:color="auto"/>
        <w:right w:val="none" w:sz="0" w:space="0" w:color="auto"/>
      </w:divBdr>
    </w:div>
    <w:div w:id="1789162367">
      <w:bodyDiv w:val="1"/>
      <w:marLeft w:val="0"/>
      <w:marRight w:val="0"/>
      <w:marTop w:val="0"/>
      <w:marBottom w:val="0"/>
      <w:divBdr>
        <w:top w:val="none" w:sz="0" w:space="0" w:color="auto"/>
        <w:left w:val="none" w:sz="0" w:space="0" w:color="auto"/>
        <w:bottom w:val="none" w:sz="0" w:space="0" w:color="auto"/>
        <w:right w:val="none" w:sz="0" w:space="0" w:color="auto"/>
      </w:divBdr>
    </w:div>
    <w:div w:id="1809123955">
      <w:bodyDiv w:val="1"/>
      <w:marLeft w:val="0"/>
      <w:marRight w:val="0"/>
      <w:marTop w:val="0"/>
      <w:marBottom w:val="0"/>
      <w:divBdr>
        <w:top w:val="none" w:sz="0" w:space="0" w:color="auto"/>
        <w:left w:val="none" w:sz="0" w:space="0" w:color="auto"/>
        <w:bottom w:val="none" w:sz="0" w:space="0" w:color="auto"/>
        <w:right w:val="none" w:sz="0" w:space="0" w:color="auto"/>
      </w:divBdr>
    </w:div>
    <w:div w:id="1818182740">
      <w:bodyDiv w:val="1"/>
      <w:marLeft w:val="0"/>
      <w:marRight w:val="0"/>
      <w:marTop w:val="0"/>
      <w:marBottom w:val="0"/>
      <w:divBdr>
        <w:top w:val="none" w:sz="0" w:space="0" w:color="auto"/>
        <w:left w:val="none" w:sz="0" w:space="0" w:color="auto"/>
        <w:bottom w:val="none" w:sz="0" w:space="0" w:color="auto"/>
        <w:right w:val="none" w:sz="0" w:space="0" w:color="auto"/>
      </w:divBdr>
    </w:div>
    <w:div w:id="1823496767">
      <w:bodyDiv w:val="1"/>
      <w:marLeft w:val="0"/>
      <w:marRight w:val="0"/>
      <w:marTop w:val="0"/>
      <w:marBottom w:val="0"/>
      <w:divBdr>
        <w:top w:val="none" w:sz="0" w:space="0" w:color="auto"/>
        <w:left w:val="none" w:sz="0" w:space="0" w:color="auto"/>
        <w:bottom w:val="none" w:sz="0" w:space="0" w:color="auto"/>
        <w:right w:val="none" w:sz="0" w:space="0" w:color="auto"/>
      </w:divBdr>
    </w:div>
    <w:div w:id="1828016123">
      <w:bodyDiv w:val="1"/>
      <w:marLeft w:val="0"/>
      <w:marRight w:val="0"/>
      <w:marTop w:val="0"/>
      <w:marBottom w:val="0"/>
      <w:divBdr>
        <w:top w:val="none" w:sz="0" w:space="0" w:color="auto"/>
        <w:left w:val="none" w:sz="0" w:space="0" w:color="auto"/>
        <w:bottom w:val="none" w:sz="0" w:space="0" w:color="auto"/>
        <w:right w:val="none" w:sz="0" w:space="0" w:color="auto"/>
      </w:divBdr>
    </w:div>
    <w:div w:id="1875803229">
      <w:bodyDiv w:val="1"/>
      <w:marLeft w:val="0"/>
      <w:marRight w:val="0"/>
      <w:marTop w:val="0"/>
      <w:marBottom w:val="0"/>
      <w:divBdr>
        <w:top w:val="none" w:sz="0" w:space="0" w:color="auto"/>
        <w:left w:val="none" w:sz="0" w:space="0" w:color="auto"/>
        <w:bottom w:val="none" w:sz="0" w:space="0" w:color="auto"/>
        <w:right w:val="none" w:sz="0" w:space="0" w:color="auto"/>
      </w:divBdr>
    </w:div>
    <w:div w:id="1887764670">
      <w:bodyDiv w:val="1"/>
      <w:marLeft w:val="0"/>
      <w:marRight w:val="0"/>
      <w:marTop w:val="0"/>
      <w:marBottom w:val="0"/>
      <w:divBdr>
        <w:top w:val="none" w:sz="0" w:space="0" w:color="auto"/>
        <w:left w:val="none" w:sz="0" w:space="0" w:color="auto"/>
        <w:bottom w:val="none" w:sz="0" w:space="0" w:color="auto"/>
        <w:right w:val="none" w:sz="0" w:space="0" w:color="auto"/>
      </w:divBdr>
    </w:div>
    <w:div w:id="1895896580">
      <w:bodyDiv w:val="1"/>
      <w:marLeft w:val="0"/>
      <w:marRight w:val="0"/>
      <w:marTop w:val="0"/>
      <w:marBottom w:val="0"/>
      <w:divBdr>
        <w:top w:val="none" w:sz="0" w:space="0" w:color="auto"/>
        <w:left w:val="none" w:sz="0" w:space="0" w:color="auto"/>
        <w:bottom w:val="none" w:sz="0" w:space="0" w:color="auto"/>
        <w:right w:val="none" w:sz="0" w:space="0" w:color="auto"/>
      </w:divBdr>
    </w:div>
    <w:div w:id="1933277262">
      <w:bodyDiv w:val="1"/>
      <w:marLeft w:val="0"/>
      <w:marRight w:val="0"/>
      <w:marTop w:val="0"/>
      <w:marBottom w:val="0"/>
      <w:divBdr>
        <w:top w:val="none" w:sz="0" w:space="0" w:color="auto"/>
        <w:left w:val="none" w:sz="0" w:space="0" w:color="auto"/>
        <w:bottom w:val="none" w:sz="0" w:space="0" w:color="auto"/>
        <w:right w:val="none" w:sz="0" w:space="0" w:color="auto"/>
      </w:divBdr>
    </w:div>
    <w:div w:id="1959951039">
      <w:bodyDiv w:val="1"/>
      <w:marLeft w:val="0"/>
      <w:marRight w:val="0"/>
      <w:marTop w:val="0"/>
      <w:marBottom w:val="0"/>
      <w:divBdr>
        <w:top w:val="none" w:sz="0" w:space="0" w:color="auto"/>
        <w:left w:val="none" w:sz="0" w:space="0" w:color="auto"/>
        <w:bottom w:val="none" w:sz="0" w:space="0" w:color="auto"/>
        <w:right w:val="none" w:sz="0" w:space="0" w:color="auto"/>
      </w:divBdr>
    </w:div>
    <w:div w:id="1971398735">
      <w:bodyDiv w:val="1"/>
      <w:marLeft w:val="0"/>
      <w:marRight w:val="0"/>
      <w:marTop w:val="0"/>
      <w:marBottom w:val="0"/>
      <w:divBdr>
        <w:top w:val="none" w:sz="0" w:space="0" w:color="auto"/>
        <w:left w:val="none" w:sz="0" w:space="0" w:color="auto"/>
        <w:bottom w:val="none" w:sz="0" w:space="0" w:color="auto"/>
        <w:right w:val="none" w:sz="0" w:space="0" w:color="auto"/>
      </w:divBdr>
    </w:div>
    <w:div w:id="1982076401">
      <w:bodyDiv w:val="1"/>
      <w:marLeft w:val="0"/>
      <w:marRight w:val="0"/>
      <w:marTop w:val="0"/>
      <w:marBottom w:val="0"/>
      <w:divBdr>
        <w:top w:val="none" w:sz="0" w:space="0" w:color="auto"/>
        <w:left w:val="none" w:sz="0" w:space="0" w:color="auto"/>
        <w:bottom w:val="none" w:sz="0" w:space="0" w:color="auto"/>
        <w:right w:val="none" w:sz="0" w:space="0" w:color="auto"/>
      </w:divBdr>
    </w:div>
    <w:div w:id="2023238173">
      <w:bodyDiv w:val="1"/>
      <w:marLeft w:val="0"/>
      <w:marRight w:val="0"/>
      <w:marTop w:val="0"/>
      <w:marBottom w:val="0"/>
      <w:divBdr>
        <w:top w:val="none" w:sz="0" w:space="0" w:color="auto"/>
        <w:left w:val="none" w:sz="0" w:space="0" w:color="auto"/>
        <w:bottom w:val="none" w:sz="0" w:space="0" w:color="auto"/>
        <w:right w:val="none" w:sz="0" w:space="0" w:color="auto"/>
      </w:divBdr>
    </w:div>
    <w:div w:id="2023893969">
      <w:bodyDiv w:val="1"/>
      <w:marLeft w:val="0"/>
      <w:marRight w:val="0"/>
      <w:marTop w:val="0"/>
      <w:marBottom w:val="0"/>
      <w:divBdr>
        <w:top w:val="none" w:sz="0" w:space="0" w:color="auto"/>
        <w:left w:val="none" w:sz="0" w:space="0" w:color="auto"/>
        <w:bottom w:val="none" w:sz="0" w:space="0" w:color="auto"/>
        <w:right w:val="none" w:sz="0" w:space="0" w:color="auto"/>
      </w:divBdr>
    </w:div>
    <w:div w:id="2051763944">
      <w:bodyDiv w:val="1"/>
      <w:marLeft w:val="0"/>
      <w:marRight w:val="0"/>
      <w:marTop w:val="0"/>
      <w:marBottom w:val="0"/>
      <w:divBdr>
        <w:top w:val="none" w:sz="0" w:space="0" w:color="auto"/>
        <w:left w:val="none" w:sz="0" w:space="0" w:color="auto"/>
        <w:bottom w:val="none" w:sz="0" w:space="0" w:color="auto"/>
        <w:right w:val="none" w:sz="0" w:space="0" w:color="auto"/>
      </w:divBdr>
    </w:div>
    <w:div w:id="2051882373">
      <w:bodyDiv w:val="1"/>
      <w:marLeft w:val="0"/>
      <w:marRight w:val="0"/>
      <w:marTop w:val="0"/>
      <w:marBottom w:val="0"/>
      <w:divBdr>
        <w:top w:val="none" w:sz="0" w:space="0" w:color="auto"/>
        <w:left w:val="none" w:sz="0" w:space="0" w:color="auto"/>
        <w:bottom w:val="none" w:sz="0" w:space="0" w:color="auto"/>
        <w:right w:val="none" w:sz="0" w:space="0" w:color="auto"/>
      </w:divBdr>
    </w:div>
    <w:div w:id="2122070495">
      <w:bodyDiv w:val="1"/>
      <w:marLeft w:val="0"/>
      <w:marRight w:val="0"/>
      <w:marTop w:val="0"/>
      <w:marBottom w:val="0"/>
      <w:divBdr>
        <w:top w:val="none" w:sz="0" w:space="0" w:color="auto"/>
        <w:left w:val="none" w:sz="0" w:space="0" w:color="auto"/>
        <w:bottom w:val="none" w:sz="0" w:space="0" w:color="auto"/>
        <w:right w:val="none" w:sz="0" w:space="0" w:color="auto"/>
      </w:divBdr>
    </w:div>
    <w:div w:id="2126656684">
      <w:bodyDiv w:val="1"/>
      <w:marLeft w:val="0"/>
      <w:marRight w:val="0"/>
      <w:marTop w:val="0"/>
      <w:marBottom w:val="0"/>
      <w:divBdr>
        <w:top w:val="none" w:sz="0" w:space="0" w:color="auto"/>
        <w:left w:val="none" w:sz="0" w:space="0" w:color="auto"/>
        <w:bottom w:val="none" w:sz="0" w:space="0" w:color="auto"/>
        <w:right w:val="none" w:sz="0" w:space="0" w:color="auto"/>
      </w:divBdr>
    </w:div>
    <w:div w:id="2128816760">
      <w:bodyDiv w:val="1"/>
      <w:marLeft w:val="0"/>
      <w:marRight w:val="0"/>
      <w:marTop w:val="0"/>
      <w:marBottom w:val="0"/>
      <w:divBdr>
        <w:top w:val="none" w:sz="0" w:space="0" w:color="auto"/>
        <w:left w:val="none" w:sz="0" w:space="0" w:color="auto"/>
        <w:bottom w:val="none" w:sz="0" w:space="0" w:color="auto"/>
        <w:right w:val="none" w:sz="0" w:space="0" w:color="auto"/>
      </w:divBdr>
    </w:div>
    <w:div w:id="2132164068">
      <w:bodyDiv w:val="1"/>
      <w:marLeft w:val="0"/>
      <w:marRight w:val="0"/>
      <w:marTop w:val="0"/>
      <w:marBottom w:val="0"/>
      <w:divBdr>
        <w:top w:val="none" w:sz="0" w:space="0" w:color="auto"/>
        <w:left w:val="none" w:sz="0" w:space="0" w:color="auto"/>
        <w:bottom w:val="none" w:sz="0" w:space="0" w:color="auto"/>
        <w:right w:val="none" w:sz="0" w:space="0" w:color="auto"/>
      </w:divBdr>
    </w:div>
    <w:div w:id="21467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2.xml><?xml version="1.0" encoding="utf-8"?>
<ds:datastoreItem xmlns:ds="http://schemas.openxmlformats.org/officeDocument/2006/customXml" ds:itemID="{4FEB2E10-26FF-43D6-BE4C-991283BC5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7A0EA-14CF-4487-AFCD-561CDD8E319F}">
  <ds:schemaRefs>
    <ds:schemaRef ds:uri="http://schemas.microsoft.com/office/2006/metadata/properties"/>
    <ds:schemaRef ds:uri="http://purl.org/dc/elements/1.1/"/>
    <ds:schemaRef ds:uri="http://purl.org/dc/dcmitype/"/>
    <ds:schemaRef ds:uri="http://schemas.openxmlformats.org/package/2006/metadata/core-properties"/>
    <ds:schemaRef ds:uri="d352728d-c7aa-455d-bd83-40fe44122be8"/>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BDA2AF7-6029-47E3-88CC-D3B70F59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9593</Words>
  <Characters>54683</Characters>
  <Application>Microsoft Office Word</Application>
  <DocSecurity>4</DocSecurity>
  <Lines>455</Lines>
  <Paragraphs>128</Paragraphs>
  <ScaleCrop>false</ScaleCrop>
  <Company>Insurance Europe</Company>
  <LinksUpToDate>false</LinksUpToDate>
  <CharactersWithSpaces>64148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compiled industry suggestions regarding the QRT simplifications in line with EC reduction objective</dc:title>
  <dc:subject/>
  <dc:creator>Insurance Europe</dc:creator>
  <cp:keywords/>
  <cp:lastModifiedBy>jozef.bachnicek</cp:lastModifiedBy>
  <cp:revision>2</cp:revision>
  <dcterms:created xsi:type="dcterms:W3CDTF">2024-11-25T07:12:00Z</dcterms:created>
  <dcterms:modified xsi:type="dcterms:W3CDTF">2024-11-25T07:12:00Z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