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17AD" w14:textId="77777777" w:rsidR="00D1418C" w:rsidRPr="00FA5596" w:rsidRDefault="00D1418C" w:rsidP="00121913">
      <w:pPr>
        <w:spacing w:after="200" w:line="276" w:lineRule="auto"/>
        <w:rPr>
          <w:color w:val="002957"/>
          <w:sz w:val="19"/>
          <w:szCs w:val="19"/>
        </w:rPr>
      </w:pPr>
    </w:p>
    <w:p w14:paraId="365D3565" w14:textId="358D28F3" w:rsidR="00D1418C" w:rsidRDefault="00D1418C" w:rsidP="00121913">
      <w:pPr>
        <w:spacing w:after="200" w:line="276" w:lineRule="auto"/>
        <w:rPr>
          <w:color w:val="002957"/>
          <w:sz w:val="19"/>
          <w:szCs w:val="19"/>
        </w:rPr>
      </w:pPr>
      <w:r>
        <w:rPr>
          <w:color w:val="002957"/>
          <w:sz w:val="19"/>
          <w:szCs w:val="19"/>
        </w:rPr>
        <w:t>Status update on areas of the Solvency II review</w:t>
      </w:r>
    </w:p>
    <w:p w14:paraId="30D62CBF" w14:textId="7603D57E" w:rsidR="00D1418C" w:rsidRPr="00F57182" w:rsidRDefault="00D1418C" w:rsidP="009C02BD">
      <w:pPr>
        <w:spacing w:after="200" w:line="276" w:lineRule="auto"/>
        <w:jc w:val="both"/>
        <w:rPr>
          <w:rFonts w:cs="Frutiger LT Std 45 Light"/>
          <w:color w:val="000000"/>
          <w:sz w:val="17"/>
          <w:szCs w:val="20"/>
        </w:rPr>
      </w:pPr>
      <w:r w:rsidRPr="00F57182">
        <w:rPr>
          <w:rFonts w:cs="Frutiger LT Std 45 Light"/>
          <w:color w:val="000000"/>
          <w:sz w:val="17"/>
          <w:szCs w:val="20"/>
        </w:rPr>
        <w:t xml:space="preserve">The following tables include a summary of the EIOPA proposal, Commission proposal, </w:t>
      </w:r>
      <w:r>
        <w:rPr>
          <w:rFonts w:cs="Frutiger LT Std 45 Light"/>
          <w:color w:val="000000"/>
          <w:sz w:val="17"/>
          <w:szCs w:val="20"/>
        </w:rPr>
        <w:t xml:space="preserve">French Presidency </w:t>
      </w:r>
      <w:r w:rsidR="00FC3947">
        <w:rPr>
          <w:rFonts w:cs="Frutiger LT Std 45 Light"/>
          <w:color w:val="000000"/>
          <w:sz w:val="17"/>
          <w:szCs w:val="20"/>
        </w:rPr>
        <w:t xml:space="preserve">compromise proposal including our understanding of the latest developments within the EGBPI, the rapporteur’s proposals in his draft report and </w:t>
      </w:r>
      <w:r w:rsidRPr="00F57182">
        <w:rPr>
          <w:rFonts w:cs="Frutiger LT Std 45 Light"/>
          <w:color w:val="000000"/>
          <w:sz w:val="17"/>
          <w:szCs w:val="20"/>
        </w:rPr>
        <w:t>secretariat</w:t>
      </w:r>
      <w:r>
        <w:rPr>
          <w:rFonts w:cs="Frutiger LT Std 45 Light"/>
          <w:color w:val="000000"/>
          <w:sz w:val="17"/>
          <w:szCs w:val="20"/>
        </w:rPr>
        <w:t>’</w:t>
      </w:r>
      <w:r w:rsidRPr="00F57182">
        <w:rPr>
          <w:rFonts w:cs="Frutiger LT Std 45 Light"/>
          <w:color w:val="000000"/>
          <w:sz w:val="17"/>
          <w:szCs w:val="20"/>
        </w:rPr>
        <w:t xml:space="preserve">s summary assessment </w:t>
      </w:r>
      <w:r>
        <w:rPr>
          <w:rFonts w:cs="Frutiger LT Std 45 Light"/>
          <w:color w:val="000000"/>
          <w:sz w:val="17"/>
          <w:szCs w:val="20"/>
        </w:rPr>
        <w:t>of current status</w:t>
      </w:r>
      <w:r w:rsidR="00FC3947">
        <w:rPr>
          <w:rFonts w:cs="Frutiger LT Std 45 Light"/>
          <w:color w:val="000000"/>
          <w:sz w:val="17"/>
          <w:szCs w:val="20"/>
        </w:rPr>
        <w:t xml:space="preserve"> and a way forward</w:t>
      </w:r>
      <w:r>
        <w:rPr>
          <w:rFonts w:cs="Frutiger LT Std 45 Light"/>
          <w:color w:val="000000"/>
          <w:sz w:val="17"/>
          <w:szCs w:val="20"/>
        </w:rPr>
        <w:t>.</w:t>
      </w:r>
    </w:p>
    <w:tbl>
      <w:tblPr>
        <w:tblStyle w:val="Mriekatabuky"/>
        <w:tblW w:w="15026" w:type="dxa"/>
        <w:tblInd w:w="-5" w:type="dxa"/>
        <w:tblLayout w:type="fixed"/>
        <w:tblLook w:val="04A0" w:firstRow="1" w:lastRow="0" w:firstColumn="1" w:lastColumn="0" w:noHBand="0" w:noVBand="1"/>
      </w:tblPr>
      <w:tblGrid>
        <w:gridCol w:w="1417"/>
        <w:gridCol w:w="2269"/>
        <w:gridCol w:w="2268"/>
        <w:gridCol w:w="2977"/>
        <w:gridCol w:w="2976"/>
        <w:gridCol w:w="3119"/>
      </w:tblGrid>
      <w:tr w:rsidR="00ED458A" w14:paraId="283D67EE" w14:textId="77777777" w:rsidTr="006F22E8">
        <w:trPr>
          <w:trHeight w:val="437"/>
        </w:trPr>
        <w:tc>
          <w:tcPr>
            <w:tcW w:w="1417" w:type="dxa"/>
            <w:shd w:val="clear" w:color="auto" w:fill="auto"/>
          </w:tcPr>
          <w:p w14:paraId="237F790D" w14:textId="77777777" w:rsidR="00ED458A" w:rsidRPr="00491EB9" w:rsidRDefault="00ED458A" w:rsidP="00121913">
            <w:pPr>
              <w:tabs>
                <w:tab w:val="left" w:pos="3815"/>
              </w:tabs>
              <w:rPr>
                <w:b/>
                <w:bCs/>
                <w:sz w:val="17"/>
                <w:szCs w:val="17"/>
              </w:rPr>
            </w:pPr>
            <w:r w:rsidRPr="00491EB9">
              <w:rPr>
                <w:b/>
                <w:bCs/>
                <w:sz w:val="17"/>
                <w:szCs w:val="17"/>
              </w:rPr>
              <w:t>Topic</w:t>
            </w:r>
          </w:p>
        </w:tc>
        <w:tc>
          <w:tcPr>
            <w:tcW w:w="2269" w:type="dxa"/>
            <w:shd w:val="clear" w:color="auto" w:fill="auto"/>
          </w:tcPr>
          <w:p w14:paraId="6C539D25" w14:textId="77777777" w:rsidR="00ED458A" w:rsidRPr="00491EB9" w:rsidRDefault="00ED458A" w:rsidP="00121913">
            <w:pPr>
              <w:tabs>
                <w:tab w:val="left" w:pos="3815"/>
              </w:tabs>
              <w:rPr>
                <w:b/>
                <w:bCs/>
                <w:sz w:val="17"/>
                <w:szCs w:val="17"/>
              </w:rPr>
            </w:pPr>
            <w:r w:rsidRPr="00491EB9">
              <w:rPr>
                <w:b/>
                <w:bCs/>
                <w:sz w:val="17"/>
                <w:szCs w:val="17"/>
              </w:rPr>
              <w:t>EIOPA proposal</w:t>
            </w:r>
          </w:p>
        </w:tc>
        <w:tc>
          <w:tcPr>
            <w:tcW w:w="2268" w:type="dxa"/>
            <w:shd w:val="clear" w:color="auto" w:fill="auto"/>
          </w:tcPr>
          <w:p w14:paraId="5EC081D6" w14:textId="77777777" w:rsidR="00ED458A" w:rsidRPr="00491EB9" w:rsidRDefault="00ED458A" w:rsidP="00121913">
            <w:pPr>
              <w:tabs>
                <w:tab w:val="left" w:pos="3815"/>
              </w:tabs>
              <w:rPr>
                <w:b/>
                <w:bCs/>
                <w:sz w:val="17"/>
                <w:szCs w:val="17"/>
              </w:rPr>
            </w:pPr>
            <w:r w:rsidRPr="00491EB9">
              <w:rPr>
                <w:b/>
                <w:bCs/>
                <w:sz w:val="17"/>
                <w:szCs w:val="17"/>
              </w:rPr>
              <w:t>European Commission proposal</w:t>
            </w:r>
          </w:p>
        </w:tc>
        <w:tc>
          <w:tcPr>
            <w:tcW w:w="2977" w:type="dxa"/>
            <w:shd w:val="clear" w:color="auto" w:fill="auto"/>
          </w:tcPr>
          <w:p w14:paraId="1A41D014" w14:textId="7409F42C" w:rsidR="00ED458A" w:rsidRPr="00491EB9" w:rsidRDefault="00ED458A" w:rsidP="00121913">
            <w:pPr>
              <w:tabs>
                <w:tab w:val="left" w:pos="3815"/>
              </w:tabs>
              <w:rPr>
                <w:b/>
                <w:bCs/>
                <w:sz w:val="17"/>
                <w:szCs w:val="17"/>
              </w:rPr>
            </w:pPr>
            <w:r w:rsidRPr="00491EB9">
              <w:rPr>
                <w:b/>
                <w:bCs/>
                <w:sz w:val="17"/>
                <w:szCs w:val="17"/>
              </w:rPr>
              <w:t>French presidency</w:t>
            </w:r>
            <w:r>
              <w:rPr>
                <w:b/>
                <w:bCs/>
                <w:sz w:val="17"/>
                <w:szCs w:val="17"/>
              </w:rPr>
              <w:t xml:space="preserve"> overall compromise proposal/EGBPI discussions</w:t>
            </w:r>
          </w:p>
        </w:tc>
        <w:tc>
          <w:tcPr>
            <w:tcW w:w="2976" w:type="dxa"/>
            <w:shd w:val="clear" w:color="auto" w:fill="auto"/>
          </w:tcPr>
          <w:p w14:paraId="343E8473" w14:textId="6873828C" w:rsidR="00ED458A" w:rsidRDefault="007A5349" w:rsidP="00121913">
            <w:pPr>
              <w:tabs>
                <w:tab w:val="left" w:pos="3815"/>
              </w:tabs>
              <w:rPr>
                <w:b/>
                <w:bCs/>
                <w:sz w:val="17"/>
                <w:szCs w:val="17"/>
              </w:rPr>
            </w:pPr>
            <w:r>
              <w:rPr>
                <w:b/>
                <w:bCs/>
                <w:sz w:val="17"/>
                <w:szCs w:val="17"/>
              </w:rPr>
              <w:t xml:space="preserve">EP draft report </w:t>
            </w:r>
          </w:p>
        </w:tc>
        <w:tc>
          <w:tcPr>
            <w:tcW w:w="3119" w:type="dxa"/>
          </w:tcPr>
          <w:p w14:paraId="69D840DE" w14:textId="3F3A2231" w:rsidR="00ED458A" w:rsidRPr="00491EB9" w:rsidRDefault="00ED458A" w:rsidP="00121913">
            <w:pPr>
              <w:tabs>
                <w:tab w:val="left" w:pos="3815"/>
              </w:tabs>
              <w:rPr>
                <w:b/>
                <w:bCs/>
                <w:sz w:val="17"/>
                <w:szCs w:val="17"/>
              </w:rPr>
            </w:pPr>
            <w:r>
              <w:rPr>
                <w:b/>
                <w:bCs/>
                <w:sz w:val="17"/>
                <w:szCs w:val="17"/>
              </w:rPr>
              <w:t xml:space="preserve">Secretariat assessment of current status </w:t>
            </w:r>
          </w:p>
        </w:tc>
      </w:tr>
      <w:tr w:rsidR="0028007B" w14:paraId="159D21AD" w14:textId="77777777" w:rsidTr="006F22E8">
        <w:trPr>
          <w:trHeight w:val="1336"/>
        </w:trPr>
        <w:tc>
          <w:tcPr>
            <w:tcW w:w="1417" w:type="dxa"/>
            <w:vMerge w:val="restart"/>
            <w:shd w:val="clear" w:color="auto" w:fill="auto"/>
          </w:tcPr>
          <w:p w14:paraId="222164AD" w14:textId="3B930955" w:rsidR="0028007B" w:rsidRPr="00696E97" w:rsidRDefault="0028007B" w:rsidP="00121913">
            <w:pPr>
              <w:tabs>
                <w:tab w:val="left" w:pos="3815"/>
              </w:tabs>
              <w:rPr>
                <w:b/>
                <w:bCs/>
                <w:sz w:val="17"/>
                <w:szCs w:val="17"/>
              </w:rPr>
            </w:pPr>
            <w:r w:rsidRPr="00696E97">
              <w:rPr>
                <w:b/>
                <w:bCs/>
                <w:sz w:val="17"/>
                <w:szCs w:val="17"/>
              </w:rPr>
              <w:t>Volatility adjustment (VA)</w:t>
            </w:r>
          </w:p>
          <w:p w14:paraId="56C8E2C9" w14:textId="4AC583A9" w:rsidR="0028007B" w:rsidRPr="00696E97" w:rsidRDefault="0028007B" w:rsidP="00121913">
            <w:pPr>
              <w:tabs>
                <w:tab w:val="left" w:pos="3815"/>
              </w:tabs>
              <w:rPr>
                <w:b/>
                <w:bCs/>
                <w:sz w:val="17"/>
                <w:szCs w:val="17"/>
              </w:rPr>
            </w:pPr>
          </w:p>
        </w:tc>
        <w:tc>
          <w:tcPr>
            <w:tcW w:w="2269" w:type="dxa"/>
            <w:shd w:val="clear" w:color="auto" w:fill="auto"/>
          </w:tcPr>
          <w:p w14:paraId="73B1243D"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sidRPr="00B83E74">
              <w:rPr>
                <w:sz w:val="17"/>
                <w:szCs w:val="17"/>
              </w:rPr>
              <w:t>VA reference portfolio to consist of</w:t>
            </w:r>
            <w:r>
              <w:rPr>
                <w:sz w:val="17"/>
                <w:szCs w:val="17"/>
              </w:rPr>
              <w:t xml:space="preserve"> </w:t>
            </w:r>
            <w:r w:rsidRPr="00B83E74">
              <w:rPr>
                <w:sz w:val="17"/>
                <w:szCs w:val="17"/>
              </w:rPr>
              <w:t>100% fixed income assets</w:t>
            </w:r>
            <w:r>
              <w:rPr>
                <w:sz w:val="17"/>
                <w:szCs w:val="17"/>
              </w:rPr>
              <w:t xml:space="preserve"> </w:t>
            </w:r>
            <w:r w:rsidRPr="00B83E74">
              <w:rPr>
                <w:sz w:val="17"/>
                <w:szCs w:val="17"/>
              </w:rPr>
              <w:t>(‘normalization of bond portfolio’)</w:t>
            </w:r>
          </w:p>
        </w:tc>
        <w:tc>
          <w:tcPr>
            <w:tcW w:w="2268" w:type="dxa"/>
            <w:shd w:val="clear" w:color="auto" w:fill="auto"/>
          </w:tcPr>
          <w:p w14:paraId="6DC83596"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adopts EIOPA proposal</w:t>
            </w:r>
          </w:p>
        </w:tc>
        <w:tc>
          <w:tcPr>
            <w:tcW w:w="2977" w:type="dxa"/>
            <w:shd w:val="clear" w:color="auto" w:fill="auto"/>
          </w:tcPr>
          <w:p w14:paraId="34BCBE65"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proposal included in FR compromise proposal (Art 77d(c))</w:t>
            </w:r>
          </w:p>
        </w:tc>
        <w:tc>
          <w:tcPr>
            <w:tcW w:w="2976" w:type="dxa"/>
            <w:shd w:val="clear" w:color="auto" w:fill="auto"/>
          </w:tcPr>
          <w:p w14:paraId="1BC2882B" w14:textId="04CAE089" w:rsidR="0028007B" w:rsidRPr="00867423" w:rsidRDefault="0028007B" w:rsidP="00121913">
            <w:pPr>
              <w:tabs>
                <w:tab w:val="left" w:pos="3815"/>
              </w:tabs>
              <w:rPr>
                <w:sz w:val="17"/>
                <w:szCs w:val="17"/>
              </w:rPr>
            </w:pPr>
            <w:r w:rsidRPr="00BD5AF9">
              <w:rPr>
                <w:b/>
                <w:bCs/>
                <w:color w:val="00B050"/>
                <w:sz w:val="17"/>
                <w:szCs w:val="17"/>
              </w:rPr>
              <w:t>[Positive]</w:t>
            </w:r>
            <w:r>
              <w:rPr>
                <w:b/>
                <w:bCs/>
                <w:color w:val="00B050"/>
                <w:sz w:val="17"/>
                <w:szCs w:val="17"/>
              </w:rPr>
              <w:t xml:space="preserve"> </w:t>
            </w:r>
            <w:r>
              <w:rPr>
                <w:sz w:val="17"/>
                <w:szCs w:val="17"/>
              </w:rPr>
              <w:t>No amendments to EC proposal.</w:t>
            </w:r>
          </w:p>
        </w:tc>
        <w:tc>
          <w:tcPr>
            <w:tcW w:w="3119" w:type="dxa"/>
            <w:vMerge w:val="restart"/>
          </w:tcPr>
          <w:p w14:paraId="47E0E8C1" w14:textId="440C0256" w:rsidR="0028007B" w:rsidRPr="00361F9F" w:rsidRDefault="0028007B" w:rsidP="00121913">
            <w:pPr>
              <w:tabs>
                <w:tab w:val="left" w:pos="3815"/>
              </w:tabs>
              <w:rPr>
                <w:b/>
                <w:color w:val="00B050"/>
                <w:sz w:val="17"/>
                <w:szCs w:val="17"/>
              </w:rPr>
            </w:pPr>
            <w:r w:rsidRPr="00361F9F">
              <w:rPr>
                <w:b/>
                <w:color w:val="00B050"/>
                <w:sz w:val="17"/>
                <w:szCs w:val="17"/>
              </w:rPr>
              <w:t>[Positive]</w:t>
            </w:r>
          </w:p>
          <w:p w14:paraId="1A4E1992" w14:textId="477F54D4" w:rsidR="0028007B" w:rsidRDefault="0028007B" w:rsidP="00121913">
            <w:pPr>
              <w:tabs>
                <w:tab w:val="left" w:pos="3815"/>
              </w:tabs>
              <w:rPr>
                <w:sz w:val="17"/>
                <w:szCs w:val="17"/>
              </w:rPr>
            </w:pPr>
            <w:r>
              <w:rPr>
                <w:sz w:val="17"/>
                <w:szCs w:val="17"/>
              </w:rPr>
              <w:t xml:space="preserve">The </w:t>
            </w:r>
            <w:r w:rsidRPr="00F15250">
              <w:rPr>
                <w:b/>
                <w:bCs/>
                <w:sz w:val="17"/>
                <w:szCs w:val="17"/>
              </w:rPr>
              <w:t>FR compromise proposal</w:t>
            </w:r>
            <w:r>
              <w:rPr>
                <w:sz w:val="17"/>
                <w:szCs w:val="17"/>
              </w:rPr>
              <w:t xml:space="preserve"> is fully reflective of the EC proposals with the following changes</w:t>
            </w:r>
          </w:p>
          <w:p w14:paraId="4137A744" w14:textId="77777777" w:rsidR="0028007B" w:rsidRDefault="0028007B" w:rsidP="00121913">
            <w:pPr>
              <w:tabs>
                <w:tab w:val="left" w:pos="3815"/>
              </w:tabs>
              <w:rPr>
                <w:sz w:val="17"/>
                <w:szCs w:val="17"/>
              </w:rPr>
            </w:pPr>
          </w:p>
          <w:p w14:paraId="43EAB0CB" w14:textId="0BA212CC" w:rsidR="0028007B" w:rsidRDefault="0028007B" w:rsidP="00121913">
            <w:pPr>
              <w:tabs>
                <w:tab w:val="left" w:pos="3815"/>
              </w:tabs>
              <w:rPr>
                <w:sz w:val="17"/>
                <w:szCs w:val="17"/>
              </w:rPr>
            </w:pPr>
            <w:r w:rsidRPr="00F57182">
              <w:rPr>
                <w:b/>
                <w:sz w:val="17"/>
                <w:szCs w:val="17"/>
              </w:rPr>
              <w:t xml:space="preserve">1. </w:t>
            </w:r>
            <w:r>
              <w:rPr>
                <w:b/>
                <w:sz w:val="17"/>
                <w:szCs w:val="17"/>
              </w:rPr>
              <w:t xml:space="preserve">An optional company specific ratio is introduced </w:t>
            </w:r>
          </w:p>
          <w:p w14:paraId="1D8D4519" w14:textId="6B76DA4C" w:rsidR="0028007B" w:rsidRDefault="0028007B" w:rsidP="00121913">
            <w:pPr>
              <w:tabs>
                <w:tab w:val="left" w:pos="3815"/>
              </w:tabs>
              <w:rPr>
                <w:sz w:val="17"/>
                <w:szCs w:val="17"/>
              </w:rPr>
            </w:pPr>
            <w:r>
              <w:rPr>
                <w:sz w:val="17"/>
                <w:szCs w:val="17"/>
              </w:rPr>
              <w:t xml:space="preserve">While this development is opposed by the industry, the FR Presidency’s proposal appears simpler than previous versions tabled during previous discussions but would only alleviate artificial volatility in cases of quality overshooting. </w:t>
            </w:r>
          </w:p>
          <w:p w14:paraId="4FA09265" w14:textId="77777777" w:rsidR="0028007B" w:rsidRDefault="0028007B" w:rsidP="00121913">
            <w:pPr>
              <w:tabs>
                <w:tab w:val="left" w:pos="3815"/>
              </w:tabs>
              <w:rPr>
                <w:sz w:val="17"/>
                <w:szCs w:val="17"/>
              </w:rPr>
            </w:pPr>
          </w:p>
          <w:p w14:paraId="5E1CFD03" w14:textId="37A11CE0" w:rsidR="0028007B" w:rsidRPr="00F57182" w:rsidRDefault="0028007B" w:rsidP="00121913">
            <w:pPr>
              <w:tabs>
                <w:tab w:val="left" w:pos="3815"/>
              </w:tabs>
              <w:rPr>
                <w:b/>
                <w:sz w:val="17"/>
                <w:szCs w:val="17"/>
              </w:rPr>
            </w:pPr>
            <w:r w:rsidRPr="00F57182">
              <w:rPr>
                <w:b/>
                <w:sz w:val="17"/>
                <w:szCs w:val="17"/>
              </w:rPr>
              <w:t>2. Risk Correction</w:t>
            </w:r>
          </w:p>
          <w:p w14:paraId="19235181" w14:textId="4E779B7F" w:rsidR="0028007B" w:rsidRDefault="0028007B" w:rsidP="00121913">
            <w:pPr>
              <w:tabs>
                <w:tab w:val="left" w:pos="3815"/>
              </w:tabs>
              <w:rPr>
                <w:sz w:val="17"/>
                <w:szCs w:val="17"/>
              </w:rPr>
            </w:pPr>
            <w:r>
              <w:rPr>
                <w:sz w:val="17"/>
                <w:szCs w:val="17"/>
              </w:rPr>
              <w:t xml:space="preserve">It is understood that the IT proposal is broadly supported and will feature in the level 2 proposals albeit with a different calibration than that supported by Insurance Europe. </w:t>
            </w:r>
          </w:p>
          <w:p w14:paraId="7914D280" w14:textId="77777777" w:rsidR="0028007B" w:rsidRDefault="0028007B" w:rsidP="00121913">
            <w:pPr>
              <w:tabs>
                <w:tab w:val="left" w:pos="3815"/>
              </w:tabs>
              <w:rPr>
                <w:sz w:val="17"/>
                <w:szCs w:val="17"/>
              </w:rPr>
            </w:pPr>
          </w:p>
          <w:p w14:paraId="2EDC83F1" w14:textId="77777777" w:rsidR="0028007B" w:rsidRPr="00F57182" w:rsidRDefault="0028007B" w:rsidP="00121913">
            <w:pPr>
              <w:tabs>
                <w:tab w:val="left" w:pos="3815"/>
              </w:tabs>
              <w:rPr>
                <w:b/>
                <w:sz w:val="17"/>
                <w:szCs w:val="17"/>
              </w:rPr>
            </w:pPr>
            <w:r w:rsidRPr="00F57182">
              <w:rPr>
                <w:b/>
                <w:sz w:val="17"/>
                <w:szCs w:val="17"/>
              </w:rPr>
              <w:lastRenderedPageBreak/>
              <w:t>3. Calculation of CSSR</w:t>
            </w:r>
          </w:p>
          <w:p w14:paraId="6992E8FF" w14:textId="77777777" w:rsidR="0028007B" w:rsidRDefault="0028007B" w:rsidP="00121913">
            <w:pPr>
              <w:tabs>
                <w:tab w:val="left" w:pos="3815"/>
              </w:tabs>
              <w:rPr>
                <w:sz w:val="17"/>
                <w:szCs w:val="17"/>
              </w:rPr>
            </w:pPr>
            <w:r>
              <w:rPr>
                <w:sz w:val="17"/>
                <w:szCs w:val="17"/>
              </w:rPr>
              <w:t xml:space="preserve">Flexibility is foreseen in the Directive in the calculation of the CSSR for currencies which are pegged to the Euro.  </w:t>
            </w:r>
          </w:p>
          <w:p w14:paraId="56119F9D" w14:textId="77777777" w:rsidR="0028007B" w:rsidRDefault="0028007B" w:rsidP="00121913">
            <w:pPr>
              <w:tabs>
                <w:tab w:val="left" w:pos="3815"/>
              </w:tabs>
              <w:rPr>
                <w:sz w:val="17"/>
                <w:szCs w:val="17"/>
              </w:rPr>
            </w:pPr>
          </w:p>
          <w:p w14:paraId="10E114DD" w14:textId="77777777" w:rsidR="0028007B" w:rsidRDefault="0028007B" w:rsidP="00121913">
            <w:pPr>
              <w:tabs>
                <w:tab w:val="left" w:pos="3815"/>
              </w:tabs>
              <w:rPr>
                <w:sz w:val="17"/>
                <w:szCs w:val="17"/>
              </w:rPr>
            </w:pPr>
          </w:p>
          <w:p w14:paraId="1F758C0A" w14:textId="77777777" w:rsidR="0028007B" w:rsidRDefault="0028007B" w:rsidP="00121913">
            <w:pPr>
              <w:tabs>
                <w:tab w:val="left" w:pos="3815"/>
              </w:tabs>
              <w:rPr>
                <w:sz w:val="17"/>
                <w:szCs w:val="17"/>
              </w:rPr>
            </w:pPr>
          </w:p>
          <w:p w14:paraId="40395373" w14:textId="45646438" w:rsidR="0028007B" w:rsidRDefault="0028007B" w:rsidP="00121913">
            <w:pPr>
              <w:tabs>
                <w:tab w:val="left" w:pos="3815"/>
              </w:tabs>
              <w:rPr>
                <w:sz w:val="17"/>
                <w:szCs w:val="17"/>
              </w:rPr>
            </w:pPr>
            <w:r w:rsidRPr="00F15250">
              <w:rPr>
                <w:sz w:val="17"/>
                <w:szCs w:val="17"/>
              </w:rPr>
              <w:t xml:space="preserve">The </w:t>
            </w:r>
            <w:r w:rsidRPr="00F15250">
              <w:rPr>
                <w:b/>
                <w:bCs/>
                <w:sz w:val="17"/>
                <w:szCs w:val="17"/>
              </w:rPr>
              <w:t>EP draft report</w:t>
            </w:r>
            <w:r w:rsidRPr="00F15250">
              <w:rPr>
                <w:sz w:val="17"/>
                <w:szCs w:val="17"/>
              </w:rPr>
              <w:t xml:space="preserve"> adopts all the positive proposals put forward by the EC (</w:t>
            </w:r>
            <w:r w:rsidR="00ED44C6">
              <w:rPr>
                <w:sz w:val="17"/>
                <w:szCs w:val="17"/>
              </w:rPr>
              <w:t xml:space="preserve">ie </w:t>
            </w:r>
            <w:r w:rsidRPr="00F15250">
              <w:rPr>
                <w:sz w:val="17"/>
                <w:szCs w:val="17"/>
              </w:rPr>
              <w:t>Rescale factor, increased GAR, Macro-VA</w:t>
            </w:r>
            <w:r>
              <w:rPr>
                <w:sz w:val="17"/>
                <w:szCs w:val="17"/>
              </w:rPr>
              <w:t>, duration ratio</w:t>
            </w:r>
            <w:r w:rsidRPr="00F15250">
              <w:rPr>
                <w:sz w:val="17"/>
                <w:szCs w:val="17"/>
              </w:rPr>
              <w:t xml:space="preserve">) and </w:t>
            </w:r>
            <w:r w:rsidR="002321B0">
              <w:rPr>
                <w:sz w:val="17"/>
                <w:szCs w:val="17"/>
              </w:rPr>
              <w:t xml:space="preserve">includes a L1 proposal to retain current risk correction methodology. </w:t>
            </w:r>
          </w:p>
          <w:p w14:paraId="1414D180" w14:textId="4AEF008A" w:rsidR="00CD3FAC" w:rsidRDefault="00CD3FAC" w:rsidP="00121913">
            <w:pPr>
              <w:tabs>
                <w:tab w:val="left" w:pos="3815"/>
              </w:tabs>
              <w:rPr>
                <w:sz w:val="17"/>
                <w:szCs w:val="17"/>
              </w:rPr>
            </w:pPr>
          </w:p>
          <w:p w14:paraId="62210409" w14:textId="14510E0A" w:rsidR="00EA335A" w:rsidRPr="00F15250" w:rsidRDefault="00A06944" w:rsidP="00121913">
            <w:pPr>
              <w:tabs>
                <w:tab w:val="left" w:pos="3815"/>
              </w:tabs>
              <w:rPr>
                <w:color w:val="1F497D" w:themeColor="text2"/>
                <w:sz w:val="17"/>
                <w:szCs w:val="17"/>
              </w:rPr>
            </w:pPr>
            <w:r>
              <w:rPr>
                <w:b/>
                <w:bCs/>
                <w:color w:val="1F497D" w:themeColor="text2"/>
                <w:sz w:val="17"/>
                <w:szCs w:val="17"/>
              </w:rPr>
              <w:t>W</w:t>
            </w:r>
            <w:r w:rsidR="009E1015">
              <w:rPr>
                <w:b/>
                <w:bCs/>
                <w:color w:val="1F497D" w:themeColor="text2"/>
                <w:sz w:val="17"/>
                <w:szCs w:val="17"/>
              </w:rPr>
              <w:t>ay forward</w:t>
            </w:r>
            <w:r w:rsidR="00CD3FAC" w:rsidRPr="00F15250">
              <w:rPr>
                <w:color w:val="1F497D" w:themeColor="text2"/>
                <w:sz w:val="17"/>
                <w:szCs w:val="17"/>
              </w:rPr>
              <w:t xml:space="preserve">: </w:t>
            </w:r>
            <w:r w:rsidR="007C547A" w:rsidRPr="00F15250">
              <w:rPr>
                <w:color w:val="1F497D" w:themeColor="text2"/>
                <w:sz w:val="17"/>
                <w:szCs w:val="17"/>
              </w:rPr>
              <w:t>Fully s</w:t>
            </w:r>
            <w:r w:rsidR="00CD3FAC" w:rsidRPr="00F15250">
              <w:rPr>
                <w:color w:val="1F497D" w:themeColor="text2"/>
                <w:sz w:val="17"/>
                <w:szCs w:val="17"/>
              </w:rPr>
              <w:t>upport the EP proposal</w:t>
            </w:r>
            <w:r w:rsidR="007C547A" w:rsidRPr="00F15250">
              <w:rPr>
                <w:color w:val="1F497D" w:themeColor="text2"/>
                <w:sz w:val="17"/>
                <w:szCs w:val="17"/>
              </w:rPr>
              <w:t xml:space="preserve"> with fallback</w:t>
            </w:r>
            <w:r w:rsidR="00E630CC" w:rsidRPr="00F15250">
              <w:rPr>
                <w:color w:val="1F497D" w:themeColor="text2"/>
                <w:sz w:val="17"/>
                <w:szCs w:val="17"/>
              </w:rPr>
              <w:t xml:space="preserve"> option to achieve Insurance Europe calibration of </w:t>
            </w:r>
            <w:r w:rsidR="00387138" w:rsidRPr="00F15250">
              <w:rPr>
                <w:color w:val="1F497D" w:themeColor="text2"/>
                <w:sz w:val="17"/>
                <w:szCs w:val="17"/>
              </w:rPr>
              <w:t>Italian</w:t>
            </w:r>
            <w:r w:rsidR="00E630CC" w:rsidRPr="00F15250">
              <w:rPr>
                <w:color w:val="1F497D" w:themeColor="text2"/>
                <w:sz w:val="17"/>
                <w:szCs w:val="17"/>
              </w:rPr>
              <w:t xml:space="preserve"> methodology (or EC calibration if they are not materially different from IE proposal)</w:t>
            </w:r>
            <w:r w:rsidR="007C547A" w:rsidRPr="00F15250">
              <w:rPr>
                <w:color w:val="1F497D" w:themeColor="text2"/>
                <w:sz w:val="17"/>
                <w:szCs w:val="17"/>
              </w:rPr>
              <w:t>.</w:t>
            </w:r>
            <w:r w:rsidR="00EA335A" w:rsidRPr="00F15250">
              <w:rPr>
                <w:color w:val="1F497D" w:themeColor="text2"/>
                <w:sz w:val="17"/>
                <w:szCs w:val="17"/>
              </w:rPr>
              <w:t xml:space="preserve"> </w:t>
            </w:r>
            <w:r w:rsidR="008A7550">
              <w:rPr>
                <w:color w:val="1F497D" w:themeColor="text2"/>
                <w:sz w:val="17"/>
                <w:szCs w:val="17"/>
              </w:rPr>
              <w:t>Request for recital 37 to be reintroduced.</w:t>
            </w:r>
            <w:r w:rsidR="006D489C">
              <w:rPr>
                <w:color w:val="1F497D" w:themeColor="text2"/>
                <w:sz w:val="17"/>
                <w:szCs w:val="17"/>
              </w:rPr>
              <w:t xml:space="preserve"> </w:t>
            </w:r>
            <w:r w:rsidR="00CF6C32">
              <w:rPr>
                <w:color w:val="1F497D" w:themeColor="text2"/>
                <w:sz w:val="17"/>
                <w:szCs w:val="17"/>
              </w:rPr>
              <w:t>(</w:t>
            </w:r>
            <w:r w:rsidR="00511C07">
              <w:rPr>
                <w:color w:val="1F497D" w:themeColor="text2"/>
                <w:sz w:val="17"/>
                <w:szCs w:val="17"/>
              </w:rPr>
              <w:t xml:space="preserve">For </w:t>
            </w:r>
            <w:r w:rsidR="00422767">
              <w:rPr>
                <w:color w:val="1F497D" w:themeColor="text2"/>
                <w:sz w:val="17"/>
                <w:szCs w:val="17"/>
              </w:rPr>
              <w:t xml:space="preserve">disclosure </w:t>
            </w:r>
            <w:r w:rsidR="00CF6C32">
              <w:rPr>
                <w:color w:val="1F497D" w:themeColor="text2"/>
                <w:sz w:val="17"/>
                <w:szCs w:val="17"/>
              </w:rPr>
              <w:t>with VA set to zero we refer to reporting section)</w:t>
            </w:r>
          </w:p>
          <w:p w14:paraId="5CBE8FBD" w14:textId="72432C6E" w:rsidR="0028007B" w:rsidRDefault="0028007B" w:rsidP="00121913">
            <w:pPr>
              <w:tabs>
                <w:tab w:val="left" w:pos="3815"/>
              </w:tabs>
              <w:rPr>
                <w:sz w:val="17"/>
                <w:szCs w:val="17"/>
              </w:rPr>
            </w:pPr>
            <w:r>
              <w:rPr>
                <w:sz w:val="17"/>
                <w:szCs w:val="17"/>
              </w:rPr>
              <w:t xml:space="preserve"> </w:t>
            </w:r>
          </w:p>
        </w:tc>
      </w:tr>
      <w:tr w:rsidR="0028007B" w14:paraId="5D55B98C" w14:textId="77777777" w:rsidTr="006F22E8">
        <w:trPr>
          <w:trHeight w:val="85"/>
        </w:trPr>
        <w:tc>
          <w:tcPr>
            <w:tcW w:w="1417" w:type="dxa"/>
            <w:vMerge/>
            <w:shd w:val="clear" w:color="auto" w:fill="auto"/>
          </w:tcPr>
          <w:p w14:paraId="48219F6C" w14:textId="6196BAC1" w:rsidR="0028007B" w:rsidRDefault="0028007B" w:rsidP="00121913">
            <w:pPr>
              <w:tabs>
                <w:tab w:val="left" w:pos="3815"/>
              </w:tabs>
              <w:rPr>
                <w:sz w:val="17"/>
                <w:szCs w:val="17"/>
              </w:rPr>
            </w:pPr>
          </w:p>
        </w:tc>
        <w:tc>
          <w:tcPr>
            <w:tcW w:w="2269" w:type="dxa"/>
            <w:shd w:val="clear" w:color="auto" w:fill="auto"/>
          </w:tcPr>
          <w:p w14:paraId="4CEDC734" w14:textId="77777777" w:rsidR="0028007B" w:rsidRPr="000027A4" w:rsidRDefault="0028007B" w:rsidP="00121913">
            <w:pPr>
              <w:pStyle w:val="Default"/>
              <w:rPr>
                <w:sz w:val="17"/>
                <w:szCs w:val="17"/>
              </w:rPr>
            </w:pPr>
            <w:r w:rsidRPr="00BD5AF9">
              <w:rPr>
                <w:b/>
                <w:bCs/>
                <w:color w:val="00B050"/>
                <w:sz w:val="17"/>
                <w:szCs w:val="17"/>
              </w:rPr>
              <w:t>[Positive]</w:t>
            </w:r>
            <w:r w:rsidRPr="00BD5AF9">
              <w:rPr>
                <w:b/>
                <w:bCs/>
                <w:color w:val="00B050"/>
                <w:szCs w:val="17"/>
              </w:rPr>
              <w:t xml:space="preserve"> </w:t>
            </w:r>
            <w:r w:rsidRPr="000027A4">
              <w:rPr>
                <w:sz w:val="17"/>
                <w:szCs w:val="17"/>
              </w:rPr>
              <w:t>Improve country-specific VA (‘</w:t>
            </w:r>
            <w:r w:rsidRPr="000027A4">
              <w:rPr>
                <w:i/>
                <w:iCs/>
                <w:sz w:val="17"/>
                <w:szCs w:val="17"/>
              </w:rPr>
              <w:t>macro VA</w:t>
            </w:r>
            <w:r w:rsidRPr="000027A4">
              <w:rPr>
                <w:sz w:val="17"/>
                <w:szCs w:val="17"/>
              </w:rPr>
              <w:t>’)</w:t>
            </w:r>
          </w:p>
          <w:p w14:paraId="58FFEEFB" w14:textId="77777777" w:rsidR="0028007B" w:rsidRPr="000027A4" w:rsidRDefault="0028007B" w:rsidP="00121913">
            <w:pPr>
              <w:tabs>
                <w:tab w:val="left" w:pos="3815"/>
              </w:tabs>
              <w:rPr>
                <w:sz w:val="17"/>
                <w:szCs w:val="17"/>
              </w:rPr>
            </w:pPr>
          </w:p>
        </w:tc>
        <w:tc>
          <w:tcPr>
            <w:tcW w:w="2268" w:type="dxa"/>
            <w:shd w:val="clear" w:color="auto" w:fill="auto"/>
          </w:tcPr>
          <w:p w14:paraId="6D7FEBE5"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adopts EIOPA proposal</w:t>
            </w:r>
          </w:p>
        </w:tc>
        <w:tc>
          <w:tcPr>
            <w:tcW w:w="2977" w:type="dxa"/>
            <w:shd w:val="clear" w:color="auto" w:fill="auto"/>
          </w:tcPr>
          <w:p w14:paraId="5F89B2CA"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proposal included in FR compromise proposal (Art 77d(c))</w:t>
            </w:r>
          </w:p>
        </w:tc>
        <w:tc>
          <w:tcPr>
            <w:tcW w:w="2976" w:type="dxa"/>
            <w:shd w:val="clear" w:color="auto" w:fill="auto"/>
          </w:tcPr>
          <w:p w14:paraId="5460C9F9" w14:textId="316ACD26" w:rsidR="0028007B" w:rsidRDefault="0028007B" w:rsidP="00121913">
            <w:pPr>
              <w:tabs>
                <w:tab w:val="left" w:pos="3815"/>
              </w:tabs>
              <w:rPr>
                <w:sz w:val="17"/>
                <w:szCs w:val="17"/>
              </w:rPr>
            </w:pPr>
            <w:r w:rsidRPr="00BD5AF9">
              <w:rPr>
                <w:b/>
                <w:bCs/>
                <w:color w:val="00B050"/>
                <w:sz w:val="17"/>
                <w:szCs w:val="17"/>
              </w:rPr>
              <w:t>[</w:t>
            </w:r>
            <w:r w:rsidR="005B5F8A">
              <w:rPr>
                <w:b/>
                <w:bCs/>
                <w:color w:val="00B050"/>
                <w:sz w:val="17"/>
                <w:szCs w:val="17"/>
              </w:rPr>
              <w:t>Negative</w:t>
            </w:r>
            <w:r w:rsidRPr="00BD5AF9">
              <w:rPr>
                <w:b/>
                <w:bCs/>
                <w:color w:val="00B050"/>
                <w:sz w:val="17"/>
                <w:szCs w:val="17"/>
              </w:rPr>
              <w:t>]</w:t>
            </w:r>
            <w:r>
              <w:rPr>
                <w:b/>
                <w:bCs/>
                <w:color w:val="00B050"/>
                <w:sz w:val="17"/>
                <w:szCs w:val="17"/>
              </w:rPr>
              <w:t xml:space="preserve"> </w:t>
            </w:r>
            <w:r w:rsidR="0010479E">
              <w:rPr>
                <w:sz w:val="17"/>
                <w:szCs w:val="17"/>
              </w:rPr>
              <w:t xml:space="preserve">Although </w:t>
            </w:r>
            <w:r>
              <w:rPr>
                <w:sz w:val="17"/>
                <w:szCs w:val="17"/>
              </w:rPr>
              <w:t>EC’s proposed calculation of macro VA (Article 77d(4)) is maintained</w:t>
            </w:r>
            <w:r w:rsidR="00DA673E">
              <w:rPr>
                <w:sz w:val="17"/>
                <w:szCs w:val="17"/>
              </w:rPr>
              <w:t>, , Recital 37 (A14) is deleted; the Recital is important to clarify that this was a</w:t>
            </w:r>
            <w:r w:rsidR="005D5C86">
              <w:rPr>
                <w:sz w:val="17"/>
                <w:szCs w:val="17"/>
              </w:rPr>
              <w:t>n issue</w:t>
            </w:r>
            <w:r w:rsidR="00DA673E">
              <w:rPr>
                <w:sz w:val="17"/>
                <w:szCs w:val="17"/>
              </w:rPr>
              <w:t xml:space="preserve"> to be fixed.</w:t>
            </w:r>
          </w:p>
        </w:tc>
        <w:tc>
          <w:tcPr>
            <w:tcW w:w="3119" w:type="dxa"/>
            <w:vMerge/>
          </w:tcPr>
          <w:p w14:paraId="409CE04D" w14:textId="6048653D" w:rsidR="0028007B" w:rsidRDefault="0028007B" w:rsidP="00121913">
            <w:pPr>
              <w:tabs>
                <w:tab w:val="left" w:pos="3815"/>
              </w:tabs>
              <w:rPr>
                <w:sz w:val="17"/>
                <w:szCs w:val="17"/>
              </w:rPr>
            </w:pPr>
          </w:p>
        </w:tc>
      </w:tr>
      <w:tr w:rsidR="0028007B" w14:paraId="0602E302" w14:textId="77777777" w:rsidTr="006F22E8">
        <w:trPr>
          <w:trHeight w:val="85"/>
        </w:trPr>
        <w:tc>
          <w:tcPr>
            <w:tcW w:w="1417" w:type="dxa"/>
            <w:vMerge/>
            <w:shd w:val="clear" w:color="auto" w:fill="auto"/>
          </w:tcPr>
          <w:p w14:paraId="3CBC05F4" w14:textId="5C687A12" w:rsidR="0028007B" w:rsidRDefault="0028007B" w:rsidP="00121913">
            <w:pPr>
              <w:tabs>
                <w:tab w:val="left" w:pos="3815"/>
              </w:tabs>
              <w:rPr>
                <w:sz w:val="17"/>
                <w:szCs w:val="17"/>
              </w:rPr>
            </w:pPr>
          </w:p>
        </w:tc>
        <w:tc>
          <w:tcPr>
            <w:tcW w:w="2269" w:type="dxa"/>
            <w:shd w:val="clear" w:color="auto" w:fill="auto"/>
          </w:tcPr>
          <w:p w14:paraId="143D302B" w14:textId="77777777" w:rsidR="0028007B" w:rsidRPr="000027A4" w:rsidRDefault="0028007B" w:rsidP="00121913">
            <w:pPr>
              <w:pStyle w:val="Default"/>
              <w:rPr>
                <w:sz w:val="17"/>
                <w:szCs w:val="17"/>
              </w:rPr>
            </w:pPr>
            <w:r w:rsidRPr="00BD5AF9">
              <w:rPr>
                <w:b/>
                <w:bCs/>
                <w:color w:val="00B050"/>
                <w:sz w:val="17"/>
                <w:szCs w:val="17"/>
              </w:rPr>
              <w:t>[Positive]</w:t>
            </w:r>
            <w:r w:rsidRPr="00BD5AF9">
              <w:rPr>
                <w:b/>
                <w:bCs/>
                <w:color w:val="00B050"/>
                <w:szCs w:val="17"/>
              </w:rPr>
              <w:t xml:space="preserve"> </w:t>
            </w:r>
            <w:r w:rsidRPr="000027A4">
              <w:rPr>
                <w:sz w:val="17"/>
                <w:szCs w:val="17"/>
              </w:rPr>
              <w:t>Increase the general application ratio</w:t>
            </w:r>
            <w:r>
              <w:rPr>
                <w:sz w:val="17"/>
                <w:szCs w:val="17"/>
              </w:rPr>
              <w:t xml:space="preserve"> </w:t>
            </w:r>
            <w:r w:rsidRPr="000027A4">
              <w:rPr>
                <w:sz w:val="17"/>
                <w:szCs w:val="17"/>
              </w:rPr>
              <w:t>(GAR) to 85%</w:t>
            </w:r>
          </w:p>
          <w:p w14:paraId="0A6DA2E3" w14:textId="77777777" w:rsidR="0028007B" w:rsidRPr="000027A4" w:rsidRDefault="0028007B" w:rsidP="00121913">
            <w:pPr>
              <w:tabs>
                <w:tab w:val="left" w:pos="3815"/>
              </w:tabs>
              <w:rPr>
                <w:sz w:val="17"/>
                <w:szCs w:val="17"/>
              </w:rPr>
            </w:pPr>
          </w:p>
        </w:tc>
        <w:tc>
          <w:tcPr>
            <w:tcW w:w="2268" w:type="dxa"/>
            <w:shd w:val="clear" w:color="auto" w:fill="auto"/>
          </w:tcPr>
          <w:p w14:paraId="2B0E99F6"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adopts EIOPA proposal</w:t>
            </w:r>
          </w:p>
        </w:tc>
        <w:tc>
          <w:tcPr>
            <w:tcW w:w="2977" w:type="dxa"/>
            <w:shd w:val="clear" w:color="auto" w:fill="auto"/>
          </w:tcPr>
          <w:p w14:paraId="6A352E62"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proposal included in FR compromise proposal (Art 77d(c))</w:t>
            </w:r>
          </w:p>
        </w:tc>
        <w:tc>
          <w:tcPr>
            <w:tcW w:w="2976" w:type="dxa"/>
            <w:shd w:val="clear" w:color="auto" w:fill="auto"/>
          </w:tcPr>
          <w:p w14:paraId="1BDB0A8A" w14:textId="25AED5EF" w:rsidR="0028007B" w:rsidRDefault="0028007B" w:rsidP="00121913">
            <w:pPr>
              <w:tabs>
                <w:tab w:val="left" w:pos="3815"/>
              </w:tabs>
              <w:rPr>
                <w:sz w:val="17"/>
                <w:szCs w:val="17"/>
              </w:rPr>
            </w:pPr>
            <w:r>
              <w:rPr>
                <w:sz w:val="17"/>
                <w:szCs w:val="17"/>
              </w:rPr>
              <w:t xml:space="preserve">No amendments </w:t>
            </w:r>
          </w:p>
        </w:tc>
        <w:tc>
          <w:tcPr>
            <w:tcW w:w="3119" w:type="dxa"/>
            <w:vMerge/>
          </w:tcPr>
          <w:p w14:paraId="15415266" w14:textId="65196F98" w:rsidR="0028007B" w:rsidRDefault="0028007B" w:rsidP="00121913">
            <w:pPr>
              <w:tabs>
                <w:tab w:val="left" w:pos="3815"/>
              </w:tabs>
              <w:rPr>
                <w:sz w:val="17"/>
                <w:szCs w:val="17"/>
              </w:rPr>
            </w:pPr>
          </w:p>
        </w:tc>
      </w:tr>
      <w:tr w:rsidR="0028007B" w14:paraId="3ADC2639" w14:textId="77777777" w:rsidTr="006F22E8">
        <w:trPr>
          <w:trHeight w:val="85"/>
        </w:trPr>
        <w:tc>
          <w:tcPr>
            <w:tcW w:w="1417" w:type="dxa"/>
            <w:vMerge/>
            <w:shd w:val="clear" w:color="auto" w:fill="auto"/>
          </w:tcPr>
          <w:p w14:paraId="37CB6FEF" w14:textId="347BBE35" w:rsidR="0028007B" w:rsidRDefault="0028007B" w:rsidP="00121913">
            <w:pPr>
              <w:tabs>
                <w:tab w:val="left" w:pos="3815"/>
              </w:tabs>
              <w:rPr>
                <w:sz w:val="17"/>
                <w:szCs w:val="17"/>
              </w:rPr>
            </w:pPr>
          </w:p>
        </w:tc>
        <w:tc>
          <w:tcPr>
            <w:tcW w:w="2269" w:type="dxa"/>
            <w:shd w:val="clear" w:color="auto" w:fill="auto"/>
          </w:tcPr>
          <w:p w14:paraId="1292041C"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sidRPr="000027A4">
              <w:rPr>
                <w:sz w:val="17"/>
                <w:szCs w:val="17"/>
              </w:rPr>
              <w:t>Include a duration ratio (‘CSSR’)</w:t>
            </w:r>
          </w:p>
        </w:tc>
        <w:tc>
          <w:tcPr>
            <w:tcW w:w="2268" w:type="dxa"/>
            <w:shd w:val="clear" w:color="auto" w:fill="auto"/>
          </w:tcPr>
          <w:p w14:paraId="06B46950"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adopts EIOPA proposal</w:t>
            </w:r>
          </w:p>
        </w:tc>
        <w:tc>
          <w:tcPr>
            <w:tcW w:w="2977" w:type="dxa"/>
            <w:shd w:val="clear" w:color="auto" w:fill="auto"/>
          </w:tcPr>
          <w:p w14:paraId="37BEAC33"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proposal included in FR compromise proposal (Art 77d(c))</w:t>
            </w:r>
          </w:p>
          <w:p w14:paraId="438D2F3C" w14:textId="77777777" w:rsidR="0028007B" w:rsidRDefault="0028007B" w:rsidP="00121913">
            <w:pPr>
              <w:tabs>
                <w:tab w:val="left" w:pos="3815"/>
              </w:tabs>
              <w:rPr>
                <w:sz w:val="17"/>
                <w:szCs w:val="17"/>
              </w:rPr>
            </w:pPr>
          </w:p>
          <w:p w14:paraId="5238CBF2" w14:textId="4AF12AE7" w:rsidR="0028007B" w:rsidRDefault="0028007B" w:rsidP="00121913">
            <w:pPr>
              <w:tabs>
                <w:tab w:val="left" w:pos="3815"/>
              </w:tabs>
              <w:rPr>
                <w:sz w:val="17"/>
                <w:szCs w:val="17"/>
              </w:rPr>
            </w:pPr>
            <w:r>
              <w:rPr>
                <w:sz w:val="17"/>
                <w:szCs w:val="17"/>
              </w:rPr>
              <w:t>FR compromise introduces flexibility in the calculation of the CSSR for those countries which have currencies pegged to the Euro.</w:t>
            </w:r>
          </w:p>
        </w:tc>
        <w:tc>
          <w:tcPr>
            <w:tcW w:w="2976" w:type="dxa"/>
            <w:shd w:val="clear" w:color="auto" w:fill="auto"/>
          </w:tcPr>
          <w:p w14:paraId="2C23FAA5" w14:textId="5F29363B" w:rsidR="0028007B" w:rsidRDefault="0028007B" w:rsidP="00121913">
            <w:pPr>
              <w:tabs>
                <w:tab w:val="left" w:pos="3815"/>
              </w:tabs>
              <w:rPr>
                <w:sz w:val="17"/>
                <w:szCs w:val="17"/>
              </w:rPr>
            </w:pPr>
            <w:r>
              <w:rPr>
                <w:sz w:val="17"/>
                <w:szCs w:val="17"/>
              </w:rPr>
              <w:t>No amendments</w:t>
            </w:r>
          </w:p>
        </w:tc>
        <w:tc>
          <w:tcPr>
            <w:tcW w:w="3119" w:type="dxa"/>
            <w:vMerge/>
          </w:tcPr>
          <w:p w14:paraId="67F4F15B" w14:textId="29EAB4BA" w:rsidR="0028007B" w:rsidRDefault="0028007B" w:rsidP="00121913">
            <w:pPr>
              <w:tabs>
                <w:tab w:val="left" w:pos="3815"/>
              </w:tabs>
              <w:rPr>
                <w:sz w:val="17"/>
                <w:szCs w:val="17"/>
              </w:rPr>
            </w:pPr>
          </w:p>
        </w:tc>
      </w:tr>
      <w:tr w:rsidR="0028007B" w14:paraId="5C7C9A17" w14:textId="77777777" w:rsidTr="006F22E8">
        <w:trPr>
          <w:trHeight w:val="85"/>
        </w:trPr>
        <w:tc>
          <w:tcPr>
            <w:tcW w:w="1417" w:type="dxa"/>
            <w:vMerge/>
            <w:shd w:val="clear" w:color="auto" w:fill="auto"/>
          </w:tcPr>
          <w:p w14:paraId="2AB31D58" w14:textId="07237FDC" w:rsidR="0028007B" w:rsidRDefault="0028007B" w:rsidP="00121913">
            <w:pPr>
              <w:tabs>
                <w:tab w:val="left" w:pos="3815"/>
              </w:tabs>
              <w:rPr>
                <w:sz w:val="17"/>
                <w:szCs w:val="17"/>
              </w:rPr>
            </w:pPr>
          </w:p>
        </w:tc>
        <w:tc>
          <w:tcPr>
            <w:tcW w:w="2269" w:type="dxa"/>
            <w:shd w:val="clear" w:color="auto" w:fill="auto"/>
          </w:tcPr>
          <w:p w14:paraId="34797B22" w14:textId="77777777" w:rsidR="0028007B" w:rsidRDefault="0028007B" w:rsidP="00121913">
            <w:pPr>
              <w:tabs>
                <w:tab w:val="left" w:pos="3815"/>
              </w:tabs>
              <w:rPr>
                <w:sz w:val="17"/>
                <w:szCs w:val="17"/>
              </w:rPr>
            </w:pPr>
            <w:r>
              <w:rPr>
                <w:b/>
                <w:bCs/>
                <w:color w:val="FF0000"/>
                <w:sz w:val="17"/>
                <w:szCs w:val="17"/>
              </w:rPr>
              <w:t>[</w:t>
            </w:r>
            <w:r w:rsidRPr="00BD5AF9">
              <w:rPr>
                <w:b/>
                <w:bCs/>
                <w:color w:val="FF0000"/>
                <w:sz w:val="17"/>
                <w:szCs w:val="17"/>
              </w:rPr>
              <w:t>Negative]</w:t>
            </w:r>
            <w:r>
              <w:rPr>
                <w:b/>
                <w:bCs/>
                <w:color w:val="FF0000"/>
                <w:szCs w:val="17"/>
              </w:rPr>
              <w:t xml:space="preserve"> </w:t>
            </w:r>
            <w:r>
              <w:rPr>
                <w:sz w:val="17"/>
                <w:szCs w:val="17"/>
              </w:rPr>
              <w:t>Include a liquidity ratio</w:t>
            </w:r>
          </w:p>
        </w:tc>
        <w:tc>
          <w:tcPr>
            <w:tcW w:w="2268" w:type="dxa"/>
            <w:shd w:val="clear" w:color="auto" w:fill="auto"/>
          </w:tcPr>
          <w:p w14:paraId="337589BD"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EC does not adopt EIOPA proposal</w:t>
            </w:r>
          </w:p>
        </w:tc>
        <w:tc>
          <w:tcPr>
            <w:tcW w:w="2977" w:type="dxa"/>
            <w:shd w:val="clear" w:color="auto" w:fill="auto"/>
          </w:tcPr>
          <w:p w14:paraId="3F31EEF4" w14:textId="77777777" w:rsidR="0028007B" w:rsidRDefault="0028007B" w:rsidP="00121913">
            <w:pPr>
              <w:tabs>
                <w:tab w:val="left" w:pos="3815"/>
              </w:tabs>
              <w:rPr>
                <w:sz w:val="17"/>
                <w:szCs w:val="17"/>
              </w:rPr>
            </w:pPr>
            <w:r w:rsidRPr="00BD5AF9">
              <w:rPr>
                <w:b/>
                <w:bCs/>
                <w:color w:val="00B050"/>
                <w:sz w:val="17"/>
                <w:szCs w:val="17"/>
              </w:rPr>
              <w:t>[Positive]</w:t>
            </w:r>
            <w:r w:rsidRPr="00BD5AF9">
              <w:rPr>
                <w:color w:val="E36C0A" w:themeColor="accent6" w:themeShade="BF"/>
                <w:sz w:val="17"/>
                <w:szCs w:val="17"/>
              </w:rPr>
              <w:t xml:space="preserve"> </w:t>
            </w:r>
            <w:r w:rsidRPr="00765D77">
              <w:rPr>
                <w:sz w:val="17"/>
                <w:szCs w:val="17"/>
              </w:rPr>
              <w:t xml:space="preserve">Illiquidity ratio </w:t>
            </w:r>
            <w:r w:rsidRPr="00765D77">
              <w:rPr>
                <w:b/>
                <w:bCs/>
                <w:sz w:val="17"/>
                <w:szCs w:val="17"/>
              </w:rPr>
              <w:t>not</w:t>
            </w:r>
            <w:r>
              <w:rPr>
                <w:sz w:val="17"/>
                <w:szCs w:val="17"/>
              </w:rPr>
              <w:t xml:space="preserve"> included in FR compromise proposal (Art 77d(c))</w:t>
            </w:r>
          </w:p>
        </w:tc>
        <w:tc>
          <w:tcPr>
            <w:tcW w:w="2976" w:type="dxa"/>
            <w:shd w:val="clear" w:color="auto" w:fill="auto"/>
          </w:tcPr>
          <w:p w14:paraId="67C21513" w14:textId="17AB0CE0"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EP does not include a liquidity ratio.</w:t>
            </w:r>
          </w:p>
        </w:tc>
        <w:tc>
          <w:tcPr>
            <w:tcW w:w="3119" w:type="dxa"/>
            <w:vMerge/>
          </w:tcPr>
          <w:p w14:paraId="79A8D191" w14:textId="191578A5" w:rsidR="0028007B" w:rsidRDefault="0028007B" w:rsidP="00121913">
            <w:pPr>
              <w:tabs>
                <w:tab w:val="left" w:pos="3815"/>
              </w:tabs>
              <w:rPr>
                <w:sz w:val="17"/>
                <w:szCs w:val="17"/>
              </w:rPr>
            </w:pPr>
          </w:p>
        </w:tc>
      </w:tr>
      <w:tr w:rsidR="0028007B" w14:paraId="51C76F35" w14:textId="77777777" w:rsidTr="006F22E8">
        <w:trPr>
          <w:trHeight w:val="85"/>
        </w:trPr>
        <w:tc>
          <w:tcPr>
            <w:tcW w:w="1417" w:type="dxa"/>
            <w:vMerge/>
            <w:shd w:val="clear" w:color="auto" w:fill="auto"/>
          </w:tcPr>
          <w:p w14:paraId="33304C48" w14:textId="3922A26D" w:rsidR="0028007B" w:rsidRDefault="0028007B" w:rsidP="00121913">
            <w:pPr>
              <w:tabs>
                <w:tab w:val="left" w:pos="3815"/>
              </w:tabs>
              <w:rPr>
                <w:sz w:val="17"/>
                <w:szCs w:val="17"/>
              </w:rPr>
            </w:pPr>
          </w:p>
        </w:tc>
        <w:tc>
          <w:tcPr>
            <w:tcW w:w="2269" w:type="dxa"/>
            <w:shd w:val="clear" w:color="auto" w:fill="auto"/>
          </w:tcPr>
          <w:p w14:paraId="5EEB3D85" w14:textId="77777777" w:rsidR="0028007B" w:rsidRDefault="0028007B" w:rsidP="00121913">
            <w:pPr>
              <w:tabs>
                <w:tab w:val="left" w:pos="3815"/>
              </w:tabs>
              <w:rPr>
                <w:sz w:val="17"/>
                <w:szCs w:val="17"/>
              </w:rPr>
            </w:pPr>
            <w:r>
              <w:rPr>
                <w:b/>
                <w:bCs/>
                <w:color w:val="FF0000"/>
                <w:sz w:val="17"/>
                <w:szCs w:val="17"/>
              </w:rPr>
              <w:t>[</w:t>
            </w:r>
            <w:r w:rsidRPr="00BD5AF9">
              <w:rPr>
                <w:b/>
                <w:bCs/>
                <w:color w:val="FF0000"/>
                <w:sz w:val="17"/>
                <w:szCs w:val="17"/>
              </w:rPr>
              <w:t>Negative]</w:t>
            </w:r>
            <w:r>
              <w:rPr>
                <w:b/>
                <w:bCs/>
                <w:color w:val="FF0000"/>
                <w:szCs w:val="17"/>
              </w:rPr>
              <w:t xml:space="preserve"> </w:t>
            </w:r>
            <w:r>
              <w:rPr>
                <w:sz w:val="17"/>
                <w:szCs w:val="17"/>
              </w:rPr>
              <w:t>Risk Correction (RC) to become a % of the current spread</w:t>
            </w:r>
          </w:p>
        </w:tc>
        <w:tc>
          <w:tcPr>
            <w:tcW w:w="2268" w:type="dxa"/>
            <w:shd w:val="clear" w:color="auto" w:fill="auto"/>
          </w:tcPr>
          <w:p w14:paraId="01A40F95" w14:textId="714616F3"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The latest E</w:t>
            </w:r>
            <w:r w:rsidRPr="00765D77">
              <w:rPr>
                <w:sz w:val="17"/>
                <w:szCs w:val="17"/>
              </w:rPr>
              <w:t xml:space="preserve">GBPI </w:t>
            </w:r>
            <w:r>
              <w:rPr>
                <w:sz w:val="17"/>
                <w:szCs w:val="17"/>
              </w:rPr>
              <w:t xml:space="preserve">non-papers proposes changes to EIOPA’s proposals in order to the volatility and procyclicality concerns raised </w:t>
            </w:r>
            <w:r w:rsidRPr="000027A4">
              <w:rPr>
                <w:sz w:val="17"/>
                <w:szCs w:val="17"/>
              </w:rPr>
              <w:t>(</w:t>
            </w:r>
            <w:r>
              <w:rPr>
                <w:sz w:val="17"/>
                <w:szCs w:val="17"/>
              </w:rPr>
              <w:t>Based on Italian Council proposals on Art 77d(c)).  These seem generally supported.</w:t>
            </w:r>
          </w:p>
        </w:tc>
        <w:tc>
          <w:tcPr>
            <w:tcW w:w="2977" w:type="dxa"/>
            <w:shd w:val="clear" w:color="auto" w:fill="auto"/>
          </w:tcPr>
          <w:p w14:paraId="0DF668B3" w14:textId="6BF47670" w:rsidR="0028007B" w:rsidRDefault="0028007B" w:rsidP="00121913">
            <w:pPr>
              <w:tabs>
                <w:tab w:val="left" w:pos="3815"/>
              </w:tabs>
              <w:rPr>
                <w:sz w:val="17"/>
                <w:szCs w:val="17"/>
              </w:rPr>
            </w:pPr>
            <w:r w:rsidRPr="00BD5AF9">
              <w:rPr>
                <w:b/>
                <w:bCs/>
                <w:color w:val="00B050"/>
                <w:sz w:val="17"/>
                <w:szCs w:val="17"/>
              </w:rPr>
              <w:t>[Positive]</w:t>
            </w:r>
            <w:r w:rsidRPr="00F15250">
              <w:rPr>
                <w:color w:val="FFC000"/>
                <w:sz w:val="17"/>
                <w:szCs w:val="17"/>
              </w:rPr>
              <w:t xml:space="preserve"> </w:t>
            </w:r>
            <w:r w:rsidRPr="00765D77">
              <w:rPr>
                <w:sz w:val="17"/>
                <w:szCs w:val="17"/>
              </w:rPr>
              <w:t xml:space="preserve">EGBPI </w:t>
            </w:r>
            <w:r>
              <w:rPr>
                <w:sz w:val="17"/>
                <w:szCs w:val="17"/>
              </w:rPr>
              <w:t>–</w:t>
            </w:r>
            <w:r w:rsidRPr="00765D77">
              <w:rPr>
                <w:sz w:val="17"/>
                <w:szCs w:val="17"/>
              </w:rPr>
              <w:t xml:space="preserve"> </w:t>
            </w:r>
            <w:r>
              <w:rPr>
                <w:sz w:val="17"/>
                <w:szCs w:val="17"/>
              </w:rPr>
              <w:t>there seems to be general support for the EC’s proposed changes to EIOPA’s proposals in order to limit volatility and procyclicality concerns raised</w:t>
            </w:r>
            <w:r w:rsidRPr="00765D77">
              <w:rPr>
                <w:sz w:val="17"/>
                <w:szCs w:val="17"/>
              </w:rPr>
              <w:t xml:space="preserve"> </w:t>
            </w:r>
            <w:r w:rsidRPr="000027A4">
              <w:rPr>
                <w:sz w:val="17"/>
                <w:szCs w:val="17"/>
              </w:rPr>
              <w:t>(</w:t>
            </w:r>
            <w:r w:rsidR="00825687">
              <w:rPr>
                <w:sz w:val="17"/>
                <w:szCs w:val="17"/>
              </w:rPr>
              <w:t>eg</w:t>
            </w:r>
            <w:r>
              <w:rPr>
                <w:sz w:val="17"/>
                <w:szCs w:val="17"/>
              </w:rPr>
              <w:t xml:space="preserve"> Italy) (Art 77d(c)). However, the calibrations being discussed by EGBPI are not as beneficial as those proposed by industry.</w:t>
            </w:r>
          </w:p>
        </w:tc>
        <w:tc>
          <w:tcPr>
            <w:tcW w:w="2976" w:type="dxa"/>
            <w:shd w:val="clear" w:color="auto" w:fill="auto"/>
          </w:tcPr>
          <w:p w14:paraId="3A189C2D" w14:textId="1C708DDE" w:rsidR="0028007B" w:rsidRDefault="0028007B" w:rsidP="00121913">
            <w:pPr>
              <w:tabs>
                <w:tab w:val="left" w:pos="3815"/>
              </w:tabs>
              <w:rPr>
                <w:sz w:val="17"/>
                <w:szCs w:val="17"/>
              </w:rPr>
            </w:pPr>
            <w:r w:rsidRPr="00062F86">
              <w:rPr>
                <w:b/>
                <w:bCs/>
                <w:color w:val="00B050"/>
                <w:sz w:val="17"/>
                <w:szCs w:val="17"/>
              </w:rPr>
              <w:t>[Positive]</w:t>
            </w:r>
            <w:r w:rsidRPr="00062F86">
              <w:rPr>
                <w:b/>
                <w:bCs/>
                <w:color w:val="00B050"/>
                <w:szCs w:val="17"/>
              </w:rPr>
              <w:t xml:space="preserve"> </w:t>
            </w:r>
            <w:r>
              <w:rPr>
                <w:sz w:val="17"/>
                <w:szCs w:val="17"/>
              </w:rPr>
              <w:t>EP proposes (in amendment 128) to retain the current Risk Correction methodology. The proposal is to introduce text in L1 linking the risk correction to the fundamental spread, defined in Article 77c(2) of the Directive which confirms that it should be based on long-term average spreads.</w:t>
            </w:r>
          </w:p>
        </w:tc>
        <w:tc>
          <w:tcPr>
            <w:tcW w:w="3119" w:type="dxa"/>
            <w:vMerge/>
          </w:tcPr>
          <w:p w14:paraId="411B5CE4" w14:textId="1DB16912" w:rsidR="0028007B" w:rsidRDefault="0028007B" w:rsidP="00121913">
            <w:pPr>
              <w:tabs>
                <w:tab w:val="left" w:pos="3815"/>
              </w:tabs>
              <w:rPr>
                <w:sz w:val="17"/>
                <w:szCs w:val="17"/>
              </w:rPr>
            </w:pPr>
          </w:p>
        </w:tc>
      </w:tr>
      <w:tr w:rsidR="0028007B" w14:paraId="65A9FA07" w14:textId="77777777" w:rsidTr="006F22E8">
        <w:trPr>
          <w:trHeight w:val="627"/>
        </w:trPr>
        <w:tc>
          <w:tcPr>
            <w:tcW w:w="1417" w:type="dxa"/>
            <w:vMerge/>
            <w:shd w:val="clear" w:color="auto" w:fill="auto"/>
          </w:tcPr>
          <w:p w14:paraId="6B021446" w14:textId="04B5EEDA" w:rsidR="0028007B" w:rsidRDefault="0028007B" w:rsidP="00121913">
            <w:pPr>
              <w:tabs>
                <w:tab w:val="left" w:pos="3815"/>
              </w:tabs>
              <w:rPr>
                <w:sz w:val="17"/>
                <w:szCs w:val="17"/>
              </w:rPr>
            </w:pPr>
          </w:p>
        </w:tc>
        <w:tc>
          <w:tcPr>
            <w:tcW w:w="2269" w:type="dxa"/>
            <w:shd w:val="clear" w:color="auto" w:fill="auto"/>
          </w:tcPr>
          <w:p w14:paraId="49D0C155"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No introduction of an own asset approach</w:t>
            </w:r>
          </w:p>
        </w:tc>
        <w:tc>
          <w:tcPr>
            <w:tcW w:w="2268" w:type="dxa"/>
            <w:shd w:val="clear" w:color="auto" w:fill="auto"/>
          </w:tcPr>
          <w:p w14:paraId="6895B61D" w14:textId="77777777"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No introduction of an own asset approach</w:t>
            </w:r>
          </w:p>
        </w:tc>
        <w:tc>
          <w:tcPr>
            <w:tcW w:w="2977" w:type="dxa"/>
            <w:shd w:val="clear" w:color="auto" w:fill="auto"/>
          </w:tcPr>
          <w:p w14:paraId="52786760" w14:textId="61058153" w:rsidR="0028007B" w:rsidRDefault="0028007B" w:rsidP="00121913">
            <w:pPr>
              <w:tabs>
                <w:tab w:val="left" w:pos="3815"/>
              </w:tabs>
              <w:rPr>
                <w:sz w:val="17"/>
                <w:szCs w:val="17"/>
              </w:rPr>
            </w:pPr>
            <w:r w:rsidRPr="00703802" w:rsidDel="005E4689">
              <w:rPr>
                <w:b/>
                <w:color w:val="FF0000"/>
                <w:sz w:val="17"/>
                <w:szCs w:val="17"/>
              </w:rPr>
              <w:t>[</w:t>
            </w:r>
            <w:r w:rsidRPr="00703802">
              <w:rPr>
                <w:b/>
                <w:bCs/>
                <w:color w:val="FF0000"/>
                <w:sz w:val="17"/>
                <w:szCs w:val="17"/>
              </w:rPr>
              <w:t>Negative</w:t>
            </w:r>
            <w:r w:rsidRPr="00703802" w:rsidDel="005E4689">
              <w:rPr>
                <w:b/>
                <w:bCs/>
                <w:color w:val="FF0000"/>
                <w:sz w:val="17"/>
                <w:szCs w:val="17"/>
              </w:rPr>
              <w:t>]</w:t>
            </w:r>
            <w:r w:rsidRPr="00BD5AF9" w:rsidDel="005E4689">
              <w:rPr>
                <w:color w:val="E36C0A" w:themeColor="accent6" w:themeShade="BF"/>
                <w:sz w:val="17"/>
                <w:szCs w:val="17"/>
              </w:rPr>
              <w:t xml:space="preserve"> </w:t>
            </w:r>
            <w:r w:rsidRPr="00703802">
              <w:rPr>
                <w:sz w:val="17"/>
                <w:szCs w:val="17"/>
              </w:rPr>
              <w:t xml:space="preserve">FR presidency introduces </w:t>
            </w:r>
            <w:r>
              <w:rPr>
                <w:sz w:val="17"/>
                <w:szCs w:val="17"/>
              </w:rPr>
              <w:t xml:space="preserve">the possibility for companies to apply a company specific ratio which can lower the company’s VA to be consistent with an own assets VA where quality overshooting is present (the ratio is capped at 100% so a company cannot benefit from having a VA higher than the reference portfolio(s)). Supervisory approval is also required. </w:t>
            </w:r>
          </w:p>
          <w:p w14:paraId="24F5FBBA" w14:textId="1A59D132" w:rsidR="0028007B" w:rsidRDefault="0028007B" w:rsidP="00121913">
            <w:pPr>
              <w:tabs>
                <w:tab w:val="left" w:pos="3815"/>
              </w:tabs>
              <w:rPr>
                <w:sz w:val="17"/>
                <w:szCs w:val="17"/>
              </w:rPr>
            </w:pPr>
          </w:p>
        </w:tc>
        <w:tc>
          <w:tcPr>
            <w:tcW w:w="2976" w:type="dxa"/>
            <w:shd w:val="clear" w:color="auto" w:fill="auto"/>
          </w:tcPr>
          <w:p w14:paraId="1EAD1078" w14:textId="12FEA2A8" w:rsidR="0028007B" w:rsidRDefault="0028007B"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Pr>
                <w:sz w:val="17"/>
                <w:szCs w:val="17"/>
              </w:rPr>
              <w:t>No amendments to the EC proposal, therefore no introduction of an own asset approach is currently foreseen.</w:t>
            </w:r>
          </w:p>
        </w:tc>
        <w:tc>
          <w:tcPr>
            <w:tcW w:w="3119" w:type="dxa"/>
            <w:vMerge/>
          </w:tcPr>
          <w:p w14:paraId="0BC6D36F" w14:textId="5CD2D11C" w:rsidR="0028007B" w:rsidRDefault="0028007B" w:rsidP="00121913">
            <w:pPr>
              <w:tabs>
                <w:tab w:val="left" w:pos="3815"/>
              </w:tabs>
              <w:rPr>
                <w:sz w:val="17"/>
                <w:szCs w:val="17"/>
              </w:rPr>
            </w:pPr>
          </w:p>
        </w:tc>
      </w:tr>
      <w:tr w:rsidR="0028007B" w14:paraId="06C7E2BE" w14:textId="77777777" w:rsidTr="006F22E8">
        <w:trPr>
          <w:trHeight w:val="627"/>
        </w:trPr>
        <w:tc>
          <w:tcPr>
            <w:tcW w:w="1417" w:type="dxa"/>
            <w:vMerge/>
            <w:shd w:val="clear" w:color="auto" w:fill="auto"/>
          </w:tcPr>
          <w:p w14:paraId="33055313" w14:textId="017BF19A" w:rsidR="0028007B" w:rsidRDefault="0028007B" w:rsidP="00121913">
            <w:pPr>
              <w:tabs>
                <w:tab w:val="left" w:pos="3815"/>
              </w:tabs>
              <w:rPr>
                <w:sz w:val="17"/>
                <w:szCs w:val="17"/>
              </w:rPr>
            </w:pPr>
          </w:p>
        </w:tc>
        <w:tc>
          <w:tcPr>
            <w:tcW w:w="2269" w:type="dxa"/>
            <w:shd w:val="clear" w:color="auto" w:fill="auto"/>
          </w:tcPr>
          <w:p w14:paraId="6E50DE03" w14:textId="62521FB2" w:rsidR="0028007B" w:rsidRPr="00BD5AF9" w:rsidRDefault="0028007B" w:rsidP="00121913">
            <w:pPr>
              <w:tabs>
                <w:tab w:val="left" w:pos="3815"/>
              </w:tabs>
              <w:rPr>
                <w:b/>
                <w:bCs/>
                <w:color w:val="00B050"/>
                <w:sz w:val="17"/>
                <w:szCs w:val="17"/>
              </w:rPr>
            </w:pPr>
            <w:r w:rsidRPr="00703802">
              <w:rPr>
                <w:b/>
                <w:bCs/>
                <w:color w:val="F79646" w:themeColor="accent6"/>
                <w:sz w:val="17"/>
                <w:szCs w:val="17"/>
              </w:rPr>
              <w:t>[Neutral]</w:t>
            </w:r>
            <w:r>
              <w:rPr>
                <w:b/>
                <w:bCs/>
                <w:color w:val="F79646" w:themeColor="accent6"/>
                <w:sz w:val="17"/>
                <w:szCs w:val="17"/>
              </w:rPr>
              <w:t xml:space="preserve"> </w:t>
            </w:r>
            <w:r>
              <w:rPr>
                <w:sz w:val="17"/>
                <w:szCs w:val="17"/>
              </w:rPr>
              <w:t>Mandatory supervisory approval required for companies who wish to start applying the VA.</w:t>
            </w:r>
          </w:p>
        </w:tc>
        <w:tc>
          <w:tcPr>
            <w:tcW w:w="2268" w:type="dxa"/>
            <w:shd w:val="clear" w:color="auto" w:fill="auto"/>
          </w:tcPr>
          <w:p w14:paraId="2F61F853" w14:textId="5728B9B3" w:rsidR="0028007B" w:rsidRPr="00BD5AF9" w:rsidRDefault="0028007B" w:rsidP="00121913">
            <w:pPr>
              <w:tabs>
                <w:tab w:val="left" w:pos="3815"/>
              </w:tabs>
              <w:rPr>
                <w:b/>
                <w:bCs/>
                <w:color w:val="00B050"/>
                <w:sz w:val="17"/>
                <w:szCs w:val="17"/>
              </w:rPr>
            </w:pPr>
            <w:r w:rsidRPr="00983312">
              <w:rPr>
                <w:b/>
                <w:bCs/>
                <w:color w:val="F79646" w:themeColor="accent6"/>
                <w:sz w:val="17"/>
                <w:szCs w:val="17"/>
              </w:rPr>
              <w:t>[Neutral]</w:t>
            </w:r>
            <w:r>
              <w:rPr>
                <w:sz w:val="17"/>
                <w:szCs w:val="17"/>
              </w:rPr>
              <w:t xml:space="preserve"> EC adopts EIOPA proposal</w:t>
            </w:r>
          </w:p>
        </w:tc>
        <w:tc>
          <w:tcPr>
            <w:tcW w:w="2977" w:type="dxa"/>
            <w:shd w:val="clear" w:color="auto" w:fill="auto"/>
          </w:tcPr>
          <w:p w14:paraId="5C805CE5" w14:textId="7E12F077" w:rsidR="0028007B" w:rsidRDefault="0028007B" w:rsidP="00121913">
            <w:pPr>
              <w:tabs>
                <w:tab w:val="left" w:pos="3815"/>
              </w:tabs>
              <w:rPr>
                <w:b/>
                <w:bCs/>
                <w:color w:val="FF0000"/>
                <w:sz w:val="17"/>
                <w:szCs w:val="17"/>
              </w:rPr>
            </w:pPr>
            <w:r w:rsidRPr="00703802">
              <w:rPr>
                <w:b/>
                <w:bCs/>
                <w:color w:val="FF0000"/>
                <w:sz w:val="17"/>
                <w:szCs w:val="17"/>
              </w:rPr>
              <w:t>[Negative]</w:t>
            </w:r>
            <w:r>
              <w:rPr>
                <w:b/>
                <w:bCs/>
                <w:color w:val="FF0000"/>
                <w:sz w:val="17"/>
                <w:szCs w:val="17"/>
              </w:rPr>
              <w:t xml:space="preserve"> </w:t>
            </w:r>
            <w:r w:rsidRPr="00703802">
              <w:rPr>
                <w:sz w:val="17"/>
                <w:szCs w:val="17"/>
              </w:rPr>
              <w:t>French Presidency extends the supervisory approval process to permit additional national criteria to be used in the application process.</w:t>
            </w:r>
            <w:r w:rsidRPr="00703802">
              <w:rPr>
                <w:b/>
                <w:bCs/>
                <w:sz w:val="17"/>
                <w:szCs w:val="17"/>
              </w:rPr>
              <w:t xml:space="preserve"> </w:t>
            </w:r>
          </w:p>
        </w:tc>
        <w:tc>
          <w:tcPr>
            <w:tcW w:w="2976" w:type="dxa"/>
            <w:shd w:val="clear" w:color="auto" w:fill="auto"/>
          </w:tcPr>
          <w:p w14:paraId="3CCA2FC3" w14:textId="0A58EEE6" w:rsidR="0028007B" w:rsidRDefault="0028007B" w:rsidP="00121913">
            <w:pPr>
              <w:tabs>
                <w:tab w:val="left" w:pos="3815"/>
              </w:tabs>
              <w:rPr>
                <w:sz w:val="17"/>
                <w:szCs w:val="17"/>
              </w:rPr>
            </w:pPr>
            <w:r w:rsidRPr="00983312">
              <w:rPr>
                <w:b/>
                <w:bCs/>
                <w:color w:val="F79646" w:themeColor="accent6"/>
                <w:sz w:val="17"/>
                <w:szCs w:val="17"/>
              </w:rPr>
              <w:t>[Neutral]</w:t>
            </w:r>
            <w:r>
              <w:rPr>
                <w:sz w:val="17"/>
                <w:szCs w:val="17"/>
              </w:rPr>
              <w:t xml:space="preserve"> No amendments to EC proposal</w:t>
            </w:r>
          </w:p>
        </w:tc>
        <w:tc>
          <w:tcPr>
            <w:tcW w:w="3119" w:type="dxa"/>
            <w:vMerge/>
          </w:tcPr>
          <w:p w14:paraId="4378A7BD" w14:textId="5968B16F" w:rsidR="0028007B" w:rsidRDefault="0028007B" w:rsidP="00121913">
            <w:pPr>
              <w:tabs>
                <w:tab w:val="left" w:pos="3815"/>
              </w:tabs>
              <w:rPr>
                <w:sz w:val="17"/>
                <w:szCs w:val="17"/>
              </w:rPr>
            </w:pPr>
          </w:p>
        </w:tc>
      </w:tr>
    </w:tbl>
    <w:p w14:paraId="672A2F80" w14:textId="670952B4" w:rsidR="00D4104E" w:rsidRDefault="00D4104E">
      <w:pPr>
        <w:spacing w:after="200" w:line="276" w:lineRule="auto"/>
        <w:rPr>
          <w:sz w:val="17"/>
          <w:szCs w:val="17"/>
        </w:rPr>
      </w:pPr>
    </w:p>
    <w:tbl>
      <w:tblPr>
        <w:tblStyle w:val="Mriekatabuky"/>
        <w:tblW w:w="15026" w:type="dxa"/>
        <w:tblInd w:w="-5" w:type="dxa"/>
        <w:tblLayout w:type="fixed"/>
        <w:tblLook w:val="04A0" w:firstRow="1" w:lastRow="0" w:firstColumn="1" w:lastColumn="0" w:noHBand="0" w:noVBand="1"/>
      </w:tblPr>
      <w:tblGrid>
        <w:gridCol w:w="1418"/>
        <w:gridCol w:w="2268"/>
        <w:gridCol w:w="1984"/>
        <w:gridCol w:w="3261"/>
        <w:gridCol w:w="1984"/>
        <w:gridCol w:w="4111"/>
      </w:tblGrid>
      <w:tr w:rsidR="00ED458A" w14:paraId="08212F12" w14:textId="77777777" w:rsidTr="004D20FF">
        <w:tc>
          <w:tcPr>
            <w:tcW w:w="1418" w:type="dxa"/>
          </w:tcPr>
          <w:p w14:paraId="55B514E0" w14:textId="77777777" w:rsidR="00ED458A" w:rsidRDefault="00ED458A" w:rsidP="00121913">
            <w:pPr>
              <w:tabs>
                <w:tab w:val="left" w:pos="3815"/>
              </w:tabs>
              <w:rPr>
                <w:sz w:val="17"/>
                <w:szCs w:val="17"/>
              </w:rPr>
            </w:pPr>
            <w:r w:rsidRPr="00491EB9">
              <w:rPr>
                <w:b/>
                <w:bCs/>
                <w:sz w:val="17"/>
                <w:szCs w:val="17"/>
              </w:rPr>
              <w:lastRenderedPageBreak/>
              <w:t>Topic</w:t>
            </w:r>
          </w:p>
        </w:tc>
        <w:tc>
          <w:tcPr>
            <w:tcW w:w="2268" w:type="dxa"/>
          </w:tcPr>
          <w:p w14:paraId="1EEEBC1B" w14:textId="77777777" w:rsidR="00ED458A" w:rsidRDefault="00ED458A" w:rsidP="00121913">
            <w:pPr>
              <w:tabs>
                <w:tab w:val="left" w:pos="3815"/>
              </w:tabs>
              <w:rPr>
                <w:sz w:val="17"/>
                <w:szCs w:val="17"/>
              </w:rPr>
            </w:pPr>
            <w:r w:rsidRPr="00491EB9">
              <w:rPr>
                <w:b/>
                <w:bCs/>
                <w:sz w:val="17"/>
                <w:szCs w:val="17"/>
              </w:rPr>
              <w:t>EIOPA proposal</w:t>
            </w:r>
          </w:p>
        </w:tc>
        <w:tc>
          <w:tcPr>
            <w:tcW w:w="1984" w:type="dxa"/>
          </w:tcPr>
          <w:p w14:paraId="47B30C68" w14:textId="77777777" w:rsidR="00ED458A" w:rsidRDefault="00ED458A" w:rsidP="00121913">
            <w:pPr>
              <w:tabs>
                <w:tab w:val="left" w:pos="3815"/>
              </w:tabs>
              <w:rPr>
                <w:sz w:val="17"/>
                <w:szCs w:val="17"/>
              </w:rPr>
            </w:pPr>
            <w:r w:rsidRPr="00491EB9">
              <w:rPr>
                <w:b/>
                <w:bCs/>
                <w:sz w:val="17"/>
                <w:szCs w:val="17"/>
              </w:rPr>
              <w:t>European Commission proposal</w:t>
            </w:r>
          </w:p>
        </w:tc>
        <w:tc>
          <w:tcPr>
            <w:tcW w:w="3261" w:type="dxa"/>
          </w:tcPr>
          <w:p w14:paraId="3AEFDF41" w14:textId="665A9A54" w:rsidR="00ED458A" w:rsidRDefault="00ED458A" w:rsidP="00121913">
            <w:pPr>
              <w:tabs>
                <w:tab w:val="left" w:pos="3815"/>
              </w:tabs>
              <w:rPr>
                <w:sz w:val="17"/>
                <w:szCs w:val="17"/>
              </w:rPr>
            </w:pPr>
            <w:r w:rsidRPr="00491EB9">
              <w:rPr>
                <w:b/>
                <w:bCs/>
                <w:sz w:val="17"/>
                <w:szCs w:val="17"/>
              </w:rPr>
              <w:t>French presidency</w:t>
            </w:r>
            <w:r>
              <w:rPr>
                <w:b/>
                <w:bCs/>
                <w:sz w:val="17"/>
                <w:szCs w:val="17"/>
              </w:rPr>
              <w:t xml:space="preserve"> overall compromise proposal/EGBPI discussions</w:t>
            </w:r>
          </w:p>
        </w:tc>
        <w:tc>
          <w:tcPr>
            <w:tcW w:w="1984" w:type="dxa"/>
          </w:tcPr>
          <w:p w14:paraId="7039BF2A" w14:textId="4F366AE7" w:rsidR="00ED458A" w:rsidRDefault="00F66675" w:rsidP="00121913">
            <w:pPr>
              <w:tabs>
                <w:tab w:val="left" w:pos="3815"/>
              </w:tabs>
              <w:rPr>
                <w:b/>
                <w:bCs/>
                <w:sz w:val="17"/>
                <w:szCs w:val="17"/>
              </w:rPr>
            </w:pPr>
            <w:r>
              <w:rPr>
                <w:b/>
                <w:bCs/>
                <w:sz w:val="17"/>
                <w:szCs w:val="17"/>
              </w:rPr>
              <w:t>EP draft report</w:t>
            </w:r>
          </w:p>
        </w:tc>
        <w:tc>
          <w:tcPr>
            <w:tcW w:w="4111" w:type="dxa"/>
          </w:tcPr>
          <w:p w14:paraId="1F54828D" w14:textId="2A1484DC" w:rsidR="00ED458A" w:rsidRDefault="00ED458A" w:rsidP="00121913">
            <w:pPr>
              <w:tabs>
                <w:tab w:val="left" w:pos="3815"/>
              </w:tabs>
              <w:rPr>
                <w:sz w:val="17"/>
                <w:szCs w:val="17"/>
              </w:rPr>
            </w:pPr>
            <w:r>
              <w:rPr>
                <w:b/>
                <w:bCs/>
                <w:sz w:val="17"/>
                <w:szCs w:val="17"/>
              </w:rPr>
              <w:t>Secretariat assessment of current status</w:t>
            </w:r>
          </w:p>
        </w:tc>
      </w:tr>
      <w:tr w:rsidR="00ED458A" w14:paraId="1DA11692" w14:textId="77777777" w:rsidTr="004D20FF">
        <w:tc>
          <w:tcPr>
            <w:tcW w:w="1418" w:type="dxa"/>
            <w:vMerge w:val="restart"/>
          </w:tcPr>
          <w:p w14:paraId="7C1782D4" w14:textId="77777777" w:rsidR="00ED458A" w:rsidRDefault="00ED458A" w:rsidP="00121913">
            <w:pPr>
              <w:tabs>
                <w:tab w:val="left" w:pos="3815"/>
              </w:tabs>
              <w:rPr>
                <w:sz w:val="17"/>
                <w:szCs w:val="17"/>
              </w:rPr>
            </w:pPr>
            <w:r w:rsidRPr="00696E97">
              <w:rPr>
                <w:b/>
                <w:bCs/>
                <w:sz w:val="17"/>
                <w:szCs w:val="17"/>
              </w:rPr>
              <w:t>Dynamic VA (DVA)</w:t>
            </w:r>
          </w:p>
        </w:tc>
        <w:tc>
          <w:tcPr>
            <w:tcW w:w="2268" w:type="dxa"/>
          </w:tcPr>
          <w:p w14:paraId="2D02EF2F" w14:textId="77777777" w:rsidR="00ED458A" w:rsidRDefault="00ED458A" w:rsidP="00121913">
            <w:pPr>
              <w:tabs>
                <w:tab w:val="left" w:pos="3815"/>
              </w:tabs>
              <w:rPr>
                <w:sz w:val="17"/>
                <w:szCs w:val="17"/>
              </w:rPr>
            </w:pPr>
            <w:r>
              <w:rPr>
                <w:b/>
                <w:bCs/>
                <w:color w:val="FF0000"/>
                <w:sz w:val="17"/>
                <w:szCs w:val="17"/>
              </w:rPr>
              <w:t>[</w:t>
            </w:r>
            <w:r w:rsidRPr="00BD5AF9">
              <w:rPr>
                <w:b/>
                <w:bCs/>
                <w:color w:val="FF0000"/>
                <w:sz w:val="17"/>
                <w:szCs w:val="17"/>
              </w:rPr>
              <w:t>Negative]</w:t>
            </w:r>
            <w:r>
              <w:rPr>
                <w:b/>
                <w:bCs/>
                <w:color w:val="FF0000"/>
                <w:szCs w:val="17"/>
              </w:rPr>
              <w:t xml:space="preserve"> </w:t>
            </w:r>
            <w:r w:rsidRPr="00025F71">
              <w:rPr>
                <w:sz w:val="17"/>
                <w:szCs w:val="17"/>
              </w:rPr>
              <w:t>Introduce an ‘enhanced prudency</w:t>
            </w:r>
            <w:r>
              <w:rPr>
                <w:sz w:val="17"/>
                <w:szCs w:val="17"/>
              </w:rPr>
              <w:t xml:space="preserve"> </w:t>
            </w:r>
            <w:r w:rsidRPr="00025F71">
              <w:rPr>
                <w:sz w:val="17"/>
                <w:szCs w:val="17"/>
              </w:rPr>
              <w:t>principle’ to address quality</w:t>
            </w:r>
            <w:r>
              <w:rPr>
                <w:sz w:val="17"/>
                <w:szCs w:val="17"/>
              </w:rPr>
              <w:t xml:space="preserve"> </w:t>
            </w:r>
            <w:r w:rsidRPr="00025F71">
              <w:rPr>
                <w:sz w:val="17"/>
                <w:szCs w:val="17"/>
              </w:rPr>
              <w:t>overshooting</w:t>
            </w:r>
            <w:r>
              <w:rPr>
                <w:sz w:val="17"/>
                <w:szCs w:val="17"/>
              </w:rPr>
              <w:t xml:space="preserve"> </w:t>
            </w:r>
            <w:r w:rsidRPr="00025F71">
              <w:rPr>
                <w:sz w:val="17"/>
                <w:szCs w:val="17"/>
              </w:rPr>
              <w:t>issues with SCR being the highest of using</w:t>
            </w:r>
            <w:r>
              <w:rPr>
                <w:sz w:val="17"/>
                <w:szCs w:val="17"/>
              </w:rPr>
              <w:t xml:space="preserve"> </w:t>
            </w:r>
            <w:r w:rsidRPr="00025F71">
              <w:rPr>
                <w:sz w:val="17"/>
                <w:szCs w:val="17"/>
              </w:rPr>
              <w:t>EIOPA reference portfolio vs own asse</w:t>
            </w:r>
            <w:r>
              <w:rPr>
                <w:sz w:val="17"/>
                <w:szCs w:val="17"/>
              </w:rPr>
              <w:t xml:space="preserve">t </w:t>
            </w:r>
            <w:r w:rsidRPr="00025F71">
              <w:rPr>
                <w:sz w:val="17"/>
                <w:szCs w:val="17"/>
              </w:rPr>
              <w:t>portfolio</w:t>
            </w:r>
            <w:r>
              <w:rPr>
                <w:sz w:val="17"/>
                <w:szCs w:val="17"/>
              </w:rPr>
              <w:t>.</w:t>
            </w:r>
          </w:p>
          <w:p w14:paraId="649EB4C4" w14:textId="77777777" w:rsidR="00ED458A" w:rsidRDefault="00ED458A" w:rsidP="00121913">
            <w:pPr>
              <w:tabs>
                <w:tab w:val="left" w:pos="3815"/>
              </w:tabs>
              <w:rPr>
                <w:sz w:val="17"/>
                <w:szCs w:val="17"/>
              </w:rPr>
            </w:pPr>
          </w:p>
          <w:p w14:paraId="3789A31D" w14:textId="77777777" w:rsidR="00ED458A" w:rsidRDefault="00ED458A" w:rsidP="00121913">
            <w:pPr>
              <w:tabs>
                <w:tab w:val="left" w:pos="3815"/>
              </w:tabs>
              <w:rPr>
                <w:sz w:val="17"/>
                <w:szCs w:val="17"/>
              </w:rPr>
            </w:pPr>
          </w:p>
        </w:tc>
        <w:tc>
          <w:tcPr>
            <w:tcW w:w="1984" w:type="dxa"/>
          </w:tcPr>
          <w:p w14:paraId="36435632" w14:textId="77777777" w:rsidR="00ED458A" w:rsidRDefault="00ED458A" w:rsidP="00121913">
            <w:pPr>
              <w:tabs>
                <w:tab w:val="left" w:pos="3815"/>
              </w:tabs>
              <w:rPr>
                <w:sz w:val="17"/>
                <w:szCs w:val="17"/>
              </w:rPr>
            </w:pPr>
            <w:r>
              <w:rPr>
                <w:b/>
                <w:bCs/>
                <w:color w:val="FF0000"/>
                <w:sz w:val="17"/>
                <w:szCs w:val="17"/>
              </w:rPr>
              <w:t>[</w:t>
            </w:r>
            <w:r w:rsidRPr="00BD5AF9">
              <w:rPr>
                <w:b/>
                <w:bCs/>
                <w:color w:val="FF0000"/>
                <w:sz w:val="17"/>
                <w:szCs w:val="17"/>
              </w:rPr>
              <w:t>Negative]</w:t>
            </w:r>
            <w:r>
              <w:rPr>
                <w:b/>
                <w:bCs/>
                <w:color w:val="FF0000"/>
                <w:szCs w:val="17"/>
              </w:rPr>
              <w:t xml:space="preserve"> </w:t>
            </w:r>
            <w:r w:rsidRPr="008E27A9">
              <w:rPr>
                <w:sz w:val="17"/>
                <w:szCs w:val="17"/>
              </w:rPr>
              <w:t>EC adopts EIOPA</w:t>
            </w:r>
            <w:r>
              <w:rPr>
                <w:sz w:val="17"/>
                <w:szCs w:val="17"/>
              </w:rPr>
              <w:t xml:space="preserve"> </w:t>
            </w:r>
            <w:r w:rsidRPr="008E27A9">
              <w:rPr>
                <w:sz w:val="17"/>
                <w:szCs w:val="17"/>
              </w:rPr>
              <w:t>proposal</w:t>
            </w:r>
          </w:p>
        </w:tc>
        <w:tc>
          <w:tcPr>
            <w:tcW w:w="3261" w:type="dxa"/>
          </w:tcPr>
          <w:p w14:paraId="504E7AA7" w14:textId="77777777" w:rsidR="00ED458A" w:rsidRDefault="00ED458A" w:rsidP="00121913">
            <w:pPr>
              <w:tabs>
                <w:tab w:val="left" w:pos="3815"/>
              </w:tabs>
              <w:rPr>
                <w:sz w:val="17"/>
                <w:szCs w:val="17"/>
              </w:rPr>
            </w:pPr>
            <w:r>
              <w:rPr>
                <w:b/>
                <w:bCs/>
                <w:color w:val="FF0000"/>
                <w:sz w:val="17"/>
                <w:szCs w:val="17"/>
              </w:rPr>
              <w:t>[</w:t>
            </w:r>
            <w:r w:rsidRPr="00BD5AF9">
              <w:rPr>
                <w:b/>
                <w:bCs/>
                <w:color w:val="FF0000"/>
                <w:sz w:val="17"/>
                <w:szCs w:val="17"/>
              </w:rPr>
              <w:t>Negative]</w:t>
            </w:r>
            <w:r>
              <w:rPr>
                <w:b/>
                <w:bCs/>
                <w:color w:val="FF0000"/>
                <w:szCs w:val="17"/>
              </w:rPr>
              <w:t xml:space="preserve"> </w:t>
            </w:r>
            <w:r w:rsidRPr="00765D77">
              <w:rPr>
                <w:sz w:val="17"/>
                <w:szCs w:val="17"/>
              </w:rPr>
              <w:t>EC proposal i</w:t>
            </w:r>
            <w:r>
              <w:rPr>
                <w:sz w:val="17"/>
                <w:szCs w:val="17"/>
              </w:rPr>
              <w:t>ncluded in FR compromise proposal (Art 122)</w:t>
            </w:r>
          </w:p>
        </w:tc>
        <w:tc>
          <w:tcPr>
            <w:tcW w:w="1984" w:type="dxa"/>
          </w:tcPr>
          <w:p w14:paraId="7535E313" w14:textId="0CC9540E" w:rsidR="00ED458A" w:rsidRDefault="004827F7" w:rsidP="00121913">
            <w:pPr>
              <w:tabs>
                <w:tab w:val="left" w:pos="3815"/>
              </w:tabs>
              <w:rPr>
                <w:b/>
                <w:bCs/>
                <w:color w:val="FF0000"/>
                <w:sz w:val="17"/>
                <w:szCs w:val="17"/>
              </w:rPr>
            </w:pPr>
            <w:r>
              <w:rPr>
                <w:b/>
                <w:bCs/>
                <w:color w:val="FF0000"/>
                <w:sz w:val="17"/>
                <w:szCs w:val="17"/>
              </w:rPr>
              <w:t>[</w:t>
            </w:r>
            <w:r w:rsidRPr="00BD5AF9">
              <w:rPr>
                <w:b/>
                <w:bCs/>
                <w:color w:val="FF0000"/>
                <w:sz w:val="17"/>
                <w:szCs w:val="17"/>
              </w:rPr>
              <w:t>Negative]</w:t>
            </w:r>
            <w:r w:rsidDel="00953F8B">
              <w:rPr>
                <w:b/>
                <w:bCs/>
                <w:color w:val="FF0000"/>
                <w:sz w:val="17"/>
                <w:szCs w:val="17"/>
              </w:rPr>
              <w:t xml:space="preserve"> </w:t>
            </w:r>
            <w:r w:rsidR="004E3511">
              <w:rPr>
                <w:sz w:val="17"/>
                <w:szCs w:val="17"/>
              </w:rPr>
              <w:t xml:space="preserve">No </w:t>
            </w:r>
            <w:r w:rsidR="006177C0">
              <w:rPr>
                <w:sz w:val="17"/>
                <w:szCs w:val="17"/>
              </w:rPr>
              <w:t xml:space="preserve">mention so implicit support for EC proposal. </w:t>
            </w:r>
          </w:p>
        </w:tc>
        <w:tc>
          <w:tcPr>
            <w:tcW w:w="4111" w:type="dxa"/>
          </w:tcPr>
          <w:p w14:paraId="6DD9E9DE" w14:textId="239DF73D" w:rsidR="00430DF4" w:rsidRDefault="00ED458A" w:rsidP="00121913">
            <w:pPr>
              <w:tabs>
                <w:tab w:val="left" w:pos="3815"/>
              </w:tabs>
              <w:rPr>
                <w:sz w:val="17"/>
                <w:szCs w:val="17"/>
              </w:rPr>
            </w:pPr>
            <w:r>
              <w:rPr>
                <w:b/>
                <w:bCs/>
                <w:color w:val="FF0000"/>
                <w:sz w:val="17"/>
                <w:szCs w:val="17"/>
              </w:rPr>
              <w:t>[</w:t>
            </w:r>
            <w:r w:rsidRPr="00BD5AF9">
              <w:rPr>
                <w:b/>
                <w:bCs/>
                <w:color w:val="FF0000"/>
                <w:sz w:val="17"/>
                <w:szCs w:val="17"/>
              </w:rPr>
              <w:t>Negative]</w:t>
            </w:r>
            <w:r>
              <w:rPr>
                <w:b/>
                <w:bCs/>
                <w:color w:val="FF0000"/>
                <w:szCs w:val="17"/>
              </w:rPr>
              <w:t xml:space="preserve"> </w:t>
            </w:r>
            <w:r>
              <w:rPr>
                <w:sz w:val="17"/>
                <w:szCs w:val="17"/>
              </w:rPr>
              <w:t>No known oppositio</w:t>
            </w:r>
            <w:r w:rsidRPr="00680EF0">
              <w:rPr>
                <w:sz w:val="17"/>
                <w:szCs w:val="17"/>
              </w:rPr>
              <w:t xml:space="preserve">n </w:t>
            </w:r>
            <w:r w:rsidR="008F5767" w:rsidRPr="00680EF0">
              <w:rPr>
                <w:sz w:val="17"/>
                <w:szCs w:val="17"/>
              </w:rPr>
              <w:t>from the Council and EP</w:t>
            </w:r>
            <w:r w:rsidR="004E3511" w:rsidRPr="00680EF0">
              <w:rPr>
                <w:sz w:val="17"/>
                <w:szCs w:val="17"/>
              </w:rPr>
              <w:t xml:space="preserve"> </w:t>
            </w:r>
            <w:r w:rsidRPr="00680EF0">
              <w:rPr>
                <w:sz w:val="17"/>
                <w:szCs w:val="17"/>
              </w:rPr>
              <w:t>to</w:t>
            </w:r>
            <w:r>
              <w:rPr>
                <w:sz w:val="17"/>
                <w:szCs w:val="17"/>
              </w:rPr>
              <w:t xml:space="preserve"> the EC’s proposals for an Enhanced Prudency Principle for IM DVA users.</w:t>
            </w:r>
          </w:p>
          <w:p w14:paraId="7E22AD3B" w14:textId="77777777" w:rsidR="007F5118" w:rsidRDefault="007F5118" w:rsidP="00121913">
            <w:pPr>
              <w:tabs>
                <w:tab w:val="left" w:pos="3815"/>
              </w:tabs>
              <w:rPr>
                <w:sz w:val="17"/>
                <w:szCs w:val="17"/>
              </w:rPr>
            </w:pPr>
          </w:p>
          <w:p w14:paraId="3D0F72D1" w14:textId="7783151A" w:rsidR="00ED458A" w:rsidRDefault="007F5118" w:rsidP="00121913">
            <w:pPr>
              <w:tabs>
                <w:tab w:val="left" w:pos="3815"/>
              </w:tabs>
              <w:rPr>
                <w:sz w:val="17"/>
                <w:szCs w:val="17"/>
              </w:rPr>
            </w:pPr>
            <w:r>
              <w:rPr>
                <w:sz w:val="17"/>
                <w:szCs w:val="17"/>
              </w:rPr>
              <w:t>However, i</w:t>
            </w:r>
            <w:r w:rsidR="00430DF4" w:rsidRPr="00FC1638">
              <w:rPr>
                <w:sz w:val="17"/>
                <w:szCs w:val="17"/>
              </w:rPr>
              <w:t xml:space="preserve">f the risk correction is </w:t>
            </w:r>
            <w:r>
              <w:rPr>
                <w:sz w:val="17"/>
                <w:szCs w:val="17"/>
              </w:rPr>
              <w:t xml:space="preserve">maintained as </w:t>
            </w:r>
            <w:r w:rsidR="00430DF4" w:rsidRPr="00FC1638">
              <w:rPr>
                <w:sz w:val="17"/>
                <w:szCs w:val="17"/>
              </w:rPr>
              <w:t>the fundamental spread</w:t>
            </w:r>
            <w:r>
              <w:rPr>
                <w:sz w:val="17"/>
                <w:szCs w:val="17"/>
              </w:rPr>
              <w:t>,</w:t>
            </w:r>
            <w:r w:rsidR="00430DF4" w:rsidRPr="00FC1638">
              <w:rPr>
                <w:sz w:val="17"/>
                <w:szCs w:val="17"/>
              </w:rPr>
              <w:t xml:space="preserve"> the EPP </w:t>
            </w:r>
            <w:r w:rsidR="000D446A">
              <w:rPr>
                <w:sz w:val="17"/>
                <w:szCs w:val="17"/>
              </w:rPr>
              <w:t xml:space="preserve">becomes less of a concern </w:t>
            </w:r>
            <w:r w:rsidR="00430DF4" w:rsidRPr="00FC1638">
              <w:rPr>
                <w:sz w:val="17"/>
                <w:szCs w:val="17"/>
              </w:rPr>
              <w:t>as the risk correction will have very limited impact.</w:t>
            </w:r>
          </w:p>
          <w:p w14:paraId="169A3B70" w14:textId="77777777" w:rsidR="00ED458A" w:rsidRDefault="00ED458A" w:rsidP="00121913">
            <w:pPr>
              <w:tabs>
                <w:tab w:val="left" w:pos="3815"/>
              </w:tabs>
              <w:rPr>
                <w:sz w:val="17"/>
                <w:szCs w:val="17"/>
              </w:rPr>
            </w:pPr>
            <w:r>
              <w:rPr>
                <w:sz w:val="17"/>
                <w:szCs w:val="17"/>
              </w:rPr>
              <w:t xml:space="preserve"> </w:t>
            </w:r>
          </w:p>
          <w:p w14:paraId="5F98045E" w14:textId="694CF3A2" w:rsidR="00A1439D" w:rsidRDefault="00A1439D" w:rsidP="00121913">
            <w:pPr>
              <w:tabs>
                <w:tab w:val="left" w:pos="3815"/>
              </w:tabs>
              <w:rPr>
                <w:color w:val="1F497D" w:themeColor="text2"/>
                <w:sz w:val="17"/>
                <w:szCs w:val="17"/>
              </w:rPr>
            </w:pPr>
            <w:r w:rsidRPr="001E740D">
              <w:rPr>
                <w:b/>
                <w:bCs/>
                <w:color w:val="1F497D" w:themeColor="text2"/>
                <w:sz w:val="17"/>
                <w:szCs w:val="17"/>
              </w:rPr>
              <w:t>Draft</w:t>
            </w:r>
            <w:r>
              <w:rPr>
                <w:b/>
                <w:bCs/>
                <w:color w:val="1F497D" w:themeColor="text2"/>
                <w:sz w:val="17"/>
                <w:szCs w:val="17"/>
              </w:rPr>
              <w:t xml:space="preserve"> way forward: </w:t>
            </w:r>
            <w:r w:rsidRPr="00F15250">
              <w:rPr>
                <w:color w:val="1F497D" w:themeColor="text2"/>
                <w:sz w:val="17"/>
                <w:szCs w:val="17"/>
              </w:rPr>
              <w:t>Maintain opposition to EC proposal</w:t>
            </w:r>
            <w:r w:rsidR="0031537B">
              <w:rPr>
                <w:color w:val="1F497D" w:themeColor="text2"/>
                <w:sz w:val="17"/>
                <w:szCs w:val="17"/>
              </w:rPr>
              <w:t xml:space="preserve"> </w:t>
            </w:r>
            <w:r w:rsidR="0031537B" w:rsidRPr="00C551A9">
              <w:rPr>
                <w:color w:val="1F497D" w:themeColor="text2"/>
                <w:sz w:val="17"/>
                <w:szCs w:val="17"/>
              </w:rPr>
              <w:t xml:space="preserve">but prioritise </w:t>
            </w:r>
            <w:r w:rsidR="00EC1E97" w:rsidRPr="00C551A9">
              <w:rPr>
                <w:color w:val="1F497D" w:themeColor="text2"/>
                <w:sz w:val="17"/>
                <w:szCs w:val="17"/>
              </w:rPr>
              <w:t>keeping Risk Correction unchanged</w:t>
            </w:r>
            <w:r w:rsidRPr="0092122A">
              <w:rPr>
                <w:color w:val="1F497D" w:themeColor="text2"/>
                <w:sz w:val="17"/>
                <w:szCs w:val="17"/>
              </w:rPr>
              <w:t>.</w:t>
            </w:r>
          </w:p>
          <w:p w14:paraId="6DC4453D" w14:textId="4BADA4CC" w:rsidR="00A1439D" w:rsidRPr="004309DD" w:rsidRDefault="00A1439D" w:rsidP="00121913">
            <w:pPr>
              <w:tabs>
                <w:tab w:val="left" w:pos="3815"/>
              </w:tabs>
              <w:rPr>
                <w:b/>
                <w:bCs/>
                <w:color w:val="FF0000"/>
                <w:szCs w:val="17"/>
              </w:rPr>
            </w:pPr>
          </w:p>
        </w:tc>
      </w:tr>
      <w:tr w:rsidR="00ED458A" w14:paraId="44318F75" w14:textId="77777777" w:rsidTr="004D20FF">
        <w:trPr>
          <w:trHeight w:val="1478"/>
        </w:trPr>
        <w:tc>
          <w:tcPr>
            <w:tcW w:w="1418" w:type="dxa"/>
            <w:vMerge/>
          </w:tcPr>
          <w:p w14:paraId="47EB979C" w14:textId="77777777" w:rsidR="00ED458A" w:rsidRPr="00696E97" w:rsidRDefault="00ED458A" w:rsidP="00121913">
            <w:pPr>
              <w:tabs>
                <w:tab w:val="left" w:pos="3815"/>
              </w:tabs>
              <w:rPr>
                <w:b/>
                <w:bCs/>
                <w:sz w:val="17"/>
                <w:szCs w:val="17"/>
              </w:rPr>
            </w:pPr>
          </w:p>
        </w:tc>
        <w:tc>
          <w:tcPr>
            <w:tcW w:w="2268" w:type="dxa"/>
          </w:tcPr>
          <w:p w14:paraId="34241AD5" w14:textId="77777777" w:rsidR="00ED458A" w:rsidRPr="008602B2" w:rsidRDefault="00ED458A" w:rsidP="00121913">
            <w:pPr>
              <w:tabs>
                <w:tab w:val="left" w:pos="3815"/>
              </w:tabs>
              <w:rPr>
                <w:b/>
                <w:color w:val="FF0000"/>
                <w:sz w:val="17"/>
                <w:szCs w:val="17"/>
              </w:rPr>
            </w:pPr>
            <w:r w:rsidRPr="008602B2">
              <w:rPr>
                <w:b/>
                <w:color w:val="FF0000"/>
                <w:sz w:val="17"/>
                <w:szCs w:val="17"/>
              </w:rPr>
              <w:t xml:space="preserve">[Negative] </w:t>
            </w:r>
            <w:r w:rsidRPr="00FF4BAB">
              <w:rPr>
                <w:sz w:val="17"/>
                <w:szCs w:val="17"/>
              </w:rPr>
              <w:t>EIOPA advises no allowance of DVA for standard formula users as part of the spread risk sub-module</w:t>
            </w:r>
            <w:r>
              <w:rPr>
                <w:sz w:val="17"/>
                <w:szCs w:val="17"/>
              </w:rPr>
              <w:t>.</w:t>
            </w:r>
          </w:p>
        </w:tc>
        <w:tc>
          <w:tcPr>
            <w:tcW w:w="1984" w:type="dxa"/>
          </w:tcPr>
          <w:p w14:paraId="68262B14" w14:textId="77777777" w:rsidR="00ED458A" w:rsidRPr="00FF4BAB" w:rsidRDefault="00ED458A" w:rsidP="00121913">
            <w:pPr>
              <w:tabs>
                <w:tab w:val="left" w:pos="3815"/>
              </w:tabs>
              <w:rPr>
                <w:sz w:val="17"/>
                <w:szCs w:val="17"/>
              </w:rPr>
            </w:pPr>
            <w:r w:rsidRPr="008602B2">
              <w:rPr>
                <w:b/>
                <w:color w:val="FF0000"/>
                <w:sz w:val="17"/>
                <w:szCs w:val="17"/>
              </w:rPr>
              <w:t xml:space="preserve">[Negative] </w:t>
            </w:r>
            <w:r w:rsidRPr="008602B2">
              <w:rPr>
                <w:sz w:val="17"/>
                <w:szCs w:val="17"/>
              </w:rPr>
              <w:t xml:space="preserve">No reference </w:t>
            </w:r>
            <w:r w:rsidRPr="00FF4BAB">
              <w:rPr>
                <w:sz w:val="17"/>
                <w:szCs w:val="17"/>
              </w:rPr>
              <w:t>to</w:t>
            </w:r>
            <w:r w:rsidRPr="008602B2">
              <w:rPr>
                <w:sz w:val="17"/>
                <w:szCs w:val="17"/>
              </w:rPr>
              <w:t xml:space="preserve"> this topic </w:t>
            </w:r>
          </w:p>
        </w:tc>
        <w:tc>
          <w:tcPr>
            <w:tcW w:w="3261" w:type="dxa"/>
          </w:tcPr>
          <w:p w14:paraId="1B4F85F8" w14:textId="77777777" w:rsidR="00ED458A" w:rsidRPr="008602B2" w:rsidRDefault="00ED458A" w:rsidP="00121913">
            <w:pPr>
              <w:tabs>
                <w:tab w:val="left" w:pos="3815"/>
              </w:tabs>
              <w:rPr>
                <w:b/>
                <w:color w:val="FF0000"/>
                <w:sz w:val="17"/>
                <w:szCs w:val="17"/>
              </w:rPr>
            </w:pPr>
            <w:r w:rsidRPr="008602B2">
              <w:rPr>
                <w:b/>
                <w:color w:val="FF0000"/>
                <w:sz w:val="17"/>
                <w:szCs w:val="17"/>
              </w:rPr>
              <w:t xml:space="preserve">[Negative] </w:t>
            </w:r>
            <w:r w:rsidRPr="008602B2">
              <w:rPr>
                <w:sz w:val="17"/>
                <w:szCs w:val="17"/>
              </w:rPr>
              <w:t xml:space="preserve">No reference </w:t>
            </w:r>
            <w:r w:rsidRPr="00FF4BAB">
              <w:rPr>
                <w:sz w:val="17"/>
                <w:szCs w:val="17"/>
              </w:rPr>
              <w:t>to</w:t>
            </w:r>
            <w:r w:rsidRPr="008602B2">
              <w:rPr>
                <w:sz w:val="17"/>
                <w:szCs w:val="17"/>
              </w:rPr>
              <w:t xml:space="preserve"> this topic</w:t>
            </w:r>
          </w:p>
        </w:tc>
        <w:tc>
          <w:tcPr>
            <w:tcW w:w="1984" w:type="dxa"/>
          </w:tcPr>
          <w:p w14:paraId="6BEEDAF5" w14:textId="0283E8D6" w:rsidR="00ED458A" w:rsidRPr="008602B2" w:rsidRDefault="006177C0" w:rsidP="00121913">
            <w:pPr>
              <w:tabs>
                <w:tab w:val="left" w:pos="3815"/>
              </w:tabs>
              <w:rPr>
                <w:b/>
                <w:color w:val="FF0000"/>
                <w:sz w:val="17"/>
                <w:szCs w:val="17"/>
              </w:rPr>
            </w:pPr>
            <w:r>
              <w:rPr>
                <w:b/>
                <w:bCs/>
                <w:color w:val="FF0000"/>
                <w:sz w:val="17"/>
                <w:szCs w:val="17"/>
              </w:rPr>
              <w:t>[</w:t>
            </w:r>
            <w:r w:rsidRPr="00BD5AF9">
              <w:rPr>
                <w:b/>
                <w:bCs/>
                <w:color w:val="FF0000"/>
                <w:sz w:val="17"/>
                <w:szCs w:val="17"/>
              </w:rPr>
              <w:t>Negative]</w:t>
            </w:r>
            <w:r w:rsidDel="00953F8B">
              <w:rPr>
                <w:b/>
                <w:bCs/>
                <w:color w:val="FF0000"/>
                <w:sz w:val="17"/>
                <w:szCs w:val="17"/>
              </w:rPr>
              <w:t xml:space="preserve"> </w:t>
            </w:r>
            <w:r>
              <w:rPr>
                <w:sz w:val="17"/>
                <w:szCs w:val="17"/>
              </w:rPr>
              <w:t xml:space="preserve">No mention so implicit support for EC proposal. </w:t>
            </w:r>
          </w:p>
        </w:tc>
        <w:tc>
          <w:tcPr>
            <w:tcW w:w="4111" w:type="dxa"/>
          </w:tcPr>
          <w:p w14:paraId="54D33D8E" w14:textId="49415F39" w:rsidR="00ED458A" w:rsidRPr="008602B2" w:rsidRDefault="00ED458A" w:rsidP="00121913">
            <w:pPr>
              <w:tabs>
                <w:tab w:val="left" w:pos="3815"/>
              </w:tabs>
              <w:rPr>
                <w:sz w:val="17"/>
                <w:szCs w:val="17"/>
              </w:rPr>
            </w:pPr>
            <w:r w:rsidRPr="008602B2">
              <w:rPr>
                <w:b/>
                <w:color w:val="FF0000"/>
                <w:sz w:val="17"/>
                <w:szCs w:val="17"/>
              </w:rPr>
              <w:t>[Negative]</w:t>
            </w:r>
            <w:r w:rsidRPr="008602B2">
              <w:rPr>
                <w:sz w:val="17"/>
                <w:szCs w:val="17"/>
              </w:rPr>
              <w:t xml:space="preserve"> The Council has not addressed this existing flaw of the standard formula model, and no reference has been made in the current FR compromise. </w:t>
            </w:r>
          </w:p>
          <w:p w14:paraId="18F6A1A4" w14:textId="77777777" w:rsidR="00ED458A" w:rsidRPr="008602B2" w:rsidRDefault="00ED458A" w:rsidP="00121913">
            <w:pPr>
              <w:tabs>
                <w:tab w:val="left" w:pos="3815"/>
              </w:tabs>
              <w:rPr>
                <w:sz w:val="17"/>
                <w:szCs w:val="17"/>
              </w:rPr>
            </w:pPr>
          </w:p>
          <w:p w14:paraId="70017963" w14:textId="7ED31D5C" w:rsidR="00ED458A" w:rsidRDefault="00271AAD" w:rsidP="00121913">
            <w:pPr>
              <w:tabs>
                <w:tab w:val="left" w:pos="3815"/>
              </w:tabs>
              <w:rPr>
                <w:sz w:val="17"/>
                <w:szCs w:val="17"/>
              </w:rPr>
            </w:pPr>
            <w:r>
              <w:rPr>
                <w:sz w:val="17"/>
                <w:szCs w:val="17"/>
              </w:rPr>
              <w:t>On</w:t>
            </w:r>
            <w:r w:rsidR="00ED458A" w:rsidRPr="000F4F2A">
              <w:rPr>
                <w:sz w:val="17"/>
                <w:szCs w:val="17"/>
              </w:rPr>
              <w:t xml:space="preserve"> </w:t>
            </w:r>
            <w:r w:rsidR="00ED458A" w:rsidRPr="00F15250">
              <w:rPr>
                <w:b/>
                <w:bCs/>
                <w:sz w:val="17"/>
                <w:szCs w:val="17"/>
              </w:rPr>
              <w:t>the EP’s side</w:t>
            </w:r>
            <w:r w:rsidR="00260742" w:rsidRPr="000F4F2A">
              <w:rPr>
                <w:sz w:val="17"/>
                <w:szCs w:val="17"/>
              </w:rPr>
              <w:t>,</w:t>
            </w:r>
            <w:r w:rsidR="00ED458A" w:rsidRPr="000F4F2A">
              <w:rPr>
                <w:sz w:val="17"/>
                <w:szCs w:val="17"/>
              </w:rPr>
              <w:t xml:space="preserve"> </w:t>
            </w:r>
            <w:r w:rsidR="009134D4">
              <w:rPr>
                <w:sz w:val="17"/>
                <w:szCs w:val="17"/>
              </w:rPr>
              <w:t>there is also disappointingly no</w:t>
            </w:r>
            <w:r w:rsidR="00ED458A" w:rsidRPr="000F4F2A">
              <w:rPr>
                <w:sz w:val="17"/>
                <w:szCs w:val="17"/>
              </w:rPr>
              <w:t xml:space="preserve"> </w:t>
            </w:r>
            <w:r w:rsidR="009134D4">
              <w:rPr>
                <w:sz w:val="17"/>
                <w:szCs w:val="17"/>
              </w:rPr>
              <w:t>proposals. These were</w:t>
            </w:r>
            <w:r w:rsidR="00C0732F">
              <w:rPr>
                <w:sz w:val="17"/>
                <w:szCs w:val="17"/>
              </w:rPr>
              <w:t xml:space="preserve"> potentially expected as part of the EP’s draft report as the EP had</w:t>
            </w:r>
            <w:r w:rsidR="00ED458A" w:rsidRPr="000F4F2A">
              <w:rPr>
                <w:sz w:val="17"/>
                <w:szCs w:val="17"/>
              </w:rPr>
              <w:t xml:space="preserve"> asked for the justification and benefits for adjusting the SII capital charges for equity and private debt to be covered by the review (see </w:t>
            </w:r>
            <w:hyperlink r:id="rId11" w:history="1">
              <w:r w:rsidR="00ED458A" w:rsidRPr="000F4F2A">
                <w:rPr>
                  <w:rStyle w:val="Hypertextovprepojenie"/>
                  <w:sz w:val="17"/>
                  <w:szCs w:val="17"/>
                </w:rPr>
                <w:t>EP INI report on the CMU</w:t>
              </w:r>
            </w:hyperlink>
            <w:r w:rsidR="00ED458A" w:rsidRPr="000F4F2A">
              <w:rPr>
                <w:sz w:val="17"/>
                <w:szCs w:val="17"/>
              </w:rPr>
              <w:t>).</w:t>
            </w:r>
          </w:p>
          <w:p w14:paraId="7B0A0D2F" w14:textId="77777777" w:rsidR="00A1439D" w:rsidRDefault="00A1439D" w:rsidP="00121913">
            <w:pPr>
              <w:tabs>
                <w:tab w:val="left" w:pos="3815"/>
              </w:tabs>
              <w:rPr>
                <w:sz w:val="17"/>
                <w:szCs w:val="17"/>
              </w:rPr>
            </w:pPr>
          </w:p>
          <w:p w14:paraId="516253B1" w14:textId="139483A5" w:rsidR="00A1439D" w:rsidRPr="00FF4BAB" w:rsidRDefault="00A06944" w:rsidP="00121913">
            <w:pPr>
              <w:tabs>
                <w:tab w:val="left" w:pos="3815"/>
              </w:tabs>
              <w:rPr>
                <w:sz w:val="17"/>
                <w:szCs w:val="17"/>
              </w:rPr>
            </w:pPr>
            <w:r>
              <w:rPr>
                <w:b/>
                <w:bCs/>
                <w:color w:val="1F497D" w:themeColor="text2"/>
                <w:sz w:val="17"/>
                <w:szCs w:val="17"/>
              </w:rPr>
              <w:t>W</w:t>
            </w:r>
            <w:r w:rsidR="00A1439D">
              <w:rPr>
                <w:b/>
                <w:bCs/>
                <w:color w:val="1F497D" w:themeColor="text2"/>
                <w:sz w:val="17"/>
                <w:szCs w:val="17"/>
              </w:rPr>
              <w:t xml:space="preserve">ay forward: </w:t>
            </w:r>
            <w:r w:rsidR="009F570C" w:rsidRPr="00F15250">
              <w:rPr>
                <w:color w:val="1F497D" w:themeColor="text2"/>
                <w:sz w:val="17"/>
                <w:szCs w:val="17"/>
              </w:rPr>
              <w:t>M</w:t>
            </w:r>
            <w:r w:rsidR="009F570C">
              <w:rPr>
                <w:color w:val="1F497D" w:themeColor="text2"/>
                <w:sz w:val="17"/>
                <w:szCs w:val="17"/>
              </w:rPr>
              <w:t>a</w:t>
            </w:r>
            <w:r w:rsidR="00A1439D" w:rsidRPr="001E740D">
              <w:rPr>
                <w:color w:val="1F497D" w:themeColor="text2"/>
                <w:sz w:val="17"/>
                <w:szCs w:val="17"/>
              </w:rPr>
              <w:t xml:space="preserve">intain </w:t>
            </w:r>
            <w:r w:rsidR="009F570C">
              <w:rPr>
                <w:color w:val="1F497D" w:themeColor="text2"/>
                <w:sz w:val="17"/>
                <w:szCs w:val="17"/>
              </w:rPr>
              <w:t xml:space="preserve">position calling for introduction of DVA in SF but raise profile </w:t>
            </w:r>
            <w:r w:rsidR="00DB13E2">
              <w:rPr>
                <w:color w:val="1F497D" w:themeColor="text2"/>
                <w:sz w:val="17"/>
                <w:szCs w:val="17"/>
              </w:rPr>
              <w:t xml:space="preserve">of IE proposed solution </w:t>
            </w:r>
            <w:r w:rsidR="009F570C">
              <w:rPr>
                <w:color w:val="1F497D" w:themeColor="text2"/>
                <w:sz w:val="17"/>
                <w:szCs w:val="17"/>
              </w:rPr>
              <w:t>and emphasise importance</w:t>
            </w:r>
          </w:p>
        </w:tc>
      </w:tr>
    </w:tbl>
    <w:p w14:paraId="3C595365" w14:textId="77777777" w:rsidR="00D1418C" w:rsidRDefault="00D1418C" w:rsidP="00121913">
      <w:pPr>
        <w:tabs>
          <w:tab w:val="left" w:pos="3815"/>
        </w:tabs>
        <w:rPr>
          <w:sz w:val="17"/>
          <w:szCs w:val="17"/>
        </w:rPr>
        <w:sectPr w:rsidR="00D1418C" w:rsidSect="006C341A">
          <w:headerReference w:type="even" r:id="rId12"/>
          <w:headerReference w:type="default" r:id="rId13"/>
          <w:footerReference w:type="even" r:id="rId14"/>
          <w:footerReference w:type="default" r:id="rId15"/>
          <w:headerReference w:type="first" r:id="rId16"/>
          <w:footerReference w:type="first" r:id="rId17"/>
          <w:type w:val="continuous"/>
          <w:pgSz w:w="16839" w:h="11907" w:orient="landscape" w:code="9"/>
          <w:pgMar w:top="1452" w:right="2347" w:bottom="907" w:left="1253" w:header="709" w:footer="244" w:gutter="0"/>
          <w:cols w:space="708"/>
          <w:docGrid w:linePitch="360"/>
        </w:sectPr>
      </w:pPr>
    </w:p>
    <w:tbl>
      <w:tblPr>
        <w:tblStyle w:val="Mriekatabuky"/>
        <w:tblW w:w="14884" w:type="dxa"/>
        <w:tblInd w:w="-5" w:type="dxa"/>
        <w:tblLayout w:type="fixed"/>
        <w:tblLook w:val="04A0" w:firstRow="1" w:lastRow="0" w:firstColumn="1" w:lastColumn="0" w:noHBand="0" w:noVBand="1"/>
      </w:tblPr>
      <w:tblGrid>
        <w:gridCol w:w="1560"/>
        <w:gridCol w:w="2126"/>
        <w:gridCol w:w="1843"/>
        <w:gridCol w:w="3118"/>
        <w:gridCol w:w="2693"/>
        <w:gridCol w:w="3544"/>
      </w:tblGrid>
      <w:tr w:rsidR="00ED458A" w14:paraId="1C8339B2" w14:textId="77777777" w:rsidTr="006F22E8">
        <w:tc>
          <w:tcPr>
            <w:tcW w:w="1560" w:type="dxa"/>
          </w:tcPr>
          <w:p w14:paraId="49E12601" w14:textId="77777777" w:rsidR="00ED458A" w:rsidRDefault="00ED458A" w:rsidP="00121913">
            <w:pPr>
              <w:tabs>
                <w:tab w:val="left" w:pos="3815"/>
              </w:tabs>
              <w:rPr>
                <w:b/>
                <w:bCs/>
                <w:sz w:val="17"/>
                <w:szCs w:val="17"/>
              </w:rPr>
            </w:pPr>
            <w:r w:rsidRPr="00491EB9">
              <w:rPr>
                <w:b/>
                <w:bCs/>
                <w:sz w:val="17"/>
                <w:szCs w:val="17"/>
              </w:rPr>
              <w:lastRenderedPageBreak/>
              <w:t>Topic</w:t>
            </w:r>
          </w:p>
        </w:tc>
        <w:tc>
          <w:tcPr>
            <w:tcW w:w="2126" w:type="dxa"/>
          </w:tcPr>
          <w:p w14:paraId="5D7BC5CF" w14:textId="77777777" w:rsidR="00ED458A" w:rsidRPr="00BD5AF9" w:rsidRDefault="00ED458A" w:rsidP="00121913">
            <w:pPr>
              <w:tabs>
                <w:tab w:val="left" w:pos="3815"/>
              </w:tabs>
              <w:rPr>
                <w:b/>
                <w:bCs/>
                <w:color w:val="FF0000"/>
                <w:sz w:val="17"/>
                <w:szCs w:val="17"/>
              </w:rPr>
            </w:pPr>
            <w:r w:rsidRPr="00491EB9">
              <w:rPr>
                <w:b/>
                <w:bCs/>
                <w:sz w:val="17"/>
                <w:szCs w:val="17"/>
              </w:rPr>
              <w:t>EIOPA proposal</w:t>
            </w:r>
          </w:p>
        </w:tc>
        <w:tc>
          <w:tcPr>
            <w:tcW w:w="1843" w:type="dxa"/>
          </w:tcPr>
          <w:p w14:paraId="7060810B" w14:textId="77777777" w:rsidR="00ED458A" w:rsidRPr="00BD5AF9" w:rsidRDefault="00ED458A" w:rsidP="00121913">
            <w:pPr>
              <w:tabs>
                <w:tab w:val="left" w:pos="3815"/>
              </w:tabs>
              <w:rPr>
                <w:b/>
                <w:bCs/>
                <w:color w:val="FF0000"/>
                <w:sz w:val="17"/>
                <w:szCs w:val="17"/>
              </w:rPr>
            </w:pPr>
            <w:r w:rsidRPr="00491EB9">
              <w:rPr>
                <w:b/>
                <w:bCs/>
                <w:sz w:val="17"/>
                <w:szCs w:val="17"/>
              </w:rPr>
              <w:t>European Commission proposal</w:t>
            </w:r>
          </w:p>
        </w:tc>
        <w:tc>
          <w:tcPr>
            <w:tcW w:w="3118" w:type="dxa"/>
          </w:tcPr>
          <w:p w14:paraId="414383F3" w14:textId="005F3BC5" w:rsidR="00ED458A" w:rsidRPr="00BD5AF9" w:rsidRDefault="00ED458A" w:rsidP="00121913">
            <w:pPr>
              <w:tabs>
                <w:tab w:val="left" w:pos="3815"/>
              </w:tabs>
              <w:rPr>
                <w:b/>
                <w:bCs/>
                <w:color w:val="FF0000"/>
                <w:sz w:val="17"/>
                <w:szCs w:val="17"/>
              </w:rPr>
            </w:pPr>
            <w:r w:rsidRPr="00491EB9">
              <w:rPr>
                <w:b/>
                <w:bCs/>
                <w:sz w:val="17"/>
                <w:szCs w:val="17"/>
              </w:rPr>
              <w:t>French presidency</w:t>
            </w:r>
            <w:r>
              <w:rPr>
                <w:b/>
                <w:bCs/>
                <w:sz w:val="17"/>
                <w:szCs w:val="17"/>
              </w:rPr>
              <w:t xml:space="preserve"> overall compromise proposal/EGBPI discussions</w:t>
            </w:r>
          </w:p>
        </w:tc>
        <w:tc>
          <w:tcPr>
            <w:tcW w:w="2693" w:type="dxa"/>
          </w:tcPr>
          <w:p w14:paraId="71898DC8" w14:textId="37155EC2" w:rsidR="00ED458A" w:rsidRDefault="00F66675" w:rsidP="00121913">
            <w:pPr>
              <w:rPr>
                <w:b/>
                <w:bCs/>
                <w:sz w:val="17"/>
                <w:szCs w:val="17"/>
              </w:rPr>
            </w:pPr>
            <w:r>
              <w:rPr>
                <w:b/>
                <w:bCs/>
                <w:sz w:val="17"/>
                <w:szCs w:val="17"/>
              </w:rPr>
              <w:t>EP draft report</w:t>
            </w:r>
          </w:p>
        </w:tc>
        <w:tc>
          <w:tcPr>
            <w:tcW w:w="3544" w:type="dxa"/>
          </w:tcPr>
          <w:p w14:paraId="5629CBFB" w14:textId="49C04E52" w:rsidR="00ED458A" w:rsidRPr="00F57182" w:rsidRDefault="00ED458A" w:rsidP="00121913">
            <w:pPr>
              <w:rPr>
                <w:b/>
                <w:bCs/>
                <w:color w:val="FF0000"/>
                <w:sz w:val="17"/>
                <w:szCs w:val="17"/>
              </w:rPr>
            </w:pPr>
            <w:r>
              <w:rPr>
                <w:b/>
                <w:bCs/>
                <w:sz w:val="17"/>
                <w:szCs w:val="17"/>
              </w:rPr>
              <w:t>Secretariat assessment of current status</w:t>
            </w:r>
          </w:p>
        </w:tc>
      </w:tr>
      <w:tr w:rsidR="00ED458A" w14:paraId="7A360BB1" w14:textId="77777777" w:rsidTr="006F22E8">
        <w:trPr>
          <w:trHeight w:val="43"/>
        </w:trPr>
        <w:tc>
          <w:tcPr>
            <w:tcW w:w="1560" w:type="dxa"/>
            <w:vMerge w:val="restart"/>
          </w:tcPr>
          <w:p w14:paraId="71492F83" w14:textId="77777777" w:rsidR="00ED458A" w:rsidRDefault="00ED458A" w:rsidP="00121913">
            <w:pPr>
              <w:tabs>
                <w:tab w:val="left" w:pos="3815"/>
              </w:tabs>
              <w:rPr>
                <w:sz w:val="17"/>
                <w:szCs w:val="17"/>
              </w:rPr>
            </w:pPr>
            <w:r>
              <w:rPr>
                <w:b/>
                <w:bCs/>
                <w:sz w:val="17"/>
                <w:szCs w:val="17"/>
              </w:rPr>
              <w:t>Extrapolation</w:t>
            </w:r>
          </w:p>
        </w:tc>
        <w:tc>
          <w:tcPr>
            <w:tcW w:w="2126" w:type="dxa"/>
          </w:tcPr>
          <w:p w14:paraId="1FB0AA3B" w14:textId="07358324" w:rsidR="00ED458A"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823F31">
              <w:rPr>
                <w:sz w:val="17"/>
                <w:szCs w:val="17"/>
              </w:rPr>
              <w:t>New extrapolation methodology using</w:t>
            </w:r>
            <w:r>
              <w:rPr>
                <w:sz w:val="17"/>
                <w:szCs w:val="17"/>
              </w:rPr>
              <w:t xml:space="preserve"> </w:t>
            </w:r>
            <w:r w:rsidRPr="00823F31">
              <w:rPr>
                <w:sz w:val="17"/>
                <w:szCs w:val="17"/>
              </w:rPr>
              <w:t>information from financial markets for</w:t>
            </w:r>
            <w:r>
              <w:rPr>
                <w:sz w:val="17"/>
                <w:szCs w:val="17"/>
              </w:rPr>
              <w:t xml:space="preserve"> </w:t>
            </w:r>
            <w:r w:rsidRPr="00823F31">
              <w:rPr>
                <w:sz w:val="17"/>
                <w:szCs w:val="17"/>
              </w:rPr>
              <w:t>maturities where the term structure is</w:t>
            </w:r>
            <w:r>
              <w:rPr>
                <w:sz w:val="17"/>
                <w:szCs w:val="17"/>
              </w:rPr>
              <w:t xml:space="preserve"> </w:t>
            </w:r>
            <w:r w:rsidRPr="00823F31">
              <w:rPr>
                <w:sz w:val="17"/>
                <w:szCs w:val="17"/>
              </w:rPr>
              <w:t>extrapolated (e</w:t>
            </w:r>
            <w:r w:rsidR="006467BF">
              <w:rPr>
                <w:sz w:val="17"/>
                <w:szCs w:val="17"/>
              </w:rPr>
              <w:t>g</w:t>
            </w:r>
            <w:r w:rsidRPr="00823F31">
              <w:rPr>
                <w:sz w:val="17"/>
                <w:szCs w:val="17"/>
              </w:rPr>
              <w:t xml:space="preserve"> after 20 years for</w:t>
            </w:r>
            <w:r>
              <w:rPr>
                <w:sz w:val="17"/>
                <w:szCs w:val="17"/>
              </w:rPr>
              <w:t xml:space="preserve"> Euro).</w:t>
            </w:r>
          </w:p>
        </w:tc>
        <w:tc>
          <w:tcPr>
            <w:tcW w:w="1843" w:type="dxa"/>
          </w:tcPr>
          <w:p w14:paraId="577F53CD" w14:textId="77777777" w:rsidR="00ED458A" w:rsidRPr="00823F31"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823F31">
              <w:rPr>
                <w:sz w:val="17"/>
                <w:szCs w:val="17"/>
              </w:rPr>
              <w:t>Adopt EIOPA’s proposed new</w:t>
            </w:r>
            <w:r>
              <w:rPr>
                <w:sz w:val="17"/>
                <w:szCs w:val="17"/>
              </w:rPr>
              <w:t xml:space="preserve"> </w:t>
            </w:r>
            <w:r w:rsidRPr="00823F31">
              <w:rPr>
                <w:sz w:val="17"/>
                <w:szCs w:val="17"/>
              </w:rPr>
              <w:t>methodology</w:t>
            </w:r>
          </w:p>
          <w:p w14:paraId="4ABECC6B" w14:textId="77777777" w:rsidR="00ED458A" w:rsidRDefault="00ED458A" w:rsidP="00121913">
            <w:pPr>
              <w:tabs>
                <w:tab w:val="left" w:pos="3815"/>
              </w:tabs>
              <w:rPr>
                <w:sz w:val="17"/>
                <w:szCs w:val="17"/>
              </w:rPr>
            </w:pPr>
          </w:p>
        </w:tc>
        <w:tc>
          <w:tcPr>
            <w:tcW w:w="3118" w:type="dxa"/>
          </w:tcPr>
          <w:p w14:paraId="14B502C2" w14:textId="2D456838" w:rsidR="00ED458A"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765D77">
              <w:rPr>
                <w:sz w:val="17"/>
                <w:szCs w:val="17"/>
              </w:rPr>
              <w:t>EC/EIOPA’s proposals are included in the FR compromise proposal</w:t>
            </w:r>
            <w:r w:rsidRPr="00823F31">
              <w:rPr>
                <w:sz w:val="17"/>
                <w:szCs w:val="17"/>
              </w:rPr>
              <w:t>.</w:t>
            </w:r>
            <w:r>
              <w:rPr>
                <w:sz w:val="17"/>
                <w:szCs w:val="17"/>
              </w:rPr>
              <w:t xml:space="preserve"> (Art </w:t>
            </w:r>
            <w:r w:rsidR="00C31FAF">
              <w:rPr>
                <w:sz w:val="17"/>
                <w:szCs w:val="17"/>
              </w:rPr>
              <w:t>prop</w:t>
            </w:r>
            <w:r>
              <w:rPr>
                <w:sz w:val="17"/>
                <w:szCs w:val="17"/>
              </w:rPr>
              <w:t>77(a))</w:t>
            </w:r>
          </w:p>
        </w:tc>
        <w:tc>
          <w:tcPr>
            <w:tcW w:w="2693" w:type="dxa"/>
          </w:tcPr>
          <w:p w14:paraId="23691A4B" w14:textId="724A2465" w:rsidR="00ED458A" w:rsidRPr="00373285" w:rsidRDefault="00097678" w:rsidP="00121913">
            <w:pPr>
              <w:rPr>
                <w:sz w:val="16"/>
                <w:szCs w:val="16"/>
              </w:rPr>
            </w:pPr>
            <w:r w:rsidRPr="00BD5AF9">
              <w:rPr>
                <w:b/>
                <w:bCs/>
                <w:color w:val="00B050"/>
                <w:sz w:val="17"/>
                <w:szCs w:val="17"/>
              </w:rPr>
              <w:t>[Positive]</w:t>
            </w:r>
            <w:r>
              <w:rPr>
                <w:b/>
                <w:bCs/>
                <w:color w:val="00B050"/>
                <w:sz w:val="17"/>
                <w:szCs w:val="17"/>
              </w:rPr>
              <w:t xml:space="preserve"> </w:t>
            </w:r>
            <w:r w:rsidR="00373285">
              <w:rPr>
                <w:sz w:val="17"/>
                <w:szCs w:val="17"/>
              </w:rPr>
              <w:t>Adopt</w:t>
            </w:r>
            <w:r w:rsidR="0073171D">
              <w:rPr>
                <w:sz w:val="17"/>
                <w:szCs w:val="17"/>
              </w:rPr>
              <w:t xml:space="preserve"> EIOPA</w:t>
            </w:r>
            <w:r w:rsidR="00BE0661">
              <w:rPr>
                <w:sz w:val="17"/>
                <w:szCs w:val="17"/>
              </w:rPr>
              <w:t>’s methodology clarifying that</w:t>
            </w:r>
            <w:r w:rsidR="00124B35">
              <w:rPr>
                <w:sz w:val="17"/>
                <w:szCs w:val="17"/>
              </w:rPr>
              <w:t xml:space="preserve"> the starting point for </w:t>
            </w:r>
            <w:r w:rsidR="00E7413D">
              <w:rPr>
                <w:sz w:val="17"/>
                <w:szCs w:val="17"/>
              </w:rPr>
              <w:t>the euro is set at 20</w:t>
            </w:r>
            <w:r w:rsidR="002B2212">
              <w:rPr>
                <w:sz w:val="17"/>
                <w:szCs w:val="17"/>
              </w:rPr>
              <w:t>-</w:t>
            </w:r>
            <w:r w:rsidR="00E7413D">
              <w:rPr>
                <w:sz w:val="17"/>
                <w:szCs w:val="17"/>
              </w:rPr>
              <w:t>year maturity</w:t>
            </w:r>
            <w:r w:rsidR="0003582C">
              <w:rPr>
                <w:sz w:val="17"/>
                <w:szCs w:val="17"/>
              </w:rPr>
              <w:t xml:space="preserve"> (</w:t>
            </w:r>
            <w:r w:rsidR="00CF5A20">
              <w:rPr>
                <w:sz w:val="17"/>
                <w:szCs w:val="17"/>
              </w:rPr>
              <w:t>A</w:t>
            </w:r>
            <w:r w:rsidR="0003582C">
              <w:rPr>
                <w:sz w:val="17"/>
                <w:szCs w:val="17"/>
              </w:rPr>
              <w:t>125)</w:t>
            </w:r>
            <w:r w:rsidR="004720BA">
              <w:rPr>
                <w:sz w:val="17"/>
                <w:szCs w:val="17"/>
              </w:rPr>
              <w:t>.</w:t>
            </w:r>
          </w:p>
        </w:tc>
        <w:tc>
          <w:tcPr>
            <w:tcW w:w="3544" w:type="dxa"/>
            <w:vMerge w:val="restart"/>
          </w:tcPr>
          <w:p w14:paraId="57DAF8FA" w14:textId="5D409362" w:rsidR="001416BC" w:rsidRDefault="001416BC" w:rsidP="00121913">
            <w:pPr>
              <w:rPr>
                <w:b/>
                <w:bCs/>
                <w:color w:val="00B050"/>
                <w:sz w:val="17"/>
                <w:szCs w:val="17"/>
              </w:rPr>
            </w:pPr>
            <w:r w:rsidRPr="00F15250">
              <w:rPr>
                <w:b/>
                <w:bCs/>
                <w:color w:val="F79646" w:themeColor="accent6"/>
                <w:sz w:val="17"/>
                <w:szCs w:val="17"/>
              </w:rPr>
              <w:t>[</w:t>
            </w:r>
            <w:r w:rsidR="0008110C" w:rsidRPr="00F15250">
              <w:rPr>
                <w:b/>
                <w:bCs/>
                <w:color w:val="F79646" w:themeColor="accent6"/>
                <w:sz w:val="17"/>
                <w:szCs w:val="17"/>
              </w:rPr>
              <w:t>Neutral</w:t>
            </w:r>
            <w:r w:rsidRPr="00F15250">
              <w:rPr>
                <w:b/>
                <w:bCs/>
                <w:color w:val="F79646" w:themeColor="accent6"/>
                <w:sz w:val="17"/>
                <w:szCs w:val="17"/>
              </w:rPr>
              <w:t>]</w:t>
            </w:r>
            <w:r>
              <w:rPr>
                <w:b/>
                <w:bCs/>
                <w:color w:val="00B050"/>
                <w:sz w:val="17"/>
                <w:szCs w:val="17"/>
              </w:rPr>
              <w:t xml:space="preserve"> </w:t>
            </w:r>
          </w:p>
          <w:p w14:paraId="12A13DDF" w14:textId="7E81E27E" w:rsidR="00ED458A" w:rsidRDefault="00ED458A" w:rsidP="00121913">
            <w:pPr>
              <w:rPr>
                <w:sz w:val="17"/>
                <w:szCs w:val="17"/>
              </w:rPr>
            </w:pPr>
            <w:r w:rsidRPr="00F57182">
              <w:rPr>
                <w:sz w:val="17"/>
                <w:szCs w:val="17"/>
              </w:rPr>
              <w:t xml:space="preserve">Broad support within Council discussion for </w:t>
            </w:r>
            <w:r>
              <w:rPr>
                <w:sz w:val="17"/>
                <w:szCs w:val="17"/>
              </w:rPr>
              <w:t xml:space="preserve">EC’s proposed </w:t>
            </w:r>
            <w:r w:rsidRPr="00F57182">
              <w:rPr>
                <w:sz w:val="17"/>
                <w:szCs w:val="17"/>
              </w:rPr>
              <w:t>Alternative Extrapolation methodology using 10% convergence parameter</w:t>
            </w:r>
            <w:r>
              <w:rPr>
                <w:sz w:val="17"/>
                <w:szCs w:val="17"/>
              </w:rPr>
              <w:t xml:space="preserve"> and 40% for SEK</w:t>
            </w:r>
            <w:r w:rsidRPr="00F57182">
              <w:rPr>
                <w:sz w:val="17"/>
                <w:szCs w:val="17"/>
              </w:rPr>
              <w:t>.</w:t>
            </w:r>
          </w:p>
          <w:p w14:paraId="4ECF502E" w14:textId="77777777" w:rsidR="00ED458A" w:rsidRPr="00765D77" w:rsidRDefault="00ED458A" w:rsidP="00121913">
            <w:pPr>
              <w:rPr>
                <w:sz w:val="17"/>
                <w:szCs w:val="17"/>
              </w:rPr>
            </w:pPr>
          </w:p>
          <w:p w14:paraId="0365E68E" w14:textId="1162F683" w:rsidR="00A833C0" w:rsidRPr="00765D77" w:rsidRDefault="00ED458A" w:rsidP="00A833C0">
            <w:pPr>
              <w:rPr>
                <w:sz w:val="17"/>
                <w:szCs w:val="17"/>
              </w:rPr>
            </w:pPr>
            <w:r>
              <w:rPr>
                <w:sz w:val="17"/>
                <w:szCs w:val="17"/>
              </w:rPr>
              <w:t>FR compromise text propose</w:t>
            </w:r>
            <w:r w:rsidR="0029690E">
              <w:rPr>
                <w:sz w:val="17"/>
                <w:szCs w:val="17"/>
              </w:rPr>
              <w:t>s</w:t>
            </w:r>
            <w:r>
              <w:rPr>
                <w:sz w:val="17"/>
                <w:szCs w:val="17"/>
              </w:rPr>
              <w:t xml:space="preserve"> a </w:t>
            </w:r>
            <w:r w:rsidRPr="00765D77">
              <w:rPr>
                <w:b/>
                <w:bCs/>
                <w:sz w:val="17"/>
                <w:szCs w:val="17"/>
              </w:rPr>
              <w:t>mandatory transitional on extrapolation</w:t>
            </w:r>
            <w:r>
              <w:rPr>
                <w:b/>
                <w:bCs/>
                <w:sz w:val="17"/>
                <w:szCs w:val="17"/>
              </w:rPr>
              <w:t xml:space="preserve"> for many currencies/countries</w:t>
            </w:r>
            <w:r>
              <w:rPr>
                <w:sz w:val="17"/>
                <w:szCs w:val="17"/>
              </w:rPr>
              <w:t xml:space="preserve"> with SFCR disclosure of impact (combined with other transitionals).</w:t>
            </w:r>
            <w:r w:rsidR="00A833C0">
              <w:rPr>
                <w:sz w:val="17"/>
                <w:szCs w:val="17"/>
              </w:rPr>
              <w:t xml:space="preserve"> See also changes to transitional measures.</w:t>
            </w:r>
          </w:p>
          <w:p w14:paraId="0243C916" w14:textId="774A7C78" w:rsidR="00ED458A" w:rsidRDefault="00ED458A" w:rsidP="00121913">
            <w:pPr>
              <w:rPr>
                <w:sz w:val="17"/>
                <w:szCs w:val="17"/>
              </w:rPr>
            </w:pPr>
          </w:p>
          <w:p w14:paraId="7D85F255" w14:textId="77777777" w:rsidR="00ED458A" w:rsidRDefault="00ED458A" w:rsidP="00121913">
            <w:pPr>
              <w:rPr>
                <w:sz w:val="17"/>
                <w:szCs w:val="17"/>
              </w:rPr>
            </w:pPr>
          </w:p>
          <w:p w14:paraId="6FAD7655" w14:textId="5A24A197" w:rsidR="0015539E" w:rsidRDefault="001859C0" w:rsidP="0015539E">
            <w:pPr>
              <w:rPr>
                <w:sz w:val="17"/>
                <w:szCs w:val="17"/>
              </w:rPr>
            </w:pPr>
            <w:r>
              <w:rPr>
                <w:sz w:val="17"/>
                <w:szCs w:val="17"/>
              </w:rPr>
              <w:t>However, t</w:t>
            </w:r>
            <w:r w:rsidR="006F5B9C" w:rsidRPr="00F15250">
              <w:rPr>
                <w:sz w:val="17"/>
                <w:szCs w:val="17"/>
              </w:rPr>
              <w:t xml:space="preserve">he </w:t>
            </w:r>
            <w:r w:rsidR="006F5B9C" w:rsidRPr="00F15250">
              <w:rPr>
                <w:b/>
                <w:bCs/>
                <w:sz w:val="17"/>
                <w:szCs w:val="17"/>
              </w:rPr>
              <w:t>EP draft report</w:t>
            </w:r>
            <w:r w:rsidR="006F5B9C" w:rsidRPr="00F15250">
              <w:rPr>
                <w:sz w:val="17"/>
                <w:szCs w:val="17"/>
              </w:rPr>
              <w:t xml:space="preserve"> </w:t>
            </w:r>
            <w:r w:rsidR="0063218C" w:rsidRPr="00F15250">
              <w:rPr>
                <w:sz w:val="17"/>
                <w:szCs w:val="17"/>
              </w:rPr>
              <w:t>proposes a 20% convergence parameter</w:t>
            </w:r>
            <w:r w:rsidR="00943C21">
              <w:rPr>
                <w:sz w:val="17"/>
                <w:szCs w:val="17"/>
              </w:rPr>
              <w:t xml:space="preserve"> and to maintain recital 30 which should limit the</w:t>
            </w:r>
            <w:r w:rsidR="005400A8">
              <w:rPr>
                <w:sz w:val="17"/>
                <w:szCs w:val="17"/>
              </w:rPr>
              <w:t xml:space="preserve"> convergence parameter being set too low if the 20% proposal does not survive negotiations</w:t>
            </w:r>
            <w:r w:rsidR="00A833C0" w:rsidRPr="00F15250">
              <w:rPr>
                <w:sz w:val="17"/>
                <w:szCs w:val="17"/>
              </w:rPr>
              <w:t xml:space="preserve">. It also </w:t>
            </w:r>
            <w:r w:rsidR="005274FC" w:rsidRPr="00F15250">
              <w:rPr>
                <w:sz w:val="17"/>
                <w:szCs w:val="17"/>
              </w:rPr>
              <w:t xml:space="preserve">suggests key aspects </w:t>
            </w:r>
            <w:r w:rsidR="0029690E" w:rsidRPr="00F15250">
              <w:rPr>
                <w:sz w:val="17"/>
                <w:szCs w:val="17"/>
              </w:rPr>
              <w:t>o</w:t>
            </w:r>
            <w:r w:rsidR="00E20C60" w:rsidRPr="00F15250">
              <w:rPr>
                <w:sz w:val="17"/>
                <w:szCs w:val="17"/>
              </w:rPr>
              <w:t xml:space="preserve">f extrapolation to be enshrined in Level </w:t>
            </w:r>
            <w:r w:rsidR="00F57B68" w:rsidRPr="00F15250">
              <w:rPr>
                <w:sz w:val="17"/>
                <w:szCs w:val="17"/>
              </w:rPr>
              <w:t>1</w:t>
            </w:r>
            <w:r>
              <w:rPr>
                <w:sz w:val="17"/>
                <w:szCs w:val="17"/>
              </w:rPr>
              <w:t>.</w:t>
            </w:r>
            <w:r w:rsidR="0063218C" w:rsidRPr="00F15250">
              <w:rPr>
                <w:sz w:val="17"/>
                <w:szCs w:val="17"/>
              </w:rPr>
              <w:t xml:space="preserve"> </w:t>
            </w:r>
          </w:p>
          <w:p w14:paraId="532B8D60" w14:textId="77777777" w:rsidR="00D84371" w:rsidRDefault="00D84371" w:rsidP="00121913">
            <w:pPr>
              <w:rPr>
                <w:sz w:val="17"/>
                <w:szCs w:val="17"/>
              </w:rPr>
            </w:pPr>
          </w:p>
          <w:p w14:paraId="072FC2A4" w14:textId="52EFF031" w:rsidR="00DA7036" w:rsidRDefault="00A06944" w:rsidP="00121913">
            <w:pPr>
              <w:rPr>
                <w:sz w:val="17"/>
                <w:szCs w:val="17"/>
              </w:rPr>
            </w:pPr>
            <w:r>
              <w:rPr>
                <w:b/>
                <w:bCs/>
                <w:color w:val="1F497D" w:themeColor="text2"/>
                <w:sz w:val="17"/>
                <w:szCs w:val="17"/>
              </w:rPr>
              <w:t>W</w:t>
            </w:r>
            <w:r w:rsidR="00DA7036">
              <w:rPr>
                <w:b/>
                <w:bCs/>
                <w:color w:val="1F497D" w:themeColor="text2"/>
                <w:sz w:val="17"/>
                <w:szCs w:val="17"/>
              </w:rPr>
              <w:t>ay forward:</w:t>
            </w:r>
            <w:r w:rsidR="00921866">
              <w:rPr>
                <w:b/>
                <w:bCs/>
                <w:color w:val="1F497D" w:themeColor="text2"/>
                <w:sz w:val="17"/>
                <w:szCs w:val="17"/>
              </w:rPr>
              <w:t xml:space="preserve"> </w:t>
            </w:r>
            <w:r w:rsidR="00921866" w:rsidRPr="00F15250">
              <w:rPr>
                <w:color w:val="1F497D" w:themeColor="text2"/>
                <w:sz w:val="17"/>
                <w:szCs w:val="17"/>
              </w:rPr>
              <w:t>Fully support EP proposal</w:t>
            </w:r>
            <w:r w:rsidR="00921866">
              <w:rPr>
                <w:color w:val="1F497D" w:themeColor="text2"/>
                <w:sz w:val="17"/>
                <w:szCs w:val="17"/>
              </w:rPr>
              <w:t xml:space="preserve"> (with refinement for SEK</w:t>
            </w:r>
            <w:r w:rsidR="002F6FCC">
              <w:rPr>
                <w:color w:val="1F497D" w:themeColor="text2"/>
                <w:sz w:val="17"/>
                <w:szCs w:val="17"/>
              </w:rPr>
              <w:t>).</w:t>
            </w:r>
            <w:r w:rsidR="007D3D32">
              <w:rPr>
                <w:color w:val="1F497D" w:themeColor="text2"/>
                <w:sz w:val="17"/>
                <w:szCs w:val="17"/>
              </w:rPr>
              <w:t xml:space="preserve"> Some clarifications </w:t>
            </w:r>
            <w:r w:rsidR="00A21721">
              <w:rPr>
                <w:color w:val="1F497D" w:themeColor="text2"/>
                <w:sz w:val="17"/>
                <w:szCs w:val="17"/>
              </w:rPr>
              <w:t>of</w:t>
            </w:r>
            <w:r w:rsidR="007D3D32">
              <w:rPr>
                <w:color w:val="1F497D" w:themeColor="text2"/>
                <w:sz w:val="17"/>
                <w:szCs w:val="17"/>
              </w:rPr>
              <w:t xml:space="preserve"> Ferb</w:t>
            </w:r>
            <w:r w:rsidR="00852903">
              <w:rPr>
                <w:color w:val="1F497D" w:themeColor="text2"/>
                <w:sz w:val="17"/>
                <w:szCs w:val="17"/>
              </w:rPr>
              <w:t>er’s proposed text are also needed (A120).</w:t>
            </w:r>
          </w:p>
          <w:p w14:paraId="3182990B" w14:textId="61AC73E9" w:rsidR="00ED458A" w:rsidRDefault="00ED458A" w:rsidP="00121913">
            <w:pPr>
              <w:rPr>
                <w:sz w:val="17"/>
                <w:szCs w:val="17"/>
              </w:rPr>
            </w:pPr>
            <w:r>
              <w:rPr>
                <w:sz w:val="17"/>
                <w:szCs w:val="17"/>
              </w:rPr>
              <w:t xml:space="preserve">  </w:t>
            </w:r>
          </w:p>
        </w:tc>
      </w:tr>
      <w:tr w:rsidR="00ED458A" w14:paraId="7D336DCE" w14:textId="77777777" w:rsidTr="006F22E8">
        <w:tc>
          <w:tcPr>
            <w:tcW w:w="1560" w:type="dxa"/>
            <w:vMerge/>
          </w:tcPr>
          <w:p w14:paraId="066B7732" w14:textId="77777777" w:rsidR="00ED458A" w:rsidRDefault="00ED458A" w:rsidP="00121913">
            <w:pPr>
              <w:tabs>
                <w:tab w:val="left" w:pos="3815"/>
              </w:tabs>
              <w:rPr>
                <w:sz w:val="17"/>
                <w:szCs w:val="17"/>
              </w:rPr>
            </w:pPr>
          </w:p>
        </w:tc>
        <w:tc>
          <w:tcPr>
            <w:tcW w:w="2126" w:type="dxa"/>
          </w:tcPr>
          <w:p w14:paraId="63C8703C" w14:textId="77777777" w:rsidR="00ED458A" w:rsidRPr="00823F31" w:rsidRDefault="00ED458A" w:rsidP="00121913">
            <w:pPr>
              <w:tabs>
                <w:tab w:val="left" w:pos="3815"/>
              </w:tabs>
              <w:rPr>
                <w:sz w:val="17"/>
                <w:szCs w:val="17"/>
              </w:rPr>
            </w:pPr>
            <w:r w:rsidRPr="00BD5AF9">
              <w:rPr>
                <w:b/>
                <w:bCs/>
                <w:color w:val="FF0000"/>
                <w:sz w:val="17"/>
                <w:szCs w:val="17"/>
              </w:rPr>
              <w:t>[Negative]</w:t>
            </w:r>
            <w:r>
              <w:rPr>
                <w:b/>
                <w:bCs/>
                <w:color w:val="FF0000"/>
                <w:szCs w:val="20"/>
              </w:rPr>
              <w:t xml:space="preserve"> </w:t>
            </w:r>
            <w:r w:rsidRPr="00823F31">
              <w:rPr>
                <w:sz w:val="17"/>
                <w:szCs w:val="17"/>
              </w:rPr>
              <w:t>Calibration of the convergence (alpha)</w:t>
            </w:r>
            <w:r>
              <w:rPr>
                <w:sz w:val="17"/>
                <w:szCs w:val="17"/>
              </w:rPr>
              <w:t xml:space="preserve"> </w:t>
            </w:r>
            <w:r w:rsidRPr="00823F31">
              <w:rPr>
                <w:sz w:val="17"/>
                <w:szCs w:val="17"/>
              </w:rPr>
              <w:t>parameter of 10%</w:t>
            </w:r>
          </w:p>
          <w:p w14:paraId="1B869B0B" w14:textId="77777777" w:rsidR="00ED458A" w:rsidRDefault="00ED458A" w:rsidP="00121913">
            <w:pPr>
              <w:tabs>
                <w:tab w:val="left" w:pos="3815"/>
              </w:tabs>
              <w:rPr>
                <w:sz w:val="17"/>
                <w:szCs w:val="17"/>
              </w:rPr>
            </w:pPr>
          </w:p>
        </w:tc>
        <w:tc>
          <w:tcPr>
            <w:tcW w:w="1843" w:type="dxa"/>
          </w:tcPr>
          <w:p w14:paraId="15F6C865" w14:textId="77777777" w:rsidR="00ED458A"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823F31">
              <w:rPr>
                <w:sz w:val="17"/>
                <w:szCs w:val="17"/>
              </w:rPr>
              <w:t>Set alpha parameter to 10%</w:t>
            </w:r>
          </w:p>
        </w:tc>
        <w:tc>
          <w:tcPr>
            <w:tcW w:w="3118" w:type="dxa"/>
          </w:tcPr>
          <w:p w14:paraId="77C2EBAC" w14:textId="697F6F7B" w:rsidR="00ED458A" w:rsidRDefault="00ED458A" w:rsidP="00121913">
            <w:pPr>
              <w:tabs>
                <w:tab w:val="left" w:pos="3815"/>
              </w:tabs>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Pr="00823F31">
              <w:rPr>
                <w:sz w:val="17"/>
                <w:szCs w:val="17"/>
              </w:rPr>
              <w:t>Alpha level itself not</w:t>
            </w:r>
            <w:r w:rsidR="00BF1F3A">
              <w:rPr>
                <w:sz w:val="17"/>
                <w:szCs w:val="17"/>
              </w:rPr>
              <w:t xml:space="preserve"> </w:t>
            </w:r>
            <w:r w:rsidRPr="00823F31">
              <w:rPr>
                <w:sz w:val="17"/>
                <w:szCs w:val="17"/>
              </w:rPr>
              <w:t>yet discussed, just whether the</w:t>
            </w:r>
            <w:r w:rsidR="00BF1F3A">
              <w:rPr>
                <w:sz w:val="17"/>
                <w:szCs w:val="17"/>
              </w:rPr>
              <w:t xml:space="preserve"> </w:t>
            </w:r>
            <w:r w:rsidRPr="00823F31">
              <w:rPr>
                <w:sz w:val="17"/>
                <w:szCs w:val="17"/>
              </w:rPr>
              <w:t>calibration should be</w:t>
            </w:r>
            <w:r>
              <w:rPr>
                <w:sz w:val="17"/>
                <w:szCs w:val="17"/>
              </w:rPr>
              <w:t xml:space="preserve"> </w:t>
            </w:r>
            <w:r w:rsidRPr="00823F31">
              <w:rPr>
                <w:sz w:val="17"/>
                <w:szCs w:val="17"/>
              </w:rPr>
              <w:t>determined in</w:t>
            </w:r>
            <w:r w:rsidR="00BF1F3A">
              <w:rPr>
                <w:sz w:val="17"/>
                <w:szCs w:val="17"/>
              </w:rPr>
              <w:t xml:space="preserve"> </w:t>
            </w:r>
            <w:r w:rsidRPr="00823F31">
              <w:rPr>
                <w:sz w:val="17"/>
                <w:szCs w:val="17"/>
              </w:rPr>
              <w:t>level 1 (Directive) or level 2</w:t>
            </w:r>
            <w:r>
              <w:rPr>
                <w:sz w:val="17"/>
                <w:szCs w:val="17"/>
              </w:rPr>
              <w:t xml:space="preserve"> </w:t>
            </w:r>
            <w:r w:rsidRPr="00823F31">
              <w:rPr>
                <w:sz w:val="17"/>
                <w:szCs w:val="17"/>
              </w:rPr>
              <w:t>(Delegated Acts).</w:t>
            </w:r>
          </w:p>
        </w:tc>
        <w:tc>
          <w:tcPr>
            <w:tcW w:w="2693" w:type="dxa"/>
          </w:tcPr>
          <w:p w14:paraId="0BBA8A8E" w14:textId="7F71CF82" w:rsidR="0044268E" w:rsidRDefault="006C1FF0" w:rsidP="00121913">
            <w:pPr>
              <w:tabs>
                <w:tab w:val="left" w:pos="3815"/>
              </w:tabs>
              <w:rPr>
                <w:sz w:val="17"/>
                <w:szCs w:val="17"/>
              </w:rPr>
            </w:pPr>
            <w:r w:rsidRPr="00BD5AF9">
              <w:rPr>
                <w:b/>
                <w:bCs/>
                <w:color w:val="00B050"/>
                <w:sz w:val="17"/>
                <w:szCs w:val="17"/>
              </w:rPr>
              <w:t>[Positive]</w:t>
            </w:r>
            <w:r>
              <w:rPr>
                <w:b/>
                <w:bCs/>
                <w:color w:val="00B050"/>
                <w:sz w:val="17"/>
                <w:szCs w:val="17"/>
              </w:rPr>
              <w:t xml:space="preserve"> </w:t>
            </w:r>
            <w:r w:rsidR="008A2CAE" w:rsidRPr="00F15250">
              <w:rPr>
                <w:sz w:val="17"/>
                <w:szCs w:val="17"/>
              </w:rPr>
              <w:t xml:space="preserve">Proposed </w:t>
            </w:r>
            <w:r w:rsidR="0043405C">
              <w:rPr>
                <w:sz w:val="17"/>
                <w:szCs w:val="17"/>
              </w:rPr>
              <w:t>c</w:t>
            </w:r>
            <w:r w:rsidRPr="006C1FF0">
              <w:rPr>
                <w:sz w:val="17"/>
                <w:szCs w:val="17"/>
              </w:rPr>
              <w:t>onvergence parameter</w:t>
            </w:r>
            <w:r w:rsidR="0043405C">
              <w:rPr>
                <w:sz w:val="17"/>
                <w:szCs w:val="17"/>
              </w:rPr>
              <w:t xml:space="preserve"> of</w:t>
            </w:r>
            <w:r w:rsidRPr="006C1FF0">
              <w:rPr>
                <w:sz w:val="17"/>
                <w:szCs w:val="17"/>
              </w:rPr>
              <w:t xml:space="preserve"> </w:t>
            </w:r>
            <w:r w:rsidRPr="00BA7412">
              <w:rPr>
                <w:sz w:val="17"/>
                <w:szCs w:val="17"/>
              </w:rPr>
              <w:t>20%</w:t>
            </w:r>
            <w:r>
              <w:rPr>
                <w:sz w:val="17"/>
                <w:szCs w:val="17"/>
              </w:rPr>
              <w:t xml:space="preserve"> (recital </w:t>
            </w:r>
            <w:r w:rsidR="00287994">
              <w:rPr>
                <w:sz w:val="17"/>
                <w:szCs w:val="17"/>
              </w:rPr>
              <w:t>34</w:t>
            </w:r>
            <w:r w:rsidR="00BD7176">
              <w:rPr>
                <w:sz w:val="17"/>
                <w:szCs w:val="17"/>
              </w:rPr>
              <w:t>/Art 77a(2)/A</w:t>
            </w:r>
            <w:r w:rsidR="00B066EE">
              <w:rPr>
                <w:sz w:val="17"/>
                <w:szCs w:val="17"/>
              </w:rPr>
              <w:t>123</w:t>
            </w:r>
            <w:r w:rsidR="00287994">
              <w:rPr>
                <w:sz w:val="17"/>
                <w:szCs w:val="17"/>
              </w:rPr>
              <w:t>)</w:t>
            </w:r>
            <w:r w:rsidR="0044268E">
              <w:rPr>
                <w:sz w:val="17"/>
                <w:szCs w:val="17"/>
              </w:rPr>
              <w:t>.</w:t>
            </w:r>
          </w:p>
          <w:p w14:paraId="55B8AF82" w14:textId="77777777" w:rsidR="0044268E" w:rsidRDefault="0044268E" w:rsidP="00121913">
            <w:pPr>
              <w:tabs>
                <w:tab w:val="left" w:pos="3815"/>
              </w:tabs>
              <w:rPr>
                <w:sz w:val="17"/>
                <w:szCs w:val="17"/>
              </w:rPr>
            </w:pPr>
          </w:p>
          <w:p w14:paraId="30CB5273" w14:textId="3C00740C" w:rsidR="00ED458A" w:rsidRDefault="00373B7E" w:rsidP="00121913">
            <w:pPr>
              <w:tabs>
                <w:tab w:val="left" w:pos="3815"/>
              </w:tabs>
              <w:rPr>
                <w:sz w:val="17"/>
                <w:szCs w:val="17"/>
              </w:rPr>
            </w:pPr>
            <w:r>
              <w:rPr>
                <w:sz w:val="17"/>
                <w:szCs w:val="17"/>
              </w:rPr>
              <w:t xml:space="preserve">Although EP proposal does </w:t>
            </w:r>
            <w:r w:rsidR="0044268E">
              <w:rPr>
                <w:sz w:val="17"/>
                <w:szCs w:val="17"/>
              </w:rPr>
              <w:t xml:space="preserve">not </w:t>
            </w:r>
            <w:r w:rsidR="0055469A">
              <w:rPr>
                <w:sz w:val="17"/>
                <w:szCs w:val="17"/>
              </w:rPr>
              <w:t xml:space="preserve">make specific </w:t>
            </w:r>
            <w:r w:rsidR="007D61FF">
              <w:rPr>
                <w:sz w:val="17"/>
                <w:szCs w:val="17"/>
              </w:rPr>
              <w:t xml:space="preserve">proposal for </w:t>
            </w:r>
            <w:r w:rsidR="0044268E">
              <w:rPr>
                <w:sz w:val="17"/>
                <w:szCs w:val="17"/>
              </w:rPr>
              <w:t xml:space="preserve">Swedish market </w:t>
            </w:r>
            <w:r w:rsidR="007D61FF">
              <w:rPr>
                <w:sz w:val="17"/>
                <w:szCs w:val="17"/>
              </w:rPr>
              <w:t>(</w:t>
            </w:r>
            <w:r w:rsidR="0044268E">
              <w:rPr>
                <w:sz w:val="17"/>
                <w:szCs w:val="17"/>
              </w:rPr>
              <w:t>where a convergence parameter of 70% would result in an equivalent outcome</w:t>
            </w:r>
            <w:r w:rsidR="007D61FF">
              <w:rPr>
                <w:sz w:val="17"/>
                <w:szCs w:val="17"/>
              </w:rPr>
              <w:t>)</w:t>
            </w:r>
            <w:r w:rsidR="0044268E">
              <w:rPr>
                <w:sz w:val="17"/>
                <w:szCs w:val="17"/>
              </w:rPr>
              <w:t>.</w:t>
            </w:r>
          </w:p>
        </w:tc>
        <w:tc>
          <w:tcPr>
            <w:tcW w:w="3544" w:type="dxa"/>
            <w:vMerge/>
          </w:tcPr>
          <w:p w14:paraId="0BD81F3F" w14:textId="581ECDD5" w:rsidR="00ED458A" w:rsidRDefault="00ED458A" w:rsidP="00121913">
            <w:pPr>
              <w:tabs>
                <w:tab w:val="left" w:pos="3815"/>
              </w:tabs>
              <w:rPr>
                <w:sz w:val="17"/>
                <w:szCs w:val="17"/>
              </w:rPr>
            </w:pPr>
          </w:p>
        </w:tc>
      </w:tr>
      <w:tr w:rsidR="00ED458A" w14:paraId="5FD14BA9" w14:textId="77777777" w:rsidTr="006F22E8">
        <w:tc>
          <w:tcPr>
            <w:tcW w:w="1560" w:type="dxa"/>
            <w:vMerge/>
          </w:tcPr>
          <w:p w14:paraId="39086156" w14:textId="77777777" w:rsidR="00ED458A" w:rsidRDefault="00ED458A" w:rsidP="00121913">
            <w:pPr>
              <w:tabs>
                <w:tab w:val="left" w:pos="3815"/>
              </w:tabs>
              <w:rPr>
                <w:sz w:val="17"/>
                <w:szCs w:val="17"/>
              </w:rPr>
            </w:pPr>
          </w:p>
        </w:tc>
        <w:tc>
          <w:tcPr>
            <w:tcW w:w="2126" w:type="dxa"/>
          </w:tcPr>
          <w:p w14:paraId="118AF07E" w14:textId="77777777" w:rsidR="00ED458A"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823F31">
              <w:rPr>
                <w:sz w:val="17"/>
                <w:szCs w:val="17"/>
              </w:rPr>
              <w:t>Potential disclosure in SFCR of sensitivity</w:t>
            </w:r>
            <w:r>
              <w:rPr>
                <w:sz w:val="17"/>
                <w:szCs w:val="17"/>
              </w:rPr>
              <w:t xml:space="preserve"> </w:t>
            </w:r>
            <w:r w:rsidRPr="00823F31">
              <w:rPr>
                <w:sz w:val="17"/>
                <w:szCs w:val="17"/>
              </w:rPr>
              <w:t>analysis of setting alpha to 5%</w:t>
            </w:r>
          </w:p>
        </w:tc>
        <w:tc>
          <w:tcPr>
            <w:tcW w:w="1843" w:type="dxa"/>
          </w:tcPr>
          <w:p w14:paraId="1A38D9DB" w14:textId="77777777" w:rsidR="00ED458A" w:rsidRPr="00823F31"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823F31">
              <w:rPr>
                <w:sz w:val="17"/>
                <w:szCs w:val="17"/>
              </w:rPr>
              <w:t>Implement gradually the</w:t>
            </w:r>
            <w:r>
              <w:rPr>
                <w:sz w:val="17"/>
                <w:szCs w:val="17"/>
              </w:rPr>
              <w:t xml:space="preserve"> c</w:t>
            </w:r>
            <w:r w:rsidRPr="00823F31">
              <w:rPr>
                <w:sz w:val="17"/>
                <w:szCs w:val="17"/>
              </w:rPr>
              <w:t>hange (starting with an alpha</w:t>
            </w:r>
          </w:p>
          <w:p w14:paraId="120A765C" w14:textId="77777777" w:rsidR="00ED458A" w:rsidRPr="00823F31" w:rsidRDefault="00ED458A" w:rsidP="00121913">
            <w:pPr>
              <w:tabs>
                <w:tab w:val="left" w:pos="3815"/>
              </w:tabs>
              <w:rPr>
                <w:sz w:val="17"/>
                <w:szCs w:val="17"/>
              </w:rPr>
            </w:pPr>
            <w:r w:rsidRPr="00823F31">
              <w:rPr>
                <w:sz w:val="17"/>
                <w:szCs w:val="17"/>
              </w:rPr>
              <w:t>parameter at 20%) as a</w:t>
            </w:r>
          </w:p>
          <w:p w14:paraId="521D3D9C" w14:textId="03D5A766" w:rsidR="00ED458A" w:rsidRDefault="00ED458A" w:rsidP="00AF0EB4">
            <w:pPr>
              <w:tabs>
                <w:tab w:val="left" w:pos="3815"/>
              </w:tabs>
              <w:rPr>
                <w:sz w:val="17"/>
                <w:szCs w:val="17"/>
              </w:rPr>
            </w:pPr>
            <w:r w:rsidRPr="00823F31">
              <w:rPr>
                <w:sz w:val="17"/>
                <w:szCs w:val="17"/>
              </w:rPr>
              <w:t>transitional until 2032 with</w:t>
            </w:r>
            <w:r w:rsidR="00AF0EB4">
              <w:rPr>
                <w:sz w:val="17"/>
                <w:szCs w:val="17"/>
              </w:rPr>
              <w:t xml:space="preserve"> </w:t>
            </w:r>
            <w:r w:rsidRPr="00823F31">
              <w:rPr>
                <w:sz w:val="17"/>
                <w:szCs w:val="17"/>
              </w:rPr>
              <w:t>impact disclosed</w:t>
            </w:r>
          </w:p>
        </w:tc>
        <w:tc>
          <w:tcPr>
            <w:tcW w:w="3118" w:type="dxa"/>
          </w:tcPr>
          <w:p w14:paraId="46D1726C" w14:textId="77777777" w:rsidR="00ED458A" w:rsidRDefault="00ED458A" w:rsidP="00121913">
            <w:pPr>
              <w:tabs>
                <w:tab w:val="left" w:pos="3815"/>
              </w:tabs>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Pr="00765D77">
              <w:rPr>
                <w:sz w:val="17"/>
                <w:szCs w:val="17"/>
              </w:rPr>
              <w:t xml:space="preserve">FR compromise proposal includes </w:t>
            </w:r>
            <w:r>
              <w:rPr>
                <w:sz w:val="17"/>
                <w:szCs w:val="17"/>
              </w:rPr>
              <w:t>disclosure of combined impact of transitionals (eg transitional on extrapolation, TRFR and TMTP) to be disclosed in SFCR. (Art 51)</w:t>
            </w:r>
          </w:p>
          <w:p w14:paraId="6C1F7086" w14:textId="77777777" w:rsidR="00ED458A" w:rsidRDefault="00ED458A" w:rsidP="00121913">
            <w:pPr>
              <w:tabs>
                <w:tab w:val="left" w:pos="3815"/>
              </w:tabs>
              <w:rPr>
                <w:sz w:val="17"/>
                <w:szCs w:val="17"/>
              </w:rPr>
            </w:pPr>
          </w:p>
          <w:p w14:paraId="074DDD83" w14:textId="49F173D8" w:rsidR="00ED458A" w:rsidRDefault="00ED458A" w:rsidP="00121913">
            <w:pPr>
              <w:tabs>
                <w:tab w:val="left" w:pos="3815"/>
              </w:tabs>
              <w:rPr>
                <w:sz w:val="17"/>
                <w:szCs w:val="17"/>
              </w:rPr>
            </w:pPr>
            <w:r>
              <w:rPr>
                <w:sz w:val="17"/>
                <w:szCs w:val="17"/>
              </w:rPr>
              <w:t>COM is requested adopt level 2 texts to specify the extrapolation methodology, convergence parameter, DLT assessment, FSP and transitional mechanism.</w:t>
            </w:r>
          </w:p>
        </w:tc>
        <w:tc>
          <w:tcPr>
            <w:tcW w:w="2693" w:type="dxa"/>
          </w:tcPr>
          <w:p w14:paraId="5CEDDF0A" w14:textId="0C72DE60" w:rsidR="00ED458A" w:rsidRDefault="00ED458A" w:rsidP="00C75079">
            <w:pPr>
              <w:tabs>
                <w:tab w:val="left" w:pos="3815"/>
              </w:tabs>
              <w:rPr>
                <w:sz w:val="17"/>
                <w:szCs w:val="17"/>
              </w:rPr>
            </w:pPr>
          </w:p>
        </w:tc>
        <w:tc>
          <w:tcPr>
            <w:tcW w:w="3544" w:type="dxa"/>
            <w:vMerge/>
          </w:tcPr>
          <w:p w14:paraId="5137AC14" w14:textId="7565C971" w:rsidR="00ED458A" w:rsidRDefault="00ED458A" w:rsidP="00121913">
            <w:pPr>
              <w:tabs>
                <w:tab w:val="left" w:pos="3815"/>
              </w:tabs>
              <w:rPr>
                <w:sz w:val="17"/>
                <w:szCs w:val="17"/>
              </w:rPr>
            </w:pPr>
          </w:p>
        </w:tc>
      </w:tr>
    </w:tbl>
    <w:p w14:paraId="58784FC7" w14:textId="77777777" w:rsidR="00D1418C" w:rsidRDefault="00D1418C" w:rsidP="00121913">
      <w:pPr>
        <w:spacing w:after="200" w:line="276" w:lineRule="auto"/>
        <w:rPr>
          <w:sz w:val="17"/>
          <w:szCs w:val="17"/>
        </w:rPr>
      </w:pPr>
    </w:p>
    <w:tbl>
      <w:tblPr>
        <w:tblStyle w:val="Mriekatabuky"/>
        <w:tblW w:w="14879" w:type="dxa"/>
        <w:tblLook w:val="04A0" w:firstRow="1" w:lastRow="0" w:firstColumn="1" w:lastColumn="0" w:noHBand="0" w:noVBand="1"/>
      </w:tblPr>
      <w:tblGrid>
        <w:gridCol w:w="1555"/>
        <w:gridCol w:w="1842"/>
        <w:gridCol w:w="2410"/>
        <w:gridCol w:w="2126"/>
        <w:gridCol w:w="3402"/>
        <w:gridCol w:w="3544"/>
      </w:tblGrid>
      <w:tr w:rsidR="006467BF" w14:paraId="7CE831EA" w14:textId="77777777" w:rsidTr="00606C4B">
        <w:trPr>
          <w:trHeight w:val="941"/>
        </w:trPr>
        <w:tc>
          <w:tcPr>
            <w:tcW w:w="1555" w:type="dxa"/>
          </w:tcPr>
          <w:p w14:paraId="7D7B9B07" w14:textId="1065D50C" w:rsidR="006467BF" w:rsidRDefault="006467BF" w:rsidP="006467BF">
            <w:pPr>
              <w:spacing w:after="200" w:line="276" w:lineRule="auto"/>
              <w:rPr>
                <w:sz w:val="17"/>
                <w:szCs w:val="17"/>
              </w:rPr>
            </w:pPr>
            <w:r w:rsidRPr="00491EB9">
              <w:rPr>
                <w:b/>
                <w:bCs/>
                <w:sz w:val="17"/>
                <w:szCs w:val="17"/>
              </w:rPr>
              <w:t>Topic</w:t>
            </w:r>
          </w:p>
        </w:tc>
        <w:tc>
          <w:tcPr>
            <w:tcW w:w="1842" w:type="dxa"/>
          </w:tcPr>
          <w:p w14:paraId="09F743C6" w14:textId="2DAAD778" w:rsidR="006467BF" w:rsidRDefault="006467BF" w:rsidP="006467BF">
            <w:pPr>
              <w:spacing w:after="200" w:line="276" w:lineRule="auto"/>
              <w:rPr>
                <w:sz w:val="17"/>
                <w:szCs w:val="17"/>
              </w:rPr>
            </w:pPr>
            <w:r w:rsidRPr="00491EB9">
              <w:rPr>
                <w:b/>
                <w:bCs/>
                <w:sz w:val="17"/>
                <w:szCs w:val="17"/>
              </w:rPr>
              <w:t>EIOPA proposal</w:t>
            </w:r>
          </w:p>
        </w:tc>
        <w:tc>
          <w:tcPr>
            <w:tcW w:w="2410" w:type="dxa"/>
          </w:tcPr>
          <w:p w14:paraId="6DEFA984" w14:textId="0E18F395" w:rsidR="006467BF" w:rsidRDefault="006467BF" w:rsidP="006467BF">
            <w:pPr>
              <w:spacing w:after="200" w:line="276" w:lineRule="auto"/>
              <w:rPr>
                <w:sz w:val="17"/>
                <w:szCs w:val="17"/>
              </w:rPr>
            </w:pPr>
            <w:r w:rsidRPr="00491EB9">
              <w:rPr>
                <w:b/>
                <w:bCs/>
                <w:sz w:val="17"/>
                <w:szCs w:val="17"/>
              </w:rPr>
              <w:t>European Commission proposal</w:t>
            </w:r>
          </w:p>
        </w:tc>
        <w:tc>
          <w:tcPr>
            <w:tcW w:w="2126" w:type="dxa"/>
          </w:tcPr>
          <w:p w14:paraId="1E471BB3" w14:textId="2DC9B310" w:rsidR="006467BF" w:rsidRDefault="006467BF" w:rsidP="006467BF">
            <w:pPr>
              <w:spacing w:after="200" w:line="276" w:lineRule="auto"/>
              <w:rPr>
                <w:sz w:val="17"/>
                <w:szCs w:val="17"/>
              </w:rPr>
            </w:pPr>
            <w:r w:rsidRPr="00491EB9">
              <w:rPr>
                <w:b/>
                <w:bCs/>
                <w:sz w:val="17"/>
                <w:szCs w:val="17"/>
              </w:rPr>
              <w:t>French presidency</w:t>
            </w:r>
            <w:r>
              <w:rPr>
                <w:b/>
                <w:bCs/>
                <w:sz w:val="17"/>
                <w:szCs w:val="17"/>
              </w:rPr>
              <w:t xml:space="preserve"> overall compromise proposal/EGBPI discussions</w:t>
            </w:r>
          </w:p>
        </w:tc>
        <w:tc>
          <w:tcPr>
            <w:tcW w:w="3402" w:type="dxa"/>
          </w:tcPr>
          <w:p w14:paraId="28FE677D" w14:textId="7649A66E" w:rsidR="006467BF" w:rsidRDefault="006467BF" w:rsidP="006467BF">
            <w:pPr>
              <w:spacing w:after="200" w:line="276" w:lineRule="auto"/>
              <w:rPr>
                <w:sz w:val="17"/>
                <w:szCs w:val="17"/>
              </w:rPr>
            </w:pPr>
            <w:r>
              <w:rPr>
                <w:b/>
                <w:bCs/>
                <w:sz w:val="17"/>
                <w:szCs w:val="17"/>
              </w:rPr>
              <w:t>EP draft report</w:t>
            </w:r>
          </w:p>
        </w:tc>
        <w:tc>
          <w:tcPr>
            <w:tcW w:w="3544" w:type="dxa"/>
          </w:tcPr>
          <w:p w14:paraId="42D4E87F" w14:textId="0282CE5D" w:rsidR="006467BF" w:rsidRDefault="006467BF" w:rsidP="006467BF">
            <w:pPr>
              <w:spacing w:after="200" w:line="276" w:lineRule="auto"/>
              <w:rPr>
                <w:sz w:val="17"/>
                <w:szCs w:val="17"/>
              </w:rPr>
            </w:pPr>
            <w:r>
              <w:rPr>
                <w:b/>
                <w:bCs/>
                <w:sz w:val="17"/>
                <w:szCs w:val="17"/>
              </w:rPr>
              <w:t>Secretariat assessment of current status</w:t>
            </w:r>
          </w:p>
        </w:tc>
      </w:tr>
      <w:tr w:rsidR="00586BAC" w14:paraId="60111600" w14:textId="77777777" w:rsidTr="00606C4B">
        <w:tc>
          <w:tcPr>
            <w:tcW w:w="1555" w:type="dxa"/>
            <w:vMerge w:val="restart"/>
          </w:tcPr>
          <w:p w14:paraId="72CFDFC8" w14:textId="2DE72A68" w:rsidR="00586BAC" w:rsidRDefault="00586BAC" w:rsidP="006467BF">
            <w:pPr>
              <w:spacing w:after="200" w:line="276" w:lineRule="auto"/>
              <w:rPr>
                <w:sz w:val="17"/>
                <w:szCs w:val="17"/>
              </w:rPr>
            </w:pPr>
            <w:r>
              <w:rPr>
                <w:b/>
                <w:bCs/>
                <w:sz w:val="17"/>
                <w:szCs w:val="17"/>
              </w:rPr>
              <w:t>Risk margin</w:t>
            </w:r>
          </w:p>
        </w:tc>
        <w:tc>
          <w:tcPr>
            <w:tcW w:w="1842" w:type="dxa"/>
          </w:tcPr>
          <w:p w14:paraId="2BC8EC93" w14:textId="2486539A" w:rsidR="00586BAC" w:rsidRDefault="00586BAC" w:rsidP="006467BF">
            <w:pPr>
              <w:spacing w:after="200" w:line="276" w:lineRule="auto"/>
              <w:rPr>
                <w:sz w:val="17"/>
                <w:szCs w:val="17"/>
              </w:rPr>
            </w:pPr>
            <w:r w:rsidRPr="00BD5AF9">
              <w:rPr>
                <w:b/>
                <w:bCs/>
                <w:color w:val="FF0000"/>
                <w:sz w:val="17"/>
                <w:szCs w:val="17"/>
              </w:rPr>
              <w:t>[Negative]</w:t>
            </w:r>
            <w:r>
              <w:rPr>
                <w:b/>
                <w:bCs/>
                <w:color w:val="FF0000"/>
                <w:szCs w:val="17"/>
              </w:rPr>
              <w:t xml:space="preserve"> </w:t>
            </w:r>
            <w:r w:rsidRPr="008E27A9">
              <w:rPr>
                <w:sz w:val="17"/>
                <w:szCs w:val="17"/>
              </w:rPr>
              <w:t>Cost of Capital (CoC) to remain at 6%</w:t>
            </w:r>
          </w:p>
        </w:tc>
        <w:tc>
          <w:tcPr>
            <w:tcW w:w="2410" w:type="dxa"/>
          </w:tcPr>
          <w:p w14:paraId="5628930D" w14:textId="50420ABE" w:rsidR="00586BAC" w:rsidRDefault="00586BAC" w:rsidP="006467BF">
            <w:pPr>
              <w:spacing w:after="200" w:line="276" w:lineRule="auto"/>
              <w:rPr>
                <w:sz w:val="17"/>
                <w:szCs w:val="17"/>
              </w:rPr>
            </w:pPr>
            <w:r w:rsidRPr="00BD5AF9">
              <w:rPr>
                <w:b/>
                <w:bCs/>
                <w:color w:val="00B050"/>
                <w:sz w:val="17"/>
                <w:szCs w:val="17"/>
              </w:rPr>
              <w:t>[Positive]</w:t>
            </w:r>
            <w:r w:rsidRPr="00BD5AF9">
              <w:rPr>
                <w:b/>
                <w:bCs/>
                <w:color w:val="00B050"/>
                <w:szCs w:val="17"/>
              </w:rPr>
              <w:t xml:space="preserve"> </w:t>
            </w:r>
            <w:r w:rsidRPr="008E27A9">
              <w:rPr>
                <w:sz w:val="17"/>
                <w:szCs w:val="17"/>
              </w:rPr>
              <w:t>Reduction of CoC to 5%</w:t>
            </w:r>
          </w:p>
        </w:tc>
        <w:tc>
          <w:tcPr>
            <w:tcW w:w="2126" w:type="dxa"/>
          </w:tcPr>
          <w:p w14:paraId="10A30606" w14:textId="77777777" w:rsidR="00586BAC" w:rsidRDefault="00586BAC" w:rsidP="006467BF">
            <w:pPr>
              <w:tabs>
                <w:tab w:val="left" w:pos="3815"/>
              </w:tabs>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Pr="008E27A9">
              <w:rPr>
                <w:sz w:val="17"/>
                <w:szCs w:val="17"/>
              </w:rPr>
              <w:t>Some MS question the overall</w:t>
            </w:r>
            <w:r>
              <w:rPr>
                <w:sz w:val="17"/>
                <w:szCs w:val="17"/>
              </w:rPr>
              <w:t xml:space="preserve"> </w:t>
            </w:r>
            <w:r w:rsidRPr="008E27A9">
              <w:rPr>
                <w:sz w:val="17"/>
                <w:szCs w:val="17"/>
              </w:rPr>
              <w:t>reduction in risk margin as being</w:t>
            </w:r>
            <w:r>
              <w:rPr>
                <w:sz w:val="17"/>
                <w:szCs w:val="17"/>
              </w:rPr>
              <w:t xml:space="preserve"> </w:t>
            </w:r>
            <w:r w:rsidRPr="008E27A9">
              <w:rPr>
                <w:sz w:val="17"/>
                <w:szCs w:val="17"/>
              </w:rPr>
              <w:t>very generous</w:t>
            </w:r>
            <w:r>
              <w:rPr>
                <w:sz w:val="17"/>
                <w:szCs w:val="17"/>
              </w:rPr>
              <w:t>. (Art 39 Delegated Acts)</w:t>
            </w:r>
          </w:p>
          <w:p w14:paraId="592AD657" w14:textId="77777777" w:rsidR="00586BAC" w:rsidRDefault="00586BAC" w:rsidP="006467BF">
            <w:pPr>
              <w:tabs>
                <w:tab w:val="left" w:pos="3815"/>
              </w:tabs>
              <w:rPr>
                <w:sz w:val="17"/>
                <w:szCs w:val="17"/>
              </w:rPr>
            </w:pPr>
          </w:p>
          <w:p w14:paraId="5B6DB05B" w14:textId="77777777" w:rsidR="00586BAC" w:rsidRDefault="00586BAC" w:rsidP="006467BF">
            <w:pPr>
              <w:tabs>
                <w:tab w:val="left" w:pos="3815"/>
              </w:tabs>
              <w:rPr>
                <w:sz w:val="17"/>
                <w:szCs w:val="17"/>
              </w:rPr>
            </w:pPr>
            <w:r>
              <w:rPr>
                <w:sz w:val="17"/>
                <w:szCs w:val="17"/>
              </w:rPr>
              <w:t>FR presidency note that discussions still ongoing, positive if compromise would land at EC proposal.</w:t>
            </w:r>
          </w:p>
          <w:p w14:paraId="6D9E36C8" w14:textId="77777777" w:rsidR="00586BAC" w:rsidRDefault="00586BAC" w:rsidP="006467BF">
            <w:pPr>
              <w:spacing w:after="200" w:line="276" w:lineRule="auto"/>
              <w:rPr>
                <w:sz w:val="17"/>
                <w:szCs w:val="17"/>
              </w:rPr>
            </w:pPr>
          </w:p>
        </w:tc>
        <w:tc>
          <w:tcPr>
            <w:tcW w:w="3402" w:type="dxa"/>
          </w:tcPr>
          <w:p w14:paraId="69A8876C" w14:textId="4594FF81" w:rsidR="00586BAC" w:rsidRPr="00F13BBC" w:rsidRDefault="00586BAC" w:rsidP="00F15250">
            <w:pPr>
              <w:tabs>
                <w:tab w:val="left" w:pos="3815"/>
              </w:tabs>
              <w:rPr>
                <w:sz w:val="17"/>
                <w:szCs w:val="17"/>
              </w:rPr>
            </w:pPr>
            <w:r w:rsidRPr="00BD5AF9">
              <w:rPr>
                <w:b/>
                <w:bCs/>
                <w:color w:val="00B050"/>
                <w:sz w:val="17"/>
                <w:szCs w:val="17"/>
              </w:rPr>
              <w:t>[Positive]</w:t>
            </w:r>
            <w:r w:rsidR="00AF631D">
              <w:rPr>
                <w:sz w:val="17"/>
                <w:szCs w:val="17"/>
              </w:rPr>
              <w:t xml:space="preserve"> </w:t>
            </w:r>
            <w:r w:rsidRPr="00F15250">
              <w:rPr>
                <w:sz w:val="17"/>
                <w:szCs w:val="17"/>
              </w:rPr>
              <w:t>Reduction of CoC to 4% (recital 39a/Art 77(5a)/A118)</w:t>
            </w:r>
          </w:p>
        </w:tc>
        <w:tc>
          <w:tcPr>
            <w:tcW w:w="3544" w:type="dxa"/>
            <w:vMerge w:val="restart"/>
          </w:tcPr>
          <w:p w14:paraId="3EBACB2D" w14:textId="77777777" w:rsidR="00586BAC" w:rsidRDefault="00586BAC" w:rsidP="006467BF">
            <w:pPr>
              <w:tabs>
                <w:tab w:val="left" w:pos="3815"/>
              </w:tabs>
              <w:rPr>
                <w:b/>
                <w:bCs/>
                <w:color w:val="00B050"/>
                <w:sz w:val="17"/>
                <w:szCs w:val="17"/>
              </w:rPr>
            </w:pPr>
            <w:r w:rsidRPr="00BD5AF9">
              <w:rPr>
                <w:b/>
                <w:bCs/>
                <w:color w:val="00B050"/>
                <w:sz w:val="17"/>
                <w:szCs w:val="17"/>
              </w:rPr>
              <w:t>[Positive]</w:t>
            </w:r>
          </w:p>
          <w:p w14:paraId="1F116547" w14:textId="77777777" w:rsidR="00586BAC" w:rsidRDefault="00586BAC" w:rsidP="006467BF">
            <w:pPr>
              <w:tabs>
                <w:tab w:val="left" w:pos="3815"/>
              </w:tabs>
              <w:rPr>
                <w:sz w:val="17"/>
                <w:szCs w:val="17"/>
              </w:rPr>
            </w:pPr>
            <w:r>
              <w:rPr>
                <w:sz w:val="17"/>
                <w:szCs w:val="17"/>
              </w:rPr>
              <w:t xml:space="preserve">It is expected that the Council WG will accept the EC’s proposals although some opposition remains to reducing the Cost of Capital to 5%.  </w:t>
            </w:r>
          </w:p>
          <w:p w14:paraId="796705CB" w14:textId="77777777" w:rsidR="00586BAC" w:rsidRDefault="00586BAC" w:rsidP="006467BF">
            <w:pPr>
              <w:tabs>
                <w:tab w:val="left" w:pos="3815"/>
              </w:tabs>
              <w:rPr>
                <w:sz w:val="17"/>
                <w:szCs w:val="17"/>
              </w:rPr>
            </w:pPr>
          </w:p>
          <w:p w14:paraId="2BE2165A" w14:textId="0520DA1A" w:rsidR="00586BAC" w:rsidRDefault="00586BAC" w:rsidP="006467BF">
            <w:pPr>
              <w:spacing w:after="200" w:line="276" w:lineRule="auto"/>
              <w:rPr>
                <w:sz w:val="17"/>
                <w:szCs w:val="17"/>
              </w:rPr>
            </w:pPr>
            <w:r w:rsidRPr="00F15250">
              <w:rPr>
                <w:sz w:val="17"/>
                <w:szCs w:val="17"/>
              </w:rPr>
              <w:t xml:space="preserve">The </w:t>
            </w:r>
            <w:r w:rsidRPr="00F15250">
              <w:rPr>
                <w:b/>
                <w:bCs/>
                <w:sz w:val="17"/>
                <w:szCs w:val="17"/>
              </w:rPr>
              <w:t>EP draft report</w:t>
            </w:r>
            <w:r w:rsidRPr="00F15250">
              <w:rPr>
                <w:sz w:val="17"/>
                <w:szCs w:val="17"/>
              </w:rPr>
              <w:t xml:space="preserve"> proposes further improvements to the risk margin, notably a CoC of 4% and a lambda parameter of 0.9</w:t>
            </w:r>
            <w:r w:rsidR="0086026F">
              <w:rPr>
                <w:sz w:val="17"/>
                <w:szCs w:val="17"/>
              </w:rPr>
              <w:t xml:space="preserve"> and removal of the floor</w:t>
            </w:r>
            <w:r w:rsidRPr="00F15250">
              <w:rPr>
                <w:sz w:val="17"/>
                <w:szCs w:val="17"/>
              </w:rPr>
              <w:t xml:space="preserve">. </w:t>
            </w:r>
            <w:r w:rsidR="0086026F">
              <w:rPr>
                <w:sz w:val="17"/>
                <w:szCs w:val="17"/>
              </w:rPr>
              <w:t>K</w:t>
            </w:r>
            <w:r w:rsidRPr="00F15250">
              <w:rPr>
                <w:sz w:val="17"/>
                <w:szCs w:val="17"/>
              </w:rPr>
              <w:t xml:space="preserve">ey aspects of risk margin </w:t>
            </w:r>
            <w:r>
              <w:rPr>
                <w:sz w:val="17"/>
                <w:szCs w:val="17"/>
              </w:rPr>
              <w:t xml:space="preserve">provisions </w:t>
            </w:r>
            <w:r w:rsidR="0086026F">
              <w:rPr>
                <w:sz w:val="17"/>
                <w:szCs w:val="17"/>
              </w:rPr>
              <w:t xml:space="preserve">proposed </w:t>
            </w:r>
            <w:r w:rsidRPr="00F15250">
              <w:rPr>
                <w:sz w:val="17"/>
                <w:szCs w:val="17"/>
              </w:rPr>
              <w:t xml:space="preserve">to be enshrined in Level 1. </w:t>
            </w:r>
          </w:p>
          <w:p w14:paraId="2BCC60CC" w14:textId="3EEC9354" w:rsidR="005618DB" w:rsidRDefault="00A06944" w:rsidP="006467BF">
            <w:pPr>
              <w:spacing w:after="200" w:line="276" w:lineRule="auto"/>
              <w:rPr>
                <w:sz w:val="17"/>
                <w:szCs w:val="17"/>
              </w:rPr>
            </w:pPr>
            <w:r>
              <w:rPr>
                <w:b/>
                <w:bCs/>
                <w:color w:val="1F497D" w:themeColor="text2"/>
                <w:sz w:val="17"/>
                <w:szCs w:val="17"/>
              </w:rPr>
              <w:t>W</w:t>
            </w:r>
            <w:r w:rsidR="005618DB">
              <w:rPr>
                <w:b/>
                <w:bCs/>
                <w:color w:val="1F497D" w:themeColor="text2"/>
                <w:sz w:val="17"/>
                <w:szCs w:val="17"/>
              </w:rPr>
              <w:t xml:space="preserve">ay forward: </w:t>
            </w:r>
            <w:r w:rsidR="005618DB" w:rsidRPr="00F15250">
              <w:rPr>
                <w:color w:val="1F497D" w:themeColor="text2"/>
                <w:sz w:val="17"/>
                <w:szCs w:val="17"/>
              </w:rPr>
              <w:t>Fully support EP proposal and raise profile of IE technical analysis justifying 3%</w:t>
            </w:r>
            <w:r w:rsidR="00CB1A0A">
              <w:rPr>
                <w:color w:val="1F497D" w:themeColor="text2"/>
                <w:sz w:val="17"/>
                <w:szCs w:val="17"/>
              </w:rPr>
              <w:t xml:space="preserve"> CoC.</w:t>
            </w:r>
          </w:p>
          <w:p w14:paraId="01602250" w14:textId="32BA2FE6" w:rsidR="005618DB" w:rsidRDefault="005618DB" w:rsidP="006467BF">
            <w:pPr>
              <w:spacing w:after="200" w:line="276" w:lineRule="auto"/>
              <w:rPr>
                <w:sz w:val="17"/>
                <w:szCs w:val="17"/>
              </w:rPr>
            </w:pPr>
          </w:p>
        </w:tc>
      </w:tr>
      <w:tr w:rsidR="00586BAC" w14:paraId="7E12F6A5" w14:textId="77777777" w:rsidTr="00606C4B">
        <w:tc>
          <w:tcPr>
            <w:tcW w:w="1555" w:type="dxa"/>
            <w:vMerge/>
          </w:tcPr>
          <w:p w14:paraId="0A85EE06" w14:textId="77777777" w:rsidR="00586BAC" w:rsidRDefault="00586BAC" w:rsidP="006467BF">
            <w:pPr>
              <w:spacing w:after="200" w:line="276" w:lineRule="auto"/>
              <w:rPr>
                <w:sz w:val="17"/>
                <w:szCs w:val="17"/>
              </w:rPr>
            </w:pPr>
          </w:p>
        </w:tc>
        <w:tc>
          <w:tcPr>
            <w:tcW w:w="1842" w:type="dxa"/>
          </w:tcPr>
          <w:p w14:paraId="4F0909F6" w14:textId="063C55BD" w:rsidR="00586BAC" w:rsidRDefault="00586BAC" w:rsidP="006467BF">
            <w:pPr>
              <w:spacing w:after="200" w:line="276" w:lineRule="auto"/>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Pr="008E27A9">
              <w:rPr>
                <w:sz w:val="17"/>
                <w:szCs w:val="17"/>
              </w:rPr>
              <w:t>EIOPA introduces a lambda factor of</w:t>
            </w:r>
            <w:r>
              <w:rPr>
                <w:sz w:val="17"/>
                <w:szCs w:val="17"/>
              </w:rPr>
              <w:t xml:space="preserve"> </w:t>
            </w:r>
            <w:r w:rsidRPr="008E27A9">
              <w:rPr>
                <w:sz w:val="17"/>
                <w:szCs w:val="17"/>
              </w:rPr>
              <w:t>0.975</w:t>
            </w:r>
            <w:r>
              <w:rPr>
                <w:sz w:val="17"/>
                <w:szCs w:val="17"/>
              </w:rPr>
              <w:t xml:space="preserve"> </w:t>
            </w:r>
            <w:r w:rsidRPr="008E27A9">
              <w:rPr>
                <w:sz w:val="17"/>
                <w:szCs w:val="17"/>
              </w:rPr>
              <w:t>with a 50% floor</w:t>
            </w:r>
          </w:p>
        </w:tc>
        <w:tc>
          <w:tcPr>
            <w:tcW w:w="2410" w:type="dxa"/>
          </w:tcPr>
          <w:p w14:paraId="28CFFB89" w14:textId="53B1D621" w:rsidR="00586BAC" w:rsidRDefault="00586BAC" w:rsidP="006467BF">
            <w:pPr>
              <w:spacing w:after="200" w:line="276" w:lineRule="auto"/>
              <w:rPr>
                <w:sz w:val="17"/>
                <w:szCs w:val="17"/>
              </w:rPr>
            </w:pPr>
            <w:r w:rsidRPr="00BD5AF9">
              <w:rPr>
                <w:b/>
                <w:bCs/>
                <w:color w:val="00B050"/>
                <w:sz w:val="17"/>
                <w:szCs w:val="17"/>
              </w:rPr>
              <w:t>[Positive]</w:t>
            </w:r>
            <w:r w:rsidRPr="00BD5AF9">
              <w:rPr>
                <w:b/>
                <w:bCs/>
                <w:color w:val="00B050"/>
                <w:szCs w:val="17"/>
              </w:rPr>
              <w:t xml:space="preserve"> </w:t>
            </w:r>
            <w:r w:rsidRPr="008E27A9">
              <w:rPr>
                <w:sz w:val="17"/>
                <w:szCs w:val="17"/>
              </w:rPr>
              <w:t>EC adopts EIOPA proposal</w:t>
            </w:r>
            <w:r>
              <w:rPr>
                <w:sz w:val="17"/>
                <w:szCs w:val="17"/>
              </w:rPr>
              <w:t xml:space="preserve">, </w:t>
            </w:r>
            <w:r w:rsidRPr="008E27A9">
              <w:rPr>
                <w:sz w:val="17"/>
                <w:szCs w:val="17"/>
              </w:rPr>
              <w:t>improving it by removing the</w:t>
            </w:r>
            <w:r>
              <w:rPr>
                <w:sz w:val="17"/>
                <w:szCs w:val="17"/>
              </w:rPr>
              <w:t xml:space="preserve"> </w:t>
            </w:r>
            <w:r w:rsidRPr="008E27A9">
              <w:rPr>
                <w:sz w:val="17"/>
                <w:szCs w:val="17"/>
              </w:rPr>
              <w:t>lambda floor</w:t>
            </w:r>
          </w:p>
        </w:tc>
        <w:tc>
          <w:tcPr>
            <w:tcW w:w="2126" w:type="dxa"/>
          </w:tcPr>
          <w:p w14:paraId="6870871D" w14:textId="77777777" w:rsidR="00586BAC" w:rsidRPr="008E27A9" w:rsidRDefault="00586BAC" w:rsidP="006467BF">
            <w:pPr>
              <w:tabs>
                <w:tab w:val="left" w:pos="3815"/>
              </w:tabs>
              <w:rPr>
                <w:sz w:val="17"/>
                <w:szCs w:val="17"/>
              </w:rPr>
            </w:pPr>
            <w:r w:rsidRPr="00BD5AF9">
              <w:rPr>
                <w:b/>
                <w:bCs/>
                <w:color w:val="00B050"/>
                <w:sz w:val="17"/>
                <w:szCs w:val="17"/>
              </w:rPr>
              <w:t>[Positive]</w:t>
            </w:r>
            <w:r w:rsidRPr="00BD5AF9">
              <w:rPr>
                <w:b/>
                <w:bCs/>
                <w:color w:val="00B050"/>
                <w:szCs w:val="17"/>
              </w:rPr>
              <w:t xml:space="preserve"> </w:t>
            </w:r>
            <w:r w:rsidRPr="008E27A9">
              <w:rPr>
                <w:sz w:val="17"/>
                <w:szCs w:val="17"/>
              </w:rPr>
              <w:t>Lambda introduction not</w:t>
            </w:r>
            <w:r>
              <w:rPr>
                <w:sz w:val="17"/>
                <w:szCs w:val="17"/>
              </w:rPr>
              <w:t xml:space="preserve"> </w:t>
            </w:r>
            <w:r w:rsidRPr="008E27A9">
              <w:rPr>
                <w:sz w:val="17"/>
                <w:szCs w:val="17"/>
              </w:rPr>
              <w:t>questioned, some MS reject</w:t>
            </w:r>
          </w:p>
          <w:p w14:paraId="3FFC5667" w14:textId="77777777" w:rsidR="00586BAC" w:rsidRPr="008E27A9" w:rsidRDefault="00586BAC" w:rsidP="006467BF">
            <w:pPr>
              <w:tabs>
                <w:tab w:val="left" w:pos="3815"/>
              </w:tabs>
              <w:rPr>
                <w:sz w:val="17"/>
                <w:szCs w:val="17"/>
              </w:rPr>
            </w:pPr>
            <w:r w:rsidRPr="008E27A9">
              <w:rPr>
                <w:sz w:val="17"/>
                <w:szCs w:val="17"/>
              </w:rPr>
              <w:t>removal of the floor while others</w:t>
            </w:r>
          </w:p>
          <w:p w14:paraId="4DF17017" w14:textId="4E8B725A" w:rsidR="00586BAC" w:rsidRDefault="00586BAC" w:rsidP="006467BF">
            <w:pPr>
              <w:spacing w:after="200" w:line="276" w:lineRule="auto"/>
              <w:rPr>
                <w:sz w:val="17"/>
                <w:szCs w:val="17"/>
              </w:rPr>
            </w:pPr>
            <w:r w:rsidRPr="008E27A9">
              <w:rPr>
                <w:sz w:val="17"/>
                <w:szCs w:val="17"/>
              </w:rPr>
              <w:t>support</w:t>
            </w:r>
          </w:p>
        </w:tc>
        <w:tc>
          <w:tcPr>
            <w:tcW w:w="3402" w:type="dxa"/>
          </w:tcPr>
          <w:p w14:paraId="56AEC4BB" w14:textId="77777777" w:rsidR="00586BAC" w:rsidRPr="00F13BBC" w:rsidRDefault="00586BAC" w:rsidP="006467BF">
            <w:pPr>
              <w:tabs>
                <w:tab w:val="left" w:pos="3815"/>
              </w:tabs>
              <w:rPr>
                <w:b/>
                <w:bCs/>
                <w:color w:val="00B050"/>
                <w:sz w:val="17"/>
                <w:szCs w:val="17"/>
              </w:rPr>
            </w:pPr>
            <w:r w:rsidRPr="00F13BBC">
              <w:rPr>
                <w:b/>
                <w:bCs/>
                <w:color w:val="00B050"/>
                <w:sz w:val="17"/>
                <w:szCs w:val="17"/>
              </w:rPr>
              <w:t>[Positive]</w:t>
            </w:r>
          </w:p>
          <w:p w14:paraId="4265FA79" w14:textId="09BE1234" w:rsidR="00586BAC" w:rsidRPr="00F13BBC" w:rsidRDefault="00586BAC" w:rsidP="006467BF">
            <w:pPr>
              <w:spacing w:after="200" w:line="276" w:lineRule="auto"/>
              <w:rPr>
                <w:sz w:val="17"/>
                <w:szCs w:val="17"/>
              </w:rPr>
            </w:pPr>
            <w:r w:rsidRPr="00F15250">
              <w:rPr>
                <w:sz w:val="17"/>
                <w:szCs w:val="17"/>
              </w:rPr>
              <w:t>Lambda lowered to 0.9 (recital 39a/Art 77(3a)/A117)</w:t>
            </w:r>
          </w:p>
        </w:tc>
        <w:tc>
          <w:tcPr>
            <w:tcW w:w="3544" w:type="dxa"/>
            <w:vMerge/>
          </w:tcPr>
          <w:p w14:paraId="5D46BECF" w14:textId="77777777" w:rsidR="00586BAC" w:rsidRDefault="00586BAC" w:rsidP="006467BF">
            <w:pPr>
              <w:spacing w:after="200" w:line="276" w:lineRule="auto"/>
              <w:rPr>
                <w:sz w:val="17"/>
                <w:szCs w:val="17"/>
              </w:rPr>
            </w:pPr>
          </w:p>
        </w:tc>
      </w:tr>
      <w:tr w:rsidR="00586BAC" w14:paraId="54F50D10" w14:textId="77777777" w:rsidTr="00606C4B">
        <w:tc>
          <w:tcPr>
            <w:tcW w:w="1555" w:type="dxa"/>
            <w:vMerge/>
          </w:tcPr>
          <w:p w14:paraId="388D03EA" w14:textId="77777777" w:rsidR="00586BAC" w:rsidRDefault="00586BAC" w:rsidP="006467BF">
            <w:pPr>
              <w:spacing w:after="200" w:line="276" w:lineRule="auto"/>
              <w:rPr>
                <w:sz w:val="17"/>
                <w:szCs w:val="17"/>
              </w:rPr>
            </w:pPr>
          </w:p>
        </w:tc>
        <w:tc>
          <w:tcPr>
            <w:tcW w:w="1842" w:type="dxa"/>
          </w:tcPr>
          <w:p w14:paraId="14DBF81C" w14:textId="5BCD0751" w:rsidR="00586BAC" w:rsidRDefault="00586BAC" w:rsidP="006467BF">
            <w:pPr>
              <w:spacing w:after="200" w:line="276" w:lineRule="auto"/>
              <w:rPr>
                <w:sz w:val="17"/>
                <w:szCs w:val="17"/>
              </w:rPr>
            </w:pPr>
            <w:r w:rsidRPr="00BD5AF9">
              <w:rPr>
                <w:b/>
                <w:bCs/>
                <w:color w:val="FF0000"/>
                <w:sz w:val="17"/>
                <w:szCs w:val="17"/>
              </w:rPr>
              <w:t>[Negative]</w:t>
            </w:r>
            <w:r>
              <w:rPr>
                <w:b/>
                <w:bCs/>
                <w:color w:val="FF0000"/>
                <w:szCs w:val="17"/>
              </w:rPr>
              <w:t xml:space="preserve"> </w:t>
            </w:r>
            <w:r w:rsidRPr="008E27A9">
              <w:rPr>
                <w:sz w:val="17"/>
                <w:szCs w:val="17"/>
              </w:rPr>
              <w:t>No change to non</w:t>
            </w:r>
            <w:r>
              <w:rPr>
                <w:sz w:val="17"/>
                <w:szCs w:val="17"/>
              </w:rPr>
              <w:t>-</w:t>
            </w:r>
            <w:r w:rsidRPr="008E27A9">
              <w:rPr>
                <w:sz w:val="17"/>
                <w:szCs w:val="17"/>
              </w:rPr>
              <w:t>recognition of</w:t>
            </w:r>
            <w:r>
              <w:rPr>
                <w:sz w:val="17"/>
                <w:szCs w:val="17"/>
              </w:rPr>
              <w:t xml:space="preserve"> </w:t>
            </w:r>
            <w:r w:rsidRPr="008E27A9">
              <w:rPr>
                <w:sz w:val="17"/>
                <w:szCs w:val="17"/>
              </w:rPr>
              <w:t>diversification</w:t>
            </w:r>
          </w:p>
        </w:tc>
        <w:tc>
          <w:tcPr>
            <w:tcW w:w="2410" w:type="dxa"/>
          </w:tcPr>
          <w:p w14:paraId="55CA0451" w14:textId="639E91A1" w:rsidR="00586BAC" w:rsidRDefault="00586BAC" w:rsidP="006467BF">
            <w:pPr>
              <w:spacing w:after="200" w:line="276" w:lineRule="auto"/>
              <w:rPr>
                <w:sz w:val="17"/>
                <w:szCs w:val="17"/>
              </w:rPr>
            </w:pPr>
            <w:r w:rsidRPr="00BD5AF9">
              <w:rPr>
                <w:b/>
                <w:bCs/>
                <w:color w:val="FF0000"/>
                <w:sz w:val="17"/>
                <w:szCs w:val="17"/>
              </w:rPr>
              <w:t>[Negative]</w:t>
            </w:r>
            <w:r>
              <w:rPr>
                <w:b/>
                <w:bCs/>
                <w:color w:val="FF0000"/>
                <w:szCs w:val="17"/>
              </w:rPr>
              <w:t xml:space="preserve"> </w:t>
            </w:r>
            <w:r w:rsidRPr="008E27A9">
              <w:rPr>
                <w:sz w:val="17"/>
                <w:szCs w:val="17"/>
              </w:rPr>
              <w:t>No change expected</w:t>
            </w:r>
          </w:p>
        </w:tc>
        <w:tc>
          <w:tcPr>
            <w:tcW w:w="2126" w:type="dxa"/>
          </w:tcPr>
          <w:p w14:paraId="42146F77" w14:textId="5545BA35" w:rsidR="00586BAC" w:rsidRDefault="00586BAC" w:rsidP="006467BF">
            <w:pPr>
              <w:spacing w:after="200" w:line="276" w:lineRule="auto"/>
              <w:rPr>
                <w:sz w:val="17"/>
                <w:szCs w:val="17"/>
              </w:rPr>
            </w:pPr>
            <w:r w:rsidRPr="00BD5AF9">
              <w:rPr>
                <w:b/>
                <w:bCs/>
                <w:color w:val="FF0000"/>
                <w:sz w:val="17"/>
                <w:szCs w:val="17"/>
              </w:rPr>
              <w:t>[Negative]</w:t>
            </w:r>
            <w:r>
              <w:rPr>
                <w:b/>
                <w:bCs/>
                <w:color w:val="FF0000"/>
                <w:szCs w:val="17"/>
              </w:rPr>
              <w:t xml:space="preserve"> </w:t>
            </w:r>
            <w:r>
              <w:rPr>
                <w:sz w:val="17"/>
                <w:szCs w:val="17"/>
              </w:rPr>
              <w:t>Not discussed</w:t>
            </w:r>
          </w:p>
        </w:tc>
        <w:tc>
          <w:tcPr>
            <w:tcW w:w="3402" w:type="dxa"/>
          </w:tcPr>
          <w:p w14:paraId="2505127B" w14:textId="1201E234" w:rsidR="00586BAC" w:rsidRDefault="00CB1A0A" w:rsidP="006467BF">
            <w:pPr>
              <w:spacing w:after="200" w:line="276" w:lineRule="auto"/>
              <w:rPr>
                <w:sz w:val="17"/>
                <w:szCs w:val="17"/>
              </w:rPr>
            </w:pPr>
            <w:r>
              <w:rPr>
                <w:b/>
                <w:bCs/>
                <w:color w:val="FF0000"/>
                <w:sz w:val="17"/>
                <w:szCs w:val="17"/>
              </w:rPr>
              <w:t>[</w:t>
            </w:r>
            <w:r w:rsidRPr="00BD5AF9">
              <w:rPr>
                <w:b/>
                <w:bCs/>
                <w:color w:val="FF0000"/>
                <w:sz w:val="17"/>
                <w:szCs w:val="17"/>
              </w:rPr>
              <w:t>Negative]</w:t>
            </w:r>
            <w:r w:rsidDel="00953F8B">
              <w:rPr>
                <w:b/>
                <w:bCs/>
                <w:color w:val="FF0000"/>
                <w:sz w:val="17"/>
                <w:szCs w:val="17"/>
              </w:rPr>
              <w:t xml:space="preserve"> </w:t>
            </w:r>
            <w:r>
              <w:rPr>
                <w:sz w:val="17"/>
                <w:szCs w:val="17"/>
              </w:rPr>
              <w:t>No mention so implicit support for EC proposal.</w:t>
            </w:r>
          </w:p>
        </w:tc>
        <w:tc>
          <w:tcPr>
            <w:tcW w:w="3544" w:type="dxa"/>
            <w:vMerge/>
          </w:tcPr>
          <w:p w14:paraId="4EA2C1E3" w14:textId="77777777" w:rsidR="00586BAC" w:rsidRDefault="00586BAC" w:rsidP="006467BF">
            <w:pPr>
              <w:spacing w:after="200" w:line="276" w:lineRule="auto"/>
              <w:rPr>
                <w:sz w:val="17"/>
                <w:szCs w:val="17"/>
              </w:rPr>
            </w:pPr>
          </w:p>
        </w:tc>
      </w:tr>
      <w:tr w:rsidR="006467BF" w14:paraId="0DC60DEC" w14:textId="77777777" w:rsidTr="00606C4B">
        <w:trPr>
          <w:trHeight w:val="4325"/>
        </w:trPr>
        <w:tc>
          <w:tcPr>
            <w:tcW w:w="1555" w:type="dxa"/>
          </w:tcPr>
          <w:p w14:paraId="5F58E349" w14:textId="0210D095" w:rsidR="006467BF" w:rsidRDefault="006467BF" w:rsidP="006467BF">
            <w:pPr>
              <w:spacing w:after="200" w:line="276" w:lineRule="auto"/>
              <w:rPr>
                <w:sz w:val="17"/>
                <w:szCs w:val="17"/>
              </w:rPr>
            </w:pPr>
            <w:r w:rsidRPr="00F57182">
              <w:rPr>
                <w:b/>
                <w:sz w:val="17"/>
                <w:szCs w:val="17"/>
              </w:rPr>
              <w:lastRenderedPageBreak/>
              <w:t>Matching adjustment</w:t>
            </w:r>
          </w:p>
        </w:tc>
        <w:tc>
          <w:tcPr>
            <w:tcW w:w="1842" w:type="dxa"/>
          </w:tcPr>
          <w:p w14:paraId="70145836" w14:textId="5A1EA04C" w:rsidR="006467BF" w:rsidRPr="00BD5AF9" w:rsidRDefault="006467BF" w:rsidP="006467BF">
            <w:pPr>
              <w:spacing w:after="200" w:line="276" w:lineRule="auto"/>
              <w:rPr>
                <w:b/>
                <w:bCs/>
                <w:color w:val="FF0000"/>
                <w:sz w:val="17"/>
                <w:szCs w:val="17"/>
              </w:rPr>
            </w:pPr>
            <w:r w:rsidRPr="00BD5AF9">
              <w:rPr>
                <w:b/>
                <w:bCs/>
                <w:color w:val="00B050"/>
                <w:sz w:val="17"/>
                <w:szCs w:val="17"/>
              </w:rPr>
              <w:t>[Positive]</w:t>
            </w:r>
            <w:r>
              <w:rPr>
                <w:b/>
                <w:bCs/>
                <w:color w:val="00B050"/>
                <w:sz w:val="17"/>
                <w:szCs w:val="17"/>
              </w:rPr>
              <w:t xml:space="preserve"> </w:t>
            </w:r>
            <w:r w:rsidRPr="00F57182">
              <w:rPr>
                <w:sz w:val="17"/>
                <w:szCs w:val="17"/>
              </w:rPr>
              <w:t>Remove limitations on</w:t>
            </w:r>
            <w:r>
              <w:rPr>
                <w:sz w:val="17"/>
                <w:szCs w:val="17"/>
              </w:rPr>
              <w:t xml:space="preserve"> </w:t>
            </w:r>
            <w:r w:rsidRPr="00F57182">
              <w:rPr>
                <w:sz w:val="17"/>
                <w:szCs w:val="17"/>
              </w:rPr>
              <w:t>diversification benefits and clarify eligibility of restructured assets.</w:t>
            </w:r>
          </w:p>
        </w:tc>
        <w:tc>
          <w:tcPr>
            <w:tcW w:w="2410" w:type="dxa"/>
          </w:tcPr>
          <w:p w14:paraId="5788F0A6" w14:textId="63F857FB" w:rsidR="006467BF" w:rsidRPr="00BD5AF9" w:rsidRDefault="006467BF" w:rsidP="006467BF">
            <w:pPr>
              <w:spacing w:after="200" w:line="276" w:lineRule="auto"/>
              <w:rPr>
                <w:b/>
                <w:bCs/>
                <w:color w:val="FF0000"/>
                <w:sz w:val="17"/>
                <w:szCs w:val="17"/>
              </w:rPr>
            </w:pPr>
            <w:r w:rsidRPr="00BD5AF9">
              <w:rPr>
                <w:b/>
                <w:bCs/>
                <w:color w:val="00B050"/>
                <w:sz w:val="17"/>
                <w:szCs w:val="17"/>
              </w:rPr>
              <w:t>[Positive]</w:t>
            </w:r>
            <w:r>
              <w:rPr>
                <w:b/>
                <w:bCs/>
                <w:color w:val="00B050"/>
                <w:sz w:val="17"/>
                <w:szCs w:val="17"/>
              </w:rPr>
              <w:t xml:space="preserve"> </w:t>
            </w:r>
            <w:r w:rsidRPr="008E27A9">
              <w:rPr>
                <w:sz w:val="17"/>
                <w:szCs w:val="17"/>
              </w:rPr>
              <w:t xml:space="preserve">EC </w:t>
            </w:r>
            <w:r>
              <w:rPr>
                <w:sz w:val="17"/>
                <w:szCs w:val="17"/>
              </w:rPr>
              <w:t>notes intention to a</w:t>
            </w:r>
            <w:r w:rsidRPr="008E27A9">
              <w:rPr>
                <w:sz w:val="17"/>
                <w:szCs w:val="17"/>
              </w:rPr>
              <w:t>dopt EIOPA proposal</w:t>
            </w:r>
          </w:p>
        </w:tc>
        <w:tc>
          <w:tcPr>
            <w:tcW w:w="2126" w:type="dxa"/>
          </w:tcPr>
          <w:p w14:paraId="3B84F2D6" w14:textId="39FF1972" w:rsidR="006467BF" w:rsidRPr="00BD5AF9" w:rsidRDefault="006467BF" w:rsidP="006467BF">
            <w:pPr>
              <w:spacing w:after="200" w:line="276" w:lineRule="auto"/>
              <w:rPr>
                <w:b/>
                <w:bCs/>
                <w:color w:val="FF0000"/>
                <w:sz w:val="17"/>
                <w:szCs w:val="17"/>
              </w:rPr>
            </w:pPr>
            <w:r w:rsidRPr="00BD5AF9">
              <w:rPr>
                <w:b/>
                <w:bCs/>
                <w:color w:val="00B050"/>
                <w:sz w:val="17"/>
                <w:szCs w:val="17"/>
              </w:rPr>
              <w:t>[Positive]</w:t>
            </w:r>
            <w:r>
              <w:rPr>
                <w:b/>
                <w:bCs/>
                <w:color w:val="00B050"/>
                <w:sz w:val="17"/>
                <w:szCs w:val="17"/>
              </w:rPr>
              <w:t xml:space="preserve"> </w:t>
            </w:r>
            <w:r w:rsidRPr="00F57182">
              <w:rPr>
                <w:sz w:val="17"/>
                <w:szCs w:val="17"/>
              </w:rPr>
              <w:t>No known opposition to the EC proposal</w:t>
            </w:r>
            <w:r>
              <w:rPr>
                <w:sz w:val="17"/>
                <w:szCs w:val="17"/>
              </w:rPr>
              <w:t xml:space="preserve"> (Art 77b)</w:t>
            </w:r>
          </w:p>
        </w:tc>
        <w:tc>
          <w:tcPr>
            <w:tcW w:w="3402" w:type="dxa"/>
          </w:tcPr>
          <w:p w14:paraId="18DBAA00" w14:textId="2215B901" w:rsidR="006467BF" w:rsidRDefault="00772132" w:rsidP="00382881">
            <w:pPr>
              <w:tabs>
                <w:tab w:val="left" w:pos="3815"/>
              </w:tabs>
              <w:rPr>
                <w:sz w:val="17"/>
                <w:szCs w:val="17"/>
              </w:rPr>
            </w:pPr>
            <w:r>
              <w:rPr>
                <w:b/>
                <w:bCs/>
                <w:color w:val="FF0000"/>
                <w:sz w:val="17"/>
                <w:szCs w:val="17"/>
              </w:rPr>
              <w:t>[</w:t>
            </w:r>
            <w:r w:rsidRPr="00BD5AF9">
              <w:rPr>
                <w:b/>
                <w:bCs/>
                <w:color w:val="FF0000"/>
                <w:sz w:val="17"/>
                <w:szCs w:val="17"/>
              </w:rPr>
              <w:t>Negative]</w:t>
            </w:r>
            <w:r w:rsidR="009D446C">
              <w:rPr>
                <w:b/>
                <w:bCs/>
                <w:color w:val="FF0000"/>
                <w:sz w:val="17"/>
                <w:szCs w:val="17"/>
              </w:rPr>
              <w:t xml:space="preserve"> </w:t>
            </w:r>
            <w:r w:rsidR="00010B7D">
              <w:rPr>
                <w:sz w:val="17"/>
                <w:szCs w:val="17"/>
              </w:rPr>
              <w:t>Ring-fencing is removed</w:t>
            </w:r>
            <w:r w:rsidR="00C2682E">
              <w:rPr>
                <w:sz w:val="17"/>
                <w:szCs w:val="17"/>
              </w:rPr>
              <w:t xml:space="preserve"> by deleting point </w:t>
            </w:r>
            <w:r w:rsidR="002E09F6">
              <w:rPr>
                <w:sz w:val="17"/>
                <w:szCs w:val="17"/>
              </w:rPr>
              <w:t>(b) of paragraph 1 Article 77b</w:t>
            </w:r>
            <w:r w:rsidR="00D558B9">
              <w:rPr>
                <w:sz w:val="17"/>
                <w:szCs w:val="17"/>
              </w:rPr>
              <w:t>.</w:t>
            </w:r>
            <w:r w:rsidR="00946A06">
              <w:rPr>
                <w:sz w:val="17"/>
                <w:szCs w:val="17"/>
              </w:rPr>
              <w:t xml:space="preserve"> </w:t>
            </w:r>
          </w:p>
          <w:p w14:paraId="11E7554D" w14:textId="77777777" w:rsidR="00D45F84" w:rsidRDefault="00380AF8" w:rsidP="00C67C6C">
            <w:pPr>
              <w:tabs>
                <w:tab w:val="left" w:pos="3815"/>
              </w:tabs>
              <w:rPr>
                <w:sz w:val="17"/>
                <w:szCs w:val="17"/>
              </w:rPr>
            </w:pPr>
            <w:r>
              <w:rPr>
                <w:sz w:val="17"/>
                <w:szCs w:val="17"/>
              </w:rPr>
              <w:t xml:space="preserve">They haven’t commented on the </w:t>
            </w:r>
            <w:r w:rsidR="00CF3863">
              <w:rPr>
                <w:sz w:val="17"/>
                <w:szCs w:val="17"/>
              </w:rPr>
              <w:t xml:space="preserve">EC’s </w:t>
            </w:r>
            <w:r>
              <w:rPr>
                <w:sz w:val="17"/>
                <w:szCs w:val="17"/>
              </w:rPr>
              <w:t xml:space="preserve">L2 proposals </w:t>
            </w:r>
            <w:r w:rsidR="00CF3863">
              <w:rPr>
                <w:sz w:val="17"/>
                <w:szCs w:val="17"/>
              </w:rPr>
              <w:t>which implies they are supportive.</w:t>
            </w:r>
          </w:p>
          <w:p w14:paraId="34E7F3F7" w14:textId="77777777" w:rsidR="00A06944" w:rsidRDefault="00A06944" w:rsidP="00C67C6C">
            <w:pPr>
              <w:tabs>
                <w:tab w:val="left" w:pos="3815"/>
              </w:tabs>
              <w:rPr>
                <w:sz w:val="17"/>
                <w:szCs w:val="17"/>
              </w:rPr>
            </w:pPr>
          </w:p>
          <w:p w14:paraId="41870A0C" w14:textId="374EB794" w:rsidR="00A06944" w:rsidRDefault="00A06944" w:rsidP="00A06944">
            <w:pPr>
              <w:tabs>
                <w:tab w:val="left" w:pos="3815"/>
              </w:tabs>
              <w:rPr>
                <w:color w:val="1F497D" w:themeColor="text2"/>
                <w:sz w:val="17"/>
                <w:szCs w:val="17"/>
              </w:rPr>
            </w:pPr>
            <w:r>
              <w:rPr>
                <w:b/>
                <w:bCs/>
                <w:color w:val="FF0000"/>
                <w:sz w:val="17"/>
                <w:szCs w:val="17"/>
              </w:rPr>
              <w:t>[</w:t>
            </w:r>
            <w:r w:rsidRPr="00BD5AF9">
              <w:rPr>
                <w:b/>
                <w:bCs/>
                <w:color w:val="FF0000"/>
                <w:sz w:val="17"/>
                <w:szCs w:val="17"/>
              </w:rPr>
              <w:t>Negative]</w:t>
            </w:r>
            <w:r>
              <w:rPr>
                <w:b/>
                <w:bCs/>
                <w:color w:val="FF0000"/>
                <w:sz w:val="17"/>
                <w:szCs w:val="17"/>
              </w:rPr>
              <w:t xml:space="preserve"> </w:t>
            </w:r>
            <w:r w:rsidRPr="005907DE">
              <w:rPr>
                <w:color w:val="000000" w:themeColor="text1"/>
                <w:sz w:val="17"/>
                <w:szCs w:val="17"/>
              </w:rPr>
              <w:t>The first part of point (b) of paragraph 1 Article 77b is a fundamental requirement for the MA and shouldn´t be deleted.</w:t>
            </w:r>
          </w:p>
          <w:p w14:paraId="7499347D" w14:textId="77777777" w:rsidR="00A06944" w:rsidRDefault="00A06944" w:rsidP="00A06944">
            <w:pPr>
              <w:tabs>
                <w:tab w:val="left" w:pos="3815"/>
              </w:tabs>
              <w:rPr>
                <w:color w:val="000000" w:themeColor="text1"/>
                <w:sz w:val="17"/>
                <w:szCs w:val="17"/>
              </w:rPr>
            </w:pPr>
          </w:p>
          <w:p w14:paraId="347FA037" w14:textId="77777777" w:rsidR="00A06944" w:rsidRDefault="00A06944" w:rsidP="00A06944">
            <w:pPr>
              <w:tabs>
                <w:tab w:val="left" w:pos="3815"/>
              </w:tabs>
              <w:rPr>
                <w:color w:val="1F497D" w:themeColor="text2"/>
                <w:sz w:val="17"/>
                <w:szCs w:val="17"/>
              </w:rPr>
            </w:pPr>
            <w:r w:rsidRPr="00E81780">
              <w:rPr>
                <w:b/>
                <w:bCs/>
                <w:color w:val="E36C0A" w:themeColor="accent6" w:themeShade="BF"/>
                <w:sz w:val="17"/>
                <w:szCs w:val="17"/>
              </w:rPr>
              <w:t>[Neutral]</w:t>
            </w:r>
            <w:r>
              <w:rPr>
                <w:b/>
                <w:bCs/>
                <w:color w:val="E36C0A" w:themeColor="accent6" w:themeShade="BF"/>
                <w:sz w:val="17"/>
                <w:szCs w:val="17"/>
              </w:rPr>
              <w:t xml:space="preserve"> </w:t>
            </w:r>
            <w:r>
              <w:rPr>
                <w:color w:val="000000" w:themeColor="text1"/>
                <w:sz w:val="17"/>
                <w:szCs w:val="17"/>
              </w:rPr>
              <w:t xml:space="preserve">The second part of </w:t>
            </w:r>
            <w:r w:rsidRPr="00D60023">
              <w:rPr>
                <w:color w:val="000000" w:themeColor="text1"/>
                <w:sz w:val="17"/>
                <w:szCs w:val="17"/>
              </w:rPr>
              <w:t xml:space="preserve">point (b) of paragraph 1 Article 77b (is unnecessary in view of </w:t>
            </w:r>
            <w:r w:rsidRPr="005907DE">
              <w:rPr>
                <w:color w:val="000000" w:themeColor="text1"/>
                <w:sz w:val="17"/>
                <w:szCs w:val="17"/>
              </w:rPr>
              <w:t>Recital 43</w:t>
            </w:r>
            <w:r>
              <w:rPr>
                <w:color w:val="000000" w:themeColor="text1"/>
                <w:sz w:val="17"/>
                <w:szCs w:val="17"/>
              </w:rPr>
              <w:t xml:space="preserve"> </w:t>
            </w:r>
            <w:r w:rsidRPr="005907DE">
              <w:rPr>
                <w:color w:val="000000" w:themeColor="text1"/>
                <w:sz w:val="17"/>
                <w:szCs w:val="17"/>
              </w:rPr>
              <w:t>proposed by the EC and Council proposal</w:t>
            </w:r>
            <w:r>
              <w:rPr>
                <w:color w:val="000000" w:themeColor="text1"/>
                <w:sz w:val="17"/>
                <w:szCs w:val="17"/>
              </w:rPr>
              <w:t xml:space="preserve"> and the changes being discussed in level 2</w:t>
            </w:r>
            <w:r w:rsidRPr="005907DE">
              <w:rPr>
                <w:color w:val="000000" w:themeColor="text1"/>
                <w:sz w:val="17"/>
                <w:szCs w:val="17"/>
              </w:rPr>
              <w:t>.</w:t>
            </w:r>
          </w:p>
          <w:p w14:paraId="1F321AC0" w14:textId="77777777" w:rsidR="00A06944" w:rsidRDefault="00A06944" w:rsidP="00A06944">
            <w:pPr>
              <w:tabs>
                <w:tab w:val="left" w:pos="3815"/>
              </w:tabs>
              <w:rPr>
                <w:color w:val="1F497D" w:themeColor="text2"/>
                <w:sz w:val="17"/>
                <w:szCs w:val="17"/>
              </w:rPr>
            </w:pPr>
          </w:p>
          <w:p w14:paraId="7664D01C" w14:textId="6038F723" w:rsidR="00A06944" w:rsidRDefault="00A06944" w:rsidP="00A06944">
            <w:pPr>
              <w:tabs>
                <w:tab w:val="left" w:pos="3815"/>
              </w:tabs>
              <w:rPr>
                <w:sz w:val="17"/>
                <w:szCs w:val="17"/>
              </w:rPr>
            </w:pPr>
            <w:r w:rsidRPr="008A4EA2">
              <w:rPr>
                <w:b/>
                <w:bCs/>
                <w:color w:val="E36C0A" w:themeColor="accent6" w:themeShade="BF"/>
                <w:sz w:val="17"/>
                <w:szCs w:val="17"/>
              </w:rPr>
              <w:t>[Neutral]</w:t>
            </w:r>
            <w:r w:rsidRPr="00E7390B">
              <w:rPr>
                <w:b/>
                <w:bCs/>
                <w:sz w:val="17"/>
                <w:szCs w:val="17"/>
              </w:rPr>
              <w:t xml:space="preserve"> </w:t>
            </w:r>
            <w:r w:rsidRPr="00E7390B">
              <w:rPr>
                <w:sz w:val="17"/>
                <w:szCs w:val="17"/>
              </w:rPr>
              <w:t>The change</w:t>
            </w:r>
            <w:r>
              <w:rPr>
                <w:sz w:val="17"/>
                <w:szCs w:val="17"/>
              </w:rPr>
              <w:t xml:space="preserve"> in point (i) seems neutral but we don’t see any benefit from this modification.</w:t>
            </w:r>
          </w:p>
        </w:tc>
        <w:tc>
          <w:tcPr>
            <w:tcW w:w="3544" w:type="dxa"/>
          </w:tcPr>
          <w:p w14:paraId="3A30E6DF" w14:textId="4756A69C" w:rsidR="001629C3" w:rsidRDefault="00B8319B" w:rsidP="00382881">
            <w:pPr>
              <w:tabs>
                <w:tab w:val="left" w:pos="3815"/>
              </w:tabs>
              <w:rPr>
                <w:color w:val="000000" w:themeColor="text1"/>
                <w:sz w:val="17"/>
                <w:szCs w:val="17"/>
              </w:rPr>
            </w:pPr>
            <w:r>
              <w:rPr>
                <w:b/>
                <w:bCs/>
                <w:color w:val="FF0000"/>
                <w:sz w:val="17"/>
                <w:szCs w:val="17"/>
              </w:rPr>
              <w:t>[</w:t>
            </w:r>
            <w:r w:rsidRPr="00BD5AF9">
              <w:rPr>
                <w:b/>
                <w:bCs/>
                <w:color w:val="FF0000"/>
                <w:sz w:val="17"/>
                <w:szCs w:val="17"/>
              </w:rPr>
              <w:t>Negative]</w:t>
            </w:r>
          </w:p>
          <w:p w14:paraId="3C7FC475" w14:textId="70DA406C" w:rsidR="001629C3" w:rsidRDefault="001629C3" w:rsidP="00382881">
            <w:pPr>
              <w:tabs>
                <w:tab w:val="left" w:pos="3815"/>
              </w:tabs>
              <w:rPr>
                <w:color w:val="000000" w:themeColor="text1"/>
                <w:sz w:val="17"/>
                <w:szCs w:val="17"/>
              </w:rPr>
            </w:pPr>
          </w:p>
          <w:p w14:paraId="4169AAC0" w14:textId="4257E1A1" w:rsidR="000E0F7C" w:rsidRDefault="00D60023" w:rsidP="00606C4B">
            <w:pPr>
              <w:spacing w:after="200" w:line="276" w:lineRule="auto"/>
              <w:rPr>
                <w:color w:val="000000" w:themeColor="text1"/>
                <w:sz w:val="17"/>
                <w:szCs w:val="17"/>
              </w:rPr>
            </w:pPr>
            <w:r>
              <w:rPr>
                <w:b/>
                <w:bCs/>
                <w:color w:val="1F497D" w:themeColor="text2"/>
                <w:sz w:val="17"/>
                <w:szCs w:val="17"/>
              </w:rPr>
              <w:t>W</w:t>
            </w:r>
            <w:r w:rsidR="001629C3">
              <w:rPr>
                <w:b/>
                <w:bCs/>
                <w:color w:val="1F497D" w:themeColor="text2"/>
                <w:sz w:val="17"/>
                <w:szCs w:val="17"/>
              </w:rPr>
              <w:t xml:space="preserve">ay forward: </w:t>
            </w:r>
            <w:r w:rsidR="000322E7" w:rsidRPr="000322E7">
              <w:rPr>
                <w:color w:val="1F497D" w:themeColor="text2"/>
                <w:sz w:val="17"/>
                <w:szCs w:val="17"/>
              </w:rPr>
              <w:t xml:space="preserve">Support </w:t>
            </w:r>
            <w:r w:rsidR="000322E7">
              <w:rPr>
                <w:color w:val="1F497D" w:themeColor="text2"/>
                <w:sz w:val="17"/>
                <w:szCs w:val="17"/>
              </w:rPr>
              <w:t>no change</w:t>
            </w:r>
            <w:r w:rsidR="000E0F7C">
              <w:rPr>
                <w:color w:val="1F497D" w:themeColor="text2"/>
                <w:sz w:val="17"/>
                <w:szCs w:val="17"/>
              </w:rPr>
              <w:t xml:space="preserve"> to Article 77b</w:t>
            </w:r>
            <w:r w:rsidR="000322E7">
              <w:rPr>
                <w:color w:val="1F497D" w:themeColor="text2"/>
                <w:sz w:val="17"/>
                <w:szCs w:val="17"/>
              </w:rPr>
              <w:t xml:space="preserve"> ie oppose rapporteur’s proposed amendments.</w:t>
            </w:r>
          </w:p>
          <w:p w14:paraId="1490B03F" w14:textId="1010B2FA" w:rsidR="00722171" w:rsidRPr="00010B7D" w:rsidRDefault="00722171" w:rsidP="00F15250">
            <w:pPr>
              <w:tabs>
                <w:tab w:val="left" w:pos="3815"/>
              </w:tabs>
              <w:rPr>
                <w:color w:val="000000" w:themeColor="text1"/>
                <w:sz w:val="17"/>
                <w:szCs w:val="17"/>
              </w:rPr>
            </w:pPr>
          </w:p>
        </w:tc>
      </w:tr>
      <w:tr w:rsidR="006467BF" w14:paraId="1FEF1BB5" w14:textId="77777777" w:rsidTr="00606C4B">
        <w:tc>
          <w:tcPr>
            <w:tcW w:w="1555" w:type="dxa"/>
          </w:tcPr>
          <w:p w14:paraId="2260C784" w14:textId="3306BC4E" w:rsidR="006467BF" w:rsidRPr="00F57182" w:rsidRDefault="006467BF" w:rsidP="006467BF">
            <w:pPr>
              <w:spacing w:after="200" w:line="276" w:lineRule="auto"/>
              <w:rPr>
                <w:b/>
                <w:sz w:val="17"/>
                <w:szCs w:val="17"/>
              </w:rPr>
            </w:pPr>
            <w:r w:rsidRPr="00F57182">
              <w:rPr>
                <w:b/>
                <w:sz w:val="17"/>
                <w:szCs w:val="17"/>
              </w:rPr>
              <w:t>Interest rate risk</w:t>
            </w:r>
          </w:p>
        </w:tc>
        <w:tc>
          <w:tcPr>
            <w:tcW w:w="1842" w:type="dxa"/>
          </w:tcPr>
          <w:p w14:paraId="2472D61A" w14:textId="77777777" w:rsidR="006467BF" w:rsidRDefault="006467BF" w:rsidP="006467BF">
            <w:pPr>
              <w:tabs>
                <w:tab w:val="left" w:pos="3815"/>
              </w:tabs>
              <w:rPr>
                <w:sz w:val="17"/>
                <w:szCs w:val="17"/>
              </w:rPr>
            </w:pPr>
            <w:r w:rsidRPr="00BD5AF9">
              <w:rPr>
                <w:b/>
                <w:bCs/>
                <w:color w:val="E36C0A" w:themeColor="accent6" w:themeShade="BF"/>
                <w:sz w:val="17"/>
                <w:szCs w:val="17"/>
              </w:rPr>
              <w:t>[Neutral]</w:t>
            </w:r>
            <w:r>
              <w:rPr>
                <w:b/>
                <w:bCs/>
                <w:color w:val="E36C0A" w:themeColor="accent6" w:themeShade="BF"/>
                <w:sz w:val="17"/>
                <w:szCs w:val="17"/>
              </w:rPr>
              <w:t xml:space="preserve"> </w:t>
            </w:r>
            <w:r w:rsidRPr="00F57182">
              <w:rPr>
                <w:sz w:val="17"/>
                <w:szCs w:val="17"/>
              </w:rPr>
              <w:t xml:space="preserve">EIOPA proposed using shifted methodology but </w:t>
            </w:r>
          </w:p>
          <w:p w14:paraId="648C6E26" w14:textId="77777777" w:rsidR="006467BF" w:rsidRDefault="006467BF" w:rsidP="006467BF">
            <w:pPr>
              <w:tabs>
                <w:tab w:val="left" w:pos="3815"/>
              </w:tabs>
              <w:rPr>
                <w:sz w:val="17"/>
                <w:szCs w:val="17"/>
              </w:rPr>
            </w:pPr>
            <w:r>
              <w:rPr>
                <w:sz w:val="17"/>
                <w:szCs w:val="17"/>
              </w:rPr>
              <w:t xml:space="preserve">1. did not </w:t>
            </w:r>
            <w:r w:rsidRPr="00F57182">
              <w:rPr>
                <w:sz w:val="17"/>
                <w:szCs w:val="17"/>
              </w:rPr>
              <w:t>reflect extrapolation methodology in the illiquid part of curve and</w:t>
            </w:r>
          </w:p>
          <w:p w14:paraId="75D2E7B2" w14:textId="7A6A8550" w:rsidR="006467BF" w:rsidRPr="00BD5AF9" w:rsidRDefault="006467BF" w:rsidP="006467BF">
            <w:pPr>
              <w:spacing w:after="200" w:line="276" w:lineRule="auto"/>
              <w:rPr>
                <w:b/>
                <w:bCs/>
                <w:color w:val="00B050"/>
                <w:sz w:val="17"/>
                <w:szCs w:val="17"/>
              </w:rPr>
            </w:pPr>
            <w:r>
              <w:rPr>
                <w:sz w:val="17"/>
                <w:szCs w:val="17"/>
              </w:rPr>
              <w:t xml:space="preserve">2. did not introduce limitations on the impact on the </w:t>
            </w:r>
            <w:r>
              <w:rPr>
                <w:sz w:val="17"/>
                <w:szCs w:val="17"/>
              </w:rPr>
              <w:lastRenderedPageBreak/>
              <w:t>liquid part of the curve</w:t>
            </w:r>
          </w:p>
        </w:tc>
        <w:tc>
          <w:tcPr>
            <w:tcW w:w="2410" w:type="dxa"/>
          </w:tcPr>
          <w:p w14:paraId="370F8237" w14:textId="63894246" w:rsidR="006467BF" w:rsidRPr="00BD5AF9" w:rsidRDefault="006467BF" w:rsidP="006467BF">
            <w:pPr>
              <w:spacing w:after="200" w:line="276" w:lineRule="auto"/>
              <w:rPr>
                <w:b/>
                <w:bCs/>
                <w:color w:val="00B050"/>
                <w:sz w:val="17"/>
                <w:szCs w:val="17"/>
              </w:rPr>
            </w:pPr>
            <w:r w:rsidRPr="00061C49">
              <w:rPr>
                <w:b/>
                <w:bCs/>
                <w:color w:val="00B050"/>
                <w:sz w:val="17"/>
                <w:szCs w:val="17"/>
              </w:rPr>
              <w:lastRenderedPageBreak/>
              <w:t>[Positive]</w:t>
            </w:r>
            <w:r w:rsidRPr="00C56093">
              <w:rPr>
                <w:b/>
                <w:color w:val="00B050"/>
                <w:sz w:val="17"/>
                <w:szCs w:val="17"/>
              </w:rPr>
              <w:t xml:space="preserve"> </w:t>
            </w:r>
            <w:r w:rsidRPr="00F57182">
              <w:rPr>
                <w:sz w:val="17"/>
                <w:szCs w:val="17"/>
              </w:rPr>
              <w:t>EC accepts EIOPA proposals but introduced extrapolation of the stressed curves.</w:t>
            </w:r>
          </w:p>
        </w:tc>
        <w:tc>
          <w:tcPr>
            <w:tcW w:w="2126" w:type="dxa"/>
          </w:tcPr>
          <w:p w14:paraId="23C06D25" w14:textId="77777777" w:rsidR="006467BF" w:rsidRDefault="006467BF" w:rsidP="006467BF">
            <w:pPr>
              <w:tabs>
                <w:tab w:val="left" w:pos="3815"/>
              </w:tabs>
              <w:rPr>
                <w:sz w:val="17"/>
                <w:szCs w:val="17"/>
              </w:rPr>
            </w:pPr>
            <w:r w:rsidRPr="00BD5AF9">
              <w:rPr>
                <w:b/>
                <w:bCs/>
                <w:color w:val="E36C0A" w:themeColor="accent6" w:themeShade="BF"/>
                <w:sz w:val="17"/>
                <w:szCs w:val="17"/>
              </w:rPr>
              <w:t>[Neutral]</w:t>
            </w:r>
            <w:r>
              <w:rPr>
                <w:b/>
                <w:bCs/>
                <w:color w:val="E36C0A" w:themeColor="accent6" w:themeShade="BF"/>
                <w:sz w:val="17"/>
                <w:szCs w:val="17"/>
              </w:rPr>
              <w:t xml:space="preserve"> </w:t>
            </w:r>
            <w:r w:rsidRPr="00F57182">
              <w:rPr>
                <w:sz w:val="17"/>
                <w:szCs w:val="17"/>
              </w:rPr>
              <w:t>Majority of MS accept EC proposals and also support</w:t>
            </w:r>
            <w:r w:rsidRPr="00F57182">
              <w:rPr>
                <w:b/>
                <w:sz w:val="17"/>
                <w:szCs w:val="17"/>
              </w:rPr>
              <w:t xml:space="preserve"> </w:t>
            </w:r>
            <w:r w:rsidRPr="00F57182">
              <w:rPr>
                <w:sz w:val="17"/>
                <w:szCs w:val="17"/>
              </w:rPr>
              <w:t>EIOPA’s proposed -1.25% floor</w:t>
            </w:r>
            <w:r>
              <w:rPr>
                <w:sz w:val="17"/>
                <w:szCs w:val="17"/>
              </w:rPr>
              <w:t>.</w:t>
            </w:r>
          </w:p>
          <w:p w14:paraId="2827E5A1" w14:textId="77777777" w:rsidR="006467BF" w:rsidRDefault="006467BF" w:rsidP="006467BF">
            <w:pPr>
              <w:tabs>
                <w:tab w:val="left" w:pos="3815"/>
              </w:tabs>
              <w:rPr>
                <w:b/>
                <w:bCs/>
                <w:color w:val="FF0000"/>
                <w:sz w:val="17"/>
                <w:szCs w:val="17"/>
              </w:rPr>
            </w:pPr>
          </w:p>
          <w:p w14:paraId="1DA12C61" w14:textId="77777777" w:rsidR="006467BF" w:rsidRDefault="006467BF" w:rsidP="006467BF">
            <w:pPr>
              <w:tabs>
                <w:tab w:val="left" w:pos="3815"/>
              </w:tabs>
              <w:rPr>
                <w:sz w:val="17"/>
                <w:szCs w:val="17"/>
              </w:rPr>
            </w:pPr>
            <w:r w:rsidRPr="00765D77">
              <w:rPr>
                <w:sz w:val="17"/>
                <w:szCs w:val="17"/>
              </w:rPr>
              <w:t xml:space="preserve">FR compromise proposal includes </w:t>
            </w:r>
            <w:r>
              <w:rPr>
                <w:sz w:val="17"/>
                <w:szCs w:val="17"/>
              </w:rPr>
              <w:t xml:space="preserve">a mandatory </w:t>
            </w:r>
            <w:r w:rsidRPr="00765D77">
              <w:rPr>
                <w:sz w:val="17"/>
                <w:szCs w:val="17"/>
              </w:rPr>
              <w:t>5-year transitional measure for implementation of IRR changes</w:t>
            </w:r>
            <w:r>
              <w:rPr>
                <w:sz w:val="17"/>
                <w:szCs w:val="17"/>
              </w:rPr>
              <w:t xml:space="preserve">. </w:t>
            </w:r>
          </w:p>
          <w:p w14:paraId="4B304560" w14:textId="77777777" w:rsidR="006467BF" w:rsidRDefault="006467BF" w:rsidP="006467BF">
            <w:pPr>
              <w:tabs>
                <w:tab w:val="left" w:pos="3815"/>
              </w:tabs>
              <w:rPr>
                <w:sz w:val="17"/>
                <w:szCs w:val="17"/>
              </w:rPr>
            </w:pPr>
          </w:p>
          <w:p w14:paraId="690336D8" w14:textId="15E2604D" w:rsidR="006467BF" w:rsidRPr="00BD5AF9" w:rsidRDefault="006467BF" w:rsidP="006467BF">
            <w:pPr>
              <w:spacing w:after="200" w:line="276" w:lineRule="auto"/>
              <w:rPr>
                <w:b/>
                <w:bCs/>
                <w:color w:val="00B050"/>
                <w:sz w:val="17"/>
                <w:szCs w:val="17"/>
              </w:rPr>
            </w:pPr>
            <w:r>
              <w:rPr>
                <w:sz w:val="17"/>
                <w:szCs w:val="17"/>
              </w:rPr>
              <w:t>Impact of transitional proposed to be disclosed separately in the SFCR. (Art 111(1)(b), Rec 42a)</w:t>
            </w:r>
          </w:p>
        </w:tc>
        <w:tc>
          <w:tcPr>
            <w:tcW w:w="3402" w:type="dxa"/>
          </w:tcPr>
          <w:p w14:paraId="28951715" w14:textId="77777777" w:rsidR="006467BF" w:rsidRDefault="006467BF" w:rsidP="006467BF">
            <w:pPr>
              <w:tabs>
                <w:tab w:val="left" w:pos="3815"/>
              </w:tabs>
              <w:rPr>
                <w:b/>
                <w:bCs/>
                <w:color w:val="00B050"/>
                <w:sz w:val="17"/>
                <w:szCs w:val="17"/>
              </w:rPr>
            </w:pPr>
            <w:r w:rsidRPr="00BD5AF9">
              <w:rPr>
                <w:b/>
                <w:bCs/>
                <w:color w:val="00B050"/>
                <w:sz w:val="17"/>
                <w:szCs w:val="17"/>
              </w:rPr>
              <w:lastRenderedPageBreak/>
              <w:t>[Positive]</w:t>
            </w:r>
          </w:p>
          <w:p w14:paraId="7AA34170" w14:textId="77777777" w:rsidR="006467BF" w:rsidRPr="001E30CE" w:rsidRDefault="006467BF" w:rsidP="00F15250">
            <w:pPr>
              <w:rPr>
                <w:szCs w:val="17"/>
              </w:rPr>
            </w:pPr>
            <w:r w:rsidRPr="00F15250">
              <w:rPr>
                <w:sz w:val="17"/>
                <w:szCs w:val="17"/>
              </w:rPr>
              <w:t>Inclusion of a recital saying that the changes to the SCR module for IRR should be done in a way to avoid disruptions (recital 43a/A16)</w:t>
            </w:r>
          </w:p>
          <w:p w14:paraId="6F6B2093" w14:textId="77777777" w:rsidR="00E9170D" w:rsidRDefault="006467BF" w:rsidP="00E9170D">
            <w:pPr>
              <w:rPr>
                <w:sz w:val="17"/>
                <w:szCs w:val="17"/>
              </w:rPr>
            </w:pPr>
            <w:r w:rsidRPr="00F15250">
              <w:rPr>
                <w:sz w:val="17"/>
                <w:szCs w:val="17"/>
              </w:rPr>
              <w:t>Art 111(1)(2a)/A134</w:t>
            </w:r>
            <w:r w:rsidR="00E9170D">
              <w:rPr>
                <w:sz w:val="17"/>
                <w:szCs w:val="17"/>
              </w:rPr>
              <w:t>.</w:t>
            </w:r>
          </w:p>
          <w:p w14:paraId="0E562D3E" w14:textId="77777777" w:rsidR="00E9170D" w:rsidRDefault="00E9170D" w:rsidP="00E9170D">
            <w:pPr>
              <w:rPr>
                <w:sz w:val="17"/>
                <w:szCs w:val="17"/>
              </w:rPr>
            </w:pPr>
          </w:p>
          <w:p w14:paraId="77475401" w14:textId="09F65C0C" w:rsidR="006778E8" w:rsidRDefault="00B918E3" w:rsidP="00E9170D">
            <w:pPr>
              <w:rPr>
                <w:sz w:val="17"/>
                <w:szCs w:val="17"/>
              </w:rPr>
            </w:pPr>
            <w:r>
              <w:rPr>
                <w:sz w:val="17"/>
                <w:szCs w:val="17"/>
              </w:rPr>
              <w:t xml:space="preserve">EP proposes </w:t>
            </w:r>
            <w:r w:rsidR="006467BF" w:rsidRPr="00F15250">
              <w:rPr>
                <w:sz w:val="17"/>
                <w:szCs w:val="17"/>
              </w:rPr>
              <w:t>introduction of a floor</w:t>
            </w:r>
            <w:r w:rsidR="00527E69">
              <w:rPr>
                <w:sz w:val="17"/>
                <w:szCs w:val="17"/>
              </w:rPr>
              <w:t xml:space="preserve"> in L1 text</w:t>
            </w:r>
            <w:r w:rsidR="00A87733">
              <w:rPr>
                <w:sz w:val="17"/>
                <w:szCs w:val="17"/>
              </w:rPr>
              <w:t xml:space="preserve"> although the guidance provided on the level of the floor is difficult to understand.</w:t>
            </w:r>
          </w:p>
          <w:p w14:paraId="53A57303" w14:textId="77777777" w:rsidR="006778E8" w:rsidRDefault="006778E8" w:rsidP="00E9170D">
            <w:pPr>
              <w:rPr>
                <w:sz w:val="17"/>
                <w:szCs w:val="17"/>
              </w:rPr>
            </w:pPr>
          </w:p>
          <w:p w14:paraId="3B5BE585" w14:textId="5A422381" w:rsidR="006467BF" w:rsidRDefault="006778E8" w:rsidP="00F15250">
            <w:pPr>
              <w:rPr>
                <w:szCs w:val="17"/>
              </w:rPr>
            </w:pPr>
            <w:r>
              <w:rPr>
                <w:sz w:val="17"/>
                <w:szCs w:val="17"/>
              </w:rPr>
              <w:lastRenderedPageBreak/>
              <w:t xml:space="preserve">No mention is made of the </w:t>
            </w:r>
            <w:r w:rsidR="00617F31">
              <w:rPr>
                <w:sz w:val="17"/>
                <w:szCs w:val="17"/>
              </w:rPr>
              <w:t>EC proposal to extrapolate the stressed curve</w:t>
            </w:r>
            <w:r w:rsidR="00F706E9">
              <w:rPr>
                <w:sz w:val="17"/>
                <w:szCs w:val="17"/>
              </w:rPr>
              <w:t>. This could imply support</w:t>
            </w:r>
            <w:r w:rsidR="00ED4D89">
              <w:rPr>
                <w:sz w:val="17"/>
                <w:szCs w:val="17"/>
              </w:rPr>
              <w:t>,</w:t>
            </w:r>
            <w:r w:rsidR="00F706E9">
              <w:rPr>
                <w:sz w:val="17"/>
                <w:szCs w:val="17"/>
              </w:rPr>
              <w:t xml:space="preserve"> but the lack of any mention is surprising.</w:t>
            </w:r>
          </w:p>
        </w:tc>
        <w:tc>
          <w:tcPr>
            <w:tcW w:w="3544" w:type="dxa"/>
          </w:tcPr>
          <w:p w14:paraId="318B059D" w14:textId="77777777" w:rsidR="006467BF" w:rsidRPr="00F57182" w:rsidRDefault="006467BF" w:rsidP="006467BF">
            <w:pPr>
              <w:tabs>
                <w:tab w:val="left" w:pos="3815"/>
              </w:tabs>
              <w:rPr>
                <w:sz w:val="17"/>
                <w:szCs w:val="17"/>
              </w:rPr>
            </w:pPr>
            <w:r w:rsidRPr="00BD5AF9">
              <w:rPr>
                <w:b/>
                <w:bCs/>
                <w:color w:val="E36C0A" w:themeColor="accent6" w:themeShade="BF"/>
                <w:sz w:val="17"/>
                <w:szCs w:val="17"/>
              </w:rPr>
              <w:lastRenderedPageBreak/>
              <w:t>[Neutral]</w:t>
            </w:r>
            <w:r>
              <w:rPr>
                <w:b/>
                <w:bCs/>
                <w:color w:val="E36C0A" w:themeColor="accent6" w:themeShade="BF"/>
                <w:sz w:val="17"/>
                <w:szCs w:val="17"/>
              </w:rPr>
              <w:t xml:space="preserve"> </w:t>
            </w:r>
            <w:r w:rsidRPr="00F57182">
              <w:rPr>
                <w:sz w:val="17"/>
                <w:szCs w:val="17"/>
              </w:rPr>
              <w:t>No changes are expected to EC proposals as part of its level 2 “package”.</w:t>
            </w:r>
          </w:p>
          <w:p w14:paraId="3D631C38" w14:textId="77777777" w:rsidR="006467BF" w:rsidRPr="00061C49" w:rsidRDefault="006467BF" w:rsidP="006467BF">
            <w:pPr>
              <w:tabs>
                <w:tab w:val="left" w:pos="3815"/>
              </w:tabs>
              <w:rPr>
                <w:sz w:val="17"/>
                <w:szCs w:val="17"/>
              </w:rPr>
            </w:pPr>
          </w:p>
          <w:p w14:paraId="1E3E756D" w14:textId="77777777" w:rsidR="006467BF" w:rsidRDefault="006467BF" w:rsidP="006467BF">
            <w:pPr>
              <w:tabs>
                <w:tab w:val="left" w:pos="3815"/>
              </w:tabs>
              <w:rPr>
                <w:sz w:val="17"/>
                <w:szCs w:val="17"/>
              </w:rPr>
            </w:pPr>
            <w:r>
              <w:rPr>
                <w:sz w:val="17"/>
                <w:szCs w:val="17"/>
              </w:rPr>
              <w:t>A 5-year transitional measures proposed in level 1 is welcomed for implementation</w:t>
            </w:r>
            <w:r w:rsidRPr="00841F23">
              <w:rPr>
                <w:sz w:val="17"/>
                <w:szCs w:val="17"/>
              </w:rPr>
              <w:t xml:space="preserve"> </w:t>
            </w:r>
            <w:r>
              <w:rPr>
                <w:sz w:val="17"/>
                <w:szCs w:val="17"/>
              </w:rPr>
              <w:t>of these changes. This is a mandatory transitional measure.</w:t>
            </w:r>
          </w:p>
          <w:p w14:paraId="5D2B8B59" w14:textId="77777777" w:rsidR="006467BF" w:rsidRDefault="006467BF" w:rsidP="006467BF">
            <w:pPr>
              <w:tabs>
                <w:tab w:val="left" w:pos="3815"/>
              </w:tabs>
              <w:rPr>
                <w:sz w:val="17"/>
                <w:szCs w:val="17"/>
              </w:rPr>
            </w:pPr>
          </w:p>
          <w:p w14:paraId="5DF10907" w14:textId="5979BF46" w:rsidR="006467BF" w:rsidRDefault="0097406D" w:rsidP="006467BF">
            <w:pPr>
              <w:tabs>
                <w:tab w:val="left" w:pos="3815"/>
              </w:tabs>
              <w:rPr>
                <w:sz w:val="17"/>
                <w:szCs w:val="17"/>
              </w:rPr>
            </w:pPr>
            <w:r w:rsidRPr="00D21D2B">
              <w:rPr>
                <w:sz w:val="17"/>
                <w:szCs w:val="17"/>
              </w:rPr>
              <w:t>T</w:t>
            </w:r>
            <w:r w:rsidR="00977CD5" w:rsidRPr="00F15250">
              <w:rPr>
                <w:sz w:val="17"/>
                <w:szCs w:val="17"/>
              </w:rPr>
              <w:t xml:space="preserve">he </w:t>
            </w:r>
            <w:r w:rsidR="00977CD5" w:rsidRPr="00F15250">
              <w:rPr>
                <w:b/>
                <w:bCs/>
                <w:sz w:val="17"/>
                <w:szCs w:val="17"/>
              </w:rPr>
              <w:t>EP</w:t>
            </w:r>
            <w:r w:rsidR="00B5345F" w:rsidRPr="00F15250">
              <w:rPr>
                <w:b/>
                <w:bCs/>
                <w:sz w:val="17"/>
                <w:szCs w:val="17"/>
              </w:rPr>
              <w:t xml:space="preserve"> draft report</w:t>
            </w:r>
            <w:r w:rsidR="00977CD5" w:rsidRPr="00F15250">
              <w:rPr>
                <w:sz w:val="17"/>
                <w:szCs w:val="17"/>
              </w:rPr>
              <w:t xml:space="preserve"> </w:t>
            </w:r>
            <w:r w:rsidR="00EE4485" w:rsidRPr="00F15250">
              <w:rPr>
                <w:sz w:val="17"/>
                <w:szCs w:val="17"/>
              </w:rPr>
              <w:t>proposal for</w:t>
            </w:r>
            <w:r w:rsidR="002D36A9" w:rsidRPr="00F15250">
              <w:rPr>
                <w:sz w:val="17"/>
                <w:szCs w:val="17"/>
              </w:rPr>
              <w:t xml:space="preserve"> </w:t>
            </w:r>
            <w:r w:rsidR="00652C01" w:rsidRPr="00F15250">
              <w:rPr>
                <w:sz w:val="17"/>
                <w:szCs w:val="17"/>
              </w:rPr>
              <w:t xml:space="preserve">a </w:t>
            </w:r>
            <w:r w:rsidR="002D36A9" w:rsidRPr="00F15250">
              <w:rPr>
                <w:sz w:val="17"/>
                <w:szCs w:val="17"/>
              </w:rPr>
              <w:t>floor and</w:t>
            </w:r>
            <w:r w:rsidR="00EE4485" w:rsidRPr="00F15250">
              <w:rPr>
                <w:sz w:val="17"/>
                <w:szCs w:val="17"/>
              </w:rPr>
              <w:t xml:space="preserve"> </w:t>
            </w:r>
            <w:r w:rsidR="007917A6" w:rsidRPr="00F15250">
              <w:rPr>
                <w:sz w:val="17"/>
                <w:szCs w:val="17"/>
              </w:rPr>
              <w:t xml:space="preserve">a </w:t>
            </w:r>
            <w:r w:rsidR="00EE4485" w:rsidRPr="00F15250">
              <w:rPr>
                <w:sz w:val="17"/>
                <w:szCs w:val="17"/>
              </w:rPr>
              <w:t xml:space="preserve">reasonable </w:t>
            </w:r>
            <w:r w:rsidR="007917A6" w:rsidRPr="00F15250">
              <w:rPr>
                <w:sz w:val="17"/>
                <w:szCs w:val="17"/>
              </w:rPr>
              <w:t xml:space="preserve">application of any </w:t>
            </w:r>
            <w:r w:rsidR="00EE4485" w:rsidRPr="00F15250">
              <w:rPr>
                <w:sz w:val="17"/>
                <w:szCs w:val="17"/>
              </w:rPr>
              <w:t>changes in the IRR</w:t>
            </w:r>
            <w:r w:rsidR="00B5345F" w:rsidRPr="00F15250">
              <w:rPr>
                <w:sz w:val="17"/>
                <w:szCs w:val="17"/>
              </w:rPr>
              <w:t xml:space="preserve"> sub-module</w:t>
            </w:r>
            <w:r w:rsidR="00125C99" w:rsidRPr="00F15250">
              <w:rPr>
                <w:sz w:val="17"/>
                <w:szCs w:val="17"/>
              </w:rPr>
              <w:t xml:space="preserve"> </w:t>
            </w:r>
            <w:r w:rsidR="00D21D2B" w:rsidRPr="00F15250">
              <w:rPr>
                <w:sz w:val="17"/>
                <w:szCs w:val="17"/>
              </w:rPr>
              <w:lastRenderedPageBreak/>
              <w:t xml:space="preserve">may reopen discussion on a suitable level of floor to the IR submodule. </w:t>
            </w:r>
          </w:p>
          <w:p w14:paraId="13D37156" w14:textId="77777777" w:rsidR="00F706E9" w:rsidRDefault="00F706E9" w:rsidP="006467BF">
            <w:pPr>
              <w:tabs>
                <w:tab w:val="left" w:pos="3815"/>
              </w:tabs>
              <w:rPr>
                <w:b/>
                <w:bCs/>
                <w:color w:val="00B050"/>
                <w:sz w:val="17"/>
                <w:szCs w:val="17"/>
              </w:rPr>
            </w:pPr>
          </w:p>
          <w:p w14:paraId="49AC0D02" w14:textId="2B5E4CF1" w:rsidR="00F706E9" w:rsidRDefault="00D60023" w:rsidP="006467BF">
            <w:pPr>
              <w:tabs>
                <w:tab w:val="left" w:pos="3815"/>
              </w:tabs>
              <w:rPr>
                <w:b/>
                <w:bCs/>
                <w:color w:val="1F497D" w:themeColor="text2"/>
                <w:sz w:val="17"/>
                <w:szCs w:val="17"/>
              </w:rPr>
            </w:pPr>
            <w:r>
              <w:rPr>
                <w:b/>
                <w:bCs/>
                <w:color w:val="1F497D" w:themeColor="text2"/>
                <w:sz w:val="17"/>
                <w:szCs w:val="17"/>
              </w:rPr>
              <w:t>W</w:t>
            </w:r>
            <w:r w:rsidR="00F706E9">
              <w:rPr>
                <w:b/>
                <w:bCs/>
                <w:color w:val="1F497D" w:themeColor="text2"/>
                <w:sz w:val="17"/>
                <w:szCs w:val="17"/>
              </w:rPr>
              <w:t xml:space="preserve">ay forward: </w:t>
            </w:r>
            <w:r w:rsidR="00F706E9" w:rsidRPr="00F15250">
              <w:rPr>
                <w:color w:val="1F497D" w:themeColor="text2"/>
                <w:sz w:val="17"/>
                <w:szCs w:val="17"/>
              </w:rPr>
              <w:t>Continue with existing position</w:t>
            </w:r>
            <w:r w:rsidR="008F348C">
              <w:rPr>
                <w:color w:val="1F497D" w:themeColor="text2"/>
                <w:sz w:val="17"/>
                <w:szCs w:val="17"/>
              </w:rPr>
              <w:t>; strongly supporting the EC proposal on extrapolation</w:t>
            </w:r>
            <w:r w:rsidR="00F706E9" w:rsidRPr="00F15250">
              <w:rPr>
                <w:color w:val="1F497D" w:themeColor="text2"/>
                <w:sz w:val="17"/>
                <w:szCs w:val="17"/>
              </w:rPr>
              <w:t xml:space="preserve"> and </w:t>
            </w:r>
            <w:r w:rsidR="008F348C">
              <w:rPr>
                <w:color w:val="1F497D" w:themeColor="text2"/>
                <w:sz w:val="17"/>
                <w:szCs w:val="17"/>
              </w:rPr>
              <w:t xml:space="preserve">also the </w:t>
            </w:r>
            <w:r w:rsidR="00F706E9" w:rsidRPr="00F15250">
              <w:rPr>
                <w:color w:val="1F497D" w:themeColor="text2"/>
                <w:sz w:val="17"/>
                <w:szCs w:val="17"/>
              </w:rPr>
              <w:t>need for a</w:t>
            </w:r>
            <w:r w:rsidR="008F348C" w:rsidRPr="00F15250">
              <w:rPr>
                <w:color w:val="1F497D" w:themeColor="text2"/>
                <w:sz w:val="17"/>
                <w:szCs w:val="17"/>
              </w:rPr>
              <w:t xml:space="preserve"> more appropriate floor.</w:t>
            </w:r>
            <w:r w:rsidR="00F706E9">
              <w:rPr>
                <w:b/>
                <w:bCs/>
                <w:color w:val="1F497D" w:themeColor="text2"/>
                <w:sz w:val="17"/>
                <w:szCs w:val="17"/>
              </w:rPr>
              <w:t xml:space="preserve"> </w:t>
            </w:r>
          </w:p>
          <w:p w14:paraId="4F80EC1E" w14:textId="2B35CAA6" w:rsidR="00F706E9" w:rsidRPr="00BD5AF9" w:rsidRDefault="00F706E9" w:rsidP="006467BF">
            <w:pPr>
              <w:tabs>
                <w:tab w:val="left" w:pos="3815"/>
              </w:tabs>
              <w:rPr>
                <w:b/>
                <w:bCs/>
                <w:color w:val="00B050"/>
                <w:sz w:val="17"/>
                <w:szCs w:val="17"/>
              </w:rPr>
            </w:pPr>
          </w:p>
        </w:tc>
      </w:tr>
    </w:tbl>
    <w:p w14:paraId="1A20E374" w14:textId="77777777" w:rsidR="006467BF" w:rsidRDefault="006467BF" w:rsidP="00121913">
      <w:pPr>
        <w:spacing w:after="200" w:line="276" w:lineRule="auto"/>
        <w:rPr>
          <w:sz w:val="17"/>
          <w:szCs w:val="17"/>
        </w:rPr>
      </w:pPr>
    </w:p>
    <w:p w14:paraId="52A0A51B" w14:textId="77777777" w:rsidR="00FC764E" w:rsidRDefault="00FC764E" w:rsidP="00121913">
      <w:pPr>
        <w:spacing w:after="200" w:line="276" w:lineRule="auto"/>
        <w:rPr>
          <w:sz w:val="17"/>
          <w:szCs w:val="17"/>
        </w:rPr>
      </w:pPr>
    </w:p>
    <w:p w14:paraId="07169777" w14:textId="77777777" w:rsidR="00FC764E" w:rsidRDefault="00FC764E" w:rsidP="00121913">
      <w:pPr>
        <w:spacing w:after="200" w:line="276" w:lineRule="auto"/>
        <w:rPr>
          <w:sz w:val="17"/>
          <w:szCs w:val="17"/>
        </w:rPr>
      </w:pPr>
    </w:p>
    <w:p w14:paraId="641612DA" w14:textId="18CF4CCD" w:rsidR="0035075E" w:rsidRDefault="0035075E">
      <w:pPr>
        <w:spacing w:after="200" w:line="276" w:lineRule="auto"/>
        <w:rPr>
          <w:sz w:val="17"/>
          <w:szCs w:val="17"/>
        </w:rPr>
      </w:pPr>
      <w:r>
        <w:rPr>
          <w:sz w:val="17"/>
          <w:szCs w:val="17"/>
        </w:rPr>
        <w:br w:type="page"/>
      </w:r>
    </w:p>
    <w:p w14:paraId="74BA0725" w14:textId="6B32A217" w:rsidR="00FC764E" w:rsidRDefault="00FC764E" w:rsidP="00121913">
      <w:pPr>
        <w:spacing w:after="200" w:line="276" w:lineRule="auto"/>
        <w:rPr>
          <w:sz w:val="17"/>
          <w:szCs w:val="17"/>
        </w:rPr>
      </w:pPr>
    </w:p>
    <w:tbl>
      <w:tblPr>
        <w:tblStyle w:val="Mriekatabuky"/>
        <w:tblW w:w="15168" w:type="dxa"/>
        <w:tblInd w:w="-289" w:type="dxa"/>
        <w:tblLook w:val="04A0" w:firstRow="1" w:lastRow="0" w:firstColumn="1" w:lastColumn="0" w:noHBand="0" w:noVBand="1"/>
      </w:tblPr>
      <w:tblGrid>
        <w:gridCol w:w="1456"/>
        <w:gridCol w:w="2079"/>
        <w:gridCol w:w="1372"/>
        <w:gridCol w:w="4449"/>
        <w:gridCol w:w="2491"/>
        <w:gridCol w:w="3321"/>
      </w:tblGrid>
      <w:tr w:rsidR="00ED458A" w14:paraId="183F4801" w14:textId="77777777" w:rsidTr="0035075E">
        <w:trPr>
          <w:trHeight w:val="729"/>
        </w:trPr>
        <w:tc>
          <w:tcPr>
            <w:tcW w:w="1456" w:type="dxa"/>
            <w:shd w:val="clear" w:color="auto" w:fill="auto"/>
          </w:tcPr>
          <w:p w14:paraId="1A996940" w14:textId="77777777" w:rsidR="00ED458A" w:rsidRPr="00F57182" w:rsidRDefault="00ED458A" w:rsidP="00121913">
            <w:pPr>
              <w:tabs>
                <w:tab w:val="left" w:pos="3815"/>
              </w:tabs>
              <w:rPr>
                <w:b/>
                <w:sz w:val="17"/>
                <w:szCs w:val="17"/>
              </w:rPr>
            </w:pPr>
            <w:r w:rsidRPr="00491EB9">
              <w:rPr>
                <w:b/>
                <w:bCs/>
                <w:sz w:val="17"/>
                <w:szCs w:val="17"/>
              </w:rPr>
              <w:t>Topic</w:t>
            </w:r>
          </w:p>
        </w:tc>
        <w:tc>
          <w:tcPr>
            <w:tcW w:w="2079" w:type="dxa"/>
            <w:shd w:val="clear" w:color="auto" w:fill="auto"/>
          </w:tcPr>
          <w:p w14:paraId="0A677B91" w14:textId="77777777" w:rsidR="00ED458A" w:rsidRPr="00BD5AF9" w:rsidRDefault="00ED458A" w:rsidP="00121913">
            <w:pPr>
              <w:tabs>
                <w:tab w:val="left" w:pos="3815"/>
              </w:tabs>
              <w:rPr>
                <w:b/>
                <w:bCs/>
                <w:color w:val="E36C0A" w:themeColor="accent6" w:themeShade="BF"/>
                <w:sz w:val="17"/>
                <w:szCs w:val="17"/>
              </w:rPr>
            </w:pPr>
            <w:r w:rsidRPr="00491EB9">
              <w:rPr>
                <w:b/>
                <w:bCs/>
                <w:sz w:val="17"/>
                <w:szCs w:val="17"/>
              </w:rPr>
              <w:t>EIOPA proposal</w:t>
            </w:r>
          </w:p>
        </w:tc>
        <w:tc>
          <w:tcPr>
            <w:tcW w:w="1372" w:type="dxa"/>
            <w:shd w:val="clear" w:color="auto" w:fill="auto"/>
          </w:tcPr>
          <w:p w14:paraId="3EFC2FCF" w14:textId="77777777" w:rsidR="00ED458A" w:rsidRPr="001310DC" w:rsidRDefault="00ED458A" w:rsidP="00121913">
            <w:pPr>
              <w:tabs>
                <w:tab w:val="left" w:pos="3815"/>
              </w:tabs>
              <w:rPr>
                <w:b/>
                <w:bCs/>
                <w:color w:val="00B050"/>
                <w:sz w:val="17"/>
                <w:szCs w:val="17"/>
              </w:rPr>
            </w:pPr>
            <w:r w:rsidRPr="00491EB9">
              <w:rPr>
                <w:b/>
                <w:bCs/>
                <w:sz w:val="17"/>
                <w:szCs w:val="17"/>
              </w:rPr>
              <w:t>European Commission proposal</w:t>
            </w:r>
          </w:p>
        </w:tc>
        <w:tc>
          <w:tcPr>
            <w:tcW w:w="4449" w:type="dxa"/>
            <w:shd w:val="clear" w:color="auto" w:fill="auto"/>
          </w:tcPr>
          <w:p w14:paraId="6BC2F2A3" w14:textId="2EABB613" w:rsidR="00ED458A" w:rsidRPr="00BD5AF9" w:rsidRDefault="00ED458A" w:rsidP="00121913">
            <w:pPr>
              <w:tabs>
                <w:tab w:val="left" w:pos="3815"/>
              </w:tabs>
              <w:rPr>
                <w:b/>
                <w:bCs/>
                <w:color w:val="E36C0A" w:themeColor="accent6" w:themeShade="BF"/>
                <w:sz w:val="17"/>
                <w:szCs w:val="17"/>
              </w:rPr>
            </w:pPr>
            <w:r w:rsidRPr="00491EB9">
              <w:rPr>
                <w:b/>
                <w:bCs/>
                <w:sz w:val="17"/>
                <w:szCs w:val="17"/>
              </w:rPr>
              <w:t>French presidency</w:t>
            </w:r>
            <w:r>
              <w:rPr>
                <w:b/>
                <w:bCs/>
                <w:sz w:val="17"/>
                <w:szCs w:val="17"/>
              </w:rPr>
              <w:t xml:space="preserve"> overall compromise proposal/EGBPI discussions</w:t>
            </w:r>
          </w:p>
        </w:tc>
        <w:tc>
          <w:tcPr>
            <w:tcW w:w="2491" w:type="dxa"/>
            <w:shd w:val="clear" w:color="auto" w:fill="auto"/>
          </w:tcPr>
          <w:p w14:paraId="5137279F" w14:textId="17A9EFB3" w:rsidR="00ED458A" w:rsidRDefault="00F66675" w:rsidP="00121913">
            <w:pPr>
              <w:tabs>
                <w:tab w:val="left" w:pos="3815"/>
              </w:tabs>
              <w:rPr>
                <w:b/>
                <w:bCs/>
                <w:sz w:val="17"/>
                <w:szCs w:val="17"/>
              </w:rPr>
            </w:pPr>
            <w:r>
              <w:rPr>
                <w:b/>
                <w:bCs/>
                <w:sz w:val="17"/>
                <w:szCs w:val="17"/>
              </w:rPr>
              <w:t>EP draft report</w:t>
            </w:r>
          </w:p>
        </w:tc>
        <w:tc>
          <w:tcPr>
            <w:tcW w:w="3321" w:type="dxa"/>
          </w:tcPr>
          <w:p w14:paraId="30E33A45" w14:textId="33940957" w:rsidR="00ED458A" w:rsidRPr="00BD5AF9" w:rsidRDefault="00ED458A" w:rsidP="00121913">
            <w:pPr>
              <w:tabs>
                <w:tab w:val="left" w:pos="3815"/>
              </w:tabs>
              <w:rPr>
                <w:b/>
                <w:bCs/>
                <w:color w:val="E36C0A" w:themeColor="accent6" w:themeShade="BF"/>
                <w:sz w:val="17"/>
                <w:szCs w:val="17"/>
              </w:rPr>
            </w:pPr>
            <w:r>
              <w:rPr>
                <w:b/>
                <w:bCs/>
                <w:sz w:val="17"/>
                <w:szCs w:val="17"/>
              </w:rPr>
              <w:t>Secretariat assessment of current status</w:t>
            </w:r>
          </w:p>
        </w:tc>
      </w:tr>
      <w:tr w:rsidR="00ED458A" w14:paraId="4153E9F4" w14:textId="77777777" w:rsidTr="0035075E">
        <w:trPr>
          <w:trHeight w:val="2030"/>
        </w:trPr>
        <w:tc>
          <w:tcPr>
            <w:tcW w:w="1456" w:type="dxa"/>
            <w:shd w:val="clear" w:color="auto" w:fill="auto"/>
          </w:tcPr>
          <w:p w14:paraId="4EBA0729" w14:textId="77777777" w:rsidR="00ED458A" w:rsidRPr="00F57182" w:rsidRDefault="00ED458A" w:rsidP="00121913">
            <w:pPr>
              <w:tabs>
                <w:tab w:val="left" w:pos="3815"/>
              </w:tabs>
              <w:rPr>
                <w:b/>
                <w:sz w:val="17"/>
                <w:szCs w:val="17"/>
              </w:rPr>
            </w:pPr>
            <w:r w:rsidRPr="00F57182">
              <w:rPr>
                <w:b/>
                <w:sz w:val="17"/>
                <w:szCs w:val="17"/>
              </w:rPr>
              <w:t>Long-term equity</w:t>
            </w:r>
          </w:p>
        </w:tc>
        <w:tc>
          <w:tcPr>
            <w:tcW w:w="2079" w:type="dxa"/>
            <w:shd w:val="clear" w:color="auto" w:fill="auto"/>
          </w:tcPr>
          <w:p w14:paraId="51B17D98" w14:textId="77777777" w:rsidR="00ED458A" w:rsidRPr="00BD5AF9" w:rsidRDefault="00ED458A" w:rsidP="00121913">
            <w:pPr>
              <w:tabs>
                <w:tab w:val="left" w:pos="3815"/>
              </w:tabs>
              <w:rPr>
                <w:b/>
                <w:bCs/>
                <w:color w:val="FF0000"/>
                <w:sz w:val="17"/>
                <w:szCs w:val="17"/>
              </w:rPr>
            </w:pPr>
            <w:r w:rsidRPr="00BD5AF9">
              <w:rPr>
                <w:b/>
                <w:bCs/>
                <w:color w:val="E36C0A" w:themeColor="accent6" w:themeShade="BF"/>
                <w:sz w:val="17"/>
                <w:szCs w:val="17"/>
              </w:rPr>
              <w:t>[Neutral]</w:t>
            </w:r>
            <w:r>
              <w:rPr>
                <w:b/>
                <w:bCs/>
                <w:color w:val="E36C0A" w:themeColor="accent6" w:themeShade="BF"/>
                <w:sz w:val="17"/>
                <w:szCs w:val="17"/>
              </w:rPr>
              <w:t xml:space="preserve"> </w:t>
            </w:r>
            <w:r w:rsidRPr="00F57182">
              <w:rPr>
                <w:sz w:val="17"/>
                <w:szCs w:val="17"/>
              </w:rPr>
              <w:t>EIOPA proposed a set of criteria which are understood to work for some markets following some minor adaptations. However, the proposals do not work for other markets</w:t>
            </w:r>
            <w:r>
              <w:rPr>
                <w:sz w:val="17"/>
                <w:szCs w:val="17"/>
              </w:rPr>
              <w:t>.</w:t>
            </w:r>
          </w:p>
        </w:tc>
        <w:tc>
          <w:tcPr>
            <w:tcW w:w="1372" w:type="dxa"/>
            <w:shd w:val="clear" w:color="auto" w:fill="auto"/>
          </w:tcPr>
          <w:p w14:paraId="212C17EC" w14:textId="77777777" w:rsidR="00ED458A" w:rsidRPr="00BD5AF9" w:rsidRDefault="00ED458A" w:rsidP="00121913">
            <w:pPr>
              <w:tabs>
                <w:tab w:val="left" w:pos="3815"/>
              </w:tabs>
              <w:rPr>
                <w:b/>
                <w:bCs/>
                <w:color w:val="FF0000"/>
                <w:sz w:val="17"/>
                <w:szCs w:val="17"/>
              </w:rPr>
            </w:pPr>
            <w:r w:rsidRPr="001310DC">
              <w:rPr>
                <w:b/>
                <w:bCs/>
                <w:color w:val="00B050"/>
                <w:sz w:val="17"/>
                <w:szCs w:val="17"/>
              </w:rPr>
              <w:t>[Positive]</w:t>
            </w:r>
            <w:r>
              <w:rPr>
                <w:b/>
                <w:bCs/>
                <w:color w:val="00B050"/>
                <w:sz w:val="17"/>
                <w:szCs w:val="17"/>
              </w:rPr>
              <w:t xml:space="preserve"> </w:t>
            </w:r>
            <w:r w:rsidRPr="00F57182">
              <w:rPr>
                <w:sz w:val="17"/>
                <w:szCs w:val="17"/>
              </w:rPr>
              <w:t>EC has committed to developing a workable set of criteria</w:t>
            </w:r>
            <w:r>
              <w:rPr>
                <w:sz w:val="17"/>
                <w:szCs w:val="17"/>
              </w:rPr>
              <w:t xml:space="preserve">. </w:t>
            </w:r>
          </w:p>
        </w:tc>
        <w:tc>
          <w:tcPr>
            <w:tcW w:w="4449" w:type="dxa"/>
            <w:shd w:val="clear" w:color="auto" w:fill="auto"/>
          </w:tcPr>
          <w:p w14:paraId="339E7B32" w14:textId="77777777" w:rsidR="00ED458A" w:rsidRDefault="00ED458A" w:rsidP="00121913">
            <w:pPr>
              <w:tabs>
                <w:tab w:val="left" w:pos="3815"/>
              </w:tabs>
              <w:rPr>
                <w:sz w:val="17"/>
                <w:szCs w:val="17"/>
              </w:rPr>
            </w:pPr>
            <w:r w:rsidRPr="00BD5AF9">
              <w:rPr>
                <w:b/>
                <w:bCs/>
                <w:color w:val="E36C0A" w:themeColor="accent6" w:themeShade="BF"/>
                <w:sz w:val="17"/>
                <w:szCs w:val="17"/>
              </w:rPr>
              <w:t>[Neutral]</w:t>
            </w:r>
            <w:r>
              <w:rPr>
                <w:b/>
                <w:bCs/>
                <w:color w:val="E36C0A" w:themeColor="accent6" w:themeShade="BF"/>
                <w:sz w:val="17"/>
                <w:szCs w:val="17"/>
              </w:rPr>
              <w:t xml:space="preserve"> </w:t>
            </w:r>
            <w:r w:rsidRPr="00F57182">
              <w:rPr>
                <w:sz w:val="17"/>
                <w:szCs w:val="17"/>
              </w:rPr>
              <w:t>EC presented both the EIOPA proposals and the FR, NL and LU governments liquidity test idea at the recent EGBPI. Feedback was that opinion is split among MS on the way forward.</w:t>
            </w:r>
          </w:p>
          <w:p w14:paraId="61E90B6C" w14:textId="77777777" w:rsidR="00ED458A" w:rsidRDefault="00ED458A" w:rsidP="00121913">
            <w:pPr>
              <w:tabs>
                <w:tab w:val="left" w:pos="3815"/>
              </w:tabs>
              <w:rPr>
                <w:sz w:val="17"/>
                <w:szCs w:val="17"/>
              </w:rPr>
            </w:pPr>
          </w:p>
          <w:p w14:paraId="44681B68" w14:textId="77777777" w:rsidR="00ED458A" w:rsidRDefault="00ED458A" w:rsidP="00121913">
            <w:pPr>
              <w:tabs>
                <w:tab w:val="left" w:pos="3815"/>
              </w:tabs>
              <w:rPr>
                <w:sz w:val="17"/>
                <w:szCs w:val="17"/>
              </w:rPr>
            </w:pPr>
            <w:r w:rsidRPr="000B3C4C">
              <w:rPr>
                <w:sz w:val="17"/>
                <w:szCs w:val="17"/>
              </w:rPr>
              <w:t>FR presidency noted that discussions are still ongoing, but remains pushback the 22% calibration, and diverging views on other aspects.</w:t>
            </w:r>
          </w:p>
          <w:p w14:paraId="68F03135" w14:textId="77777777" w:rsidR="00ED458A" w:rsidRDefault="00ED458A" w:rsidP="00121913">
            <w:pPr>
              <w:tabs>
                <w:tab w:val="left" w:pos="3815"/>
              </w:tabs>
              <w:rPr>
                <w:sz w:val="17"/>
                <w:szCs w:val="17"/>
              </w:rPr>
            </w:pPr>
          </w:p>
          <w:p w14:paraId="619CA295" w14:textId="77777777" w:rsidR="00ED458A" w:rsidRPr="000B3C4C" w:rsidRDefault="00ED458A" w:rsidP="00121913">
            <w:pPr>
              <w:tabs>
                <w:tab w:val="left" w:pos="3815"/>
              </w:tabs>
              <w:rPr>
                <w:color w:val="FF0000"/>
                <w:sz w:val="17"/>
                <w:szCs w:val="17"/>
              </w:rPr>
            </w:pPr>
          </w:p>
        </w:tc>
        <w:tc>
          <w:tcPr>
            <w:tcW w:w="2491" w:type="dxa"/>
            <w:shd w:val="clear" w:color="auto" w:fill="auto"/>
          </w:tcPr>
          <w:p w14:paraId="0CA38667" w14:textId="1BCCE202" w:rsidR="0008785B" w:rsidRDefault="00A525C5" w:rsidP="00121913">
            <w:pPr>
              <w:tabs>
                <w:tab w:val="left" w:pos="3815"/>
              </w:tabs>
            </w:pPr>
            <w:r w:rsidRPr="00A525C5">
              <w:rPr>
                <w:b/>
                <w:bCs/>
                <w:color w:val="FF0000"/>
                <w:sz w:val="17"/>
                <w:szCs w:val="17"/>
              </w:rPr>
              <w:t>[Negative]</w:t>
            </w:r>
          </w:p>
          <w:p w14:paraId="7413B56A" w14:textId="6CF85E91" w:rsidR="00092E80" w:rsidRDefault="00B97634" w:rsidP="00092E80">
            <w:pPr>
              <w:rPr>
                <w:sz w:val="17"/>
                <w:szCs w:val="17"/>
              </w:rPr>
            </w:pPr>
            <w:r w:rsidRPr="00F15250">
              <w:rPr>
                <w:sz w:val="17"/>
                <w:szCs w:val="17"/>
              </w:rPr>
              <w:t xml:space="preserve">The rapporteur’s draft report </w:t>
            </w:r>
            <w:r w:rsidR="00092E80" w:rsidRPr="00F15250">
              <w:rPr>
                <w:sz w:val="17"/>
                <w:szCs w:val="17"/>
              </w:rPr>
              <w:t xml:space="preserve">proposes that the LTE criteria, currently set out in the Level 2 texts are transferred to Level 1. </w:t>
            </w:r>
          </w:p>
          <w:p w14:paraId="0F50DDA9" w14:textId="77777777" w:rsidR="002C0DA8" w:rsidRPr="00F15250" w:rsidRDefault="002C0DA8" w:rsidP="00092E80">
            <w:pPr>
              <w:rPr>
                <w:sz w:val="17"/>
                <w:szCs w:val="17"/>
              </w:rPr>
            </w:pPr>
          </w:p>
          <w:p w14:paraId="60222115" w14:textId="3ED0367D" w:rsidR="002A3F8B" w:rsidRPr="00F15250" w:rsidRDefault="00092E80" w:rsidP="002A3F8B">
            <w:pPr>
              <w:rPr>
                <w:b/>
                <w:bCs/>
                <w:highlight w:val="yellow"/>
              </w:rPr>
            </w:pPr>
            <w:r w:rsidRPr="00F15250">
              <w:rPr>
                <w:sz w:val="17"/>
                <w:szCs w:val="17"/>
              </w:rPr>
              <w:t>The specific criteria proposed are copy pasted directly from the Delegated Regulation</w:t>
            </w:r>
            <w:r w:rsidR="002C0DA8" w:rsidRPr="00F15250">
              <w:rPr>
                <w:sz w:val="17"/>
                <w:szCs w:val="17"/>
              </w:rPr>
              <w:t xml:space="preserve"> with a number of minor tweaks and do not reflect the latest developments from EGBPI discussions or industry proposals.</w:t>
            </w:r>
            <w:r w:rsidR="002C0DA8">
              <w:rPr>
                <w:sz w:val="17"/>
                <w:szCs w:val="17"/>
              </w:rPr>
              <w:t xml:space="preserve"> </w:t>
            </w:r>
            <w:r w:rsidR="002A3F8B">
              <w:rPr>
                <w:sz w:val="17"/>
                <w:szCs w:val="17"/>
              </w:rPr>
              <w:t>The proposals of the report, as they do not provide improvements to the current criteria, would be detrimental to the use of the LTEI and would fail to meet the ambitious objectives set out by the EC.</w:t>
            </w:r>
            <w:r w:rsidR="002A3F8B" w:rsidRPr="00F15250">
              <w:rPr>
                <w:b/>
                <w:bCs/>
              </w:rPr>
              <w:t xml:space="preserve"> </w:t>
            </w:r>
          </w:p>
          <w:p w14:paraId="5311BFF3" w14:textId="185C1280" w:rsidR="00092E80" w:rsidRPr="00F15250" w:rsidRDefault="002C0DA8" w:rsidP="00F15250">
            <w:pPr>
              <w:rPr>
                <w:b/>
                <w:bCs/>
                <w:highlight w:val="yellow"/>
              </w:rPr>
            </w:pPr>
            <w:r w:rsidRPr="00F15250">
              <w:rPr>
                <w:b/>
                <w:bCs/>
              </w:rPr>
              <w:t xml:space="preserve"> </w:t>
            </w:r>
          </w:p>
          <w:p w14:paraId="4DF8F0C9" w14:textId="3DD2BABA" w:rsidR="0008785B" w:rsidRPr="00BD5AF9" w:rsidRDefault="0008785B" w:rsidP="00F15250">
            <w:pPr>
              <w:pStyle w:val="CEABullet-Level1"/>
              <w:numPr>
                <w:ilvl w:val="0"/>
                <w:numId w:val="0"/>
              </w:numPr>
              <w:rPr>
                <w:color w:val="E36C0A" w:themeColor="accent6" w:themeShade="BF"/>
              </w:rPr>
            </w:pPr>
          </w:p>
        </w:tc>
        <w:tc>
          <w:tcPr>
            <w:tcW w:w="3321" w:type="dxa"/>
          </w:tcPr>
          <w:p w14:paraId="51161049" w14:textId="2B8B7743" w:rsidR="00ED458A" w:rsidRDefault="00A525C5" w:rsidP="00121913">
            <w:pPr>
              <w:tabs>
                <w:tab w:val="left" w:pos="3815"/>
              </w:tabs>
              <w:rPr>
                <w:sz w:val="17"/>
                <w:szCs w:val="17"/>
              </w:rPr>
            </w:pPr>
            <w:r w:rsidRPr="00E7390B">
              <w:rPr>
                <w:b/>
                <w:bCs/>
                <w:color w:val="FF0000"/>
                <w:sz w:val="17"/>
                <w:szCs w:val="17"/>
              </w:rPr>
              <w:t>[Negative]</w:t>
            </w:r>
            <w:r w:rsidR="00ED458A" w:rsidRPr="00F57182">
              <w:rPr>
                <w:sz w:val="17"/>
                <w:szCs w:val="17"/>
              </w:rPr>
              <w:t>Little concrete progress seems to have been made</w:t>
            </w:r>
            <w:r w:rsidR="00163E2B">
              <w:rPr>
                <w:sz w:val="17"/>
                <w:szCs w:val="17"/>
              </w:rPr>
              <w:t xml:space="preserve"> on a Council level</w:t>
            </w:r>
            <w:r w:rsidR="00ED458A" w:rsidRPr="00F57182">
              <w:rPr>
                <w:sz w:val="17"/>
                <w:szCs w:val="17"/>
              </w:rPr>
              <w:t xml:space="preserve">. </w:t>
            </w:r>
          </w:p>
          <w:p w14:paraId="567B9869" w14:textId="77777777" w:rsidR="00ED458A" w:rsidRDefault="00ED458A" w:rsidP="00121913">
            <w:pPr>
              <w:tabs>
                <w:tab w:val="left" w:pos="3815"/>
              </w:tabs>
              <w:rPr>
                <w:sz w:val="17"/>
                <w:szCs w:val="17"/>
              </w:rPr>
            </w:pPr>
          </w:p>
          <w:p w14:paraId="7ABC7F12" w14:textId="77777777" w:rsidR="00BF4F1F" w:rsidRDefault="00ED458A" w:rsidP="00121913">
            <w:pPr>
              <w:tabs>
                <w:tab w:val="left" w:pos="3815"/>
              </w:tabs>
              <w:rPr>
                <w:sz w:val="17"/>
                <w:szCs w:val="17"/>
              </w:rPr>
            </w:pPr>
            <w:r>
              <w:rPr>
                <w:sz w:val="17"/>
                <w:szCs w:val="17"/>
              </w:rPr>
              <w:t>EC presented a discussion paper on the LTE criteria at 5 April EGBPI meeting. However, the discussion points still reflected preliminary discussions.</w:t>
            </w:r>
          </w:p>
          <w:p w14:paraId="57A91600" w14:textId="77777777" w:rsidR="00BF4F1F" w:rsidRDefault="00BF4F1F" w:rsidP="00121913">
            <w:pPr>
              <w:tabs>
                <w:tab w:val="left" w:pos="3815"/>
              </w:tabs>
              <w:rPr>
                <w:sz w:val="17"/>
                <w:szCs w:val="17"/>
              </w:rPr>
            </w:pPr>
          </w:p>
          <w:p w14:paraId="39E05D97" w14:textId="56D34154" w:rsidR="00ED458A" w:rsidRDefault="00BF4F1F" w:rsidP="00CC2E08">
            <w:pPr>
              <w:tabs>
                <w:tab w:val="left" w:pos="3815"/>
              </w:tabs>
              <w:rPr>
                <w:sz w:val="17"/>
                <w:szCs w:val="17"/>
              </w:rPr>
            </w:pPr>
            <w:r w:rsidRPr="00F15250">
              <w:rPr>
                <w:sz w:val="17"/>
                <w:szCs w:val="17"/>
              </w:rPr>
              <w:t xml:space="preserve">The </w:t>
            </w:r>
            <w:r w:rsidRPr="00F15250">
              <w:rPr>
                <w:b/>
                <w:bCs/>
                <w:sz w:val="17"/>
                <w:szCs w:val="17"/>
              </w:rPr>
              <w:t>EP draft report</w:t>
            </w:r>
            <w:r w:rsidRPr="00F15250">
              <w:rPr>
                <w:sz w:val="17"/>
                <w:szCs w:val="17"/>
              </w:rPr>
              <w:t xml:space="preserve"> </w:t>
            </w:r>
            <w:r w:rsidR="003C63D2" w:rsidRPr="00F15250">
              <w:rPr>
                <w:sz w:val="17"/>
                <w:szCs w:val="17"/>
              </w:rPr>
              <w:t>proposes to include the LTE criteria in Level 1 text</w:t>
            </w:r>
            <w:r w:rsidR="00984B47" w:rsidRPr="00F15250">
              <w:rPr>
                <w:sz w:val="17"/>
                <w:szCs w:val="17"/>
              </w:rPr>
              <w:t xml:space="preserve"> but without any further</w:t>
            </w:r>
            <w:r w:rsidR="00730BC8" w:rsidRPr="00F15250">
              <w:rPr>
                <w:sz w:val="17"/>
                <w:szCs w:val="17"/>
              </w:rPr>
              <w:t xml:space="preserve"> development of </w:t>
            </w:r>
            <w:r w:rsidR="00CC2E08" w:rsidRPr="00F15250">
              <w:rPr>
                <w:sz w:val="17"/>
                <w:szCs w:val="17"/>
              </w:rPr>
              <w:t xml:space="preserve">the specific </w:t>
            </w:r>
            <w:r w:rsidR="008F348C" w:rsidRPr="008F348C">
              <w:rPr>
                <w:sz w:val="17"/>
                <w:szCs w:val="17"/>
              </w:rPr>
              <w:t>criteria</w:t>
            </w:r>
            <w:r w:rsidR="00F73C5E" w:rsidRPr="00A338BD">
              <w:rPr>
                <w:sz w:val="17"/>
                <w:szCs w:val="17"/>
              </w:rPr>
              <w:t>.</w:t>
            </w:r>
          </w:p>
          <w:p w14:paraId="034391F6" w14:textId="77777777" w:rsidR="00AE76AF" w:rsidRDefault="00AE76AF" w:rsidP="00CC2E08">
            <w:pPr>
              <w:tabs>
                <w:tab w:val="left" w:pos="3815"/>
              </w:tabs>
              <w:rPr>
                <w:sz w:val="17"/>
                <w:szCs w:val="17"/>
              </w:rPr>
            </w:pPr>
          </w:p>
          <w:p w14:paraId="02E82A02" w14:textId="4EF0FCEB" w:rsidR="00AE76AF" w:rsidRDefault="00D60023" w:rsidP="00CC2E08">
            <w:pPr>
              <w:tabs>
                <w:tab w:val="left" w:pos="3815"/>
              </w:tabs>
              <w:rPr>
                <w:color w:val="1F497D" w:themeColor="text2"/>
                <w:sz w:val="17"/>
                <w:szCs w:val="17"/>
              </w:rPr>
            </w:pPr>
            <w:r>
              <w:rPr>
                <w:b/>
                <w:bCs/>
                <w:color w:val="1F497D" w:themeColor="text2"/>
                <w:sz w:val="17"/>
                <w:szCs w:val="17"/>
              </w:rPr>
              <w:t>W</w:t>
            </w:r>
            <w:r w:rsidR="00AE76AF">
              <w:rPr>
                <w:b/>
                <w:bCs/>
                <w:color w:val="1F497D" w:themeColor="text2"/>
                <w:sz w:val="17"/>
                <w:szCs w:val="17"/>
              </w:rPr>
              <w:t xml:space="preserve">ay forward: </w:t>
            </w:r>
            <w:r w:rsidR="00E97E41">
              <w:rPr>
                <w:color w:val="1F497D" w:themeColor="text2"/>
                <w:sz w:val="17"/>
                <w:szCs w:val="17"/>
              </w:rPr>
              <w:t>Maintain existing position</w:t>
            </w:r>
            <w:r w:rsidR="0076235C">
              <w:rPr>
                <w:color w:val="1F497D" w:themeColor="text2"/>
                <w:sz w:val="17"/>
                <w:szCs w:val="17"/>
              </w:rPr>
              <w:t xml:space="preserve"> on LTE </w:t>
            </w:r>
            <w:r w:rsidR="005724D0">
              <w:rPr>
                <w:color w:val="1F497D" w:themeColor="text2"/>
                <w:sz w:val="17"/>
                <w:szCs w:val="17"/>
              </w:rPr>
              <w:t>(</w:t>
            </w:r>
            <w:r w:rsidR="004955B6">
              <w:rPr>
                <w:color w:val="1F497D" w:themeColor="text2"/>
                <w:sz w:val="17"/>
                <w:szCs w:val="17"/>
              </w:rPr>
              <w:t xml:space="preserve">and </w:t>
            </w:r>
            <w:r w:rsidR="005724D0">
              <w:rPr>
                <w:color w:val="1F497D" w:themeColor="text2"/>
                <w:sz w:val="17"/>
                <w:szCs w:val="17"/>
              </w:rPr>
              <w:t>try to coale</w:t>
            </w:r>
            <w:r w:rsidR="004955B6">
              <w:rPr>
                <w:color w:val="1F497D" w:themeColor="text2"/>
                <w:sz w:val="17"/>
                <w:szCs w:val="17"/>
              </w:rPr>
              <w:t xml:space="preserve">sce around a single industry supported solution if possible) </w:t>
            </w:r>
          </w:p>
          <w:p w14:paraId="5E92D074" w14:textId="329B17AE" w:rsidR="00AE76AF" w:rsidRDefault="00AE76AF" w:rsidP="00CC2E08">
            <w:pPr>
              <w:tabs>
                <w:tab w:val="left" w:pos="3815"/>
              </w:tabs>
              <w:rPr>
                <w:sz w:val="17"/>
                <w:szCs w:val="17"/>
              </w:rPr>
            </w:pPr>
          </w:p>
        </w:tc>
      </w:tr>
      <w:tr w:rsidR="00ED458A" w:rsidRPr="00BD5AF9" w14:paraId="7091218A" w14:textId="77777777" w:rsidTr="0035075E">
        <w:trPr>
          <w:trHeight w:val="824"/>
        </w:trPr>
        <w:tc>
          <w:tcPr>
            <w:tcW w:w="1456" w:type="dxa"/>
            <w:shd w:val="clear" w:color="auto" w:fill="auto"/>
          </w:tcPr>
          <w:p w14:paraId="4B42FA20" w14:textId="77777777" w:rsidR="00ED458A" w:rsidRPr="00F57182" w:rsidRDefault="00ED458A" w:rsidP="00121913">
            <w:pPr>
              <w:tabs>
                <w:tab w:val="left" w:pos="3815"/>
              </w:tabs>
              <w:rPr>
                <w:b/>
                <w:sz w:val="17"/>
                <w:szCs w:val="17"/>
              </w:rPr>
            </w:pPr>
            <w:r>
              <w:rPr>
                <w:b/>
                <w:sz w:val="17"/>
                <w:szCs w:val="17"/>
              </w:rPr>
              <w:t>Transitionals</w:t>
            </w:r>
          </w:p>
        </w:tc>
        <w:tc>
          <w:tcPr>
            <w:tcW w:w="2079" w:type="dxa"/>
            <w:shd w:val="clear" w:color="auto" w:fill="auto"/>
          </w:tcPr>
          <w:p w14:paraId="63827836" w14:textId="77777777" w:rsidR="00ED458A" w:rsidRPr="00BD5AF9" w:rsidRDefault="00ED458A" w:rsidP="00121913">
            <w:pPr>
              <w:tabs>
                <w:tab w:val="left" w:pos="3815"/>
              </w:tabs>
              <w:rPr>
                <w:b/>
                <w:bCs/>
                <w:color w:val="E36C0A" w:themeColor="accent6" w:themeShade="BF"/>
                <w:sz w:val="17"/>
                <w:szCs w:val="17"/>
              </w:rPr>
            </w:pPr>
          </w:p>
        </w:tc>
        <w:tc>
          <w:tcPr>
            <w:tcW w:w="1372" w:type="dxa"/>
            <w:shd w:val="clear" w:color="auto" w:fill="auto"/>
          </w:tcPr>
          <w:p w14:paraId="1F4AA09D" w14:textId="77777777" w:rsidR="00ED458A" w:rsidRPr="001310DC" w:rsidRDefault="00ED458A" w:rsidP="00121913">
            <w:pPr>
              <w:tabs>
                <w:tab w:val="left" w:pos="3815"/>
              </w:tabs>
              <w:rPr>
                <w:b/>
                <w:bCs/>
                <w:color w:val="00B050"/>
                <w:sz w:val="17"/>
                <w:szCs w:val="17"/>
              </w:rPr>
            </w:pPr>
          </w:p>
        </w:tc>
        <w:tc>
          <w:tcPr>
            <w:tcW w:w="4449" w:type="dxa"/>
            <w:shd w:val="clear" w:color="auto" w:fill="auto"/>
          </w:tcPr>
          <w:p w14:paraId="0D005738" w14:textId="77777777" w:rsidR="00ED458A" w:rsidRPr="009552CC" w:rsidRDefault="00ED458A" w:rsidP="00121913">
            <w:pPr>
              <w:tabs>
                <w:tab w:val="left" w:pos="3815"/>
              </w:tabs>
              <w:rPr>
                <w:b/>
                <w:bCs/>
                <w:sz w:val="17"/>
                <w:szCs w:val="17"/>
              </w:rPr>
            </w:pPr>
            <w:r w:rsidRPr="00DD7CCE">
              <w:rPr>
                <w:b/>
                <w:bCs/>
                <w:color w:val="FF0000"/>
                <w:sz w:val="17"/>
                <w:szCs w:val="17"/>
              </w:rPr>
              <w:t>[Negative]</w:t>
            </w:r>
            <w:r>
              <w:rPr>
                <w:b/>
                <w:bCs/>
                <w:color w:val="FF0000"/>
                <w:sz w:val="17"/>
                <w:szCs w:val="17"/>
              </w:rPr>
              <w:t xml:space="preserve"> </w:t>
            </w:r>
            <w:r w:rsidRPr="00DD7CCE">
              <w:rPr>
                <w:sz w:val="17"/>
                <w:szCs w:val="17"/>
              </w:rPr>
              <w:t>FR compromise proposal includes a new Article 308e which includes the new transitional measures (Extrapolation and IRR), includes a new</w:t>
            </w:r>
            <w:r>
              <w:rPr>
                <w:sz w:val="17"/>
                <w:szCs w:val="17"/>
              </w:rPr>
              <w:t xml:space="preserve"> </w:t>
            </w:r>
            <w:r w:rsidRPr="00DD7CCE">
              <w:rPr>
                <w:sz w:val="17"/>
                <w:szCs w:val="17"/>
              </w:rPr>
              <w:t xml:space="preserve">requirement on detailing the timing of phasing-in measures and gives NSAs </w:t>
            </w:r>
            <w:r w:rsidRPr="00DD7CCE">
              <w:rPr>
                <w:sz w:val="17"/>
                <w:szCs w:val="17"/>
              </w:rPr>
              <w:lastRenderedPageBreak/>
              <w:t xml:space="preserve">the power to revoke the application of transitional </w:t>
            </w:r>
            <w:r w:rsidRPr="00DD7CCE" w:rsidDel="00A379B5">
              <w:rPr>
                <w:sz w:val="17"/>
                <w:szCs w:val="17"/>
              </w:rPr>
              <w:t xml:space="preserve">measures </w:t>
            </w:r>
            <w:r w:rsidRPr="00DD7CCE">
              <w:rPr>
                <w:sz w:val="17"/>
                <w:szCs w:val="17"/>
              </w:rPr>
              <w:t xml:space="preserve">where undertaking does not demonstrate enough progress towards </w:t>
            </w:r>
            <w:r w:rsidRPr="00CD4477">
              <w:rPr>
                <w:sz w:val="17"/>
                <w:szCs w:val="17"/>
              </w:rPr>
              <w:t>compliance</w:t>
            </w:r>
            <w:r w:rsidRPr="00DD7CCE">
              <w:rPr>
                <w:sz w:val="17"/>
                <w:szCs w:val="17"/>
              </w:rPr>
              <w:t xml:space="preserve"> with SCR at end of transitional period.</w:t>
            </w:r>
          </w:p>
        </w:tc>
        <w:tc>
          <w:tcPr>
            <w:tcW w:w="2491" w:type="dxa"/>
            <w:shd w:val="clear" w:color="auto" w:fill="auto"/>
          </w:tcPr>
          <w:p w14:paraId="64205BB6" w14:textId="737D1453" w:rsidR="00ED458A" w:rsidRPr="001133FD" w:rsidRDefault="008627C4" w:rsidP="00C2778D">
            <w:pPr>
              <w:tabs>
                <w:tab w:val="left" w:pos="3815"/>
              </w:tabs>
              <w:rPr>
                <w:b/>
                <w:bCs/>
                <w:color w:val="FF0000"/>
                <w:sz w:val="17"/>
                <w:szCs w:val="17"/>
              </w:rPr>
            </w:pPr>
            <w:r w:rsidRPr="00BD5AF9">
              <w:rPr>
                <w:b/>
                <w:bCs/>
                <w:color w:val="E36C0A" w:themeColor="accent6" w:themeShade="BF"/>
                <w:sz w:val="17"/>
                <w:szCs w:val="17"/>
              </w:rPr>
              <w:lastRenderedPageBreak/>
              <w:t>[Neutral]</w:t>
            </w:r>
            <w:r>
              <w:rPr>
                <w:b/>
                <w:bCs/>
                <w:color w:val="E36C0A" w:themeColor="accent6" w:themeShade="BF"/>
                <w:sz w:val="17"/>
                <w:szCs w:val="17"/>
              </w:rPr>
              <w:t xml:space="preserve"> </w:t>
            </w:r>
            <w:r w:rsidR="00C2778D">
              <w:rPr>
                <w:sz w:val="17"/>
                <w:szCs w:val="17"/>
              </w:rPr>
              <w:t>No d</w:t>
            </w:r>
            <w:r w:rsidR="00C2778D" w:rsidRPr="00172B82">
              <w:rPr>
                <w:sz w:val="17"/>
                <w:szCs w:val="17"/>
              </w:rPr>
              <w:t xml:space="preserve">isclosure in SFCR of information in regards the use of transitional measure on risk-free interest rates or </w:t>
            </w:r>
            <w:r w:rsidR="00C2778D" w:rsidRPr="00172B82">
              <w:rPr>
                <w:sz w:val="17"/>
                <w:szCs w:val="17"/>
              </w:rPr>
              <w:lastRenderedPageBreak/>
              <w:t xml:space="preserve">technical provisions </w:t>
            </w:r>
            <w:r w:rsidR="00C2778D">
              <w:rPr>
                <w:sz w:val="17"/>
                <w:szCs w:val="17"/>
              </w:rPr>
              <w:t>(Art 308b</w:t>
            </w:r>
            <w:r w:rsidR="003E6DCF">
              <w:rPr>
                <w:sz w:val="17"/>
                <w:szCs w:val="17"/>
              </w:rPr>
              <w:t>, c and d</w:t>
            </w:r>
            <w:r w:rsidR="00C2778D">
              <w:rPr>
                <w:sz w:val="17"/>
                <w:szCs w:val="17"/>
              </w:rPr>
              <w:t>/A201</w:t>
            </w:r>
            <w:r w:rsidR="003E6DCF">
              <w:rPr>
                <w:sz w:val="17"/>
                <w:szCs w:val="17"/>
              </w:rPr>
              <w:t>, A202 and A203</w:t>
            </w:r>
            <w:r w:rsidR="00C2778D">
              <w:rPr>
                <w:sz w:val="17"/>
                <w:szCs w:val="17"/>
              </w:rPr>
              <w:t>)</w:t>
            </w:r>
            <w:r w:rsidR="00C2778D" w:rsidRPr="00172B82">
              <w:rPr>
                <w:sz w:val="17"/>
                <w:szCs w:val="17"/>
              </w:rPr>
              <w:t>.</w:t>
            </w:r>
            <w:r>
              <w:rPr>
                <w:sz w:val="17"/>
                <w:szCs w:val="17"/>
              </w:rPr>
              <w:t xml:space="preserve"> Disclosure requirement SFCR however remains applicable via current directive (Art 51)</w:t>
            </w:r>
            <w:r w:rsidR="00F112F6">
              <w:rPr>
                <w:sz w:val="17"/>
                <w:szCs w:val="17"/>
              </w:rPr>
              <w:t>.</w:t>
            </w:r>
          </w:p>
        </w:tc>
        <w:tc>
          <w:tcPr>
            <w:tcW w:w="3321" w:type="dxa"/>
          </w:tcPr>
          <w:p w14:paraId="5208B74E" w14:textId="77777777" w:rsidR="00ED458A" w:rsidRDefault="00ED458A" w:rsidP="00121913">
            <w:pPr>
              <w:tabs>
                <w:tab w:val="left" w:pos="3815"/>
              </w:tabs>
              <w:rPr>
                <w:sz w:val="17"/>
                <w:szCs w:val="17"/>
              </w:rPr>
            </w:pPr>
            <w:r w:rsidRPr="001133FD">
              <w:rPr>
                <w:b/>
                <w:bCs/>
                <w:color w:val="FF0000"/>
                <w:sz w:val="17"/>
                <w:szCs w:val="17"/>
              </w:rPr>
              <w:lastRenderedPageBreak/>
              <w:t>[Negative]</w:t>
            </w:r>
            <w:r>
              <w:rPr>
                <w:b/>
                <w:bCs/>
                <w:color w:val="FF0000"/>
                <w:sz w:val="17"/>
                <w:szCs w:val="17"/>
              </w:rPr>
              <w:t xml:space="preserve"> </w:t>
            </w:r>
            <w:r w:rsidRPr="00DD7CCE">
              <w:rPr>
                <w:sz w:val="17"/>
                <w:szCs w:val="17"/>
              </w:rPr>
              <w:t xml:space="preserve">The new </w:t>
            </w:r>
            <w:r>
              <w:rPr>
                <w:sz w:val="17"/>
                <w:szCs w:val="17"/>
              </w:rPr>
              <w:t xml:space="preserve">NSA </w:t>
            </w:r>
            <w:r w:rsidRPr="00DD7CCE">
              <w:rPr>
                <w:sz w:val="17"/>
                <w:szCs w:val="17"/>
              </w:rPr>
              <w:t>powers to revoke application of transitional measures</w:t>
            </w:r>
            <w:r w:rsidRPr="00DD7CCE">
              <w:rPr>
                <w:b/>
                <w:bCs/>
                <w:sz w:val="17"/>
                <w:szCs w:val="17"/>
              </w:rPr>
              <w:t xml:space="preserve"> </w:t>
            </w:r>
            <w:r>
              <w:rPr>
                <w:sz w:val="17"/>
                <w:szCs w:val="17"/>
              </w:rPr>
              <w:t xml:space="preserve">could create additional difficulties for undertakings who use </w:t>
            </w:r>
            <w:r>
              <w:rPr>
                <w:sz w:val="17"/>
                <w:szCs w:val="17"/>
              </w:rPr>
              <w:lastRenderedPageBreak/>
              <w:t xml:space="preserve">the TMTP and TRFR during stress periods. </w:t>
            </w:r>
          </w:p>
          <w:p w14:paraId="479FFC5A" w14:textId="77777777" w:rsidR="00946161" w:rsidRDefault="00946161" w:rsidP="00121913">
            <w:pPr>
              <w:tabs>
                <w:tab w:val="left" w:pos="3815"/>
              </w:tabs>
              <w:rPr>
                <w:b/>
                <w:bCs/>
                <w:color w:val="E36C0A" w:themeColor="accent6" w:themeShade="BF"/>
                <w:sz w:val="17"/>
                <w:szCs w:val="17"/>
              </w:rPr>
            </w:pPr>
          </w:p>
          <w:p w14:paraId="7FA6B493" w14:textId="5DA7B8A6" w:rsidR="00946161" w:rsidRDefault="001D0E14" w:rsidP="00121913">
            <w:pPr>
              <w:tabs>
                <w:tab w:val="left" w:pos="3815"/>
              </w:tabs>
              <w:rPr>
                <w:sz w:val="17"/>
                <w:szCs w:val="17"/>
              </w:rPr>
            </w:pPr>
            <w:r w:rsidRPr="00F15250">
              <w:rPr>
                <w:sz w:val="17"/>
                <w:szCs w:val="17"/>
              </w:rPr>
              <w:t>T</w:t>
            </w:r>
            <w:r w:rsidR="00946161" w:rsidRPr="00F15250">
              <w:rPr>
                <w:sz w:val="17"/>
                <w:szCs w:val="17"/>
              </w:rPr>
              <w:t xml:space="preserve">he </w:t>
            </w:r>
            <w:r w:rsidRPr="00F15250">
              <w:rPr>
                <w:b/>
                <w:bCs/>
                <w:sz w:val="17"/>
                <w:szCs w:val="17"/>
              </w:rPr>
              <w:t xml:space="preserve">EP </w:t>
            </w:r>
            <w:r w:rsidR="00946161" w:rsidRPr="00F15250">
              <w:rPr>
                <w:b/>
                <w:bCs/>
                <w:sz w:val="17"/>
                <w:szCs w:val="17"/>
              </w:rPr>
              <w:t>draft report</w:t>
            </w:r>
            <w:r w:rsidR="00946161" w:rsidRPr="00F15250">
              <w:rPr>
                <w:sz w:val="17"/>
                <w:szCs w:val="17"/>
              </w:rPr>
              <w:t xml:space="preserve"> proposes not to disclose the use of transitionals on risk-free interest rates or technical provisions in the SFCR</w:t>
            </w:r>
            <w:r w:rsidR="00AA239C">
              <w:rPr>
                <w:sz w:val="17"/>
                <w:szCs w:val="17"/>
              </w:rPr>
              <w:t>.</w:t>
            </w:r>
          </w:p>
          <w:p w14:paraId="0B1C2938" w14:textId="77777777" w:rsidR="00AA239C" w:rsidRDefault="00AA239C" w:rsidP="00121913">
            <w:pPr>
              <w:tabs>
                <w:tab w:val="left" w:pos="3815"/>
              </w:tabs>
              <w:rPr>
                <w:sz w:val="17"/>
                <w:szCs w:val="17"/>
              </w:rPr>
            </w:pPr>
          </w:p>
          <w:p w14:paraId="793ACD25" w14:textId="2A1C2261" w:rsidR="00AA239C" w:rsidRDefault="00D60023" w:rsidP="00121913">
            <w:pPr>
              <w:tabs>
                <w:tab w:val="left" w:pos="3815"/>
              </w:tabs>
              <w:rPr>
                <w:color w:val="1F497D" w:themeColor="text2"/>
                <w:sz w:val="17"/>
                <w:szCs w:val="17"/>
              </w:rPr>
            </w:pPr>
            <w:r>
              <w:rPr>
                <w:b/>
                <w:bCs/>
                <w:color w:val="1F497D" w:themeColor="text2"/>
                <w:sz w:val="17"/>
                <w:szCs w:val="17"/>
              </w:rPr>
              <w:t>W</w:t>
            </w:r>
            <w:r w:rsidR="00AA239C">
              <w:rPr>
                <w:b/>
                <w:bCs/>
                <w:color w:val="1F497D" w:themeColor="text2"/>
                <w:sz w:val="17"/>
                <w:szCs w:val="17"/>
              </w:rPr>
              <w:t xml:space="preserve">ay forward: </w:t>
            </w:r>
            <w:r w:rsidR="00674D74" w:rsidRPr="00F15250">
              <w:rPr>
                <w:color w:val="1F497D" w:themeColor="text2"/>
                <w:sz w:val="17"/>
                <w:szCs w:val="17"/>
              </w:rPr>
              <w:t>Not prioriti</w:t>
            </w:r>
            <w:r w:rsidR="00313CF9" w:rsidRPr="00F15250">
              <w:rPr>
                <w:color w:val="1F497D" w:themeColor="text2"/>
                <w:sz w:val="17"/>
                <w:szCs w:val="17"/>
              </w:rPr>
              <w:t>se.</w:t>
            </w:r>
          </w:p>
          <w:p w14:paraId="611EAAF3" w14:textId="3D080F2C" w:rsidR="00F112F6" w:rsidRPr="00946161" w:rsidRDefault="00F112F6" w:rsidP="00121913">
            <w:pPr>
              <w:tabs>
                <w:tab w:val="left" w:pos="3815"/>
              </w:tabs>
              <w:rPr>
                <w:color w:val="E36C0A" w:themeColor="accent6" w:themeShade="BF"/>
                <w:sz w:val="17"/>
                <w:szCs w:val="17"/>
              </w:rPr>
            </w:pPr>
          </w:p>
        </w:tc>
      </w:tr>
      <w:tr w:rsidR="00ED458A" w:rsidRPr="00BD5AF9" w14:paraId="1F30818A" w14:textId="77777777" w:rsidTr="0035075E">
        <w:trPr>
          <w:trHeight w:val="2030"/>
        </w:trPr>
        <w:tc>
          <w:tcPr>
            <w:tcW w:w="1456" w:type="dxa"/>
            <w:shd w:val="clear" w:color="auto" w:fill="auto"/>
          </w:tcPr>
          <w:p w14:paraId="0AC08F3E" w14:textId="77777777" w:rsidR="00ED458A" w:rsidRDefault="00ED458A" w:rsidP="00121913">
            <w:pPr>
              <w:tabs>
                <w:tab w:val="left" w:pos="3815"/>
              </w:tabs>
              <w:rPr>
                <w:b/>
                <w:sz w:val="17"/>
                <w:szCs w:val="17"/>
              </w:rPr>
            </w:pPr>
            <w:r w:rsidRPr="00F57182">
              <w:rPr>
                <w:b/>
                <w:sz w:val="17"/>
                <w:szCs w:val="17"/>
              </w:rPr>
              <w:lastRenderedPageBreak/>
              <w:t xml:space="preserve">Symmetric adjustment to </w:t>
            </w:r>
          </w:p>
          <w:p w14:paraId="1843E46A" w14:textId="77777777" w:rsidR="00ED458A" w:rsidRDefault="00ED458A" w:rsidP="00121913">
            <w:pPr>
              <w:tabs>
                <w:tab w:val="left" w:pos="3815"/>
              </w:tabs>
              <w:rPr>
                <w:b/>
                <w:sz w:val="17"/>
                <w:szCs w:val="17"/>
              </w:rPr>
            </w:pPr>
            <w:r w:rsidRPr="00F57182">
              <w:rPr>
                <w:b/>
                <w:sz w:val="17"/>
                <w:szCs w:val="17"/>
              </w:rPr>
              <w:t>equity risk</w:t>
            </w:r>
          </w:p>
        </w:tc>
        <w:tc>
          <w:tcPr>
            <w:tcW w:w="2079" w:type="dxa"/>
            <w:shd w:val="clear" w:color="auto" w:fill="auto"/>
          </w:tcPr>
          <w:p w14:paraId="7F9E7465" w14:textId="77777777" w:rsidR="00ED458A" w:rsidRPr="00BD5AF9" w:rsidRDefault="00ED458A" w:rsidP="00121913">
            <w:pPr>
              <w:tabs>
                <w:tab w:val="left" w:pos="3815"/>
              </w:tabs>
              <w:rPr>
                <w:b/>
                <w:bCs/>
                <w:color w:val="E36C0A" w:themeColor="accent6" w:themeShade="BF"/>
                <w:sz w:val="17"/>
                <w:szCs w:val="17"/>
              </w:rPr>
            </w:pPr>
            <w:r w:rsidRPr="00BD5AF9">
              <w:rPr>
                <w:b/>
                <w:bCs/>
                <w:color w:val="FF0000"/>
                <w:sz w:val="17"/>
                <w:szCs w:val="17"/>
              </w:rPr>
              <w:t>[Negative]</w:t>
            </w:r>
            <w:r>
              <w:rPr>
                <w:b/>
                <w:bCs/>
                <w:color w:val="FF0000"/>
                <w:sz w:val="17"/>
                <w:szCs w:val="17"/>
              </w:rPr>
              <w:t xml:space="preserve"> </w:t>
            </w:r>
            <w:r w:rsidRPr="00F57182">
              <w:rPr>
                <w:sz w:val="17"/>
                <w:szCs w:val="17"/>
              </w:rPr>
              <w:t>Propose to increase the corridor of the symmetric adjustment to +/-17% (from +/-10%)</w:t>
            </w:r>
          </w:p>
        </w:tc>
        <w:tc>
          <w:tcPr>
            <w:tcW w:w="1372" w:type="dxa"/>
            <w:shd w:val="clear" w:color="auto" w:fill="auto"/>
          </w:tcPr>
          <w:p w14:paraId="7CE4483D" w14:textId="77777777" w:rsidR="00ED458A" w:rsidRPr="001310DC" w:rsidRDefault="00ED458A" w:rsidP="00121913">
            <w:pPr>
              <w:tabs>
                <w:tab w:val="left" w:pos="3815"/>
              </w:tabs>
              <w:rPr>
                <w:b/>
                <w:bCs/>
                <w:color w:val="00B050"/>
                <w:sz w:val="17"/>
                <w:szCs w:val="17"/>
              </w:rPr>
            </w:pPr>
            <w:r w:rsidRPr="00BD5AF9">
              <w:rPr>
                <w:b/>
                <w:bCs/>
                <w:color w:val="FF0000"/>
                <w:sz w:val="17"/>
                <w:szCs w:val="17"/>
              </w:rPr>
              <w:t>[Negative]</w:t>
            </w:r>
            <w:r>
              <w:rPr>
                <w:b/>
                <w:bCs/>
                <w:color w:val="FF0000"/>
                <w:sz w:val="17"/>
                <w:szCs w:val="17"/>
              </w:rPr>
              <w:t xml:space="preserve"> </w:t>
            </w:r>
            <w:r w:rsidRPr="004133C8">
              <w:rPr>
                <w:sz w:val="17"/>
                <w:szCs w:val="17"/>
              </w:rPr>
              <w:t>EC</w:t>
            </w:r>
            <w:r w:rsidRPr="004133C8">
              <w:rPr>
                <w:b/>
                <w:bCs/>
                <w:sz w:val="17"/>
                <w:szCs w:val="17"/>
              </w:rPr>
              <w:t xml:space="preserve"> </w:t>
            </w:r>
            <w:r w:rsidRPr="00F57182">
              <w:rPr>
                <w:sz w:val="17"/>
                <w:szCs w:val="17"/>
              </w:rPr>
              <w:t>proposal in line with EIOPA</w:t>
            </w:r>
            <w:r>
              <w:rPr>
                <w:sz w:val="17"/>
                <w:szCs w:val="17"/>
              </w:rPr>
              <w:t>.</w:t>
            </w:r>
          </w:p>
        </w:tc>
        <w:tc>
          <w:tcPr>
            <w:tcW w:w="4449" w:type="dxa"/>
            <w:shd w:val="clear" w:color="auto" w:fill="auto"/>
          </w:tcPr>
          <w:p w14:paraId="5CB44E9C" w14:textId="1796F701" w:rsidR="00ED458A" w:rsidRDefault="00ED458A" w:rsidP="00121913">
            <w:pPr>
              <w:tabs>
                <w:tab w:val="left" w:pos="3815"/>
              </w:tabs>
              <w:rPr>
                <w:b/>
                <w:sz w:val="17"/>
                <w:szCs w:val="17"/>
              </w:rPr>
            </w:pPr>
            <w:r w:rsidRPr="00BD5AF9">
              <w:rPr>
                <w:b/>
                <w:bCs/>
                <w:color w:val="E36C0A" w:themeColor="accent6" w:themeShade="BF"/>
                <w:sz w:val="17"/>
                <w:szCs w:val="17"/>
              </w:rPr>
              <w:t>[Neutral]</w:t>
            </w:r>
            <w:r>
              <w:rPr>
                <w:b/>
                <w:bCs/>
                <w:color w:val="E36C0A" w:themeColor="accent6" w:themeShade="BF"/>
                <w:sz w:val="17"/>
                <w:szCs w:val="17"/>
              </w:rPr>
              <w:t xml:space="preserve"> </w:t>
            </w:r>
            <w:r>
              <w:rPr>
                <w:sz w:val="17"/>
                <w:szCs w:val="17"/>
              </w:rPr>
              <w:t xml:space="preserve">FR presidency compromise does not include the EC’s proposed changes to the corridor of the symmetric adjustment </w:t>
            </w:r>
            <w:r w:rsidRPr="00A32D89">
              <w:rPr>
                <w:sz w:val="17"/>
                <w:szCs w:val="17"/>
              </w:rPr>
              <w:t>(Art 106</w:t>
            </w:r>
            <w:r>
              <w:rPr>
                <w:sz w:val="17"/>
                <w:szCs w:val="17"/>
              </w:rPr>
              <w:t xml:space="preserve"> </w:t>
            </w:r>
            <w:r>
              <w:rPr>
                <w:bCs/>
                <w:sz w:val="17"/>
                <w:szCs w:val="17"/>
              </w:rPr>
              <w:t>para 3)</w:t>
            </w:r>
          </w:p>
          <w:p w14:paraId="726B737B" w14:textId="6694B458" w:rsidR="00ED458A" w:rsidRPr="00522331" w:rsidRDefault="00ED458A" w:rsidP="00121913">
            <w:pPr>
              <w:tabs>
                <w:tab w:val="left" w:pos="3815"/>
              </w:tabs>
              <w:rPr>
                <w:b/>
                <w:sz w:val="17"/>
                <w:szCs w:val="17"/>
              </w:rPr>
            </w:pPr>
          </w:p>
        </w:tc>
        <w:tc>
          <w:tcPr>
            <w:tcW w:w="2491" w:type="dxa"/>
            <w:shd w:val="clear" w:color="auto" w:fill="auto"/>
          </w:tcPr>
          <w:p w14:paraId="43CE8724" w14:textId="145F9B4A" w:rsidR="00ED458A" w:rsidRPr="001E7BB9" w:rsidDel="00440C30" w:rsidRDefault="004260EE" w:rsidP="00121913">
            <w:pPr>
              <w:tabs>
                <w:tab w:val="left" w:pos="3815"/>
              </w:tabs>
              <w:rPr>
                <w:sz w:val="17"/>
                <w:szCs w:val="17"/>
              </w:rPr>
            </w:pPr>
            <w:r w:rsidRPr="00BD5AF9">
              <w:rPr>
                <w:b/>
                <w:bCs/>
                <w:color w:val="FF0000"/>
                <w:sz w:val="17"/>
                <w:szCs w:val="17"/>
              </w:rPr>
              <w:t>[</w:t>
            </w:r>
            <w:r w:rsidR="0004064E">
              <w:rPr>
                <w:b/>
                <w:bCs/>
                <w:color w:val="FF0000"/>
                <w:sz w:val="17"/>
                <w:szCs w:val="17"/>
              </w:rPr>
              <w:t>Positive</w:t>
            </w:r>
            <w:r w:rsidRPr="00BD5AF9">
              <w:rPr>
                <w:b/>
                <w:bCs/>
                <w:color w:val="FF0000"/>
                <w:sz w:val="17"/>
                <w:szCs w:val="17"/>
              </w:rPr>
              <w:t>]</w:t>
            </w:r>
            <w:r>
              <w:rPr>
                <w:b/>
                <w:bCs/>
                <w:color w:val="FF0000"/>
                <w:sz w:val="17"/>
                <w:szCs w:val="17"/>
              </w:rPr>
              <w:t xml:space="preserve"> </w:t>
            </w:r>
            <w:r w:rsidR="001E7BB9">
              <w:rPr>
                <w:sz w:val="17"/>
                <w:szCs w:val="17"/>
              </w:rPr>
              <w:t>Proposal to</w:t>
            </w:r>
            <w:r w:rsidR="00135DEB">
              <w:rPr>
                <w:sz w:val="17"/>
                <w:szCs w:val="17"/>
              </w:rPr>
              <w:t xml:space="preserve"> amend the corridor to </w:t>
            </w:r>
            <w:r w:rsidR="00E62829">
              <w:rPr>
                <w:sz w:val="17"/>
                <w:szCs w:val="17"/>
              </w:rPr>
              <w:t>be between</w:t>
            </w:r>
            <w:r w:rsidR="00135DEB">
              <w:rPr>
                <w:sz w:val="17"/>
                <w:szCs w:val="17"/>
              </w:rPr>
              <w:t xml:space="preserve"> -</w:t>
            </w:r>
            <w:r w:rsidR="00F720C6">
              <w:rPr>
                <w:sz w:val="17"/>
                <w:szCs w:val="17"/>
              </w:rPr>
              <w:t>17%</w:t>
            </w:r>
            <w:r w:rsidR="00E62829">
              <w:rPr>
                <w:sz w:val="17"/>
                <w:szCs w:val="17"/>
              </w:rPr>
              <w:t xml:space="preserve"> and </w:t>
            </w:r>
            <w:r w:rsidR="00F720C6">
              <w:rPr>
                <w:sz w:val="17"/>
                <w:szCs w:val="17"/>
              </w:rPr>
              <w:t>+10%</w:t>
            </w:r>
            <w:r w:rsidR="00E62829">
              <w:rPr>
                <w:sz w:val="17"/>
                <w:szCs w:val="17"/>
              </w:rPr>
              <w:t xml:space="preserve"> than the standard equity capital charge</w:t>
            </w:r>
            <w:r w:rsidR="00415FB5">
              <w:rPr>
                <w:sz w:val="17"/>
                <w:szCs w:val="17"/>
              </w:rPr>
              <w:t xml:space="preserve"> </w:t>
            </w:r>
            <w:r w:rsidR="007D69CC">
              <w:rPr>
                <w:sz w:val="17"/>
                <w:szCs w:val="17"/>
              </w:rPr>
              <w:t xml:space="preserve">to exclude </w:t>
            </w:r>
            <w:r w:rsidR="00372EB0">
              <w:rPr>
                <w:sz w:val="17"/>
                <w:szCs w:val="17"/>
              </w:rPr>
              <w:t xml:space="preserve">life </w:t>
            </w:r>
            <w:r w:rsidR="007D69CC">
              <w:rPr>
                <w:sz w:val="17"/>
                <w:szCs w:val="17"/>
              </w:rPr>
              <w:t xml:space="preserve">unit linked </w:t>
            </w:r>
            <w:r w:rsidR="00AA7025">
              <w:rPr>
                <w:sz w:val="17"/>
                <w:szCs w:val="17"/>
              </w:rPr>
              <w:t xml:space="preserve">liabilities </w:t>
            </w:r>
            <w:r w:rsidR="005C5791">
              <w:rPr>
                <w:sz w:val="17"/>
                <w:szCs w:val="17"/>
              </w:rPr>
              <w:t>(amendment 130)</w:t>
            </w:r>
          </w:p>
        </w:tc>
        <w:tc>
          <w:tcPr>
            <w:tcW w:w="3321" w:type="dxa"/>
          </w:tcPr>
          <w:p w14:paraId="71429156" w14:textId="0663A482" w:rsidR="001D0E14" w:rsidRPr="00F15250" w:rsidRDefault="00650D4F" w:rsidP="00121913">
            <w:pPr>
              <w:tabs>
                <w:tab w:val="left" w:pos="3815"/>
              </w:tabs>
              <w:rPr>
                <w:sz w:val="17"/>
                <w:szCs w:val="17"/>
              </w:rPr>
            </w:pPr>
            <w:r w:rsidRPr="00F15250">
              <w:rPr>
                <w:b/>
                <w:bCs/>
                <w:color w:val="00B050"/>
                <w:sz w:val="17"/>
                <w:szCs w:val="17"/>
              </w:rPr>
              <w:t>[</w:t>
            </w:r>
            <w:r w:rsidR="0064168F" w:rsidRPr="00F15250">
              <w:rPr>
                <w:b/>
                <w:bCs/>
                <w:color w:val="00B050"/>
                <w:sz w:val="17"/>
                <w:szCs w:val="17"/>
              </w:rPr>
              <w:t>Positive</w:t>
            </w:r>
            <w:r w:rsidRPr="00F15250">
              <w:rPr>
                <w:b/>
                <w:bCs/>
                <w:color w:val="00B050"/>
                <w:sz w:val="17"/>
                <w:szCs w:val="17"/>
              </w:rPr>
              <w:t>]</w:t>
            </w:r>
            <w:r>
              <w:rPr>
                <w:b/>
                <w:bCs/>
                <w:color w:val="E36C0A" w:themeColor="accent6" w:themeShade="BF"/>
                <w:sz w:val="17"/>
                <w:szCs w:val="17"/>
              </w:rPr>
              <w:t xml:space="preserve"> </w:t>
            </w:r>
            <w:r w:rsidR="001D0E14" w:rsidRPr="00F15250">
              <w:rPr>
                <w:sz w:val="17"/>
                <w:szCs w:val="17"/>
              </w:rPr>
              <w:t>EC’s proposed changes to the symmetric adjustment have been disregarded by French Presidency.</w:t>
            </w:r>
          </w:p>
          <w:p w14:paraId="2BABD7E0" w14:textId="77777777" w:rsidR="001D0E14" w:rsidRPr="00F15250" w:rsidRDefault="001D0E14" w:rsidP="00121913">
            <w:pPr>
              <w:tabs>
                <w:tab w:val="left" w:pos="3815"/>
              </w:tabs>
              <w:rPr>
                <w:sz w:val="17"/>
                <w:szCs w:val="17"/>
              </w:rPr>
            </w:pPr>
          </w:p>
          <w:p w14:paraId="282D36B5" w14:textId="5E1EFC5B" w:rsidR="00ED458A" w:rsidRDefault="001D0E14" w:rsidP="00121913">
            <w:pPr>
              <w:tabs>
                <w:tab w:val="left" w:pos="3815"/>
              </w:tabs>
              <w:rPr>
                <w:b/>
                <w:bCs/>
                <w:sz w:val="17"/>
                <w:szCs w:val="17"/>
              </w:rPr>
            </w:pPr>
            <w:r w:rsidRPr="00F15250">
              <w:rPr>
                <w:sz w:val="17"/>
                <w:szCs w:val="17"/>
              </w:rPr>
              <w:t>Whereas the EP has opted to proposed reduced scope of application</w:t>
            </w:r>
            <w:r w:rsidR="00B474B1" w:rsidRPr="00F15250">
              <w:rPr>
                <w:sz w:val="17"/>
                <w:szCs w:val="17"/>
              </w:rPr>
              <w:t xml:space="preserve"> </w:t>
            </w:r>
            <w:r w:rsidR="00C871A7" w:rsidRPr="00F15250">
              <w:rPr>
                <w:sz w:val="17"/>
                <w:szCs w:val="17"/>
              </w:rPr>
              <w:t xml:space="preserve">through exclusion of life UL liabilities </w:t>
            </w:r>
            <w:r w:rsidR="00B474B1" w:rsidRPr="00F15250">
              <w:rPr>
                <w:sz w:val="17"/>
                <w:szCs w:val="17"/>
              </w:rPr>
              <w:t>and an asymmetric corridor (</w:t>
            </w:r>
            <w:r w:rsidR="0046791D">
              <w:rPr>
                <w:sz w:val="17"/>
                <w:szCs w:val="17"/>
              </w:rPr>
              <w:t>-</w:t>
            </w:r>
            <w:r w:rsidR="00B474B1" w:rsidRPr="00F15250">
              <w:rPr>
                <w:sz w:val="17"/>
                <w:szCs w:val="17"/>
              </w:rPr>
              <w:t>17%/</w:t>
            </w:r>
            <w:r w:rsidR="0046791D">
              <w:rPr>
                <w:sz w:val="17"/>
                <w:szCs w:val="17"/>
              </w:rPr>
              <w:t>+</w:t>
            </w:r>
            <w:r w:rsidR="00B474B1" w:rsidRPr="00F15250">
              <w:rPr>
                <w:sz w:val="17"/>
                <w:szCs w:val="17"/>
              </w:rPr>
              <w:t>10%).</w:t>
            </w:r>
            <w:r w:rsidR="00B474B1" w:rsidRPr="00F15250">
              <w:rPr>
                <w:b/>
                <w:bCs/>
                <w:sz w:val="17"/>
                <w:szCs w:val="17"/>
              </w:rPr>
              <w:t xml:space="preserve">  </w:t>
            </w:r>
          </w:p>
          <w:p w14:paraId="5D74D255" w14:textId="4BE8BBB7" w:rsidR="00B31DE8" w:rsidRDefault="00B31DE8" w:rsidP="00121913">
            <w:pPr>
              <w:tabs>
                <w:tab w:val="left" w:pos="3815"/>
              </w:tabs>
              <w:rPr>
                <w:b/>
                <w:bCs/>
                <w:sz w:val="17"/>
                <w:szCs w:val="17"/>
              </w:rPr>
            </w:pPr>
          </w:p>
          <w:p w14:paraId="3A7631CC" w14:textId="0B6DF89F" w:rsidR="00B31DE8" w:rsidRDefault="00BB5E00" w:rsidP="00121913">
            <w:pPr>
              <w:tabs>
                <w:tab w:val="left" w:pos="3815"/>
              </w:tabs>
              <w:rPr>
                <w:b/>
                <w:bCs/>
                <w:sz w:val="17"/>
                <w:szCs w:val="17"/>
              </w:rPr>
            </w:pPr>
            <w:r>
              <w:rPr>
                <w:b/>
                <w:bCs/>
                <w:color w:val="1F497D" w:themeColor="text2"/>
                <w:sz w:val="17"/>
                <w:szCs w:val="17"/>
              </w:rPr>
              <w:t>W</w:t>
            </w:r>
            <w:r w:rsidR="00BE5214">
              <w:rPr>
                <w:b/>
                <w:bCs/>
                <w:color w:val="1F497D" w:themeColor="text2"/>
                <w:sz w:val="17"/>
                <w:szCs w:val="17"/>
              </w:rPr>
              <w:t xml:space="preserve">ay forward: </w:t>
            </w:r>
            <w:r w:rsidR="00BE5214" w:rsidRPr="00F15250">
              <w:rPr>
                <w:color w:val="1F497D" w:themeColor="text2"/>
                <w:sz w:val="17"/>
                <w:szCs w:val="17"/>
              </w:rPr>
              <w:t xml:space="preserve">Support </w:t>
            </w:r>
            <w:r w:rsidR="00CF6121">
              <w:rPr>
                <w:color w:val="1F497D" w:themeColor="text2"/>
                <w:sz w:val="17"/>
                <w:szCs w:val="17"/>
              </w:rPr>
              <w:t xml:space="preserve">EP </w:t>
            </w:r>
            <w:r w:rsidR="00BE5214" w:rsidRPr="00F15250">
              <w:rPr>
                <w:color w:val="1F497D" w:themeColor="text2"/>
                <w:sz w:val="17"/>
                <w:szCs w:val="17"/>
              </w:rPr>
              <w:t xml:space="preserve">proposal </w:t>
            </w:r>
            <w:r w:rsidR="00CF6121">
              <w:rPr>
                <w:color w:val="1F497D" w:themeColor="text2"/>
                <w:sz w:val="17"/>
                <w:szCs w:val="17"/>
              </w:rPr>
              <w:t>to</w:t>
            </w:r>
            <w:r w:rsidR="00BE5214" w:rsidRPr="00F15250">
              <w:rPr>
                <w:color w:val="1F497D" w:themeColor="text2"/>
                <w:sz w:val="17"/>
                <w:szCs w:val="17"/>
              </w:rPr>
              <w:t xml:space="preserve"> no</w:t>
            </w:r>
            <w:r w:rsidR="00B45579">
              <w:rPr>
                <w:color w:val="1F497D" w:themeColor="text2"/>
                <w:sz w:val="17"/>
                <w:szCs w:val="17"/>
              </w:rPr>
              <w:t xml:space="preserve">t increase </w:t>
            </w:r>
            <w:r w:rsidR="00034888">
              <w:rPr>
                <w:color w:val="1F497D" w:themeColor="text2"/>
                <w:sz w:val="17"/>
                <w:szCs w:val="17"/>
              </w:rPr>
              <w:t>the corridor upwards (i</w:t>
            </w:r>
            <w:r w:rsidR="007263E3">
              <w:rPr>
                <w:color w:val="1F497D" w:themeColor="text2"/>
                <w:sz w:val="17"/>
                <w:szCs w:val="17"/>
              </w:rPr>
              <w:t>e</w:t>
            </w:r>
            <w:r w:rsidR="00034888">
              <w:rPr>
                <w:color w:val="1F497D" w:themeColor="text2"/>
                <w:sz w:val="17"/>
                <w:szCs w:val="17"/>
              </w:rPr>
              <w:t xml:space="preserve"> above + 10 %)</w:t>
            </w:r>
            <w:r w:rsidR="00034888" w:rsidRPr="00F15250">
              <w:rPr>
                <w:color w:val="1F497D" w:themeColor="text2"/>
                <w:sz w:val="17"/>
                <w:szCs w:val="17"/>
              </w:rPr>
              <w:t xml:space="preserve"> </w:t>
            </w:r>
            <w:r w:rsidR="00034888">
              <w:rPr>
                <w:color w:val="1F497D" w:themeColor="text2"/>
                <w:sz w:val="17"/>
                <w:szCs w:val="17"/>
              </w:rPr>
              <w:t xml:space="preserve">and the EP proposal to exclude unit-linked policies. This exclusion should also apply to </w:t>
            </w:r>
            <w:r w:rsidR="00034888" w:rsidRPr="001022E5">
              <w:rPr>
                <w:color w:val="1F497D" w:themeColor="text2"/>
                <w:sz w:val="17"/>
                <w:szCs w:val="17"/>
              </w:rPr>
              <w:t>other similar insurance policies where the policyholders choose what to invest in and bear the investment risk</w:t>
            </w:r>
            <w:r w:rsidR="00034888">
              <w:rPr>
                <w:color w:val="1F497D" w:themeColor="text2"/>
                <w:sz w:val="17"/>
                <w:szCs w:val="17"/>
              </w:rPr>
              <w:t xml:space="preserve">. </w:t>
            </w:r>
            <w:r w:rsidR="00BE5214">
              <w:rPr>
                <w:b/>
                <w:bCs/>
                <w:color w:val="1F497D" w:themeColor="text2"/>
                <w:sz w:val="17"/>
                <w:szCs w:val="17"/>
              </w:rPr>
              <w:t xml:space="preserve"> </w:t>
            </w:r>
          </w:p>
          <w:p w14:paraId="1BB3BEB6" w14:textId="77777777" w:rsidR="007F5A29" w:rsidRDefault="007F5A29" w:rsidP="00121913">
            <w:pPr>
              <w:tabs>
                <w:tab w:val="left" w:pos="3815"/>
              </w:tabs>
              <w:rPr>
                <w:sz w:val="17"/>
                <w:szCs w:val="17"/>
              </w:rPr>
            </w:pPr>
          </w:p>
          <w:p w14:paraId="16859EF9" w14:textId="4D178E1D" w:rsidR="007F5A29" w:rsidRPr="004C7F5A" w:rsidRDefault="007F5A29" w:rsidP="00121913">
            <w:pPr>
              <w:tabs>
                <w:tab w:val="left" w:pos="3815"/>
              </w:tabs>
              <w:rPr>
                <w:sz w:val="17"/>
                <w:szCs w:val="17"/>
              </w:rPr>
            </w:pPr>
          </w:p>
        </w:tc>
      </w:tr>
    </w:tbl>
    <w:p w14:paraId="22E63EC3" w14:textId="77777777" w:rsidR="00D1418C" w:rsidRDefault="00D1418C" w:rsidP="00121913">
      <w:pPr>
        <w:spacing w:after="200" w:line="276" w:lineRule="auto"/>
        <w:rPr>
          <w:sz w:val="17"/>
          <w:szCs w:val="17"/>
        </w:rPr>
      </w:pPr>
    </w:p>
    <w:p w14:paraId="0DE60C71" w14:textId="77777777" w:rsidR="00FC764E" w:rsidRDefault="00FC764E" w:rsidP="00121913">
      <w:pPr>
        <w:spacing w:after="200" w:line="276" w:lineRule="auto"/>
        <w:rPr>
          <w:sz w:val="17"/>
          <w:szCs w:val="17"/>
        </w:rPr>
      </w:pPr>
    </w:p>
    <w:p w14:paraId="238F3A15" w14:textId="77777777" w:rsidR="00FC764E" w:rsidRDefault="00FC764E" w:rsidP="00121913">
      <w:pPr>
        <w:spacing w:after="200" w:line="276" w:lineRule="auto"/>
        <w:rPr>
          <w:sz w:val="17"/>
          <w:szCs w:val="17"/>
        </w:rPr>
      </w:pPr>
    </w:p>
    <w:tbl>
      <w:tblPr>
        <w:tblStyle w:val="Mriekatabuky"/>
        <w:tblW w:w="15168" w:type="dxa"/>
        <w:tblInd w:w="-289" w:type="dxa"/>
        <w:tblLook w:val="04A0" w:firstRow="1" w:lastRow="0" w:firstColumn="1" w:lastColumn="0" w:noHBand="0" w:noVBand="1"/>
      </w:tblPr>
      <w:tblGrid>
        <w:gridCol w:w="1509"/>
        <w:gridCol w:w="1610"/>
        <w:gridCol w:w="2268"/>
        <w:gridCol w:w="3544"/>
        <w:gridCol w:w="3119"/>
        <w:gridCol w:w="3118"/>
      </w:tblGrid>
      <w:tr w:rsidR="00C64454" w14:paraId="77AFB5FD" w14:textId="77777777" w:rsidTr="004B7B1F">
        <w:trPr>
          <w:trHeight w:val="422"/>
        </w:trPr>
        <w:tc>
          <w:tcPr>
            <w:tcW w:w="1509" w:type="dxa"/>
          </w:tcPr>
          <w:p w14:paraId="76027815" w14:textId="77777777" w:rsidR="00ED458A" w:rsidRDefault="00ED458A" w:rsidP="00121913">
            <w:pPr>
              <w:tabs>
                <w:tab w:val="left" w:pos="3815"/>
              </w:tabs>
              <w:rPr>
                <w:sz w:val="17"/>
                <w:szCs w:val="17"/>
              </w:rPr>
            </w:pPr>
            <w:r w:rsidRPr="00491EB9">
              <w:rPr>
                <w:b/>
                <w:bCs/>
                <w:sz w:val="17"/>
                <w:szCs w:val="17"/>
              </w:rPr>
              <w:t>Topic</w:t>
            </w:r>
          </w:p>
        </w:tc>
        <w:tc>
          <w:tcPr>
            <w:tcW w:w="1610" w:type="dxa"/>
          </w:tcPr>
          <w:p w14:paraId="57C5B523" w14:textId="77777777" w:rsidR="00ED458A" w:rsidRDefault="00ED458A" w:rsidP="00121913">
            <w:pPr>
              <w:tabs>
                <w:tab w:val="left" w:pos="3815"/>
              </w:tabs>
              <w:rPr>
                <w:sz w:val="17"/>
                <w:szCs w:val="17"/>
              </w:rPr>
            </w:pPr>
            <w:r w:rsidRPr="00491EB9">
              <w:rPr>
                <w:b/>
                <w:bCs/>
                <w:sz w:val="17"/>
                <w:szCs w:val="17"/>
              </w:rPr>
              <w:t>EIOPA proposal</w:t>
            </w:r>
          </w:p>
        </w:tc>
        <w:tc>
          <w:tcPr>
            <w:tcW w:w="2268" w:type="dxa"/>
          </w:tcPr>
          <w:p w14:paraId="56C2F520" w14:textId="77777777" w:rsidR="00ED458A" w:rsidRDefault="00ED458A" w:rsidP="00121913">
            <w:pPr>
              <w:tabs>
                <w:tab w:val="left" w:pos="3815"/>
              </w:tabs>
              <w:rPr>
                <w:sz w:val="17"/>
                <w:szCs w:val="17"/>
              </w:rPr>
            </w:pPr>
            <w:r w:rsidRPr="00491EB9">
              <w:rPr>
                <w:b/>
                <w:bCs/>
                <w:sz w:val="17"/>
                <w:szCs w:val="17"/>
              </w:rPr>
              <w:t>European Commission proposal</w:t>
            </w:r>
          </w:p>
        </w:tc>
        <w:tc>
          <w:tcPr>
            <w:tcW w:w="3544" w:type="dxa"/>
          </w:tcPr>
          <w:p w14:paraId="1042BEAB" w14:textId="65C414FF" w:rsidR="00ED458A" w:rsidRDefault="00ED458A" w:rsidP="00121913">
            <w:pPr>
              <w:tabs>
                <w:tab w:val="left" w:pos="3815"/>
              </w:tabs>
              <w:rPr>
                <w:sz w:val="17"/>
                <w:szCs w:val="17"/>
              </w:rPr>
            </w:pPr>
            <w:r w:rsidRPr="00491EB9">
              <w:rPr>
                <w:b/>
                <w:bCs/>
                <w:sz w:val="17"/>
                <w:szCs w:val="17"/>
              </w:rPr>
              <w:t>French presidency</w:t>
            </w:r>
            <w:r>
              <w:rPr>
                <w:b/>
                <w:bCs/>
                <w:sz w:val="17"/>
                <w:szCs w:val="17"/>
              </w:rPr>
              <w:t xml:space="preserve"> overall compromise proposal/EGBPI discussions</w:t>
            </w:r>
          </w:p>
        </w:tc>
        <w:tc>
          <w:tcPr>
            <w:tcW w:w="3119" w:type="dxa"/>
          </w:tcPr>
          <w:p w14:paraId="2CE28161" w14:textId="5058F022" w:rsidR="00ED458A" w:rsidRDefault="00F66675" w:rsidP="00121913">
            <w:pPr>
              <w:tabs>
                <w:tab w:val="left" w:pos="3815"/>
              </w:tabs>
              <w:rPr>
                <w:b/>
                <w:bCs/>
                <w:sz w:val="17"/>
                <w:szCs w:val="17"/>
              </w:rPr>
            </w:pPr>
            <w:r>
              <w:rPr>
                <w:b/>
                <w:bCs/>
                <w:sz w:val="17"/>
                <w:szCs w:val="17"/>
              </w:rPr>
              <w:t>EP draft report</w:t>
            </w:r>
          </w:p>
        </w:tc>
        <w:tc>
          <w:tcPr>
            <w:tcW w:w="3118" w:type="dxa"/>
          </w:tcPr>
          <w:p w14:paraId="6B996B21" w14:textId="61203D74" w:rsidR="00ED458A" w:rsidRDefault="00ED458A" w:rsidP="00121913">
            <w:pPr>
              <w:tabs>
                <w:tab w:val="left" w:pos="3815"/>
              </w:tabs>
              <w:rPr>
                <w:sz w:val="17"/>
                <w:szCs w:val="17"/>
              </w:rPr>
            </w:pPr>
            <w:r>
              <w:rPr>
                <w:b/>
                <w:bCs/>
                <w:sz w:val="17"/>
                <w:szCs w:val="17"/>
              </w:rPr>
              <w:t>Secretariat assessment of current status</w:t>
            </w:r>
          </w:p>
        </w:tc>
      </w:tr>
      <w:tr w:rsidR="00C64454" w14:paraId="4F5719A9" w14:textId="77777777" w:rsidTr="004B7B1F">
        <w:trPr>
          <w:trHeight w:val="1106"/>
        </w:trPr>
        <w:tc>
          <w:tcPr>
            <w:tcW w:w="1509" w:type="dxa"/>
            <w:vMerge w:val="restart"/>
          </w:tcPr>
          <w:p w14:paraId="2AE5A56B" w14:textId="77777777" w:rsidR="00ED458A" w:rsidRDefault="00ED458A" w:rsidP="00121913">
            <w:pPr>
              <w:tabs>
                <w:tab w:val="left" w:pos="3815"/>
              </w:tabs>
              <w:rPr>
                <w:b/>
                <w:bCs/>
                <w:sz w:val="17"/>
                <w:szCs w:val="17"/>
              </w:rPr>
            </w:pPr>
            <w:r>
              <w:rPr>
                <w:b/>
                <w:bCs/>
                <w:sz w:val="17"/>
                <w:szCs w:val="17"/>
              </w:rPr>
              <w:t>Macro</w:t>
            </w:r>
          </w:p>
          <w:p w14:paraId="4707D31C" w14:textId="77777777" w:rsidR="00ED458A" w:rsidRDefault="00ED458A" w:rsidP="00121913">
            <w:pPr>
              <w:tabs>
                <w:tab w:val="left" w:pos="3815"/>
              </w:tabs>
              <w:rPr>
                <w:sz w:val="17"/>
                <w:szCs w:val="17"/>
              </w:rPr>
            </w:pPr>
            <w:r>
              <w:rPr>
                <w:b/>
                <w:bCs/>
                <w:sz w:val="17"/>
                <w:szCs w:val="17"/>
              </w:rPr>
              <w:t>prudential</w:t>
            </w:r>
          </w:p>
        </w:tc>
        <w:tc>
          <w:tcPr>
            <w:tcW w:w="1610" w:type="dxa"/>
            <w:vMerge w:val="restart"/>
          </w:tcPr>
          <w:p w14:paraId="123ABFD4" w14:textId="77777777" w:rsidR="00ED458A" w:rsidRPr="00823F31" w:rsidRDefault="00ED458A" w:rsidP="00121913">
            <w:pPr>
              <w:tabs>
                <w:tab w:val="left" w:pos="3815"/>
              </w:tabs>
              <w:rPr>
                <w:sz w:val="17"/>
                <w:szCs w:val="17"/>
              </w:rPr>
            </w:pPr>
            <w:r w:rsidRPr="00823F31">
              <w:rPr>
                <w:sz w:val="17"/>
                <w:szCs w:val="17"/>
              </w:rPr>
              <w:t>Broad range of</w:t>
            </w:r>
          </w:p>
          <w:p w14:paraId="72DDD5A5" w14:textId="77777777" w:rsidR="00ED458A" w:rsidRDefault="00ED458A" w:rsidP="00121913">
            <w:pPr>
              <w:tabs>
                <w:tab w:val="left" w:pos="3815"/>
              </w:tabs>
              <w:rPr>
                <w:sz w:val="17"/>
                <w:szCs w:val="17"/>
              </w:rPr>
            </w:pPr>
            <w:r w:rsidRPr="00823F31">
              <w:rPr>
                <w:sz w:val="17"/>
                <w:szCs w:val="17"/>
              </w:rPr>
              <w:t>proposals and new</w:t>
            </w:r>
            <w:r>
              <w:rPr>
                <w:sz w:val="17"/>
                <w:szCs w:val="17"/>
              </w:rPr>
              <w:t xml:space="preserve"> </w:t>
            </w:r>
            <w:r w:rsidRPr="00823F31">
              <w:rPr>
                <w:sz w:val="17"/>
                <w:szCs w:val="17"/>
              </w:rPr>
              <w:t>powers</w:t>
            </w:r>
          </w:p>
        </w:tc>
        <w:tc>
          <w:tcPr>
            <w:tcW w:w="2268" w:type="dxa"/>
          </w:tcPr>
          <w:p w14:paraId="435A0C88" w14:textId="77777777" w:rsidR="00ED458A"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823F31">
              <w:rPr>
                <w:sz w:val="17"/>
                <w:szCs w:val="17"/>
              </w:rPr>
              <w:t>New intervention powers before SCR</w:t>
            </w:r>
            <w:r>
              <w:rPr>
                <w:sz w:val="17"/>
                <w:szCs w:val="17"/>
              </w:rPr>
              <w:t xml:space="preserve"> i</w:t>
            </w:r>
            <w:r w:rsidRPr="00823F31">
              <w:rPr>
                <w:sz w:val="17"/>
                <w:szCs w:val="17"/>
              </w:rPr>
              <w:t>s breached</w:t>
            </w:r>
            <w:r>
              <w:rPr>
                <w:sz w:val="17"/>
                <w:szCs w:val="17"/>
              </w:rPr>
              <w:t xml:space="preserve">, such as </w:t>
            </w:r>
            <w:r w:rsidRPr="00823F31">
              <w:rPr>
                <w:sz w:val="17"/>
                <w:szCs w:val="17"/>
              </w:rPr>
              <w:t>restricting</w:t>
            </w:r>
            <w:r>
              <w:rPr>
                <w:sz w:val="17"/>
                <w:szCs w:val="17"/>
              </w:rPr>
              <w:t xml:space="preserve"> or</w:t>
            </w:r>
            <w:r w:rsidRPr="00823F31">
              <w:rPr>
                <w:sz w:val="17"/>
                <w:szCs w:val="17"/>
              </w:rPr>
              <w:t xml:space="preserve"> suspending</w:t>
            </w:r>
            <w:r>
              <w:rPr>
                <w:sz w:val="17"/>
                <w:szCs w:val="17"/>
              </w:rPr>
              <w:t xml:space="preserve"> </w:t>
            </w:r>
            <w:r w:rsidRPr="00823F31">
              <w:rPr>
                <w:sz w:val="17"/>
                <w:szCs w:val="17"/>
              </w:rPr>
              <w:t>dividends</w:t>
            </w:r>
            <w:r>
              <w:rPr>
                <w:sz w:val="17"/>
                <w:szCs w:val="17"/>
              </w:rPr>
              <w:t xml:space="preserve"> and</w:t>
            </w:r>
            <w:r w:rsidRPr="00823F31">
              <w:rPr>
                <w:sz w:val="17"/>
                <w:szCs w:val="17"/>
              </w:rPr>
              <w:t xml:space="preserve"> other shareholder</w:t>
            </w:r>
            <w:r>
              <w:rPr>
                <w:sz w:val="17"/>
                <w:szCs w:val="17"/>
              </w:rPr>
              <w:t xml:space="preserve"> </w:t>
            </w:r>
            <w:r w:rsidRPr="00823F31">
              <w:rPr>
                <w:sz w:val="17"/>
                <w:szCs w:val="17"/>
              </w:rPr>
              <w:t>payments</w:t>
            </w:r>
            <w:r>
              <w:rPr>
                <w:sz w:val="17"/>
                <w:szCs w:val="17"/>
              </w:rPr>
              <w:t xml:space="preserve"> “</w:t>
            </w:r>
            <w:r w:rsidRPr="00823F31">
              <w:rPr>
                <w:sz w:val="17"/>
                <w:szCs w:val="17"/>
              </w:rPr>
              <w:t>during periods of</w:t>
            </w:r>
            <w:r>
              <w:rPr>
                <w:sz w:val="17"/>
                <w:szCs w:val="17"/>
              </w:rPr>
              <w:t xml:space="preserve"> </w:t>
            </w:r>
            <w:r w:rsidRPr="00823F31">
              <w:rPr>
                <w:sz w:val="17"/>
                <w:szCs w:val="17"/>
              </w:rPr>
              <w:t>exceptional sector wide shocks</w:t>
            </w:r>
            <w:r>
              <w:rPr>
                <w:sz w:val="17"/>
                <w:szCs w:val="17"/>
              </w:rPr>
              <w:t>”</w:t>
            </w:r>
            <w:r w:rsidRPr="00823F31">
              <w:rPr>
                <w:sz w:val="17"/>
                <w:szCs w:val="17"/>
              </w:rPr>
              <w:t xml:space="preserve"> but on</w:t>
            </w:r>
            <w:r>
              <w:rPr>
                <w:sz w:val="17"/>
                <w:szCs w:val="17"/>
              </w:rPr>
              <w:t xml:space="preserve"> </w:t>
            </w:r>
            <w:r w:rsidRPr="00823F31">
              <w:rPr>
                <w:sz w:val="17"/>
                <w:szCs w:val="17"/>
              </w:rPr>
              <w:t>a case-by-case basis</w:t>
            </w:r>
            <w:r>
              <w:rPr>
                <w:sz w:val="17"/>
                <w:szCs w:val="17"/>
              </w:rPr>
              <w:t>.</w:t>
            </w:r>
          </w:p>
        </w:tc>
        <w:tc>
          <w:tcPr>
            <w:tcW w:w="3544" w:type="dxa"/>
          </w:tcPr>
          <w:p w14:paraId="709FA554" w14:textId="77777777" w:rsidR="00ED458A" w:rsidRDefault="00ED458A" w:rsidP="00121913">
            <w:pPr>
              <w:tabs>
                <w:tab w:val="left" w:pos="3815"/>
              </w:tabs>
              <w:rPr>
                <w:sz w:val="17"/>
                <w:szCs w:val="17"/>
              </w:rPr>
            </w:pPr>
            <w:r w:rsidRPr="00BD5AF9">
              <w:rPr>
                <w:b/>
                <w:bCs/>
                <w:color w:val="FF0000"/>
                <w:sz w:val="17"/>
                <w:szCs w:val="17"/>
              </w:rPr>
              <w:t>[Negative]</w:t>
            </w:r>
            <w:r>
              <w:rPr>
                <w:b/>
                <w:bCs/>
                <w:color w:val="FF0000"/>
                <w:szCs w:val="17"/>
              </w:rPr>
              <w:t xml:space="preserve"> </w:t>
            </w:r>
            <w:r>
              <w:rPr>
                <w:sz w:val="17"/>
                <w:szCs w:val="17"/>
              </w:rPr>
              <w:t xml:space="preserve">FR presidency compromise makes minor changes to the EC proposals but no change of substance. </w:t>
            </w:r>
          </w:p>
          <w:p w14:paraId="56DF3419" w14:textId="77777777" w:rsidR="00357A4C" w:rsidRDefault="00357A4C" w:rsidP="00121913">
            <w:pPr>
              <w:tabs>
                <w:tab w:val="left" w:pos="3815"/>
              </w:tabs>
              <w:rPr>
                <w:sz w:val="17"/>
                <w:szCs w:val="17"/>
              </w:rPr>
            </w:pPr>
          </w:p>
          <w:p w14:paraId="3796853F" w14:textId="2E666C61" w:rsidR="00ED458A" w:rsidRDefault="00ED458A" w:rsidP="00121913">
            <w:pPr>
              <w:tabs>
                <w:tab w:val="left" w:pos="3815"/>
              </w:tabs>
              <w:rPr>
                <w:sz w:val="17"/>
                <w:szCs w:val="17"/>
              </w:rPr>
            </w:pPr>
          </w:p>
        </w:tc>
        <w:tc>
          <w:tcPr>
            <w:tcW w:w="3119" w:type="dxa"/>
          </w:tcPr>
          <w:p w14:paraId="72347632" w14:textId="24D222AB" w:rsidR="00CA6A84" w:rsidRDefault="008B16F3" w:rsidP="00CA6A84">
            <w:pPr>
              <w:tabs>
                <w:tab w:val="left" w:pos="3815"/>
              </w:tabs>
              <w:rPr>
                <w:sz w:val="17"/>
                <w:szCs w:val="17"/>
              </w:rPr>
            </w:pPr>
            <w:r w:rsidRPr="00BD5AF9">
              <w:rPr>
                <w:b/>
                <w:bCs/>
                <w:color w:val="00B050"/>
                <w:sz w:val="17"/>
                <w:szCs w:val="17"/>
              </w:rPr>
              <w:t>[Positive]</w:t>
            </w:r>
            <w:r w:rsidR="00357A4C">
              <w:rPr>
                <w:b/>
                <w:bCs/>
                <w:color w:val="00B050"/>
                <w:sz w:val="17"/>
                <w:szCs w:val="17"/>
              </w:rPr>
              <w:t xml:space="preserve"> </w:t>
            </w:r>
            <w:r w:rsidR="00357A4C" w:rsidRPr="00F15250">
              <w:rPr>
                <w:sz w:val="17"/>
                <w:szCs w:val="17"/>
              </w:rPr>
              <w:t>Draft EP report has significantly reduced the scope of the macroprudential measures proposed by EIOPA/EC</w:t>
            </w:r>
            <w:r w:rsidR="001D2BCC">
              <w:rPr>
                <w:sz w:val="17"/>
                <w:szCs w:val="17"/>
              </w:rPr>
              <w:t xml:space="preserve"> and proposed simplifications for those remaining measures</w:t>
            </w:r>
            <w:r w:rsidR="00357A4C" w:rsidRPr="00F15250">
              <w:rPr>
                <w:sz w:val="17"/>
                <w:szCs w:val="17"/>
              </w:rPr>
              <w:t>.</w:t>
            </w:r>
            <w:r w:rsidR="007C0EC2" w:rsidRPr="00F15250">
              <w:rPr>
                <w:sz w:val="17"/>
                <w:szCs w:val="17"/>
              </w:rPr>
              <w:t xml:space="preserve"> </w:t>
            </w:r>
          </w:p>
          <w:p w14:paraId="3979D662" w14:textId="4B14F172" w:rsidR="00CA6A84" w:rsidRDefault="00CA6A84" w:rsidP="00CA6A84">
            <w:pPr>
              <w:tabs>
                <w:tab w:val="left" w:pos="3815"/>
              </w:tabs>
              <w:rPr>
                <w:sz w:val="17"/>
                <w:szCs w:val="17"/>
              </w:rPr>
            </w:pPr>
          </w:p>
          <w:p w14:paraId="7D7F81A5" w14:textId="2D49553E" w:rsidR="00CA6A84" w:rsidRDefault="00CA6A84" w:rsidP="00CA6A84">
            <w:pPr>
              <w:tabs>
                <w:tab w:val="left" w:pos="3815"/>
              </w:tabs>
              <w:rPr>
                <w:sz w:val="17"/>
                <w:szCs w:val="17"/>
              </w:rPr>
            </w:pPr>
            <w:r>
              <w:rPr>
                <w:sz w:val="17"/>
                <w:szCs w:val="17"/>
              </w:rPr>
              <w:t xml:space="preserve">The </w:t>
            </w:r>
            <w:r w:rsidR="00CE4DA0">
              <w:rPr>
                <w:sz w:val="17"/>
                <w:szCs w:val="17"/>
              </w:rPr>
              <w:t xml:space="preserve">EP deletes </w:t>
            </w:r>
            <w:r>
              <w:rPr>
                <w:sz w:val="17"/>
                <w:szCs w:val="17"/>
              </w:rPr>
              <w:t xml:space="preserve">EC’s proposals for early supervisory intervention (Art 144c) in event of </w:t>
            </w:r>
            <w:r w:rsidR="00CB174C">
              <w:rPr>
                <w:sz w:val="17"/>
                <w:szCs w:val="17"/>
              </w:rPr>
              <w:t>exceptional market-wide shocks</w:t>
            </w:r>
            <w:r w:rsidR="00CE4DA0">
              <w:rPr>
                <w:sz w:val="17"/>
                <w:szCs w:val="17"/>
              </w:rPr>
              <w:t xml:space="preserve"> and so keeps the intervention point at the SCR</w:t>
            </w:r>
            <w:r w:rsidR="00CB174C">
              <w:rPr>
                <w:sz w:val="17"/>
                <w:szCs w:val="17"/>
              </w:rPr>
              <w:t>.</w:t>
            </w:r>
          </w:p>
          <w:p w14:paraId="7DEB6EBF" w14:textId="2D33FB3E" w:rsidR="007C0EC2" w:rsidRPr="00F15250" w:rsidRDefault="007C0EC2" w:rsidP="00CA6A84">
            <w:pPr>
              <w:tabs>
                <w:tab w:val="left" w:pos="3815"/>
              </w:tabs>
              <w:rPr>
                <w:sz w:val="17"/>
                <w:szCs w:val="17"/>
              </w:rPr>
            </w:pPr>
          </w:p>
          <w:p w14:paraId="50C89577" w14:textId="1E0C7BE4" w:rsidR="00405492" w:rsidRPr="004C2F39" w:rsidRDefault="00405492" w:rsidP="00F15250">
            <w:pPr>
              <w:pStyle w:val="CEABullet-Level1"/>
              <w:numPr>
                <w:ilvl w:val="0"/>
                <w:numId w:val="0"/>
              </w:numPr>
              <w:ind w:left="360"/>
            </w:pPr>
          </w:p>
        </w:tc>
        <w:tc>
          <w:tcPr>
            <w:tcW w:w="3118" w:type="dxa"/>
            <w:vMerge w:val="restart"/>
          </w:tcPr>
          <w:p w14:paraId="248293EF" w14:textId="76590959" w:rsidR="00ED458A" w:rsidRDefault="00ED458A" w:rsidP="00121913">
            <w:pPr>
              <w:tabs>
                <w:tab w:val="left" w:pos="3815"/>
              </w:tabs>
              <w:rPr>
                <w:sz w:val="17"/>
                <w:szCs w:val="17"/>
              </w:rPr>
            </w:pPr>
            <w:r w:rsidRPr="00404369">
              <w:rPr>
                <w:b/>
                <w:bCs/>
                <w:color w:val="E36C0A" w:themeColor="accent6" w:themeShade="BF"/>
                <w:sz w:val="17"/>
                <w:szCs w:val="17"/>
              </w:rPr>
              <w:t xml:space="preserve">[Neutral] </w:t>
            </w:r>
            <w:r w:rsidRPr="00765D77">
              <w:rPr>
                <w:sz w:val="17"/>
                <w:szCs w:val="17"/>
              </w:rPr>
              <w:t>French compromise text</w:t>
            </w:r>
            <w:r w:rsidRPr="00765D77">
              <w:rPr>
                <w:b/>
                <w:bCs/>
                <w:sz w:val="17"/>
                <w:szCs w:val="17"/>
              </w:rPr>
              <w:t xml:space="preserve"> </w:t>
            </w:r>
            <w:r>
              <w:rPr>
                <w:sz w:val="17"/>
                <w:szCs w:val="17"/>
              </w:rPr>
              <w:t xml:space="preserve">includes the EC’s proposals to introduce new supervisory intervention points before the SCR is breached (Art. 144c). </w:t>
            </w:r>
          </w:p>
          <w:p w14:paraId="40720DB1" w14:textId="77777777" w:rsidR="00ED458A" w:rsidRDefault="00ED458A" w:rsidP="00121913">
            <w:pPr>
              <w:tabs>
                <w:tab w:val="left" w:pos="3815"/>
              </w:tabs>
              <w:rPr>
                <w:sz w:val="17"/>
                <w:szCs w:val="17"/>
              </w:rPr>
            </w:pPr>
          </w:p>
          <w:p w14:paraId="72841F48" w14:textId="77777777" w:rsidR="00ED458A" w:rsidRDefault="00ED458A" w:rsidP="00121913">
            <w:pPr>
              <w:tabs>
                <w:tab w:val="left" w:pos="3815"/>
              </w:tabs>
              <w:rPr>
                <w:sz w:val="17"/>
                <w:szCs w:val="17"/>
              </w:rPr>
            </w:pPr>
            <w:r>
              <w:rPr>
                <w:sz w:val="17"/>
                <w:szCs w:val="17"/>
              </w:rPr>
              <w:t>However, some limited improvements to the other proposals on LRMPs and explicit consideration of systemic risks in the ORSA and PPP included the FR compromise texts.</w:t>
            </w:r>
          </w:p>
          <w:p w14:paraId="51B10125" w14:textId="77777777" w:rsidR="00ED458A" w:rsidRDefault="00ED458A" w:rsidP="00121913">
            <w:pPr>
              <w:tabs>
                <w:tab w:val="left" w:pos="3815"/>
              </w:tabs>
              <w:rPr>
                <w:sz w:val="17"/>
                <w:szCs w:val="17"/>
              </w:rPr>
            </w:pPr>
          </w:p>
          <w:p w14:paraId="0E85C92D" w14:textId="77777777" w:rsidR="00ED458A" w:rsidRDefault="00ED458A" w:rsidP="00121913">
            <w:pPr>
              <w:tabs>
                <w:tab w:val="left" w:pos="3815"/>
              </w:tabs>
              <w:rPr>
                <w:sz w:val="17"/>
                <w:szCs w:val="17"/>
              </w:rPr>
            </w:pPr>
            <w:r>
              <w:rPr>
                <w:sz w:val="17"/>
                <w:szCs w:val="17"/>
              </w:rPr>
              <w:t>FR compromise text includes new article (Art. 144d) which empowers EIOPA to develop two sets of guidelines to ensure consistent application of macro-prudential consideration in ORSA, PPP and LRMP.</w:t>
            </w:r>
          </w:p>
          <w:p w14:paraId="3D8389EE" w14:textId="77777777" w:rsidR="00ED458A" w:rsidRDefault="00ED458A" w:rsidP="00121913">
            <w:pPr>
              <w:tabs>
                <w:tab w:val="left" w:pos="3815"/>
              </w:tabs>
              <w:rPr>
                <w:sz w:val="17"/>
                <w:szCs w:val="17"/>
              </w:rPr>
            </w:pPr>
          </w:p>
          <w:p w14:paraId="008C3FBA" w14:textId="21C012B9" w:rsidR="00ED458A" w:rsidRDefault="008A08EE" w:rsidP="00121913">
            <w:pPr>
              <w:tabs>
                <w:tab w:val="left" w:pos="3815"/>
              </w:tabs>
              <w:rPr>
                <w:sz w:val="17"/>
                <w:szCs w:val="17"/>
              </w:rPr>
            </w:pPr>
            <w:r w:rsidRPr="00F15250">
              <w:rPr>
                <w:sz w:val="17"/>
                <w:szCs w:val="17"/>
              </w:rPr>
              <w:t xml:space="preserve">The </w:t>
            </w:r>
            <w:r w:rsidRPr="00F15250">
              <w:rPr>
                <w:b/>
                <w:bCs/>
                <w:sz w:val="17"/>
                <w:szCs w:val="17"/>
              </w:rPr>
              <w:t>draft EP report</w:t>
            </w:r>
            <w:r w:rsidRPr="00F15250">
              <w:rPr>
                <w:sz w:val="17"/>
                <w:szCs w:val="17"/>
              </w:rPr>
              <w:t xml:space="preserve"> proposes welcome improvements </w:t>
            </w:r>
            <w:r w:rsidR="007445EE" w:rsidRPr="00F15250">
              <w:rPr>
                <w:sz w:val="17"/>
                <w:szCs w:val="17"/>
              </w:rPr>
              <w:t>and simpli</w:t>
            </w:r>
            <w:r w:rsidR="00C64454" w:rsidRPr="00F15250">
              <w:rPr>
                <w:sz w:val="17"/>
                <w:szCs w:val="17"/>
              </w:rPr>
              <w:t xml:space="preserve">fications </w:t>
            </w:r>
            <w:r w:rsidRPr="00F15250">
              <w:rPr>
                <w:sz w:val="17"/>
                <w:szCs w:val="17"/>
              </w:rPr>
              <w:t>regarding macroprudential tools</w:t>
            </w:r>
            <w:r w:rsidR="00C64454" w:rsidRPr="00F15250">
              <w:rPr>
                <w:sz w:val="17"/>
                <w:szCs w:val="17"/>
              </w:rPr>
              <w:t>.</w:t>
            </w:r>
            <w:r w:rsidR="003A43C1">
              <w:rPr>
                <w:sz w:val="17"/>
                <w:szCs w:val="17"/>
              </w:rPr>
              <w:t xml:space="preserve"> </w:t>
            </w:r>
          </w:p>
          <w:p w14:paraId="66045084" w14:textId="77777777" w:rsidR="00883389" w:rsidRDefault="00883389" w:rsidP="00121913">
            <w:pPr>
              <w:tabs>
                <w:tab w:val="left" w:pos="3815"/>
              </w:tabs>
              <w:rPr>
                <w:sz w:val="17"/>
                <w:szCs w:val="17"/>
              </w:rPr>
            </w:pPr>
          </w:p>
          <w:p w14:paraId="683C3C6A" w14:textId="77777777" w:rsidR="00883389" w:rsidRDefault="00883389" w:rsidP="00121913">
            <w:pPr>
              <w:tabs>
                <w:tab w:val="left" w:pos="3815"/>
              </w:tabs>
              <w:rPr>
                <w:sz w:val="17"/>
                <w:szCs w:val="17"/>
              </w:rPr>
            </w:pPr>
          </w:p>
          <w:p w14:paraId="7A4F4D58" w14:textId="128637BB" w:rsidR="00883389" w:rsidRDefault="00BB5E00" w:rsidP="00121913">
            <w:pPr>
              <w:tabs>
                <w:tab w:val="left" w:pos="3815"/>
              </w:tabs>
              <w:rPr>
                <w:sz w:val="17"/>
                <w:szCs w:val="17"/>
              </w:rPr>
            </w:pPr>
            <w:r>
              <w:rPr>
                <w:b/>
                <w:bCs/>
                <w:color w:val="1F497D" w:themeColor="text2"/>
                <w:sz w:val="17"/>
                <w:szCs w:val="17"/>
              </w:rPr>
              <w:t>W</w:t>
            </w:r>
            <w:r w:rsidR="00883389">
              <w:rPr>
                <w:b/>
                <w:bCs/>
                <w:color w:val="1F497D" w:themeColor="text2"/>
                <w:sz w:val="17"/>
                <w:szCs w:val="17"/>
              </w:rPr>
              <w:t xml:space="preserve">ay forward: </w:t>
            </w:r>
            <w:r w:rsidR="00883389" w:rsidRPr="00F15250">
              <w:rPr>
                <w:color w:val="1F497D" w:themeColor="text2"/>
                <w:sz w:val="17"/>
                <w:szCs w:val="17"/>
              </w:rPr>
              <w:t>Fully</w:t>
            </w:r>
            <w:r w:rsidR="00883389">
              <w:rPr>
                <w:b/>
                <w:bCs/>
                <w:color w:val="1F497D" w:themeColor="text2"/>
                <w:sz w:val="17"/>
                <w:szCs w:val="17"/>
              </w:rPr>
              <w:t xml:space="preserve"> </w:t>
            </w:r>
            <w:r w:rsidR="00883389" w:rsidRPr="00C72A3B">
              <w:rPr>
                <w:color w:val="1F497D" w:themeColor="text2"/>
                <w:sz w:val="17"/>
                <w:szCs w:val="17"/>
              </w:rPr>
              <w:t>s</w:t>
            </w:r>
            <w:r w:rsidR="00883389" w:rsidRPr="00F15250">
              <w:rPr>
                <w:color w:val="1F497D" w:themeColor="text2"/>
                <w:sz w:val="17"/>
                <w:szCs w:val="17"/>
              </w:rPr>
              <w:t>upport EP proposals</w:t>
            </w:r>
            <w:r w:rsidR="003477C0">
              <w:rPr>
                <w:color w:val="1F497D" w:themeColor="text2"/>
                <w:sz w:val="17"/>
                <w:szCs w:val="17"/>
              </w:rPr>
              <w:t xml:space="preserve">, </w:t>
            </w:r>
            <w:r w:rsidR="00B65D36">
              <w:rPr>
                <w:color w:val="1F497D" w:themeColor="text2"/>
                <w:sz w:val="17"/>
                <w:szCs w:val="17"/>
              </w:rPr>
              <w:t xml:space="preserve">(in particular in </w:t>
            </w:r>
            <w:r w:rsidR="00B65D36">
              <w:rPr>
                <w:color w:val="1F497D" w:themeColor="text2"/>
                <w:sz w:val="17"/>
                <w:szCs w:val="17"/>
              </w:rPr>
              <w:lastRenderedPageBreak/>
              <w:t>relation to keeping SCR as the only early intervention point)</w:t>
            </w:r>
            <w:r w:rsidR="00284E08">
              <w:rPr>
                <w:color w:val="1F497D" w:themeColor="text2"/>
                <w:sz w:val="17"/>
                <w:szCs w:val="17"/>
              </w:rPr>
              <w:t xml:space="preserve">, </w:t>
            </w:r>
          </w:p>
        </w:tc>
      </w:tr>
      <w:tr w:rsidR="00C64454" w14:paraId="2ADE6DA5" w14:textId="77777777" w:rsidTr="004B7B1F">
        <w:trPr>
          <w:trHeight w:val="122"/>
        </w:trPr>
        <w:tc>
          <w:tcPr>
            <w:tcW w:w="1509" w:type="dxa"/>
            <w:vMerge/>
          </w:tcPr>
          <w:p w14:paraId="5B80496D" w14:textId="77777777" w:rsidR="00ED458A" w:rsidRDefault="00ED458A" w:rsidP="00121913">
            <w:pPr>
              <w:tabs>
                <w:tab w:val="left" w:pos="3815"/>
              </w:tabs>
              <w:rPr>
                <w:sz w:val="17"/>
                <w:szCs w:val="17"/>
              </w:rPr>
            </w:pPr>
          </w:p>
        </w:tc>
        <w:tc>
          <w:tcPr>
            <w:tcW w:w="1610" w:type="dxa"/>
            <w:vMerge/>
          </w:tcPr>
          <w:p w14:paraId="638DBD0D" w14:textId="77777777" w:rsidR="00ED458A" w:rsidRDefault="00ED458A" w:rsidP="00121913">
            <w:pPr>
              <w:tabs>
                <w:tab w:val="left" w:pos="3815"/>
              </w:tabs>
              <w:rPr>
                <w:sz w:val="17"/>
                <w:szCs w:val="17"/>
              </w:rPr>
            </w:pPr>
          </w:p>
        </w:tc>
        <w:tc>
          <w:tcPr>
            <w:tcW w:w="2268" w:type="dxa"/>
          </w:tcPr>
          <w:p w14:paraId="4F9A8F7C" w14:textId="3AFE98BD" w:rsidR="00ED458A" w:rsidRDefault="00ED458A" w:rsidP="00121913">
            <w:pPr>
              <w:tabs>
                <w:tab w:val="left" w:pos="3815"/>
              </w:tabs>
              <w:rPr>
                <w:sz w:val="17"/>
                <w:szCs w:val="17"/>
              </w:rPr>
            </w:pPr>
            <w:r w:rsidRPr="00361F9F">
              <w:rPr>
                <w:b/>
                <w:color w:val="E36C0A" w:themeColor="accent6" w:themeShade="BF"/>
                <w:sz w:val="17"/>
                <w:szCs w:val="17"/>
              </w:rPr>
              <w:t>[Neutral]</w:t>
            </w:r>
            <w:r w:rsidRPr="00BD5AF9">
              <w:rPr>
                <w:b/>
                <w:bCs/>
                <w:color w:val="00B050"/>
                <w:szCs w:val="17"/>
              </w:rPr>
              <w:t xml:space="preserve"> </w:t>
            </w:r>
            <w:r w:rsidRPr="00491EB9">
              <w:rPr>
                <w:sz w:val="17"/>
                <w:szCs w:val="17"/>
              </w:rPr>
              <w:t>L</w:t>
            </w:r>
            <w:r>
              <w:rPr>
                <w:sz w:val="17"/>
                <w:szCs w:val="17"/>
              </w:rPr>
              <w:t>iquidity Risk Management Plans (L</w:t>
            </w:r>
            <w:r w:rsidRPr="00491EB9">
              <w:rPr>
                <w:sz w:val="17"/>
                <w:szCs w:val="17"/>
              </w:rPr>
              <w:t>RMP</w:t>
            </w:r>
            <w:r>
              <w:rPr>
                <w:sz w:val="17"/>
                <w:szCs w:val="17"/>
              </w:rPr>
              <w:t>)</w:t>
            </w:r>
            <w:r w:rsidRPr="00491EB9">
              <w:rPr>
                <w:sz w:val="17"/>
                <w:szCs w:val="17"/>
              </w:rPr>
              <w:t xml:space="preserve"> where insurers (other than</w:t>
            </w:r>
            <w:r>
              <w:rPr>
                <w:sz w:val="17"/>
                <w:szCs w:val="17"/>
              </w:rPr>
              <w:t xml:space="preserve"> </w:t>
            </w:r>
            <w:r w:rsidRPr="00491EB9">
              <w:rPr>
                <w:sz w:val="17"/>
                <w:szCs w:val="17"/>
              </w:rPr>
              <w:t>low risk undertakings) develop</w:t>
            </w:r>
            <w:r>
              <w:rPr>
                <w:sz w:val="17"/>
                <w:szCs w:val="17"/>
              </w:rPr>
              <w:t xml:space="preserve"> </w:t>
            </w:r>
            <w:r w:rsidRPr="00491EB9">
              <w:rPr>
                <w:sz w:val="17"/>
                <w:szCs w:val="17"/>
              </w:rPr>
              <w:t>indicators to identify, monitor and</w:t>
            </w:r>
            <w:r>
              <w:rPr>
                <w:sz w:val="17"/>
                <w:szCs w:val="17"/>
              </w:rPr>
              <w:t xml:space="preserve"> </w:t>
            </w:r>
            <w:r w:rsidRPr="00491EB9">
              <w:rPr>
                <w:sz w:val="17"/>
                <w:szCs w:val="17"/>
              </w:rPr>
              <w:t>address potential liquidity risk (no</w:t>
            </w:r>
            <w:r>
              <w:rPr>
                <w:sz w:val="17"/>
                <w:szCs w:val="17"/>
              </w:rPr>
              <w:t xml:space="preserve"> </w:t>
            </w:r>
            <w:r w:rsidRPr="00491EB9">
              <w:rPr>
                <w:sz w:val="17"/>
                <w:szCs w:val="17"/>
              </w:rPr>
              <w:t>exemption for IM users</w:t>
            </w:r>
            <w:r>
              <w:rPr>
                <w:sz w:val="17"/>
                <w:szCs w:val="17"/>
              </w:rPr>
              <w:t>).</w:t>
            </w:r>
            <w:r w:rsidRPr="00C61679">
              <w:rPr>
                <w:sz w:val="17"/>
                <w:szCs w:val="17"/>
              </w:rPr>
              <w:t xml:space="preserve"> VA/MA </w:t>
            </w:r>
            <w:r w:rsidRPr="007C5033">
              <w:rPr>
                <w:sz w:val="17"/>
                <w:szCs w:val="17"/>
              </w:rPr>
              <w:t>liquidity analysis can be</w:t>
            </w:r>
            <w:r>
              <w:rPr>
                <w:sz w:val="17"/>
                <w:szCs w:val="17"/>
              </w:rPr>
              <w:t xml:space="preserve"> </w:t>
            </w:r>
            <w:r w:rsidRPr="007C5033">
              <w:rPr>
                <w:sz w:val="17"/>
                <w:szCs w:val="17"/>
              </w:rPr>
              <w:t xml:space="preserve">integrated in </w:t>
            </w:r>
            <w:r>
              <w:rPr>
                <w:sz w:val="17"/>
                <w:szCs w:val="17"/>
              </w:rPr>
              <w:t>LRMP.</w:t>
            </w:r>
          </w:p>
        </w:tc>
        <w:tc>
          <w:tcPr>
            <w:tcW w:w="3544" w:type="dxa"/>
          </w:tcPr>
          <w:p w14:paraId="777F7A3C" w14:textId="77777777" w:rsidR="00ED458A" w:rsidRDefault="00ED458A"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sidRPr="00765D77">
              <w:rPr>
                <w:sz w:val="17"/>
                <w:szCs w:val="17"/>
              </w:rPr>
              <w:t xml:space="preserve">FR presidency compromise text </w:t>
            </w:r>
            <w:r w:rsidRPr="008D0101">
              <w:rPr>
                <w:sz w:val="17"/>
                <w:szCs w:val="17"/>
              </w:rPr>
              <w:t>limits LRMP to be only at request of supervisor</w:t>
            </w:r>
            <w:r>
              <w:rPr>
                <w:sz w:val="17"/>
                <w:szCs w:val="17"/>
              </w:rPr>
              <w:t xml:space="preserve">. It proposes EIOPA develops </w:t>
            </w:r>
            <w:r w:rsidRPr="007C5033">
              <w:rPr>
                <w:sz w:val="17"/>
                <w:szCs w:val="17"/>
              </w:rPr>
              <w:t>guidelines rather</w:t>
            </w:r>
            <w:r>
              <w:rPr>
                <w:sz w:val="17"/>
                <w:szCs w:val="17"/>
              </w:rPr>
              <w:t xml:space="preserve"> </w:t>
            </w:r>
            <w:r w:rsidRPr="007C5033">
              <w:rPr>
                <w:sz w:val="17"/>
                <w:szCs w:val="17"/>
              </w:rPr>
              <w:t>than RTS</w:t>
            </w:r>
            <w:r>
              <w:rPr>
                <w:sz w:val="17"/>
                <w:szCs w:val="17"/>
              </w:rPr>
              <w:t xml:space="preserve"> and exempts </w:t>
            </w:r>
            <w:r w:rsidRPr="007C5033">
              <w:rPr>
                <w:sz w:val="17"/>
                <w:szCs w:val="17"/>
              </w:rPr>
              <w:t>subsidiaries if a group LRMP in</w:t>
            </w:r>
            <w:r>
              <w:rPr>
                <w:sz w:val="17"/>
                <w:szCs w:val="17"/>
              </w:rPr>
              <w:t xml:space="preserve"> </w:t>
            </w:r>
            <w:r w:rsidRPr="007C5033">
              <w:rPr>
                <w:sz w:val="17"/>
                <w:szCs w:val="17"/>
              </w:rPr>
              <w:t>place</w:t>
            </w:r>
            <w:r>
              <w:rPr>
                <w:sz w:val="17"/>
                <w:szCs w:val="17"/>
              </w:rPr>
              <w:t>. (</w:t>
            </w:r>
            <w:r w:rsidRPr="00FF4BAB">
              <w:rPr>
                <w:sz w:val="17"/>
                <w:szCs w:val="17"/>
              </w:rPr>
              <w:t>Article 144a,</w:t>
            </w:r>
            <w:r>
              <w:t xml:space="preserve"> </w:t>
            </w:r>
            <w:r w:rsidRPr="00FF4BAB">
              <w:rPr>
                <w:sz w:val="17"/>
                <w:szCs w:val="17"/>
              </w:rPr>
              <w:t>Article 246a</w:t>
            </w:r>
            <w:r>
              <w:rPr>
                <w:sz w:val="17"/>
                <w:szCs w:val="17"/>
              </w:rPr>
              <w:t>)</w:t>
            </w:r>
          </w:p>
        </w:tc>
        <w:tc>
          <w:tcPr>
            <w:tcW w:w="3119" w:type="dxa"/>
          </w:tcPr>
          <w:p w14:paraId="4BD30018" w14:textId="49B4E1B9" w:rsidR="0090688D" w:rsidRDefault="0090688D" w:rsidP="0090688D">
            <w:pPr>
              <w:pStyle w:val="CEABullet-Level1"/>
              <w:numPr>
                <w:ilvl w:val="0"/>
                <w:numId w:val="0"/>
              </w:numPr>
              <w:ind w:left="360" w:hanging="360"/>
            </w:pPr>
            <w:r w:rsidRPr="00BD5AF9">
              <w:rPr>
                <w:b/>
                <w:bCs/>
                <w:color w:val="00B050"/>
                <w:szCs w:val="17"/>
              </w:rPr>
              <w:t>[Positive]</w:t>
            </w:r>
          </w:p>
          <w:p w14:paraId="23DA52EC" w14:textId="3326237B" w:rsidR="00971552" w:rsidRPr="00DF2407" w:rsidRDefault="00FD4CDE" w:rsidP="00F15250">
            <w:pPr>
              <w:rPr>
                <w:szCs w:val="17"/>
              </w:rPr>
            </w:pPr>
            <w:r w:rsidRPr="00F15250">
              <w:rPr>
                <w:sz w:val="17"/>
                <w:szCs w:val="17"/>
              </w:rPr>
              <w:t>Rapporteur proposes s</w:t>
            </w:r>
            <w:r w:rsidR="00971552" w:rsidRPr="00F15250">
              <w:rPr>
                <w:sz w:val="17"/>
                <w:szCs w:val="17"/>
              </w:rPr>
              <w:t xml:space="preserve">implification of LRMP requirements </w:t>
            </w:r>
            <w:r w:rsidRPr="00F15250">
              <w:rPr>
                <w:sz w:val="17"/>
                <w:szCs w:val="17"/>
              </w:rPr>
              <w:t xml:space="preserve">including </w:t>
            </w:r>
            <w:r w:rsidR="00971552" w:rsidRPr="00F15250">
              <w:rPr>
                <w:sz w:val="17"/>
                <w:szCs w:val="17"/>
              </w:rPr>
              <w:t xml:space="preserve">deletion of liquidity risk indicators. </w:t>
            </w:r>
          </w:p>
          <w:p w14:paraId="4284AE29" w14:textId="77777777" w:rsidR="00FD4CDE" w:rsidRPr="00DF2407" w:rsidRDefault="00FD4CDE" w:rsidP="00F15250">
            <w:pPr>
              <w:rPr>
                <w:szCs w:val="17"/>
              </w:rPr>
            </w:pPr>
          </w:p>
          <w:p w14:paraId="015C9BD0" w14:textId="2FE3C698" w:rsidR="00FD4CDE" w:rsidRPr="00F15250" w:rsidRDefault="00971552" w:rsidP="00FD4CDE">
            <w:pPr>
              <w:rPr>
                <w:sz w:val="17"/>
                <w:szCs w:val="17"/>
              </w:rPr>
            </w:pPr>
            <w:r w:rsidRPr="00F15250">
              <w:rPr>
                <w:sz w:val="17"/>
                <w:szCs w:val="17"/>
              </w:rPr>
              <w:t xml:space="preserve">Proposal for </w:t>
            </w:r>
            <w:r w:rsidR="003C2F25" w:rsidRPr="00F15250">
              <w:rPr>
                <w:sz w:val="17"/>
                <w:szCs w:val="17"/>
              </w:rPr>
              <w:t xml:space="preserve">EIOPA to </w:t>
            </w:r>
            <w:r w:rsidRPr="00F15250">
              <w:rPr>
                <w:sz w:val="17"/>
                <w:szCs w:val="17"/>
              </w:rPr>
              <w:t>develop R</w:t>
            </w:r>
            <w:r w:rsidR="008B7B8B" w:rsidRPr="00F15250">
              <w:rPr>
                <w:sz w:val="17"/>
                <w:szCs w:val="17"/>
              </w:rPr>
              <w:t>TS</w:t>
            </w:r>
            <w:r w:rsidR="001F5665" w:rsidRPr="00F15250">
              <w:rPr>
                <w:sz w:val="17"/>
                <w:szCs w:val="17"/>
              </w:rPr>
              <w:t xml:space="preserve"> </w:t>
            </w:r>
            <w:r w:rsidR="00B521C2" w:rsidRPr="00F15250">
              <w:rPr>
                <w:sz w:val="17"/>
                <w:szCs w:val="17"/>
              </w:rPr>
              <w:t xml:space="preserve">on content/frequency of LRMP is </w:t>
            </w:r>
            <w:r w:rsidR="00FD4CDE" w:rsidRPr="00F15250">
              <w:rPr>
                <w:sz w:val="17"/>
                <w:szCs w:val="17"/>
              </w:rPr>
              <w:t xml:space="preserve">also </w:t>
            </w:r>
            <w:r w:rsidR="00B521C2" w:rsidRPr="00F15250">
              <w:rPr>
                <w:sz w:val="17"/>
                <w:szCs w:val="17"/>
              </w:rPr>
              <w:t xml:space="preserve">deleted. </w:t>
            </w:r>
          </w:p>
          <w:p w14:paraId="47CCE4EC" w14:textId="7C7AC48C" w:rsidR="003C2F25" w:rsidRPr="00DF2407" w:rsidRDefault="003C2F25" w:rsidP="00F15250">
            <w:pPr>
              <w:rPr>
                <w:szCs w:val="17"/>
              </w:rPr>
            </w:pPr>
          </w:p>
          <w:p w14:paraId="4603E410" w14:textId="3040178F" w:rsidR="00CF3519" w:rsidRDefault="00FD4CDE" w:rsidP="00F15250">
            <w:r w:rsidRPr="00F15250">
              <w:rPr>
                <w:sz w:val="17"/>
                <w:szCs w:val="17"/>
              </w:rPr>
              <w:t>Proposed m</w:t>
            </w:r>
            <w:r w:rsidR="00CF3519" w:rsidRPr="00F15250">
              <w:rPr>
                <w:sz w:val="17"/>
                <w:szCs w:val="17"/>
              </w:rPr>
              <w:t xml:space="preserve">acroprudential rules at group level </w:t>
            </w:r>
            <w:r w:rsidRPr="00F15250">
              <w:rPr>
                <w:sz w:val="17"/>
                <w:szCs w:val="17"/>
              </w:rPr>
              <w:t>are</w:t>
            </w:r>
            <w:r w:rsidR="00CF3519" w:rsidRPr="00F15250">
              <w:rPr>
                <w:sz w:val="17"/>
                <w:szCs w:val="17"/>
              </w:rPr>
              <w:t xml:space="preserve"> </w:t>
            </w:r>
            <w:r w:rsidRPr="00F15250">
              <w:rPr>
                <w:sz w:val="17"/>
                <w:szCs w:val="17"/>
              </w:rPr>
              <w:t>also deleted</w:t>
            </w:r>
            <w:r w:rsidR="0094153A" w:rsidRPr="00F15250">
              <w:rPr>
                <w:sz w:val="17"/>
                <w:szCs w:val="17"/>
              </w:rPr>
              <w:t xml:space="preserve">, </w:t>
            </w:r>
            <w:r w:rsidRPr="00F15250">
              <w:rPr>
                <w:sz w:val="17"/>
                <w:szCs w:val="17"/>
              </w:rPr>
              <w:t xml:space="preserve">report notes that </w:t>
            </w:r>
            <w:r w:rsidR="0094153A" w:rsidRPr="00F15250">
              <w:rPr>
                <w:sz w:val="17"/>
                <w:szCs w:val="17"/>
              </w:rPr>
              <w:t>when done properly at solo level, there is no added value for group level (</w:t>
            </w:r>
            <w:r w:rsidR="00625102" w:rsidRPr="00F15250">
              <w:rPr>
                <w:sz w:val="17"/>
                <w:szCs w:val="17"/>
              </w:rPr>
              <w:t>Title III Chapter IIA</w:t>
            </w:r>
            <w:r w:rsidR="008A08EE" w:rsidRPr="00F15250">
              <w:rPr>
                <w:sz w:val="17"/>
                <w:szCs w:val="17"/>
              </w:rPr>
              <w:t>/A187)</w:t>
            </w:r>
          </w:p>
        </w:tc>
        <w:tc>
          <w:tcPr>
            <w:tcW w:w="3118" w:type="dxa"/>
            <w:vMerge/>
          </w:tcPr>
          <w:p w14:paraId="7081491A" w14:textId="12EDC0A3" w:rsidR="00ED458A" w:rsidRDefault="00ED458A" w:rsidP="00121913">
            <w:pPr>
              <w:tabs>
                <w:tab w:val="left" w:pos="3815"/>
              </w:tabs>
              <w:rPr>
                <w:sz w:val="17"/>
                <w:szCs w:val="17"/>
              </w:rPr>
            </w:pPr>
          </w:p>
        </w:tc>
      </w:tr>
      <w:tr w:rsidR="00C64454" w14:paraId="6661D08B" w14:textId="77777777" w:rsidTr="004B7B1F">
        <w:trPr>
          <w:trHeight w:val="122"/>
        </w:trPr>
        <w:tc>
          <w:tcPr>
            <w:tcW w:w="1509" w:type="dxa"/>
            <w:vMerge/>
          </w:tcPr>
          <w:p w14:paraId="32212EE1" w14:textId="77777777" w:rsidR="00ED458A" w:rsidRDefault="00ED458A" w:rsidP="00121913">
            <w:pPr>
              <w:tabs>
                <w:tab w:val="left" w:pos="3815"/>
              </w:tabs>
              <w:rPr>
                <w:sz w:val="17"/>
                <w:szCs w:val="17"/>
              </w:rPr>
            </w:pPr>
          </w:p>
        </w:tc>
        <w:tc>
          <w:tcPr>
            <w:tcW w:w="1610" w:type="dxa"/>
            <w:vMerge/>
          </w:tcPr>
          <w:p w14:paraId="3E1042B5" w14:textId="77777777" w:rsidR="00ED458A" w:rsidRDefault="00ED458A" w:rsidP="00121913">
            <w:pPr>
              <w:tabs>
                <w:tab w:val="left" w:pos="3815"/>
              </w:tabs>
              <w:rPr>
                <w:sz w:val="17"/>
                <w:szCs w:val="17"/>
              </w:rPr>
            </w:pPr>
          </w:p>
        </w:tc>
        <w:tc>
          <w:tcPr>
            <w:tcW w:w="2268" w:type="dxa"/>
          </w:tcPr>
          <w:p w14:paraId="10DBF2D9" w14:textId="77777777" w:rsidR="00ED458A" w:rsidRDefault="00ED458A" w:rsidP="00121913">
            <w:pPr>
              <w:tabs>
                <w:tab w:val="left" w:pos="3815"/>
              </w:tabs>
              <w:rPr>
                <w:sz w:val="17"/>
                <w:szCs w:val="17"/>
              </w:rPr>
            </w:pPr>
            <w:r w:rsidRPr="00BD5AF9">
              <w:rPr>
                <w:b/>
                <w:bCs/>
                <w:color w:val="00B050"/>
                <w:sz w:val="17"/>
                <w:szCs w:val="17"/>
              </w:rPr>
              <w:t>[Positive]</w:t>
            </w:r>
            <w:r w:rsidRPr="00BD5AF9">
              <w:rPr>
                <w:color w:val="E36C0A" w:themeColor="accent6" w:themeShade="BF"/>
                <w:sz w:val="17"/>
                <w:szCs w:val="17"/>
              </w:rPr>
              <w:t xml:space="preserve"> </w:t>
            </w:r>
            <w:r w:rsidRPr="00491EB9">
              <w:rPr>
                <w:sz w:val="17"/>
                <w:szCs w:val="17"/>
              </w:rPr>
              <w:t>Powers to remedy perceived liquidity</w:t>
            </w:r>
            <w:r>
              <w:rPr>
                <w:sz w:val="17"/>
                <w:szCs w:val="17"/>
              </w:rPr>
              <w:t xml:space="preserve"> </w:t>
            </w:r>
            <w:r w:rsidRPr="00491EB9">
              <w:rPr>
                <w:sz w:val="17"/>
                <w:szCs w:val="17"/>
              </w:rPr>
              <w:t>vulnerabilities in exceptional</w:t>
            </w:r>
            <w:r>
              <w:rPr>
                <w:sz w:val="17"/>
                <w:szCs w:val="17"/>
              </w:rPr>
              <w:t xml:space="preserve"> </w:t>
            </w:r>
            <w:r w:rsidRPr="00491EB9">
              <w:rPr>
                <w:sz w:val="17"/>
                <w:szCs w:val="17"/>
              </w:rPr>
              <w:t>circumstances (e</w:t>
            </w:r>
            <w:r>
              <w:rPr>
                <w:sz w:val="17"/>
                <w:szCs w:val="17"/>
              </w:rPr>
              <w:t>g</w:t>
            </w:r>
            <w:r w:rsidRPr="00491EB9">
              <w:rPr>
                <w:sz w:val="17"/>
                <w:szCs w:val="17"/>
              </w:rPr>
              <w:t xml:space="preserve"> temporarily</w:t>
            </w:r>
            <w:r>
              <w:rPr>
                <w:sz w:val="17"/>
                <w:szCs w:val="17"/>
              </w:rPr>
              <w:t xml:space="preserve"> </w:t>
            </w:r>
            <w:r w:rsidRPr="00491EB9">
              <w:rPr>
                <w:sz w:val="17"/>
                <w:szCs w:val="17"/>
              </w:rPr>
              <w:t>suspend redemption rights of life</w:t>
            </w:r>
            <w:r>
              <w:rPr>
                <w:sz w:val="17"/>
                <w:szCs w:val="17"/>
              </w:rPr>
              <w:t xml:space="preserve"> </w:t>
            </w:r>
            <w:r w:rsidRPr="00491EB9">
              <w:rPr>
                <w:sz w:val="17"/>
                <w:szCs w:val="17"/>
              </w:rPr>
              <w:t>insurance</w:t>
            </w:r>
            <w:r>
              <w:rPr>
                <w:sz w:val="17"/>
                <w:szCs w:val="17"/>
              </w:rPr>
              <w:t xml:space="preserve"> </w:t>
            </w:r>
            <w:r w:rsidRPr="00491EB9">
              <w:rPr>
                <w:sz w:val="17"/>
                <w:szCs w:val="17"/>
              </w:rPr>
              <w:t>policyholders with</w:t>
            </w:r>
            <w:r>
              <w:rPr>
                <w:sz w:val="17"/>
                <w:szCs w:val="17"/>
              </w:rPr>
              <w:t xml:space="preserve"> </w:t>
            </w:r>
            <w:r w:rsidRPr="00491EB9">
              <w:rPr>
                <w:sz w:val="17"/>
                <w:szCs w:val="17"/>
              </w:rPr>
              <w:t>subsequent impact on dividend</w:t>
            </w:r>
            <w:r>
              <w:rPr>
                <w:sz w:val="17"/>
                <w:szCs w:val="17"/>
              </w:rPr>
              <w:t xml:space="preserve"> </w:t>
            </w:r>
            <w:r w:rsidRPr="00491EB9">
              <w:rPr>
                <w:sz w:val="17"/>
                <w:szCs w:val="17"/>
              </w:rPr>
              <w:t>distributions</w:t>
            </w:r>
            <w:r>
              <w:rPr>
                <w:sz w:val="17"/>
                <w:szCs w:val="17"/>
              </w:rPr>
              <w:t xml:space="preserve">, </w:t>
            </w:r>
            <w:r w:rsidRPr="00491EB9">
              <w:rPr>
                <w:sz w:val="17"/>
                <w:szCs w:val="17"/>
              </w:rPr>
              <w:t xml:space="preserve">bonuses </w:t>
            </w:r>
            <w:r>
              <w:rPr>
                <w:sz w:val="17"/>
                <w:szCs w:val="17"/>
              </w:rPr>
              <w:t>and</w:t>
            </w:r>
            <w:r w:rsidRPr="00491EB9">
              <w:rPr>
                <w:sz w:val="17"/>
                <w:szCs w:val="17"/>
              </w:rPr>
              <w:t xml:space="preserve"> variable</w:t>
            </w:r>
            <w:r>
              <w:rPr>
                <w:sz w:val="17"/>
                <w:szCs w:val="17"/>
              </w:rPr>
              <w:t xml:space="preserve"> </w:t>
            </w:r>
            <w:r w:rsidRPr="00491EB9">
              <w:rPr>
                <w:sz w:val="17"/>
                <w:szCs w:val="17"/>
              </w:rPr>
              <w:t>remuneration)</w:t>
            </w:r>
            <w:r>
              <w:rPr>
                <w:sz w:val="17"/>
                <w:szCs w:val="17"/>
              </w:rPr>
              <w:t>.</w:t>
            </w:r>
          </w:p>
        </w:tc>
        <w:tc>
          <w:tcPr>
            <w:tcW w:w="3544" w:type="dxa"/>
          </w:tcPr>
          <w:p w14:paraId="5D05E44F" w14:textId="1E0C79AE" w:rsidR="00ED458A" w:rsidRPr="007A0CC8" w:rsidRDefault="00ED458A"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sidRPr="007A0CC8">
              <w:rPr>
                <w:sz w:val="17"/>
                <w:szCs w:val="17"/>
              </w:rPr>
              <w:t>Power shall only be exercised in exceptional</w:t>
            </w:r>
            <w:r>
              <w:rPr>
                <w:sz w:val="17"/>
                <w:szCs w:val="17"/>
              </w:rPr>
              <w:t xml:space="preserve"> </w:t>
            </w:r>
            <w:r w:rsidRPr="007A0CC8">
              <w:rPr>
                <w:sz w:val="17"/>
                <w:szCs w:val="17"/>
              </w:rPr>
              <w:t>circumstances, as a last resort measure and</w:t>
            </w:r>
            <w:r>
              <w:rPr>
                <w:sz w:val="17"/>
                <w:szCs w:val="17"/>
              </w:rPr>
              <w:t xml:space="preserve"> </w:t>
            </w:r>
            <w:r w:rsidRPr="007A0CC8">
              <w:rPr>
                <w:sz w:val="17"/>
                <w:szCs w:val="17"/>
              </w:rPr>
              <w:t>where it is in the collective interest of the</w:t>
            </w:r>
            <w:r>
              <w:rPr>
                <w:sz w:val="17"/>
                <w:szCs w:val="17"/>
              </w:rPr>
              <w:t xml:space="preserve"> </w:t>
            </w:r>
            <w:r w:rsidRPr="007A0CC8">
              <w:rPr>
                <w:sz w:val="17"/>
                <w:szCs w:val="17"/>
              </w:rPr>
              <w:t>policyholders and beneficiaries of the</w:t>
            </w:r>
            <w:r w:rsidR="0088680D">
              <w:rPr>
                <w:sz w:val="17"/>
                <w:szCs w:val="17"/>
              </w:rPr>
              <w:t xml:space="preserve"> </w:t>
            </w:r>
            <w:r w:rsidRPr="007A0CC8">
              <w:rPr>
                <w:sz w:val="17"/>
                <w:szCs w:val="17"/>
              </w:rPr>
              <w:t>undertaking. Temporarily suspend redemption</w:t>
            </w:r>
            <w:r>
              <w:rPr>
                <w:sz w:val="17"/>
                <w:szCs w:val="17"/>
              </w:rPr>
              <w:t xml:space="preserve"> </w:t>
            </w:r>
            <w:r w:rsidRPr="007A0CC8">
              <w:rPr>
                <w:sz w:val="17"/>
                <w:szCs w:val="17"/>
              </w:rPr>
              <w:t>rights of policyholders on life insurance policies of</w:t>
            </w:r>
          </w:p>
          <w:p w14:paraId="46149B8B" w14:textId="77777777" w:rsidR="00ED458A" w:rsidRDefault="00ED458A" w:rsidP="00121913">
            <w:pPr>
              <w:tabs>
                <w:tab w:val="left" w:pos="3815"/>
              </w:tabs>
              <w:rPr>
                <w:sz w:val="17"/>
                <w:szCs w:val="17"/>
              </w:rPr>
            </w:pPr>
            <w:r w:rsidRPr="007A0CC8">
              <w:rPr>
                <w:sz w:val="17"/>
                <w:szCs w:val="17"/>
              </w:rPr>
              <w:t>undertakings facing significant liquidity risks</w:t>
            </w:r>
            <w:r>
              <w:rPr>
                <w:sz w:val="17"/>
                <w:szCs w:val="17"/>
              </w:rPr>
              <w:t>. (</w:t>
            </w:r>
            <w:r w:rsidRPr="004432EA">
              <w:rPr>
                <w:sz w:val="17"/>
                <w:szCs w:val="17"/>
              </w:rPr>
              <w:t>Article 144</w:t>
            </w:r>
            <w:r>
              <w:rPr>
                <w:sz w:val="17"/>
                <w:szCs w:val="17"/>
              </w:rPr>
              <w:t>b)</w:t>
            </w:r>
          </w:p>
          <w:p w14:paraId="1F9FEC1B" w14:textId="77777777" w:rsidR="00ED458A" w:rsidRDefault="00ED458A" w:rsidP="00121913">
            <w:pPr>
              <w:tabs>
                <w:tab w:val="left" w:pos="3815"/>
              </w:tabs>
              <w:rPr>
                <w:sz w:val="17"/>
                <w:szCs w:val="17"/>
              </w:rPr>
            </w:pPr>
          </w:p>
        </w:tc>
        <w:tc>
          <w:tcPr>
            <w:tcW w:w="3119" w:type="dxa"/>
          </w:tcPr>
          <w:p w14:paraId="14442749" w14:textId="580BA088" w:rsidR="00ED458A" w:rsidRDefault="0090688D" w:rsidP="0090688D">
            <w:pPr>
              <w:pStyle w:val="CEABullet-Level1"/>
              <w:numPr>
                <w:ilvl w:val="0"/>
                <w:numId w:val="0"/>
              </w:numPr>
              <w:ind w:left="360" w:hanging="360"/>
            </w:pPr>
            <w:r w:rsidRPr="00BD5AF9">
              <w:rPr>
                <w:b/>
                <w:bCs/>
                <w:color w:val="00B050"/>
                <w:szCs w:val="17"/>
              </w:rPr>
              <w:t>[Positive]</w:t>
            </w:r>
          </w:p>
          <w:p w14:paraId="18AD54F4" w14:textId="77777777" w:rsidR="004831F7" w:rsidRDefault="00476413" w:rsidP="004831F7">
            <w:pPr>
              <w:rPr>
                <w:sz w:val="17"/>
                <w:szCs w:val="17"/>
              </w:rPr>
            </w:pPr>
            <w:r w:rsidRPr="00F15250">
              <w:rPr>
                <w:sz w:val="17"/>
                <w:szCs w:val="17"/>
              </w:rPr>
              <w:t>Rapporteur proposes a number of simpl</w:t>
            </w:r>
            <w:r w:rsidR="00053D21" w:rsidRPr="00F15250">
              <w:rPr>
                <w:sz w:val="17"/>
                <w:szCs w:val="17"/>
              </w:rPr>
              <w:t>ifications t</w:t>
            </w:r>
            <w:r w:rsidR="00151CF7" w:rsidRPr="00F15250">
              <w:rPr>
                <w:sz w:val="17"/>
                <w:szCs w:val="17"/>
              </w:rPr>
              <w:t>o</w:t>
            </w:r>
            <w:r w:rsidR="00053D21" w:rsidRPr="00F15250">
              <w:rPr>
                <w:sz w:val="17"/>
                <w:szCs w:val="17"/>
              </w:rPr>
              <w:t xml:space="preserve"> the </w:t>
            </w:r>
            <w:r w:rsidR="00C5191E" w:rsidRPr="00F15250">
              <w:rPr>
                <w:sz w:val="17"/>
                <w:szCs w:val="17"/>
              </w:rPr>
              <w:t xml:space="preserve">proposals for powers to NSAs to </w:t>
            </w:r>
            <w:r w:rsidR="00040B9C" w:rsidRPr="00F15250">
              <w:rPr>
                <w:sz w:val="17"/>
                <w:szCs w:val="17"/>
              </w:rPr>
              <w:t>temporarily suspend redemption rights.</w:t>
            </w:r>
          </w:p>
          <w:p w14:paraId="5BCF2A34" w14:textId="77777777" w:rsidR="004D3A62" w:rsidRDefault="004D3A62" w:rsidP="004831F7">
            <w:pPr>
              <w:rPr>
                <w:sz w:val="17"/>
                <w:szCs w:val="17"/>
              </w:rPr>
            </w:pPr>
          </w:p>
          <w:p w14:paraId="35A48A74" w14:textId="7C8B723F" w:rsidR="000A7FD6" w:rsidRPr="00DF2407" w:rsidRDefault="004D3A62" w:rsidP="00F15250">
            <w:pPr>
              <w:rPr>
                <w:szCs w:val="17"/>
              </w:rPr>
            </w:pPr>
            <w:r>
              <w:rPr>
                <w:sz w:val="17"/>
                <w:szCs w:val="17"/>
              </w:rPr>
              <w:t>These include:</w:t>
            </w:r>
            <w:r w:rsidR="00040B9C" w:rsidRPr="00F15250">
              <w:rPr>
                <w:sz w:val="17"/>
                <w:szCs w:val="17"/>
              </w:rPr>
              <w:t xml:space="preserve"> </w:t>
            </w:r>
          </w:p>
          <w:p w14:paraId="2D5CF522" w14:textId="4D8D62F0" w:rsidR="0090688D" w:rsidRDefault="00E63A52" w:rsidP="000A7FD6">
            <w:pPr>
              <w:pStyle w:val="CEABullet-Level1"/>
            </w:pPr>
            <w:r>
              <w:t>Measures by NSAs to be reviewed every 6 months (not yearly)</w:t>
            </w:r>
            <w:r w:rsidR="000A7FD6">
              <w:t>.</w:t>
            </w:r>
          </w:p>
          <w:p w14:paraId="290C7841" w14:textId="77777777" w:rsidR="00A84538" w:rsidRPr="00F92F46" w:rsidRDefault="00FB592D" w:rsidP="0090688D">
            <w:pPr>
              <w:pStyle w:val="CEABullet-Level1"/>
            </w:pPr>
            <w:r>
              <w:rPr>
                <w:szCs w:val="17"/>
              </w:rPr>
              <w:t>Application of power to be justified</w:t>
            </w:r>
            <w:r w:rsidR="00690CB7">
              <w:rPr>
                <w:szCs w:val="17"/>
              </w:rPr>
              <w:t>, in writing,</w:t>
            </w:r>
            <w:r>
              <w:rPr>
                <w:szCs w:val="17"/>
              </w:rPr>
              <w:t xml:space="preserve"> by NSA. </w:t>
            </w:r>
            <w:r w:rsidR="00A84538" w:rsidRPr="007A0CC8">
              <w:rPr>
                <w:szCs w:val="17"/>
              </w:rPr>
              <w:t>Power shall only be exercised where it is in the collective interest of the</w:t>
            </w:r>
            <w:r w:rsidR="00A84538">
              <w:rPr>
                <w:szCs w:val="17"/>
              </w:rPr>
              <w:t xml:space="preserve"> </w:t>
            </w:r>
            <w:r w:rsidR="00A84538" w:rsidRPr="007A0CC8">
              <w:rPr>
                <w:szCs w:val="17"/>
              </w:rPr>
              <w:t>policyholders</w:t>
            </w:r>
            <w:r w:rsidR="00A84538">
              <w:rPr>
                <w:szCs w:val="17"/>
              </w:rPr>
              <w:t xml:space="preserve"> (Ar</w:t>
            </w:r>
            <w:r w:rsidR="00447C51">
              <w:rPr>
                <w:szCs w:val="17"/>
              </w:rPr>
              <w:t>t</w:t>
            </w:r>
            <w:r w:rsidR="00A84538">
              <w:rPr>
                <w:szCs w:val="17"/>
              </w:rPr>
              <w:t xml:space="preserve"> 144</w:t>
            </w:r>
            <w:r w:rsidR="00447C51">
              <w:rPr>
                <w:szCs w:val="17"/>
              </w:rPr>
              <w:t>b(3)/A152)</w:t>
            </w:r>
          </w:p>
          <w:p w14:paraId="208904BB" w14:textId="29560152" w:rsidR="00BA1D92" w:rsidRDefault="00690D25" w:rsidP="0090688D">
            <w:pPr>
              <w:pStyle w:val="CEABullet-Level1"/>
            </w:pPr>
            <w:r>
              <w:t>Reduced role for EIOPA/ESRB.</w:t>
            </w:r>
          </w:p>
          <w:p w14:paraId="09CBD1CF" w14:textId="397C74DD" w:rsidR="009B3727" w:rsidRPr="0090688D" w:rsidRDefault="009B3727" w:rsidP="00F15250">
            <w:pPr>
              <w:pStyle w:val="CEABullet-Level1"/>
              <w:numPr>
                <w:ilvl w:val="0"/>
                <w:numId w:val="0"/>
              </w:numPr>
              <w:ind w:left="360"/>
            </w:pPr>
          </w:p>
        </w:tc>
        <w:tc>
          <w:tcPr>
            <w:tcW w:w="3118" w:type="dxa"/>
            <w:vMerge/>
          </w:tcPr>
          <w:p w14:paraId="55317BA8" w14:textId="4E18002E" w:rsidR="00ED458A" w:rsidRDefault="00ED458A" w:rsidP="00121913">
            <w:pPr>
              <w:tabs>
                <w:tab w:val="left" w:pos="3815"/>
              </w:tabs>
              <w:rPr>
                <w:sz w:val="17"/>
                <w:szCs w:val="17"/>
              </w:rPr>
            </w:pPr>
          </w:p>
        </w:tc>
      </w:tr>
      <w:tr w:rsidR="00C64454" w14:paraId="68D93202" w14:textId="77777777" w:rsidTr="004B7B1F">
        <w:trPr>
          <w:trHeight w:val="122"/>
        </w:trPr>
        <w:tc>
          <w:tcPr>
            <w:tcW w:w="1509" w:type="dxa"/>
            <w:vMerge/>
          </w:tcPr>
          <w:p w14:paraId="518A4FA5" w14:textId="77777777" w:rsidR="00ED458A" w:rsidRDefault="00ED458A" w:rsidP="00121913">
            <w:pPr>
              <w:tabs>
                <w:tab w:val="left" w:pos="3815"/>
              </w:tabs>
              <w:rPr>
                <w:sz w:val="17"/>
                <w:szCs w:val="17"/>
              </w:rPr>
            </w:pPr>
          </w:p>
        </w:tc>
        <w:tc>
          <w:tcPr>
            <w:tcW w:w="1610" w:type="dxa"/>
            <w:vMerge/>
          </w:tcPr>
          <w:p w14:paraId="421E3D0A" w14:textId="77777777" w:rsidR="00ED458A" w:rsidRDefault="00ED458A" w:rsidP="00121913">
            <w:pPr>
              <w:tabs>
                <w:tab w:val="left" w:pos="3815"/>
              </w:tabs>
              <w:rPr>
                <w:sz w:val="17"/>
                <w:szCs w:val="17"/>
              </w:rPr>
            </w:pPr>
          </w:p>
        </w:tc>
        <w:tc>
          <w:tcPr>
            <w:tcW w:w="2268" w:type="dxa"/>
          </w:tcPr>
          <w:p w14:paraId="1D188925" w14:textId="77777777" w:rsidR="00ED458A" w:rsidRPr="00491EB9" w:rsidRDefault="00ED458A" w:rsidP="00121913">
            <w:pPr>
              <w:tabs>
                <w:tab w:val="left" w:pos="3815"/>
              </w:tabs>
              <w:rPr>
                <w:sz w:val="17"/>
                <w:szCs w:val="17"/>
              </w:rPr>
            </w:pPr>
            <w:r w:rsidRPr="00404369">
              <w:rPr>
                <w:b/>
                <w:bCs/>
                <w:color w:val="E36C0A" w:themeColor="accent6" w:themeShade="BF"/>
                <w:sz w:val="17"/>
                <w:szCs w:val="17"/>
              </w:rPr>
              <w:t>[</w:t>
            </w:r>
            <w:r w:rsidRPr="00404369" w:rsidDel="008328A7">
              <w:rPr>
                <w:b/>
                <w:bCs/>
                <w:color w:val="E36C0A" w:themeColor="accent6" w:themeShade="BF"/>
                <w:sz w:val="17"/>
                <w:szCs w:val="17"/>
              </w:rPr>
              <w:t>Neutral</w:t>
            </w:r>
            <w:r w:rsidRPr="00404369">
              <w:rPr>
                <w:b/>
                <w:bCs/>
                <w:color w:val="E36C0A" w:themeColor="accent6" w:themeShade="BF"/>
                <w:sz w:val="17"/>
                <w:szCs w:val="17"/>
              </w:rPr>
              <w:t>]</w:t>
            </w:r>
            <w:r w:rsidRPr="00361F9F">
              <w:rPr>
                <w:color w:val="F79646" w:themeColor="accent6"/>
                <w:sz w:val="17"/>
                <w:szCs w:val="17"/>
              </w:rPr>
              <w:t xml:space="preserve"> </w:t>
            </w:r>
            <w:r w:rsidRPr="008957F1">
              <w:rPr>
                <w:sz w:val="17"/>
                <w:szCs w:val="17"/>
              </w:rPr>
              <w:t>Integration of macroeconomic</w:t>
            </w:r>
            <w:r>
              <w:rPr>
                <w:sz w:val="17"/>
                <w:szCs w:val="17"/>
              </w:rPr>
              <w:t xml:space="preserve"> </w:t>
            </w:r>
            <w:r w:rsidRPr="008957F1">
              <w:rPr>
                <w:sz w:val="17"/>
                <w:szCs w:val="17"/>
              </w:rPr>
              <w:t xml:space="preserve">considerations in ORSA and </w:t>
            </w:r>
            <w:r>
              <w:rPr>
                <w:sz w:val="17"/>
                <w:szCs w:val="17"/>
              </w:rPr>
              <w:t>Pr</w:t>
            </w:r>
            <w:r w:rsidRPr="008957F1">
              <w:rPr>
                <w:sz w:val="17"/>
                <w:szCs w:val="17"/>
              </w:rPr>
              <w:t>udent</w:t>
            </w:r>
            <w:r>
              <w:rPr>
                <w:sz w:val="17"/>
                <w:szCs w:val="17"/>
              </w:rPr>
              <w:t xml:space="preserve"> P</w:t>
            </w:r>
            <w:r w:rsidRPr="008957F1">
              <w:rPr>
                <w:sz w:val="17"/>
                <w:szCs w:val="17"/>
              </w:rPr>
              <w:t xml:space="preserve">erson </w:t>
            </w:r>
            <w:r>
              <w:rPr>
                <w:sz w:val="17"/>
                <w:szCs w:val="17"/>
              </w:rPr>
              <w:t>P</w:t>
            </w:r>
            <w:r w:rsidRPr="008957F1">
              <w:rPr>
                <w:sz w:val="17"/>
                <w:szCs w:val="17"/>
              </w:rPr>
              <w:t>rinciple</w:t>
            </w:r>
          </w:p>
        </w:tc>
        <w:tc>
          <w:tcPr>
            <w:tcW w:w="3544" w:type="dxa"/>
          </w:tcPr>
          <w:p w14:paraId="5152021E" w14:textId="77777777" w:rsidR="00ED458A" w:rsidRDefault="00ED458A" w:rsidP="00121913">
            <w:pPr>
              <w:tabs>
                <w:tab w:val="left" w:pos="3815"/>
              </w:tabs>
              <w:rPr>
                <w:sz w:val="17"/>
                <w:szCs w:val="17"/>
              </w:rPr>
            </w:pPr>
            <w:r w:rsidRPr="00BD5AF9">
              <w:rPr>
                <w:b/>
                <w:bCs/>
                <w:color w:val="00B050"/>
                <w:sz w:val="17"/>
                <w:szCs w:val="17"/>
              </w:rPr>
              <w:t>[Positive]</w:t>
            </w:r>
            <w:r w:rsidRPr="00BD5AF9">
              <w:rPr>
                <w:b/>
                <w:bCs/>
                <w:color w:val="00B050"/>
                <w:szCs w:val="17"/>
              </w:rPr>
              <w:t xml:space="preserve"> </w:t>
            </w:r>
            <w:r w:rsidRPr="001133FD">
              <w:rPr>
                <w:sz w:val="17"/>
                <w:szCs w:val="17"/>
              </w:rPr>
              <w:t xml:space="preserve">FR presidency compromise text </w:t>
            </w:r>
            <w:r>
              <w:rPr>
                <w:sz w:val="17"/>
                <w:szCs w:val="17"/>
              </w:rPr>
              <w:t xml:space="preserve">reduces </w:t>
            </w:r>
            <w:r w:rsidRPr="008B5B48">
              <w:rPr>
                <w:sz w:val="17"/>
                <w:szCs w:val="17"/>
              </w:rPr>
              <w:t xml:space="preserve">scope </w:t>
            </w:r>
            <w:r>
              <w:rPr>
                <w:sz w:val="17"/>
                <w:szCs w:val="17"/>
              </w:rPr>
              <w:t xml:space="preserve">of macroprudential considerations in ORSA and Prudent Person Principle - additional </w:t>
            </w:r>
            <w:r w:rsidRPr="008B5B48">
              <w:rPr>
                <w:sz w:val="17"/>
                <w:szCs w:val="17"/>
              </w:rPr>
              <w:t xml:space="preserve">analysis </w:t>
            </w:r>
            <w:r>
              <w:rPr>
                <w:sz w:val="17"/>
                <w:szCs w:val="17"/>
              </w:rPr>
              <w:t xml:space="preserve">of “macroprudential concerns” only </w:t>
            </w:r>
            <w:r w:rsidRPr="008B5B48">
              <w:rPr>
                <w:sz w:val="17"/>
                <w:szCs w:val="17"/>
              </w:rPr>
              <w:t xml:space="preserve">to be </w:t>
            </w:r>
            <w:r>
              <w:rPr>
                <w:sz w:val="17"/>
                <w:szCs w:val="17"/>
              </w:rPr>
              <w:t>included</w:t>
            </w:r>
            <w:r w:rsidRPr="008B5B48">
              <w:rPr>
                <w:sz w:val="17"/>
                <w:szCs w:val="17"/>
              </w:rPr>
              <w:t xml:space="preserve"> at</w:t>
            </w:r>
            <w:r>
              <w:rPr>
                <w:sz w:val="17"/>
                <w:szCs w:val="17"/>
              </w:rPr>
              <w:t xml:space="preserve"> </w:t>
            </w:r>
            <w:r w:rsidRPr="008B5B48">
              <w:rPr>
                <w:sz w:val="17"/>
                <w:szCs w:val="17"/>
              </w:rPr>
              <w:t>request of the supervisor;</w:t>
            </w:r>
            <w:r>
              <w:rPr>
                <w:sz w:val="17"/>
                <w:szCs w:val="17"/>
              </w:rPr>
              <w:t xml:space="preserve"> </w:t>
            </w:r>
            <w:r w:rsidRPr="008B5B48">
              <w:rPr>
                <w:sz w:val="17"/>
                <w:szCs w:val="17"/>
              </w:rPr>
              <w:t>nature/scale/complexity</w:t>
            </w:r>
            <w:r>
              <w:rPr>
                <w:sz w:val="17"/>
                <w:szCs w:val="17"/>
              </w:rPr>
              <w:t xml:space="preserve"> </w:t>
            </w:r>
            <w:r w:rsidRPr="008B5B48">
              <w:rPr>
                <w:sz w:val="17"/>
                <w:szCs w:val="17"/>
              </w:rPr>
              <w:t>of the risks inherent in the business of the</w:t>
            </w:r>
            <w:r>
              <w:rPr>
                <w:sz w:val="17"/>
                <w:szCs w:val="17"/>
              </w:rPr>
              <w:t xml:space="preserve"> </w:t>
            </w:r>
            <w:r w:rsidRPr="008B5B48">
              <w:rPr>
                <w:sz w:val="17"/>
                <w:szCs w:val="17"/>
              </w:rPr>
              <w:t>undertakings to be considered; subsidiaries</w:t>
            </w:r>
            <w:r>
              <w:rPr>
                <w:sz w:val="17"/>
                <w:szCs w:val="17"/>
              </w:rPr>
              <w:t xml:space="preserve"> can be </w:t>
            </w:r>
            <w:r w:rsidRPr="008B5B48">
              <w:rPr>
                <w:sz w:val="17"/>
                <w:szCs w:val="17"/>
              </w:rPr>
              <w:t xml:space="preserve">exempted </w:t>
            </w:r>
            <w:r>
              <w:rPr>
                <w:sz w:val="17"/>
                <w:szCs w:val="17"/>
              </w:rPr>
              <w:t>from ORSA requirements where</w:t>
            </w:r>
            <w:r w:rsidRPr="008B5B48">
              <w:rPr>
                <w:sz w:val="17"/>
                <w:szCs w:val="17"/>
              </w:rPr>
              <w:t xml:space="preserve"> a group analysis in place.</w:t>
            </w:r>
            <w:r>
              <w:rPr>
                <w:sz w:val="17"/>
                <w:szCs w:val="17"/>
              </w:rPr>
              <w:t xml:space="preserve"> (Art. 144d)</w:t>
            </w:r>
          </w:p>
        </w:tc>
        <w:tc>
          <w:tcPr>
            <w:tcW w:w="3119" w:type="dxa"/>
          </w:tcPr>
          <w:p w14:paraId="5DC6CF7E" w14:textId="77777777" w:rsidR="001976FE" w:rsidRDefault="000C478B" w:rsidP="00121913">
            <w:pPr>
              <w:tabs>
                <w:tab w:val="left" w:pos="3815"/>
              </w:tabs>
              <w:rPr>
                <w:sz w:val="17"/>
                <w:szCs w:val="17"/>
              </w:rPr>
            </w:pPr>
            <w:r w:rsidRPr="00BD5AF9">
              <w:rPr>
                <w:b/>
                <w:bCs/>
                <w:color w:val="00B050"/>
                <w:sz w:val="17"/>
                <w:szCs w:val="17"/>
              </w:rPr>
              <w:t>[Positive]</w:t>
            </w:r>
            <w:r>
              <w:rPr>
                <w:sz w:val="17"/>
                <w:szCs w:val="17"/>
              </w:rPr>
              <w:t xml:space="preserve"> </w:t>
            </w:r>
          </w:p>
          <w:p w14:paraId="4D55F985" w14:textId="77777777" w:rsidR="00DD1742" w:rsidRPr="00F15250" w:rsidRDefault="00DD1742" w:rsidP="00F15250">
            <w:pPr>
              <w:rPr>
                <w:sz w:val="17"/>
                <w:szCs w:val="17"/>
              </w:rPr>
            </w:pPr>
            <w:r w:rsidRPr="00F15250">
              <w:rPr>
                <w:sz w:val="17"/>
                <w:szCs w:val="17"/>
              </w:rPr>
              <w:t>Simplified macroprudential requirements in ORSA and Prudent Person Principle.</w:t>
            </w:r>
          </w:p>
          <w:p w14:paraId="10F39063" w14:textId="7385B2FE" w:rsidR="008D73A8" w:rsidRDefault="008D73A8" w:rsidP="00F15250">
            <w:pPr>
              <w:pStyle w:val="CEABullet-Level1"/>
              <w:numPr>
                <w:ilvl w:val="0"/>
                <w:numId w:val="0"/>
              </w:numPr>
              <w:ind w:left="360" w:hanging="360"/>
            </w:pPr>
          </w:p>
        </w:tc>
        <w:tc>
          <w:tcPr>
            <w:tcW w:w="3118" w:type="dxa"/>
            <w:vMerge/>
          </w:tcPr>
          <w:p w14:paraId="52282325" w14:textId="2DD9A09E" w:rsidR="00ED458A" w:rsidRDefault="00ED458A" w:rsidP="00121913">
            <w:pPr>
              <w:tabs>
                <w:tab w:val="left" w:pos="3815"/>
              </w:tabs>
              <w:rPr>
                <w:sz w:val="17"/>
                <w:szCs w:val="17"/>
              </w:rPr>
            </w:pPr>
          </w:p>
        </w:tc>
      </w:tr>
    </w:tbl>
    <w:p w14:paraId="6F606252" w14:textId="77777777" w:rsidR="00D1418C" w:rsidRDefault="00D1418C" w:rsidP="00121913">
      <w:pPr>
        <w:spacing w:after="200" w:line="276" w:lineRule="auto"/>
        <w:rPr>
          <w:sz w:val="17"/>
          <w:szCs w:val="17"/>
        </w:rPr>
      </w:pPr>
      <w:r>
        <w:rPr>
          <w:sz w:val="17"/>
          <w:szCs w:val="17"/>
        </w:rPr>
        <w:br w:type="page"/>
      </w:r>
    </w:p>
    <w:tbl>
      <w:tblPr>
        <w:tblStyle w:val="Mriekatabuky"/>
        <w:tblW w:w="15168" w:type="dxa"/>
        <w:tblInd w:w="-289" w:type="dxa"/>
        <w:tblLook w:val="04A0" w:firstRow="1" w:lastRow="0" w:firstColumn="1" w:lastColumn="0" w:noHBand="0" w:noVBand="1"/>
      </w:tblPr>
      <w:tblGrid>
        <w:gridCol w:w="1451"/>
        <w:gridCol w:w="15"/>
        <w:gridCol w:w="1856"/>
        <w:gridCol w:w="2065"/>
        <w:gridCol w:w="4111"/>
        <w:gridCol w:w="2835"/>
        <w:gridCol w:w="2835"/>
      </w:tblGrid>
      <w:tr w:rsidR="00AB514A" w14:paraId="0A695D2B" w14:textId="77777777" w:rsidTr="00F20F0D">
        <w:trPr>
          <w:trHeight w:val="572"/>
        </w:trPr>
        <w:tc>
          <w:tcPr>
            <w:tcW w:w="1451" w:type="dxa"/>
          </w:tcPr>
          <w:p w14:paraId="5FA8DDB2" w14:textId="77777777" w:rsidR="00AB514A" w:rsidRDefault="00AB514A" w:rsidP="00121913">
            <w:pPr>
              <w:spacing w:after="200" w:line="276" w:lineRule="auto"/>
              <w:rPr>
                <w:sz w:val="17"/>
                <w:szCs w:val="17"/>
              </w:rPr>
            </w:pPr>
            <w:r w:rsidRPr="00491EB9">
              <w:rPr>
                <w:b/>
                <w:bCs/>
                <w:sz w:val="17"/>
                <w:szCs w:val="17"/>
              </w:rPr>
              <w:lastRenderedPageBreak/>
              <w:t>Topic</w:t>
            </w:r>
          </w:p>
        </w:tc>
        <w:tc>
          <w:tcPr>
            <w:tcW w:w="1871" w:type="dxa"/>
            <w:gridSpan w:val="2"/>
          </w:tcPr>
          <w:p w14:paraId="6C4DE3E2" w14:textId="77777777" w:rsidR="00AB514A" w:rsidRDefault="00AB514A" w:rsidP="00121913">
            <w:pPr>
              <w:spacing w:after="200" w:line="276" w:lineRule="auto"/>
              <w:rPr>
                <w:sz w:val="17"/>
                <w:szCs w:val="17"/>
              </w:rPr>
            </w:pPr>
            <w:r w:rsidRPr="00491EB9">
              <w:rPr>
                <w:b/>
                <w:bCs/>
                <w:sz w:val="17"/>
                <w:szCs w:val="17"/>
              </w:rPr>
              <w:t>EIOPA proposal</w:t>
            </w:r>
          </w:p>
        </w:tc>
        <w:tc>
          <w:tcPr>
            <w:tcW w:w="2065" w:type="dxa"/>
          </w:tcPr>
          <w:p w14:paraId="032C365D" w14:textId="77777777" w:rsidR="00AB514A" w:rsidRDefault="00AB514A" w:rsidP="00121913">
            <w:pPr>
              <w:spacing w:after="200" w:line="276" w:lineRule="auto"/>
              <w:rPr>
                <w:sz w:val="17"/>
                <w:szCs w:val="17"/>
              </w:rPr>
            </w:pPr>
            <w:r w:rsidRPr="00491EB9">
              <w:rPr>
                <w:b/>
                <w:bCs/>
                <w:sz w:val="17"/>
                <w:szCs w:val="17"/>
              </w:rPr>
              <w:t>European Commission proposal</w:t>
            </w:r>
          </w:p>
        </w:tc>
        <w:tc>
          <w:tcPr>
            <w:tcW w:w="4111" w:type="dxa"/>
          </w:tcPr>
          <w:p w14:paraId="522E3892" w14:textId="6B309E13" w:rsidR="00AB514A" w:rsidRDefault="00AB514A" w:rsidP="00121913">
            <w:pPr>
              <w:spacing w:after="200" w:line="276" w:lineRule="auto"/>
              <w:rPr>
                <w:sz w:val="17"/>
                <w:szCs w:val="17"/>
              </w:rPr>
            </w:pPr>
            <w:r w:rsidRPr="00491EB9">
              <w:rPr>
                <w:b/>
                <w:bCs/>
                <w:sz w:val="17"/>
                <w:szCs w:val="17"/>
              </w:rPr>
              <w:t>French presidency</w:t>
            </w:r>
            <w:r>
              <w:rPr>
                <w:b/>
                <w:bCs/>
                <w:sz w:val="17"/>
                <w:szCs w:val="17"/>
              </w:rPr>
              <w:t xml:space="preserve"> overall compromise proposal/EGBPI discussions</w:t>
            </w:r>
          </w:p>
        </w:tc>
        <w:tc>
          <w:tcPr>
            <w:tcW w:w="2835" w:type="dxa"/>
          </w:tcPr>
          <w:p w14:paraId="32FE06D7" w14:textId="59D22D25" w:rsidR="00AB514A" w:rsidRDefault="00F66675" w:rsidP="00121913">
            <w:pPr>
              <w:spacing w:after="200" w:line="276" w:lineRule="auto"/>
              <w:rPr>
                <w:b/>
                <w:bCs/>
                <w:sz w:val="17"/>
                <w:szCs w:val="17"/>
              </w:rPr>
            </w:pPr>
            <w:r>
              <w:rPr>
                <w:b/>
                <w:bCs/>
                <w:sz w:val="17"/>
                <w:szCs w:val="17"/>
              </w:rPr>
              <w:t>EP draft report</w:t>
            </w:r>
          </w:p>
        </w:tc>
        <w:tc>
          <w:tcPr>
            <w:tcW w:w="2835" w:type="dxa"/>
          </w:tcPr>
          <w:p w14:paraId="523D0804" w14:textId="560C5AA3" w:rsidR="00AB514A" w:rsidRDefault="00AB514A" w:rsidP="00121913">
            <w:pPr>
              <w:spacing w:after="200" w:line="276" w:lineRule="auto"/>
              <w:rPr>
                <w:sz w:val="17"/>
                <w:szCs w:val="17"/>
              </w:rPr>
            </w:pPr>
            <w:r>
              <w:rPr>
                <w:b/>
                <w:bCs/>
                <w:sz w:val="17"/>
                <w:szCs w:val="17"/>
              </w:rPr>
              <w:t>Secretariat assessment of current status</w:t>
            </w:r>
          </w:p>
        </w:tc>
      </w:tr>
      <w:tr w:rsidR="00AB514A" w14:paraId="69B473AE" w14:textId="77777777" w:rsidTr="00F20F0D">
        <w:trPr>
          <w:trHeight w:val="793"/>
        </w:trPr>
        <w:tc>
          <w:tcPr>
            <w:tcW w:w="1451" w:type="dxa"/>
            <w:vMerge w:val="restart"/>
          </w:tcPr>
          <w:p w14:paraId="0727FAB0" w14:textId="77777777" w:rsidR="00AB514A" w:rsidRPr="00DA38C6" w:rsidRDefault="00AB514A" w:rsidP="00121913">
            <w:pPr>
              <w:tabs>
                <w:tab w:val="left" w:pos="3815"/>
              </w:tabs>
              <w:rPr>
                <w:b/>
                <w:bCs/>
                <w:sz w:val="17"/>
                <w:szCs w:val="17"/>
              </w:rPr>
            </w:pPr>
            <w:r w:rsidRPr="00DA38C6">
              <w:rPr>
                <w:b/>
                <w:bCs/>
                <w:sz w:val="17"/>
                <w:szCs w:val="17"/>
              </w:rPr>
              <w:t>Group</w:t>
            </w:r>
          </w:p>
          <w:p w14:paraId="23C8F107" w14:textId="77777777" w:rsidR="00AB514A" w:rsidRDefault="00AB514A" w:rsidP="00121913">
            <w:pPr>
              <w:spacing w:after="200" w:line="276" w:lineRule="auto"/>
              <w:rPr>
                <w:sz w:val="17"/>
                <w:szCs w:val="17"/>
              </w:rPr>
            </w:pPr>
            <w:r w:rsidRPr="00DA38C6">
              <w:rPr>
                <w:b/>
                <w:bCs/>
                <w:sz w:val="17"/>
                <w:szCs w:val="17"/>
              </w:rPr>
              <w:t>supervision</w:t>
            </w:r>
          </w:p>
        </w:tc>
        <w:tc>
          <w:tcPr>
            <w:tcW w:w="1871" w:type="dxa"/>
            <w:gridSpan w:val="2"/>
          </w:tcPr>
          <w:p w14:paraId="6ED37122" w14:textId="77777777" w:rsidR="00AB514A" w:rsidRPr="00750ECB" w:rsidRDefault="00AB514A" w:rsidP="00121913">
            <w:pPr>
              <w:pStyle w:val="Default"/>
              <w:rPr>
                <w:sz w:val="17"/>
                <w:szCs w:val="17"/>
              </w:rPr>
            </w:pPr>
            <w:r w:rsidRPr="00BD5AF9">
              <w:rPr>
                <w:b/>
                <w:bCs/>
                <w:color w:val="00B050"/>
                <w:sz w:val="17"/>
                <w:szCs w:val="17"/>
              </w:rPr>
              <w:t>[Positive]</w:t>
            </w:r>
            <w:r w:rsidRPr="00750ECB">
              <w:rPr>
                <w:sz w:val="17"/>
                <w:szCs w:val="17"/>
              </w:rPr>
              <w:t xml:space="preserve"> Group MCR limit: 45% of group SCR</w:t>
            </w:r>
          </w:p>
          <w:p w14:paraId="40A80C27" w14:textId="77777777" w:rsidR="00AB514A" w:rsidRDefault="00AB514A" w:rsidP="00121913">
            <w:pPr>
              <w:spacing w:after="200" w:line="276" w:lineRule="auto"/>
              <w:rPr>
                <w:sz w:val="17"/>
                <w:szCs w:val="17"/>
              </w:rPr>
            </w:pPr>
          </w:p>
        </w:tc>
        <w:tc>
          <w:tcPr>
            <w:tcW w:w="2065" w:type="dxa"/>
          </w:tcPr>
          <w:p w14:paraId="09E7161A" w14:textId="77777777" w:rsidR="00AB514A" w:rsidRPr="00750ECB" w:rsidRDefault="00AB514A" w:rsidP="00121913">
            <w:pPr>
              <w:pStyle w:val="Default"/>
              <w:rPr>
                <w:sz w:val="17"/>
                <w:szCs w:val="17"/>
              </w:rPr>
            </w:pPr>
            <w:r w:rsidRPr="00BD5AF9">
              <w:rPr>
                <w:b/>
                <w:bCs/>
                <w:color w:val="00B050"/>
                <w:sz w:val="17"/>
                <w:szCs w:val="17"/>
              </w:rPr>
              <w:t>[Positive]</w:t>
            </w:r>
            <w:r w:rsidRPr="00BD5AF9">
              <w:rPr>
                <w:b/>
                <w:bCs/>
                <w:color w:val="00B050"/>
                <w:szCs w:val="17"/>
              </w:rPr>
              <w:t xml:space="preserve"> </w:t>
            </w:r>
            <w:r w:rsidRPr="00750ECB">
              <w:rPr>
                <w:sz w:val="17"/>
                <w:szCs w:val="17"/>
              </w:rPr>
              <w:t>Group MCR limit: 45% of group SCR</w:t>
            </w:r>
          </w:p>
          <w:p w14:paraId="0147A66F" w14:textId="77777777" w:rsidR="00AB514A" w:rsidRDefault="00AB514A" w:rsidP="00121913">
            <w:pPr>
              <w:spacing w:after="200" w:line="276" w:lineRule="auto"/>
              <w:rPr>
                <w:sz w:val="17"/>
                <w:szCs w:val="17"/>
              </w:rPr>
            </w:pPr>
          </w:p>
        </w:tc>
        <w:tc>
          <w:tcPr>
            <w:tcW w:w="4111" w:type="dxa"/>
          </w:tcPr>
          <w:p w14:paraId="34C8B2A3" w14:textId="7C419953" w:rsidR="00AB514A" w:rsidRDefault="00AB514A" w:rsidP="00121913">
            <w:pPr>
              <w:spacing w:after="200" w:line="276" w:lineRule="auto"/>
              <w:rPr>
                <w:sz w:val="17"/>
                <w:szCs w:val="17"/>
              </w:rPr>
            </w:pPr>
            <w:r w:rsidRPr="00B50875">
              <w:rPr>
                <w:rFonts w:eastAsiaTheme="minorHAnsi" w:cs="Verdana"/>
                <w:b/>
                <w:color w:val="FF0000"/>
                <w:sz w:val="17"/>
                <w:szCs w:val="17"/>
              </w:rPr>
              <w:t>[</w:t>
            </w:r>
            <w:r>
              <w:rPr>
                <w:rFonts w:eastAsiaTheme="minorHAnsi" w:cs="Verdana"/>
                <w:b/>
                <w:bCs/>
                <w:color w:val="FF0000"/>
                <w:sz w:val="17"/>
                <w:szCs w:val="17"/>
              </w:rPr>
              <w:t>Negative</w:t>
            </w:r>
            <w:r w:rsidRPr="00B50875">
              <w:rPr>
                <w:rFonts w:eastAsiaTheme="minorHAnsi" w:cs="Verdana"/>
                <w:b/>
                <w:bCs/>
                <w:color w:val="FF0000"/>
                <w:sz w:val="17"/>
                <w:szCs w:val="17"/>
              </w:rPr>
              <w:t>]</w:t>
            </w:r>
            <w:r w:rsidRPr="00B50875" w:rsidDel="00700407">
              <w:rPr>
                <w:b/>
                <w:bCs/>
                <w:color w:val="FF0000"/>
                <w:sz w:val="17"/>
                <w:szCs w:val="17"/>
              </w:rPr>
              <w:t xml:space="preserve"> </w:t>
            </w:r>
            <w:r>
              <w:rPr>
                <w:sz w:val="17"/>
                <w:szCs w:val="17"/>
              </w:rPr>
              <w:t>The French Presidency proposed to remove the solution for trigger inversion. Instead, it is now suggested to apply, in case of MCR breach while the SCR is not breached, only Art 138 (non-compliance with SCR) (Art 230(3))</w:t>
            </w:r>
          </w:p>
        </w:tc>
        <w:tc>
          <w:tcPr>
            <w:tcW w:w="2835" w:type="dxa"/>
          </w:tcPr>
          <w:p w14:paraId="2D3C1106" w14:textId="77777777" w:rsidR="00AB514A" w:rsidRPr="00BD5AF9" w:rsidRDefault="00AB514A" w:rsidP="003F2C6E">
            <w:pPr>
              <w:spacing w:after="200" w:line="276" w:lineRule="auto"/>
              <w:rPr>
                <w:rFonts w:eastAsiaTheme="minorHAnsi"/>
                <w:b/>
                <w:color w:val="FF0000"/>
                <w:sz w:val="17"/>
                <w:szCs w:val="17"/>
              </w:rPr>
            </w:pPr>
          </w:p>
        </w:tc>
        <w:tc>
          <w:tcPr>
            <w:tcW w:w="2835" w:type="dxa"/>
            <w:vMerge w:val="restart"/>
          </w:tcPr>
          <w:p w14:paraId="411DC39A" w14:textId="14E798CC" w:rsidR="00F91E40" w:rsidRDefault="00AB514A" w:rsidP="003F2C6E">
            <w:pPr>
              <w:spacing w:after="200" w:line="276" w:lineRule="auto"/>
              <w:rPr>
                <w:rFonts w:eastAsiaTheme="minorHAnsi" w:cs="Verdana"/>
                <w:sz w:val="17"/>
                <w:szCs w:val="17"/>
              </w:rPr>
            </w:pPr>
            <w:r w:rsidRPr="00BD5AF9">
              <w:rPr>
                <w:rFonts w:eastAsiaTheme="minorHAnsi"/>
                <w:b/>
                <w:color w:val="FF0000"/>
                <w:sz w:val="17"/>
                <w:szCs w:val="17"/>
              </w:rPr>
              <w:t>[</w:t>
            </w:r>
            <w:r w:rsidRPr="00BD5AF9">
              <w:rPr>
                <w:b/>
                <w:bCs/>
                <w:color w:val="FF0000"/>
                <w:sz w:val="17"/>
                <w:szCs w:val="17"/>
              </w:rPr>
              <w:t>Negative</w:t>
            </w:r>
            <w:r w:rsidRPr="00BD5AF9">
              <w:rPr>
                <w:rFonts w:eastAsiaTheme="minorHAnsi"/>
                <w:b/>
                <w:color w:val="FF0000"/>
                <w:sz w:val="17"/>
                <w:szCs w:val="17"/>
              </w:rPr>
              <w:t>]</w:t>
            </w:r>
            <w:r>
              <w:rPr>
                <w:rFonts w:eastAsiaTheme="minorHAnsi"/>
                <w:b/>
                <w:color w:val="FF0000"/>
                <w:szCs w:val="17"/>
              </w:rPr>
              <w:t xml:space="preserve"> </w:t>
            </w:r>
            <w:r>
              <w:rPr>
                <w:rFonts w:eastAsiaTheme="minorHAnsi" w:cs="Verdana"/>
                <w:sz w:val="17"/>
                <w:szCs w:val="17"/>
              </w:rPr>
              <w:t>Not only</w:t>
            </w:r>
            <w:r w:rsidRPr="00F57182">
              <w:rPr>
                <w:rFonts w:eastAsiaTheme="minorHAnsi" w:cs="Verdana"/>
                <w:sz w:val="17"/>
                <w:szCs w:val="17"/>
              </w:rPr>
              <w:t xml:space="preserve"> the </w:t>
            </w:r>
            <w:r w:rsidRPr="00834F8D">
              <w:rPr>
                <w:rFonts w:eastAsiaTheme="minorHAnsi" w:cs="Verdana"/>
                <w:bCs/>
                <w:sz w:val="17"/>
                <w:szCs w:val="17"/>
              </w:rPr>
              <w:t xml:space="preserve">many changes </w:t>
            </w:r>
            <w:r w:rsidRPr="00F57182">
              <w:rPr>
                <w:rFonts w:eastAsiaTheme="minorHAnsi" w:cs="Verdana"/>
                <w:sz w:val="17"/>
                <w:szCs w:val="17"/>
              </w:rPr>
              <w:t xml:space="preserve">put forward by the </w:t>
            </w:r>
            <w:r w:rsidRPr="00834F8D">
              <w:rPr>
                <w:rFonts w:eastAsiaTheme="minorHAnsi" w:cs="Verdana"/>
                <w:bCs/>
                <w:sz w:val="17"/>
                <w:szCs w:val="17"/>
              </w:rPr>
              <w:t>EC/presidency</w:t>
            </w:r>
            <w:r w:rsidRPr="00834F8D">
              <w:rPr>
                <w:rFonts w:eastAsiaTheme="minorHAnsi" w:cs="Verdana"/>
                <w:sz w:val="17"/>
                <w:szCs w:val="17"/>
              </w:rPr>
              <w:t xml:space="preserve"> </w:t>
            </w:r>
            <w:r>
              <w:rPr>
                <w:rFonts w:eastAsiaTheme="minorHAnsi" w:cs="Verdana"/>
                <w:sz w:val="17"/>
                <w:szCs w:val="17"/>
              </w:rPr>
              <w:t xml:space="preserve">in the area of group supervision will create an unnecessary burden and cost for many groups, it could also lead to uneconomic group SCR increase in the short to medium term.  </w:t>
            </w:r>
          </w:p>
          <w:p w14:paraId="282178C1" w14:textId="41355E74" w:rsidR="00BC31E3" w:rsidRDefault="00AB514A" w:rsidP="00BC31E3">
            <w:pPr>
              <w:spacing w:after="200" w:line="276" w:lineRule="auto"/>
              <w:rPr>
                <w:rFonts w:eastAsiaTheme="minorHAnsi" w:cs="Verdana"/>
                <w:sz w:val="17"/>
                <w:szCs w:val="17"/>
              </w:rPr>
            </w:pPr>
            <w:r>
              <w:rPr>
                <w:rFonts w:eastAsiaTheme="minorHAnsi" w:cs="Verdana"/>
                <w:sz w:val="17"/>
                <w:szCs w:val="17"/>
              </w:rPr>
              <w:t xml:space="preserve">The industry strongly disagrees with the removal, as proposed by the </w:t>
            </w:r>
            <w:r w:rsidRPr="00F91E40">
              <w:rPr>
                <w:rFonts w:eastAsiaTheme="minorHAnsi" w:cs="Verdana"/>
                <w:b/>
                <w:bCs/>
                <w:sz w:val="17"/>
                <w:szCs w:val="17"/>
              </w:rPr>
              <w:t>French Presidency</w:t>
            </w:r>
            <w:r>
              <w:rPr>
                <w:rFonts w:eastAsiaTheme="minorHAnsi" w:cs="Verdana"/>
                <w:sz w:val="17"/>
                <w:szCs w:val="17"/>
              </w:rPr>
              <w:t>, of the solution for trigger inversion</w:t>
            </w:r>
            <w:r w:rsidRPr="00D47DD5">
              <w:rPr>
                <w:rFonts w:eastAsiaTheme="minorHAnsi" w:cs="Verdana"/>
                <w:sz w:val="17"/>
                <w:szCs w:val="17"/>
              </w:rPr>
              <w:t>.</w:t>
            </w:r>
            <w:r>
              <w:rPr>
                <w:rFonts w:eastAsiaTheme="minorHAnsi" w:cs="Verdana"/>
                <w:sz w:val="17"/>
                <w:szCs w:val="17"/>
              </w:rPr>
              <w:br/>
            </w:r>
            <w:r w:rsidRPr="00D47DD5">
              <w:rPr>
                <w:rFonts w:eastAsiaTheme="minorHAnsi" w:cs="Verdana"/>
                <w:sz w:val="17"/>
                <w:szCs w:val="17"/>
              </w:rPr>
              <w:t>The solution for trigger inversion, as proposed by the EC, should remain in place and the floor of the Group SCR should</w:t>
            </w:r>
            <w:r w:rsidRPr="00C66D97">
              <w:rPr>
                <w:rFonts w:eastAsiaTheme="minorHAnsi" w:cs="Verdana"/>
                <w:sz w:val="17"/>
                <w:szCs w:val="17"/>
              </w:rPr>
              <w:t xml:space="preserve"> </w:t>
            </w:r>
            <w:r>
              <w:rPr>
                <w:rFonts w:eastAsiaTheme="minorHAnsi" w:cs="Verdana"/>
                <w:sz w:val="17"/>
                <w:szCs w:val="17"/>
              </w:rPr>
              <w:t xml:space="preserve">explicitly mention that double counting when existing should be addressed. </w:t>
            </w:r>
          </w:p>
          <w:p w14:paraId="789F993C" w14:textId="142DA2A5" w:rsidR="00AB514A" w:rsidRDefault="008F1414">
            <w:pPr>
              <w:spacing w:after="200" w:line="276" w:lineRule="auto"/>
              <w:jc w:val="both"/>
              <w:rPr>
                <w:rFonts w:eastAsiaTheme="minorHAnsi" w:cs="Verdana"/>
                <w:sz w:val="17"/>
                <w:szCs w:val="17"/>
              </w:rPr>
            </w:pPr>
            <w:r w:rsidRPr="00F15250">
              <w:rPr>
                <w:rFonts w:eastAsiaTheme="minorHAnsi" w:cs="Verdana"/>
                <w:sz w:val="17"/>
                <w:szCs w:val="17"/>
              </w:rPr>
              <w:t>T</w:t>
            </w:r>
            <w:r w:rsidR="00BC31E3" w:rsidRPr="00F15250">
              <w:rPr>
                <w:rFonts w:eastAsiaTheme="minorHAnsi" w:cs="Verdana"/>
                <w:sz w:val="17"/>
                <w:szCs w:val="17"/>
              </w:rPr>
              <w:t xml:space="preserve">he </w:t>
            </w:r>
            <w:r w:rsidR="00BC31E3" w:rsidRPr="00F15250">
              <w:rPr>
                <w:rFonts w:eastAsiaTheme="minorHAnsi" w:cs="Verdana"/>
                <w:b/>
                <w:bCs/>
                <w:sz w:val="17"/>
                <w:szCs w:val="17"/>
              </w:rPr>
              <w:t>draft EP report</w:t>
            </w:r>
            <w:r w:rsidR="00BC31E3" w:rsidRPr="00F15250">
              <w:rPr>
                <w:rFonts w:eastAsiaTheme="minorHAnsi" w:cs="Verdana"/>
                <w:sz w:val="17"/>
                <w:szCs w:val="17"/>
              </w:rPr>
              <w:t xml:space="preserve"> only </w:t>
            </w:r>
            <w:r w:rsidR="00CF49EF" w:rsidRPr="00F15250">
              <w:rPr>
                <w:rFonts w:eastAsiaTheme="minorHAnsi" w:cs="Verdana"/>
                <w:sz w:val="17"/>
                <w:szCs w:val="17"/>
              </w:rPr>
              <w:t xml:space="preserve">suggests </w:t>
            </w:r>
            <w:r w:rsidR="00BC31E3" w:rsidRPr="00F15250">
              <w:rPr>
                <w:rFonts w:eastAsiaTheme="minorHAnsi" w:cs="Verdana"/>
                <w:sz w:val="17"/>
                <w:szCs w:val="17"/>
              </w:rPr>
              <w:t xml:space="preserve">minor </w:t>
            </w:r>
            <w:r w:rsidR="00CF49EF" w:rsidRPr="00F15250">
              <w:rPr>
                <w:rFonts w:eastAsiaTheme="minorHAnsi" w:cs="Verdana"/>
                <w:sz w:val="17"/>
                <w:szCs w:val="17"/>
              </w:rPr>
              <w:t xml:space="preserve">modifications </w:t>
            </w:r>
            <w:r w:rsidR="00BC31E3" w:rsidRPr="00F15250">
              <w:rPr>
                <w:rFonts w:eastAsiaTheme="minorHAnsi" w:cs="Verdana"/>
                <w:sz w:val="17"/>
                <w:szCs w:val="17"/>
              </w:rPr>
              <w:t xml:space="preserve">to the group supervision </w:t>
            </w:r>
            <w:r w:rsidR="00BC31E3" w:rsidRPr="00F15250">
              <w:rPr>
                <w:rFonts w:eastAsiaTheme="minorHAnsi" w:cs="Verdana"/>
                <w:sz w:val="17"/>
                <w:szCs w:val="17"/>
              </w:rPr>
              <w:lastRenderedPageBreak/>
              <w:t>provisions</w:t>
            </w:r>
            <w:r w:rsidR="00F6175E" w:rsidRPr="00F15250">
              <w:rPr>
                <w:rFonts w:eastAsiaTheme="minorHAnsi" w:cs="Verdana"/>
                <w:sz w:val="17"/>
                <w:szCs w:val="17"/>
              </w:rPr>
              <w:t xml:space="preserve"> </w:t>
            </w:r>
            <w:r w:rsidR="00444C13" w:rsidRPr="00F15250">
              <w:rPr>
                <w:rFonts w:eastAsiaTheme="minorHAnsi" w:cs="Verdana"/>
                <w:sz w:val="17"/>
                <w:szCs w:val="17"/>
              </w:rPr>
              <w:t>-</w:t>
            </w:r>
            <w:r w:rsidR="00BC31E3" w:rsidRPr="00F15250">
              <w:rPr>
                <w:rFonts w:eastAsiaTheme="minorHAnsi" w:cs="Verdana"/>
                <w:sz w:val="17"/>
                <w:szCs w:val="17"/>
              </w:rPr>
              <w:t xml:space="preserve"> </w:t>
            </w:r>
            <w:r w:rsidR="00F6175E" w:rsidRPr="00F15250">
              <w:rPr>
                <w:rFonts w:eastAsiaTheme="minorHAnsi" w:cs="Verdana"/>
                <w:sz w:val="17"/>
                <w:szCs w:val="17"/>
              </w:rPr>
              <w:t xml:space="preserve">eg </w:t>
            </w:r>
            <w:r w:rsidR="00F6175E" w:rsidRPr="008021AB">
              <w:rPr>
                <w:rFonts w:eastAsiaTheme="minorHAnsi" w:cs="Verdana"/>
                <w:sz w:val="17"/>
                <w:szCs w:val="17"/>
              </w:rPr>
              <w:t>remov</w:t>
            </w:r>
            <w:r w:rsidR="00444C13" w:rsidRPr="00F15250">
              <w:rPr>
                <w:rFonts w:eastAsiaTheme="minorHAnsi" w:cs="Verdana"/>
                <w:sz w:val="17"/>
                <w:szCs w:val="17"/>
              </w:rPr>
              <w:t>al of</w:t>
            </w:r>
            <w:r w:rsidR="00F6175E" w:rsidRPr="008021AB">
              <w:rPr>
                <w:rFonts w:eastAsiaTheme="minorHAnsi" w:cs="Verdana"/>
                <w:sz w:val="17"/>
                <w:szCs w:val="17"/>
              </w:rPr>
              <w:t xml:space="preserve"> the possibility for NSAs to ask for </w:t>
            </w:r>
            <w:r w:rsidR="00DA316C" w:rsidRPr="00F15250">
              <w:rPr>
                <w:rFonts w:eastAsiaTheme="minorHAnsi" w:cs="Verdana"/>
                <w:sz w:val="17"/>
                <w:szCs w:val="17"/>
              </w:rPr>
              <w:t xml:space="preserve">the </w:t>
            </w:r>
            <w:r w:rsidR="00F6175E" w:rsidRPr="008021AB">
              <w:rPr>
                <w:rFonts w:eastAsiaTheme="minorHAnsi" w:cs="Verdana"/>
                <w:sz w:val="17"/>
                <w:szCs w:val="17"/>
              </w:rPr>
              <w:t>restructuring of groups</w:t>
            </w:r>
            <w:r w:rsidR="00F6175E" w:rsidRPr="00F15250">
              <w:rPr>
                <w:rFonts w:eastAsiaTheme="minorHAnsi" w:cs="Verdana"/>
                <w:sz w:val="17"/>
                <w:szCs w:val="17"/>
              </w:rPr>
              <w:t xml:space="preserve"> </w:t>
            </w:r>
            <w:r w:rsidR="00444C13" w:rsidRPr="00F15250">
              <w:rPr>
                <w:rFonts w:eastAsiaTheme="minorHAnsi" w:cs="Verdana"/>
                <w:sz w:val="17"/>
                <w:szCs w:val="17"/>
              </w:rPr>
              <w:t xml:space="preserve">- </w:t>
            </w:r>
            <w:r w:rsidR="00CB6349" w:rsidRPr="00F15250">
              <w:rPr>
                <w:rFonts w:eastAsiaTheme="minorHAnsi" w:cs="Verdana"/>
                <w:sz w:val="17"/>
                <w:szCs w:val="17"/>
              </w:rPr>
              <w:t xml:space="preserve">which are </w:t>
            </w:r>
            <w:r w:rsidR="00EB073B" w:rsidRPr="00F15250">
              <w:rPr>
                <w:rFonts w:eastAsiaTheme="minorHAnsi" w:cs="Verdana"/>
                <w:sz w:val="17"/>
                <w:szCs w:val="17"/>
              </w:rPr>
              <w:t>broadly welcomed</w:t>
            </w:r>
            <w:r w:rsidR="00DA316C" w:rsidRPr="00F15250">
              <w:rPr>
                <w:rFonts w:eastAsiaTheme="minorHAnsi" w:cs="Verdana"/>
                <w:sz w:val="17"/>
                <w:szCs w:val="17"/>
              </w:rPr>
              <w:t>.</w:t>
            </w:r>
            <w:r w:rsidR="00CF49EF" w:rsidRPr="00F15250">
              <w:rPr>
                <w:rFonts w:eastAsiaTheme="minorHAnsi" w:cs="Verdana"/>
                <w:sz w:val="17"/>
                <w:szCs w:val="17"/>
              </w:rPr>
              <w:t xml:space="preserve"> </w:t>
            </w:r>
          </w:p>
          <w:p w14:paraId="185A5857" w14:textId="77777777" w:rsidR="006A301E" w:rsidRDefault="006A301E">
            <w:pPr>
              <w:spacing w:after="200" w:line="276" w:lineRule="auto"/>
              <w:jc w:val="both"/>
              <w:rPr>
                <w:rFonts w:eastAsiaTheme="minorHAnsi" w:cs="Verdana"/>
                <w:sz w:val="17"/>
                <w:szCs w:val="17"/>
              </w:rPr>
            </w:pPr>
          </w:p>
          <w:p w14:paraId="1279E78B" w14:textId="08163F20" w:rsidR="006A301E" w:rsidRPr="00394930" w:rsidRDefault="00AE3BC9" w:rsidP="00FE270F">
            <w:pPr>
              <w:spacing w:after="200" w:line="276" w:lineRule="auto"/>
              <w:rPr>
                <w:rFonts w:eastAsiaTheme="minorHAnsi" w:cs="Verdana"/>
                <w:sz w:val="17"/>
                <w:szCs w:val="17"/>
              </w:rPr>
            </w:pPr>
            <w:r>
              <w:rPr>
                <w:b/>
                <w:bCs/>
                <w:color w:val="1F497D" w:themeColor="text2"/>
                <w:sz w:val="17"/>
                <w:szCs w:val="17"/>
              </w:rPr>
              <w:t>W</w:t>
            </w:r>
            <w:r w:rsidR="006A301E">
              <w:rPr>
                <w:b/>
                <w:bCs/>
                <w:color w:val="1F497D" w:themeColor="text2"/>
                <w:sz w:val="17"/>
                <w:szCs w:val="17"/>
              </w:rPr>
              <w:t xml:space="preserve">ay forward: </w:t>
            </w:r>
            <w:r w:rsidR="007505FA">
              <w:rPr>
                <w:color w:val="1F497D" w:themeColor="text2"/>
                <w:sz w:val="17"/>
                <w:szCs w:val="17"/>
              </w:rPr>
              <w:t xml:space="preserve"> </w:t>
            </w:r>
            <w:r w:rsidR="007C4796">
              <w:rPr>
                <w:color w:val="1F497D" w:themeColor="text2"/>
                <w:sz w:val="17"/>
                <w:szCs w:val="17"/>
              </w:rPr>
              <w:t xml:space="preserve"> Improvements needed to correctly </w:t>
            </w:r>
            <w:r w:rsidR="00A76B5F">
              <w:rPr>
                <w:color w:val="1F497D" w:themeColor="text2"/>
                <w:sz w:val="17"/>
                <w:szCs w:val="17"/>
              </w:rPr>
              <w:t xml:space="preserve">and </w:t>
            </w:r>
            <w:r w:rsidR="006B1081">
              <w:rPr>
                <w:color w:val="1F497D" w:themeColor="text2"/>
                <w:sz w:val="17"/>
                <w:szCs w:val="17"/>
              </w:rPr>
              <w:t xml:space="preserve">effectively solve </w:t>
            </w:r>
            <w:r w:rsidR="008167A3">
              <w:rPr>
                <w:color w:val="1F497D" w:themeColor="text2"/>
                <w:sz w:val="17"/>
                <w:szCs w:val="17"/>
              </w:rPr>
              <w:t xml:space="preserve">the </w:t>
            </w:r>
            <w:r w:rsidR="00A00C21">
              <w:rPr>
                <w:color w:val="1F497D" w:themeColor="text2"/>
                <w:sz w:val="17"/>
                <w:szCs w:val="17"/>
              </w:rPr>
              <w:t>trigger inversion and the double counting issues</w:t>
            </w:r>
            <w:r w:rsidR="006A301E" w:rsidRPr="00F15250">
              <w:rPr>
                <w:color w:val="1F497D" w:themeColor="text2"/>
                <w:sz w:val="17"/>
                <w:szCs w:val="17"/>
              </w:rPr>
              <w:t>.</w:t>
            </w:r>
            <w:r w:rsidR="006A301E">
              <w:rPr>
                <w:b/>
                <w:bCs/>
                <w:color w:val="1F497D" w:themeColor="text2"/>
                <w:sz w:val="17"/>
                <w:szCs w:val="17"/>
              </w:rPr>
              <w:t xml:space="preserve"> </w:t>
            </w:r>
            <w:r w:rsidR="00AE3155" w:rsidRPr="00B34D7A">
              <w:rPr>
                <w:color w:val="1F497D" w:themeColor="text2"/>
                <w:sz w:val="17"/>
                <w:szCs w:val="17"/>
              </w:rPr>
              <w:t xml:space="preserve">(IE </w:t>
            </w:r>
            <w:r w:rsidR="004828F8">
              <w:rPr>
                <w:color w:val="1F497D" w:themeColor="text2"/>
                <w:sz w:val="17"/>
                <w:szCs w:val="17"/>
              </w:rPr>
              <w:t>working towards</w:t>
            </w:r>
            <w:r w:rsidR="00B34D7A" w:rsidRPr="00B34D7A">
              <w:rPr>
                <w:color w:val="1F497D" w:themeColor="text2"/>
                <w:sz w:val="17"/>
                <w:szCs w:val="17"/>
              </w:rPr>
              <w:t xml:space="preserve"> clear joint industry solution</w:t>
            </w:r>
            <w:r w:rsidR="00B34D7A">
              <w:rPr>
                <w:color w:val="1F497D" w:themeColor="text2"/>
                <w:sz w:val="17"/>
                <w:szCs w:val="17"/>
              </w:rPr>
              <w:t xml:space="preserve"> to </w:t>
            </w:r>
            <w:r w:rsidR="004828F8">
              <w:rPr>
                <w:color w:val="1F497D" w:themeColor="text2"/>
                <w:sz w:val="17"/>
                <w:szCs w:val="17"/>
              </w:rPr>
              <w:t>propose</w:t>
            </w:r>
            <w:r w:rsidR="00EB0495">
              <w:rPr>
                <w:color w:val="1F497D" w:themeColor="text2"/>
                <w:sz w:val="17"/>
                <w:szCs w:val="17"/>
              </w:rPr>
              <w:t>)</w:t>
            </w:r>
            <w:r w:rsidR="00DC6D83">
              <w:rPr>
                <w:color w:val="1F497D" w:themeColor="text2"/>
                <w:sz w:val="17"/>
                <w:szCs w:val="17"/>
              </w:rPr>
              <w:t>.</w:t>
            </w:r>
          </w:p>
        </w:tc>
      </w:tr>
      <w:tr w:rsidR="00AB514A" w14:paraId="3B119050" w14:textId="77777777" w:rsidTr="00F20F0D">
        <w:trPr>
          <w:trHeight w:val="1289"/>
        </w:trPr>
        <w:tc>
          <w:tcPr>
            <w:tcW w:w="1451" w:type="dxa"/>
            <w:vMerge/>
          </w:tcPr>
          <w:p w14:paraId="4AC6DAE6" w14:textId="77777777" w:rsidR="00AB514A" w:rsidRDefault="00AB514A" w:rsidP="00121913">
            <w:pPr>
              <w:spacing w:after="200" w:line="276" w:lineRule="auto"/>
              <w:rPr>
                <w:sz w:val="17"/>
                <w:szCs w:val="17"/>
              </w:rPr>
            </w:pPr>
          </w:p>
        </w:tc>
        <w:tc>
          <w:tcPr>
            <w:tcW w:w="1871" w:type="dxa"/>
            <w:gridSpan w:val="2"/>
          </w:tcPr>
          <w:p w14:paraId="49C8954D" w14:textId="77777777" w:rsidR="00AB514A" w:rsidRPr="00BD5AF9" w:rsidRDefault="00AB514A" w:rsidP="00121913">
            <w:pPr>
              <w:pStyle w:val="Default"/>
              <w:rPr>
                <w:b/>
                <w:bCs/>
                <w:color w:val="FF0000"/>
                <w:sz w:val="17"/>
                <w:szCs w:val="17"/>
              </w:rPr>
            </w:pPr>
            <w:r w:rsidRPr="00B50875">
              <w:rPr>
                <w:b/>
                <w:bCs/>
                <w:color w:val="FF0000"/>
                <w:sz w:val="17"/>
                <w:szCs w:val="17"/>
              </w:rPr>
              <w:t>[Negative]</w:t>
            </w:r>
            <w:r>
              <w:rPr>
                <w:b/>
                <w:bCs/>
                <w:color w:val="00B050"/>
                <w:sz w:val="17"/>
                <w:szCs w:val="17"/>
              </w:rPr>
              <w:t xml:space="preserve"> </w:t>
            </w:r>
            <w:r w:rsidRPr="00B50875">
              <w:rPr>
                <w:color w:val="auto"/>
                <w:sz w:val="17"/>
                <w:szCs w:val="17"/>
              </w:rPr>
              <w:t>Group floor</w:t>
            </w:r>
            <w:r>
              <w:rPr>
                <w:color w:val="auto"/>
                <w:sz w:val="17"/>
                <w:szCs w:val="17"/>
              </w:rPr>
              <w:t>, including double counting of participations,</w:t>
            </w:r>
            <w:r w:rsidRPr="00B50875">
              <w:rPr>
                <w:color w:val="auto"/>
                <w:sz w:val="17"/>
                <w:szCs w:val="17"/>
              </w:rPr>
              <w:t xml:space="preserve"> is maintained and extended </w:t>
            </w:r>
            <w:r>
              <w:rPr>
                <w:color w:val="auto"/>
                <w:sz w:val="17"/>
                <w:szCs w:val="17"/>
              </w:rPr>
              <w:t xml:space="preserve">in L1 </w:t>
            </w:r>
            <w:r w:rsidRPr="00B50875">
              <w:rPr>
                <w:color w:val="auto"/>
                <w:sz w:val="17"/>
                <w:szCs w:val="17"/>
              </w:rPr>
              <w:t xml:space="preserve">to </w:t>
            </w:r>
            <w:r>
              <w:rPr>
                <w:color w:val="auto"/>
                <w:sz w:val="17"/>
                <w:szCs w:val="17"/>
              </w:rPr>
              <w:t xml:space="preserve">non-EEA subsidiaries and </w:t>
            </w:r>
            <w:r w:rsidRPr="00B50875">
              <w:rPr>
                <w:color w:val="auto"/>
                <w:sz w:val="17"/>
                <w:szCs w:val="17"/>
              </w:rPr>
              <w:t>holding companies with notional MCR =35% SCR</w:t>
            </w:r>
          </w:p>
        </w:tc>
        <w:tc>
          <w:tcPr>
            <w:tcW w:w="2065" w:type="dxa"/>
          </w:tcPr>
          <w:p w14:paraId="2F148C75" w14:textId="77777777" w:rsidR="00AB514A" w:rsidRPr="00BD5AF9" w:rsidRDefault="00AB514A" w:rsidP="00121913">
            <w:pPr>
              <w:pStyle w:val="Default"/>
              <w:rPr>
                <w:b/>
                <w:bCs/>
                <w:color w:val="FF0000"/>
                <w:sz w:val="17"/>
                <w:szCs w:val="17"/>
              </w:rPr>
            </w:pPr>
            <w:r w:rsidRPr="00B50875">
              <w:rPr>
                <w:b/>
                <w:bCs/>
                <w:color w:val="FF0000"/>
                <w:sz w:val="17"/>
                <w:szCs w:val="17"/>
              </w:rPr>
              <w:t xml:space="preserve">[Negative] </w:t>
            </w:r>
            <w:r w:rsidRPr="00B50875">
              <w:rPr>
                <w:color w:val="auto"/>
                <w:sz w:val="17"/>
                <w:szCs w:val="17"/>
              </w:rPr>
              <w:t>Group floor is maintained and extended</w:t>
            </w:r>
            <w:r>
              <w:rPr>
                <w:color w:val="auto"/>
                <w:sz w:val="17"/>
                <w:szCs w:val="17"/>
              </w:rPr>
              <w:t xml:space="preserve"> in L1</w:t>
            </w:r>
            <w:r w:rsidRPr="00B50875">
              <w:rPr>
                <w:color w:val="auto"/>
                <w:sz w:val="17"/>
                <w:szCs w:val="17"/>
              </w:rPr>
              <w:t xml:space="preserve"> to </w:t>
            </w:r>
            <w:r>
              <w:rPr>
                <w:color w:val="auto"/>
                <w:sz w:val="17"/>
                <w:szCs w:val="17"/>
              </w:rPr>
              <w:t xml:space="preserve">non-EEA subsidiaries and </w:t>
            </w:r>
            <w:r w:rsidRPr="00B50875">
              <w:rPr>
                <w:color w:val="auto"/>
                <w:sz w:val="17"/>
                <w:szCs w:val="17"/>
              </w:rPr>
              <w:t>holding companies with notional MCR =35% SCR</w:t>
            </w:r>
            <w:r>
              <w:rPr>
                <w:color w:val="auto"/>
                <w:sz w:val="17"/>
                <w:szCs w:val="17"/>
              </w:rPr>
              <w:t>.</w:t>
            </w:r>
            <w:r w:rsidRPr="00B50875">
              <w:rPr>
                <w:color w:val="auto"/>
                <w:sz w:val="17"/>
                <w:szCs w:val="17"/>
              </w:rPr>
              <w:t xml:space="preserve"> Double-counting of participations is not removed.</w:t>
            </w:r>
          </w:p>
        </w:tc>
        <w:tc>
          <w:tcPr>
            <w:tcW w:w="4111" w:type="dxa"/>
          </w:tcPr>
          <w:p w14:paraId="59CB75EB" w14:textId="60DE339E" w:rsidR="00AB514A" w:rsidRDefault="00AB514A">
            <w:pPr>
              <w:spacing w:after="200" w:line="276" w:lineRule="auto"/>
              <w:rPr>
                <w:b/>
                <w:bCs/>
                <w:color w:val="00B050"/>
                <w:szCs w:val="17"/>
              </w:rPr>
            </w:pPr>
            <w:r w:rsidRPr="00BD5AF9">
              <w:rPr>
                <w:b/>
                <w:bCs/>
                <w:color w:val="00B050"/>
                <w:sz w:val="17"/>
                <w:szCs w:val="17"/>
              </w:rPr>
              <w:t>[Positive]</w:t>
            </w:r>
            <w:r w:rsidRPr="00BD5AF9">
              <w:rPr>
                <w:b/>
                <w:bCs/>
                <w:color w:val="00B050"/>
                <w:szCs w:val="17"/>
              </w:rPr>
              <w:t xml:space="preserve"> </w:t>
            </w:r>
            <w:r>
              <w:rPr>
                <w:sz w:val="17"/>
                <w:szCs w:val="17"/>
              </w:rPr>
              <w:t>The Presidency has recognised the issue of double counting in the group floor and proposes to remove the inclusion of notional MCR for holding companies in the group floor calculation.</w:t>
            </w:r>
          </w:p>
          <w:p w14:paraId="779A3C25" w14:textId="0AA1323A" w:rsidR="00AB514A" w:rsidRPr="00007E51" w:rsidRDefault="00AB514A" w:rsidP="00121913">
            <w:pPr>
              <w:spacing w:after="200" w:line="276" w:lineRule="auto"/>
              <w:rPr>
                <w:color w:val="FF0000"/>
                <w:sz w:val="17"/>
                <w:szCs w:val="17"/>
              </w:rPr>
            </w:pPr>
            <w:r w:rsidRPr="00F15250">
              <w:rPr>
                <w:b/>
                <w:bCs/>
                <w:color w:val="FF0000"/>
                <w:sz w:val="17"/>
                <w:szCs w:val="17"/>
              </w:rPr>
              <w:t>[</w:t>
            </w:r>
            <w:r w:rsidRPr="00883389">
              <w:rPr>
                <w:b/>
                <w:bCs/>
                <w:color w:val="FF0000"/>
                <w:sz w:val="17"/>
                <w:szCs w:val="17"/>
              </w:rPr>
              <w:t>Negative</w:t>
            </w:r>
            <w:r w:rsidRPr="00F15250">
              <w:rPr>
                <w:b/>
                <w:bCs/>
                <w:color w:val="FF0000"/>
                <w:sz w:val="17"/>
                <w:szCs w:val="17"/>
              </w:rPr>
              <w:t>]</w:t>
            </w:r>
            <w:r>
              <w:rPr>
                <w:b/>
                <w:bCs/>
                <w:sz w:val="17"/>
                <w:szCs w:val="17"/>
              </w:rPr>
              <w:t xml:space="preserve"> </w:t>
            </w:r>
            <w:r>
              <w:rPr>
                <w:sz w:val="17"/>
                <w:szCs w:val="17"/>
              </w:rPr>
              <w:t>However, the extension of the group floor to non-EEA subsidiaries is maintained and with it the risk of double counting their risks when they are already accounted for at the level of the EEA participating undertakings</w:t>
            </w:r>
          </w:p>
        </w:tc>
        <w:tc>
          <w:tcPr>
            <w:tcW w:w="2835" w:type="dxa"/>
          </w:tcPr>
          <w:p w14:paraId="148E40E7" w14:textId="77777777" w:rsidR="00AB514A" w:rsidRDefault="00AB514A" w:rsidP="00121913">
            <w:pPr>
              <w:spacing w:after="200" w:line="276" w:lineRule="auto"/>
              <w:rPr>
                <w:sz w:val="17"/>
                <w:szCs w:val="17"/>
              </w:rPr>
            </w:pPr>
          </w:p>
        </w:tc>
        <w:tc>
          <w:tcPr>
            <w:tcW w:w="2835" w:type="dxa"/>
            <w:vMerge/>
          </w:tcPr>
          <w:p w14:paraId="73025205" w14:textId="20E5377C" w:rsidR="00AB514A" w:rsidRDefault="00AB514A" w:rsidP="00121913">
            <w:pPr>
              <w:spacing w:after="200" w:line="276" w:lineRule="auto"/>
              <w:rPr>
                <w:sz w:val="17"/>
                <w:szCs w:val="17"/>
              </w:rPr>
            </w:pPr>
          </w:p>
        </w:tc>
      </w:tr>
      <w:tr w:rsidR="00AB514A" w14:paraId="7AC24C81" w14:textId="77777777" w:rsidTr="00F20F0D">
        <w:trPr>
          <w:trHeight w:val="1289"/>
        </w:trPr>
        <w:tc>
          <w:tcPr>
            <w:tcW w:w="1451" w:type="dxa"/>
            <w:vMerge/>
          </w:tcPr>
          <w:p w14:paraId="2BDA28B4" w14:textId="77777777" w:rsidR="00AB514A" w:rsidRDefault="00AB514A" w:rsidP="00121913">
            <w:pPr>
              <w:spacing w:after="200" w:line="276" w:lineRule="auto"/>
              <w:rPr>
                <w:sz w:val="17"/>
                <w:szCs w:val="17"/>
              </w:rPr>
            </w:pPr>
          </w:p>
        </w:tc>
        <w:tc>
          <w:tcPr>
            <w:tcW w:w="1871" w:type="dxa"/>
            <w:gridSpan w:val="2"/>
          </w:tcPr>
          <w:p w14:paraId="6B583A7C" w14:textId="77777777" w:rsidR="00AB514A" w:rsidRDefault="00AB514A" w:rsidP="00121913">
            <w:pPr>
              <w:pStyle w:val="Default"/>
              <w:rPr>
                <w:sz w:val="17"/>
                <w:szCs w:val="17"/>
              </w:rPr>
            </w:pPr>
            <w:r w:rsidRPr="00BD5AF9">
              <w:rPr>
                <w:b/>
                <w:bCs/>
                <w:color w:val="FF0000"/>
                <w:sz w:val="17"/>
                <w:szCs w:val="17"/>
              </w:rPr>
              <w:t>[Negative]</w:t>
            </w:r>
            <w:r>
              <w:rPr>
                <w:b/>
                <w:bCs/>
                <w:color w:val="FF0000"/>
                <w:szCs w:val="17"/>
              </w:rPr>
              <w:t xml:space="preserve"> </w:t>
            </w:r>
            <w:r w:rsidRPr="00750ECB">
              <w:rPr>
                <w:sz w:val="17"/>
                <w:szCs w:val="17"/>
              </w:rPr>
              <w:t>Availability assessment of (sub-)</w:t>
            </w:r>
            <w:r>
              <w:rPr>
                <w:sz w:val="17"/>
                <w:szCs w:val="17"/>
              </w:rPr>
              <w:t xml:space="preserve"> </w:t>
            </w:r>
            <w:r w:rsidRPr="00750ECB">
              <w:rPr>
                <w:sz w:val="17"/>
                <w:szCs w:val="17"/>
              </w:rPr>
              <w:t>group EPIFP</w:t>
            </w:r>
          </w:p>
        </w:tc>
        <w:tc>
          <w:tcPr>
            <w:tcW w:w="2065" w:type="dxa"/>
          </w:tcPr>
          <w:p w14:paraId="32C8909F" w14:textId="77777777" w:rsidR="00AB514A" w:rsidRDefault="00AB514A" w:rsidP="00121913">
            <w:pPr>
              <w:pStyle w:val="Default"/>
              <w:rPr>
                <w:sz w:val="17"/>
                <w:szCs w:val="17"/>
              </w:rPr>
            </w:pPr>
            <w:r w:rsidRPr="00BD5AF9">
              <w:rPr>
                <w:b/>
                <w:bCs/>
                <w:color w:val="FF0000"/>
                <w:sz w:val="17"/>
                <w:szCs w:val="17"/>
              </w:rPr>
              <w:t>[Negative]</w:t>
            </w:r>
            <w:r>
              <w:rPr>
                <w:b/>
                <w:bCs/>
                <w:color w:val="FF0000"/>
                <w:szCs w:val="17"/>
              </w:rPr>
              <w:t xml:space="preserve"> </w:t>
            </w:r>
            <w:r w:rsidRPr="00750ECB">
              <w:rPr>
                <w:sz w:val="17"/>
                <w:szCs w:val="17"/>
              </w:rPr>
              <w:t xml:space="preserve">EPIFP expected to be restricted as per EIOPA’s proposal </w:t>
            </w:r>
            <w:r w:rsidRPr="00750ECB">
              <w:rPr>
                <w:i/>
                <w:iCs/>
                <w:sz w:val="17"/>
                <w:szCs w:val="17"/>
              </w:rPr>
              <w:t>(exact wording tbc in draft level 2 amendments)</w:t>
            </w:r>
          </w:p>
        </w:tc>
        <w:tc>
          <w:tcPr>
            <w:tcW w:w="4111" w:type="dxa"/>
          </w:tcPr>
          <w:p w14:paraId="5360FB0D" w14:textId="77777777" w:rsidR="00AB514A" w:rsidRDefault="00AB514A" w:rsidP="00121913">
            <w:pPr>
              <w:spacing w:after="200" w:line="276" w:lineRule="auto"/>
              <w:rPr>
                <w:sz w:val="17"/>
                <w:szCs w:val="17"/>
              </w:rPr>
            </w:pPr>
            <w:r w:rsidRPr="00BD5AF9">
              <w:rPr>
                <w:b/>
                <w:bCs/>
                <w:color w:val="FF0000"/>
                <w:sz w:val="17"/>
                <w:szCs w:val="17"/>
              </w:rPr>
              <w:t>[Negative]</w:t>
            </w:r>
            <w:r>
              <w:rPr>
                <w:b/>
                <w:bCs/>
                <w:color w:val="FF0000"/>
                <w:szCs w:val="17"/>
              </w:rPr>
              <w:t xml:space="preserve"> </w:t>
            </w:r>
            <w:r>
              <w:rPr>
                <w:sz w:val="17"/>
                <w:szCs w:val="17"/>
              </w:rPr>
              <w:t xml:space="preserve">Level 2 issue, expected to be proposed as part of Level 2. </w:t>
            </w:r>
          </w:p>
        </w:tc>
        <w:tc>
          <w:tcPr>
            <w:tcW w:w="2835" w:type="dxa"/>
          </w:tcPr>
          <w:p w14:paraId="0166E743" w14:textId="77777777" w:rsidR="00AB514A" w:rsidRDefault="00AB514A" w:rsidP="00121913">
            <w:pPr>
              <w:spacing w:after="200" w:line="276" w:lineRule="auto"/>
              <w:rPr>
                <w:sz w:val="17"/>
                <w:szCs w:val="17"/>
              </w:rPr>
            </w:pPr>
          </w:p>
        </w:tc>
        <w:tc>
          <w:tcPr>
            <w:tcW w:w="2835" w:type="dxa"/>
            <w:vMerge/>
          </w:tcPr>
          <w:p w14:paraId="4A8C1304" w14:textId="5DB8461E" w:rsidR="00AB514A" w:rsidRDefault="00AB514A" w:rsidP="00121913">
            <w:pPr>
              <w:spacing w:after="200" w:line="276" w:lineRule="auto"/>
              <w:rPr>
                <w:sz w:val="17"/>
                <w:szCs w:val="17"/>
              </w:rPr>
            </w:pPr>
          </w:p>
        </w:tc>
      </w:tr>
      <w:tr w:rsidR="00AB514A" w14:paraId="0AEC2B1B" w14:textId="77777777" w:rsidTr="00F20F0D">
        <w:trPr>
          <w:trHeight w:val="2041"/>
        </w:trPr>
        <w:tc>
          <w:tcPr>
            <w:tcW w:w="1451" w:type="dxa"/>
            <w:vMerge/>
          </w:tcPr>
          <w:p w14:paraId="0AFDD8B8" w14:textId="77777777" w:rsidR="00AB514A" w:rsidRDefault="00AB514A" w:rsidP="00121913">
            <w:pPr>
              <w:spacing w:after="200" w:line="276" w:lineRule="auto"/>
              <w:rPr>
                <w:sz w:val="17"/>
                <w:szCs w:val="17"/>
              </w:rPr>
            </w:pPr>
          </w:p>
        </w:tc>
        <w:tc>
          <w:tcPr>
            <w:tcW w:w="1871" w:type="dxa"/>
            <w:gridSpan w:val="2"/>
          </w:tcPr>
          <w:p w14:paraId="476FB507" w14:textId="77777777" w:rsidR="00AB514A" w:rsidRPr="00750ECB" w:rsidRDefault="00AB514A" w:rsidP="00121913">
            <w:pPr>
              <w:pStyle w:val="Default"/>
              <w:rPr>
                <w:sz w:val="17"/>
                <w:szCs w:val="17"/>
              </w:rPr>
            </w:pPr>
            <w:r w:rsidRPr="00BD5AF9">
              <w:rPr>
                <w:b/>
                <w:bCs/>
                <w:color w:val="FF0000"/>
                <w:sz w:val="17"/>
                <w:szCs w:val="17"/>
              </w:rPr>
              <w:t>[Negative]</w:t>
            </w:r>
            <w:r>
              <w:rPr>
                <w:b/>
                <w:bCs/>
                <w:color w:val="FF0000"/>
                <w:szCs w:val="17"/>
              </w:rPr>
              <w:t xml:space="preserve"> </w:t>
            </w:r>
            <w:r w:rsidRPr="00750ECB">
              <w:rPr>
                <w:sz w:val="17"/>
                <w:szCs w:val="17"/>
              </w:rPr>
              <w:t>Various other changes in this area with potential unintended consequences</w:t>
            </w:r>
          </w:p>
          <w:p w14:paraId="2380B180" w14:textId="77777777" w:rsidR="00AB514A" w:rsidRDefault="00AB514A" w:rsidP="00121913">
            <w:pPr>
              <w:spacing w:after="200" w:line="276" w:lineRule="auto"/>
              <w:rPr>
                <w:sz w:val="17"/>
                <w:szCs w:val="17"/>
              </w:rPr>
            </w:pPr>
          </w:p>
        </w:tc>
        <w:tc>
          <w:tcPr>
            <w:tcW w:w="2065" w:type="dxa"/>
          </w:tcPr>
          <w:p w14:paraId="1B263AD1" w14:textId="77777777" w:rsidR="00AB514A" w:rsidRPr="00750ECB" w:rsidRDefault="00AB514A" w:rsidP="00121913">
            <w:pPr>
              <w:pStyle w:val="Default"/>
              <w:rPr>
                <w:sz w:val="17"/>
                <w:szCs w:val="17"/>
              </w:rPr>
            </w:pPr>
            <w:r w:rsidRPr="00BD5AF9">
              <w:rPr>
                <w:b/>
                <w:bCs/>
                <w:color w:val="FF0000"/>
                <w:sz w:val="17"/>
                <w:szCs w:val="17"/>
              </w:rPr>
              <w:t>[Negative]</w:t>
            </w:r>
            <w:r>
              <w:rPr>
                <w:b/>
                <w:bCs/>
                <w:color w:val="FF0000"/>
                <w:szCs w:val="17"/>
              </w:rPr>
              <w:t xml:space="preserve"> </w:t>
            </w:r>
            <w:r w:rsidRPr="00750ECB">
              <w:rPr>
                <w:sz w:val="17"/>
                <w:szCs w:val="17"/>
              </w:rPr>
              <w:t>Various proposals on group supervision covering eg</w:t>
            </w:r>
            <w:r>
              <w:rPr>
                <w:sz w:val="17"/>
                <w:szCs w:val="17"/>
              </w:rPr>
              <w:t xml:space="preserve"> </w:t>
            </w:r>
            <w:r w:rsidRPr="00750ECB">
              <w:rPr>
                <w:sz w:val="17"/>
                <w:szCs w:val="17"/>
              </w:rPr>
              <w:t>requirements at Group level, incl. MCR/SCR calculations for Holdings, D&amp;A, continuation of group SCR floor, etc.</w:t>
            </w:r>
          </w:p>
          <w:p w14:paraId="24AB2A10" w14:textId="77777777" w:rsidR="00AB514A" w:rsidRDefault="00AB514A" w:rsidP="00121913">
            <w:pPr>
              <w:spacing w:after="200" w:line="276" w:lineRule="auto"/>
              <w:rPr>
                <w:sz w:val="17"/>
                <w:szCs w:val="17"/>
              </w:rPr>
            </w:pPr>
          </w:p>
        </w:tc>
        <w:tc>
          <w:tcPr>
            <w:tcW w:w="4111" w:type="dxa"/>
          </w:tcPr>
          <w:p w14:paraId="6EE4A69E" w14:textId="1F958ABA" w:rsidR="00AB514A" w:rsidRDefault="00AB514A" w:rsidP="00121913">
            <w:pPr>
              <w:spacing w:after="200" w:line="276" w:lineRule="auto"/>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Pr="00E75739">
              <w:rPr>
                <w:sz w:val="17"/>
                <w:szCs w:val="17"/>
              </w:rPr>
              <w:t>Some further changes are proposed compared to EC proposals, such as changed definition for IHC</w:t>
            </w:r>
            <w:r>
              <w:rPr>
                <w:sz w:val="17"/>
                <w:szCs w:val="17"/>
              </w:rPr>
              <w:t>, the French Presidency, again, proposes further changes to this definition in the second proposal (Art. 212)</w:t>
            </w:r>
            <w:r w:rsidRPr="00E75739">
              <w:rPr>
                <w:sz w:val="17"/>
                <w:szCs w:val="17"/>
              </w:rPr>
              <w:t xml:space="preserve">, </w:t>
            </w:r>
            <w:r w:rsidRPr="00765D77">
              <w:rPr>
                <w:sz w:val="17"/>
                <w:szCs w:val="17"/>
              </w:rPr>
              <w:t>introduction of a threshold below which the availability assessment for own fund items of related undertakings from other financial sectors does not need to be performed</w:t>
            </w:r>
            <w:r w:rsidRPr="00E75739">
              <w:rPr>
                <w:sz w:val="17"/>
                <w:szCs w:val="17"/>
              </w:rPr>
              <w:t>; impact for members can be quite diverse on these changed proposals.</w:t>
            </w:r>
            <w:r>
              <w:rPr>
                <w:sz w:val="17"/>
                <w:szCs w:val="17"/>
              </w:rPr>
              <w:t xml:space="preserve"> </w:t>
            </w:r>
          </w:p>
          <w:p w14:paraId="55795BE3" w14:textId="7482B9FF" w:rsidR="00AB514A" w:rsidRDefault="00AB514A" w:rsidP="00121913">
            <w:pPr>
              <w:spacing w:after="200" w:line="276" w:lineRule="auto"/>
              <w:rPr>
                <w:sz w:val="17"/>
                <w:szCs w:val="17"/>
              </w:rPr>
            </w:pPr>
            <w:r>
              <w:rPr>
                <w:sz w:val="17"/>
                <w:szCs w:val="17"/>
              </w:rPr>
              <w:t>EIOPA is requested to prepare RTSs specifying factors to be considered by NSAs when identifying a relationship between undertakings that could form part of a group. (Recital 82c)</w:t>
            </w:r>
          </w:p>
        </w:tc>
        <w:tc>
          <w:tcPr>
            <w:tcW w:w="2835" w:type="dxa"/>
          </w:tcPr>
          <w:p w14:paraId="4FC61772" w14:textId="4EE6CD48" w:rsidR="0051146C" w:rsidRDefault="0051146C" w:rsidP="0051146C">
            <w:pPr>
              <w:spacing w:after="200" w:line="276" w:lineRule="auto"/>
              <w:rPr>
                <w:b/>
                <w:bCs/>
                <w:color w:val="00B050"/>
                <w:sz w:val="17"/>
                <w:szCs w:val="17"/>
              </w:rPr>
            </w:pPr>
            <w:r w:rsidRPr="00BD5AF9">
              <w:rPr>
                <w:b/>
                <w:bCs/>
                <w:color w:val="00B050"/>
                <w:sz w:val="17"/>
                <w:szCs w:val="17"/>
              </w:rPr>
              <w:t>[Positive]</w:t>
            </w:r>
            <w:r w:rsidR="00745FE1">
              <w:rPr>
                <w:sz w:val="17"/>
                <w:szCs w:val="17"/>
              </w:rPr>
              <w:t xml:space="preserve">The EP draft report </w:t>
            </w:r>
            <w:r w:rsidR="00A36A08">
              <w:rPr>
                <w:sz w:val="17"/>
                <w:szCs w:val="17"/>
              </w:rPr>
              <w:t xml:space="preserve">removes </w:t>
            </w:r>
            <w:r w:rsidR="0034543B">
              <w:rPr>
                <w:sz w:val="17"/>
                <w:szCs w:val="17"/>
              </w:rPr>
              <w:t xml:space="preserve">IORPS from the amendments regarding </w:t>
            </w:r>
            <w:r w:rsidR="008D7C47">
              <w:rPr>
                <w:sz w:val="17"/>
                <w:szCs w:val="17"/>
              </w:rPr>
              <w:t>other financial sectors</w:t>
            </w:r>
            <w:r w:rsidR="0095512C">
              <w:rPr>
                <w:sz w:val="17"/>
                <w:szCs w:val="17"/>
              </w:rPr>
              <w:t xml:space="preserve">, </w:t>
            </w:r>
            <w:r w:rsidR="00BB6130">
              <w:rPr>
                <w:sz w:val="17"/>
                <w:szCs w:val="17"/>
              </w:rPr>
              <w:t xml:space="preserve">the extension of the scope </w:t>
            </w:r>
            <w:r w:rsidR="00774DEE">
              <w:rPr>
                <w:sz w:val="17"/>
                <w:szCs w:val="17"/>
              </w:rPr>
              <w:t xml:space="preserve">to include holding companies and </w:t>
            </w:r>
            <w:r w:rsidR="005933B7">
              <w:rPr>
                <w:sz w:val="17"/>
                <w:szCs w:val="17"/>
              </w:rPr>
              <w:t xml:space="preserve">horizontal groups is </w:t>
            </w:r>
            <w:r w:rsidR="009D78EF">
              <w:rPr>
                <w:sz w:val="17"/>
                <w:szCs w:val="17"/>
              </w:rPr>
              <w:t xml:space="preserve">taken out and it </w:t>
            </w:r>
            <w:r w:rsidR="0095512C">
              <w:rPr>
                <w:sz w:val="17"/>
                <w:szCs w:val="17"/>
              </w:rPr>
              <w:t xml:space="preserve">removes the possibility for NSAs to ask for the restructuring of </w:t>
            </w:r>
            <w:r w:rsidR="002B52FE">
              <w:rPr>
                <w:sz w:val="17"/>
                <w:szCs w:val="17"/>
              </w:rPr>
              <w:t>groups</w:t>
            </w:r>
            <w:r w:rsidR="00977615">
              <w:rPr>
                <w:sz w:val="17"/>
                <w:szCs w:val="17"/>
              </w:rPr>
              <w:t xml:space="preserve">. The report also notes that </w:t>
            </w:r>
            <w:r w:rsidR="00D6115A">
              <w:rPr>
                <w:sz w:val="17"/>
                <w:szCs w:val="17"/>
              </w:rPr>
              <w:t>FICOD would be more appropriate to deal with several of the changes proposed by the EC.</w:t>
            </w:r>
          </w:p>
          <w:p w14:paraId="5FC73033" w14:textId="307C48FB" w:rsidR="00AB514A" w:rsidRDefault="0051146C" w:rsidP="0051146C">
            <w:pPr>
              <w:pStyle w:val="CEABullet-Level1"/>
            </w:pPr>
            <w:r>
              <w:t>Recital 6</w:t>
            </w:r>
            <w:r w:rsidR="00130619">
              <w:t xml:space="preserve">2 removed, </w:t>
            </w:r>
            <w:r w:rsidR="00AB32BB">
              <w:t xml:space="preserve">power to </w:t>
            </w:r>
            <w:r w:rsidR="00C134D5">
              <w:t>require changes to internal group arrangements</w:t>
            </w:r>
            <w:r w:rsidR="00834D9A">
              <w:t xml:space="preserve"> (A20)</w:t>
            </w:r>
          </w:p>
          <w:p w14:paraId="3E752163" w14:textId="57A46C73" w:rsidR="00211B19" w:rsidRDefault="00211B19" w:rsidP="0051146C">
            <w:pPr>
              <w:pStyle w:val="CEABullet-Level1"/>
            </w:pPr>
            <w:r>
              <w:t>Art 13 (1</w:t>
            </w:r>
            <w:r w:rsidR="00063133">
              <w:t xml:space="preserve">) definition </w:t>
            </w:r>
            <w:r w:rsidR="002228D9">
              <w:t>of “</w:t>
            </w:r>
            <w:r w:rsidR="00063133">
              <w:t xml:space="preserve">regulated </w:t>
            </w:r>
            <w:r w:rsidR="009B2FB0">
              <w:t>undertaking</w:t>
            </w:r>
            <w:r w:rsidR="002228D9">
              <w:t>”</w:t>
            </w:r>
            <w:r w:rsidR="00063133">
              <w:t xml:space="preserve"> is removed</w:t>
            </w:r>
            <w:r w:rsidR="001210D6">
              <w:t xml:space="preserve"> (A31)</w:t>
            </w:r>
          </w:p>
          <w:p w14:paraId="20AC6813" w14:textId="77777777" w:rsidR="00063133" w:rsidRDefault="002946F6" w:rsidP="0051146C">
            <w:pPr>
              <w:pStyle w:val="CEABullet-Level1"/>
            </w:pPr>
            <w:r>
              <w:t xml:space="preserve">Parent undertaking </w:t>
            </w:r>
            <w:r w:rsidR="00F10725">
              <w:t xml:space="preserve">exercises influence through </w:t>
            </w:r>
            <w:r w:rsidR="00D45650">
              <w:t xml:space="preserve">coordination and </w:t>
            </w:r>
            <w:r w:rsidR="00D45650" w:rsidRPr="00D45650">
              <w:rPr>
                <w:u w:val="single"/>
              </w:rPr>
              <w:t>control</w:t>
            </w:r>
            <w:r w:rsidR="00D45650">
              <w:t xml:space="preserve"> (Art 212(2)/A167)</w:t>
            </w:r>
          </w:p>
          <w:p w14:paraId="0F69DC27" w14:textId="77777777" w:rsidR="004C549B" w:rsidRDefault="00366C11" w:rsidP="0051146C">
            <w:pPr>
              <w:pStyle w:val="CEABullet-Level1"/>
            </w:pPr>
            <w:r>
              <w:t xml:space="preserve">Right for NSAs to ask for </w:t>
            </w:r>
            <w:r w:rsidR="00022AC4">
              <w:t>a change in internal arrangements is removed. (</w:t>
            </w:r>
            <w:r w:rsidR="004C549B">
              <w:t xml:space="preserve">Art </w:t>
            </w:r>
            <w:r w:rsidR="004A35E5">
              <w:t>213 (3b)/A170</w:t>
            </w:r>
            <w:r w:rsidR="00022AC4">
              <w:t>)</w:t>
            </w:r>
          </w:p>
          <w:p w14:paraId="67C62F21" w14:textId="77777777" w:rsidR="007E4374" w:rsidRDefault="00CB3638" w:rsidP="0051146C">
            <w:pPr>
              <w:pStyle w:val="CEABullet-Level1"/>
            </w:pPr>
            <w:r>
              <w:t>(Art 214(1)</w:t>
            </w:r>
            <w:r w:rsidR="00164E68">
              <w:t>/A183</w:t>
            </w:r>
            <w:r>
              <w:t>)</w:t>
            </w:r>
            <w:r w:rsidR="008730E1">
              <w:t xml:space="preserve"> </w:t>
            </w:r>
            <w:r w:rsidR="00164E68">
              <w:t xml:space="preserve">on scope of group supervision </w:t>
            </w:r>
            <w:r w:rsidR="008730E1">
              <w:t xml:space="preserve">reverted back to </w:t>
            </w:r>
            <w:r w:rsidR="00164E68">
              <w:t xml:space="preserve">existing directive article </w:t>
            </w:r>
          </w:p>
          <w:p w14:paraId="2FF253CD" w14:textId="35C561DE" w:rsidR="00EC378D" w:rsidRDefault="00EC378D" w:rsidP="001C5FFC">
            <w:pPr>
              <w:pStyle w:val="CEABullet-Level1"/>
            </w:pPr>
            <w:r>
              <w:lastRenderedPageBreak/>
              <w:t>IORPS deleted</w:t>
            </w:r>
            <w:r w:rsidR="00240778">
              <w:t xml:space="preserve"> from the </w:t>
            </w:r>
            <w:r w:rsidR="00240778" w:rsidRPr="00240778">
              <w:t xml:space="preserve">Treatment of specific related undertakings from </w:t>
            </w:r>
            <w:r w:rsidR="00240778">
              <w:t>OFS</w:t>
            </w:r>
            <w:r>
              <w:t xml:space="preserve"> (Art 2</w:t>
            </w:r>
            <w:r w:rsidR="00981992">
              <w:t>28</w:t>
            </w:r>
            <w:r w:rsidR="003C623F">
              <w:t>(1)</w:t>
            </w:r>
            <w:r w:rsidR="00E66756">
              <w:t>(e)</w:t>
            </w:r>
            <w:r w:rsidR="001C5FFC">
              <w:t>/A184</w:t>
            </w:r>
            <w:r w:rsidR="00305ACA">
              <w:t xml:space="preserve"> and Art 228(</w:t>
            </w:r>
            <w:r w:rsidR="0056180C">
              <w:t>2</w:t>
            </w:r>
            <w:r w:rsidR="00E66756">
              <w:t>)</w:t>
            </w:r>
            <w:r w:rsidR="00630B52">
              <w:t>(e)/A185</w:t>
            </w:r>
            <w:r w:rsidR="00B62D47">
              <w:t xml:space="preserve"> and Art 22</w:t>
            </w:r>
            <w:r w:rsidR="00211863">
              <w:t>(3)(g)</w:t>
            </w:r>
            <w:r w:rsidR="00D06D88">
              <w:t>/A</w:t>
            </w:r>
            <w:r w:rsidR="00AB5FAC">
              <w:t>186</w:t>
            </w:r>
            <w:r w:rsidR="00630B52">
              <w:t>)</w:t>
            </w:r>
          </w:p>
          <w:p w14:paraId="4BB7845B" w14:textId="77342FCA" w:rsidR="00440C9E" w:rsidRDefault="00440C9E" w:rsidP="001C5FFC">
            <w:pPr>
              <w:pStyle w:val="CEABullet-Level1"/>
            </w:pPr>
            <w:r>
              <w:t xml:space="preserve">Supervisory power to </w:t>
            </w:r>
            <w:r w:rsidR="000A60A8">
              <w:t xml:space="preserve">take measures </w:t>
            </w:r>
            <w:r w:rsidR="00AF390B">
              <w:t>for IHC/</w:t>
            </w:r>
            <w:r w:rsidR="00376785">
              <w:t>MFHC</w:t>
            </w:r>
            <w:r w:rsidR="003D5FC9">
              <w:t xml:space="preserve"> </w:t>
            </w:r>
            <w:r w:rsidR="00E25B2A">
              <w:t xml:space="preserve">to ensure that </w:t>
            </w:r>
            <w:r w:rsidR="00E710BE">
              <w:t xml:space="preserve">groups to which group supervision is applied </w:t>
            </w:r>
            <w:r w:rsidR="00B5777C">
              <w:t xml:space="preserve">according to Art 213(2) </w:t>
            </w:r>
            <w:r w:rsidR="006D6C93">
              <w:t xml:space="preserve">complied with all requirements in this title is deleted (Art </w:t>
            </w:r>
            <w:r w:rsidR="00FB31DA">
              <w:t>258(2)</w:t>
            </w:r>
            <w:r w:rsidR="00371345">
              <w:t>/A193)</w:t>
            </w:r>
          </w:p>
        </w:tc>
        <w:tc>
          <w:tcPr>
            <w:tcW w:w="2835" w:type="dxa"/>
            <w:vMerge/>
          </w:tcPr>
          <w:p w14:paraId="2BC6F686" w14:textId="6999C8C1" w:rsidR="00AB514A" w:rsidRDefault="00AB514A" w:rsidP="00121913">
            <w:pPr>
              <w:spacing w:after="200" w:line="276" w:lineRule="auto"/>
              <w:rPr>
                <w:sz w:val="17"/>
                <w:szCs w:val="17"/>
              </w:rPr>
            </w:pPr>
          </w:p>
        </w:tc>
      </w:tr>
      <w:tr w:rsidR="00AB514A" w:rsidRPr="00507BA3" w14:paraId="50863FF5" w14:textId="77777777" w:rsidTr="00F20F0D">
        <w:trPr>
          <w:trHeight w:val="3425"/>
        </w:trPr>
        <w:tc>
          <w:tcPr>
            <w:tcW w:w="1466" w:type="dxa"/>
            <w:gridSpan w:val="2"/>
          </w:tcPr>
          <w:p w14:paraId="50E03BE7" w14:textId="77777777" w:rsidR="00AB514A" w:rsidRDefault="00AB514A" w:rsidP="00121913">
            <w:pPr>
              <w:spacing w:after="200" w:line="276" w:lineRule="auto"/>
              <w:rPr>
                <w:sz w:val="17"/>
                <w:szCs w:val="17"/>
              </w:rPr>
            </w:pPr>
            <w:r w:rsidRPr="00DA38C6">
              <w:rPr>
                <w:b/>
                <w:bCs/>
                <w:sz w:val="17"/>
                <w:szCs w:val="17"/>
              </w:rPr>
              <w:lastRenderedPageBreak/>
              <w:t>Internal models</w:t>
            </w:r>
          </w:p>
        </w:tc>
        <w:tc>
          <w:tcPr>
            <w:tcW w:w="1856" w:type="dxa"/>
          </w:tcPr>
          <w:p w14:paraId="4566E9AE" w14:textId="77777777" w:rsidR="00AB514A" w:rsidRPr="00CC147C" w:rsidRDefault="00AB514A" w:rsidP="00121913">
            <w:pPr>
              <w:tabs>
                <w:tab w:val="left" w:pos="3815"/>
              </w:tabs>
              <w:rPr>
                <w:sz w:val="17"/>
                <w:szCs w:val="17"/>
              </w:rPr>
            </w:pPr>
            <w:r w:rsidRPr="00BD5AF9">
              <w:rPr>
                <w:b/>
                <w:bCs/>
                <w:color w:val="FF0000"/>
                <w:sz w:val="17"/>
                <w:szCs w:val="17"/>
              </w:rPr>
              <w:t>[Negative]</w:t>
            </w:r>
            <w:r>
              <w:rPr>
                <w:b/>
                <w:bCs/>
                <w:color w:val="FF0000"/>
                <w:szCs w:val="17"/>
              </w:rPr>
              <w:t xml:space="preserve"> </w:t>
            </w:r>
            <w:r w:rsidRPr="00CC147C">
              <w:rPr>
                <w:sz w:val="17"/>
                <w:szCs w:val="17"/>
              </w:rPr>
              <w:t>Standard formula reporting for IM</w:t>
            </w:r>
            <w:r>
              <w:rPr>
                <w:sz w:val="17"/>
                <w:szCs w:val="17"/>
              </w:rPr>
              <w:t xml:space="preserve"> </w:t>
            </w:r>
            <w:r w:rsidRPr="00CC147C">
              <w:rPr>
                <w:sz w:val="17"/>
                <w:szCs w:val="17"/>
              </w:rPr>
              <w:t>companies with high frequency and</w:t>
            </w:r>
            <w:r>
              <w:rPr>
                <w:sz w:val="17"/>
                <w:szCs w:val="17"/>
              </w:rPr>
              <w:t xml:space="preserve"> </w:t>
            </w:r>
            <w:r w:rsidRPr="00CC147C">
              <w:rPr>
                <w:sz w:val="17"/>
                <w:szCs w:val="17"/>
              </w:rPr>
              <w:t>formalized reporting process; additional</w:t>
            </w:r>
          </w:p>
          <w:p w14:paraId="181F8D1C" w14:textId="77777777" w:rsidR="00AB514A" w:rsidRDefault="00AB514A" w:rsidP="00121913">
            <w:pPr>
              <w:spacing w:after="200" w:line="276" w:lineRule="auto"/>
              <w:rPr>
                <w:sz w:val="17"/>
                <w:szCs w:val="17"/>
              </w:rPr>
            </w:pPr>
            <w:r w:rsidRPr="00CC147C">
              <w:rPr>
                <w:sz w:val="17"/>
                <w:szCs w:val="17"/>
              </w:rPr>
              <w:t>reporting on IM and IM model changes</w:t>
            </w:r>
          </w:p>
        </w:tc>
        <w:tc>
          <w:tcPr>
            <w:tcW w:w="2065" w:type="dxa"/>
          </w:tcPr>
          <w:p w14:paraId="0D7516EF" w14:textId="77777777" w:rsidR="00AB514A" w:rsidRDefault="00AB514A" w:rsidP="00121913">
            <w:pPr>
              <w:spacing w:after="200" w:line="276" w:lineRule="auto"/>
              <w:rPr>
                <w:sz w:val="17"/>
                <w:szCs w:val="17"/>
              </w:rPr>
            </w:pPr>
            <w:r w:rsidRPr="00BD5AF9">
              <w:rPr>
                <w:b/>
                <w:bCs/>
                <w:color w:val="FF0000"/>
                <w:sz w:val="17"/>
                <w:szCs w:val="17"/>
              </w:rPr>
              <w:t>[Negative</w:t>
            </w:r>
            <w:r w:rsidRPr="00776AA1">
              <w:rPr>
                <w:b/>
                <w:bCs/>
                <w:color w:val="FF0000"/>
                <w:sz w:val="17"/>
                <w:szCs w:val="17"/>
              </w:rPr>
              <w:t>]</w:t>
            </w:r>
            <w:r>
              <w:rPr>
                <w:b/>
                <w:bCs/>
                <w:color w:val="FF0000"/>
                <w:szCs w:val="17"/>
              </w:rPr>
              <w:t xml:space="preserve"> </w:t>
            </w:r>
            <w:r w:rsidRPr="00BC1BAE">
              <w:rPr>
                <w:sz w:val="17"/>
                <w:szCs w:val="17"/>
              </w:rPr>
              <w:t>Require insurers using an</w:t>
            </w:r>
            <w:r>
              <w:rPr>
                <w:sz w:val="17"/>
                <w:szCs w:val="17"/>
              </w:rPr>
              <w:t xml:space="preserve"> </w:t>
            </w:r>
            <w:r w:rsidRPr="00BC1BAE">
              <w:rPr>
                <w:sz w:val="17"/>
                <w:szCs w:val="17"/>
              </w:rPr>
              <w:t>internal model to report</w:t>
            </w:r>
            <w:r>
              <w:rPr>
                <w:sz w:val="17"/>
                <w:szCs w:val="17"/>
              </w:rPr>
              <w:t xml:space="preserve"> </w:t>
            </w:r>
            <w:r w:rsidRPr="00BC1BAE">
              <w:rPr>
                <w:sz w:val="17"/>
                <w:szCs w:val="17"/>
              </w:rPr>
              <w:t>regularly to the</w:t>
            </w:r>
            <w:r>
              <w:rPr>
                <w:sz w:val="17"/>
                <w:szCs w:val="17"/>
              </w:rPr>
              <w:t xml:space="preserve"> </w:t>
            </w:r>
            <w:r w:rsidRPr="00BC1BAE">
              <w:rPr>
                <w:sz w:val="17"/>
                <w:szCs w:val="17"/>
              </w:rPr>
              <w:t>supervisors an</w:t>
            </w:r>
            <w:r>
              <w:rPr>
                <w:sz w:val="17"/>
                <w:szCs w:val="17"/>
              </w:rPr>
              <w:t xml:space="preserve"> </w:t>
            </w:r>
            <w:r w:rsidRPr="00BC1BAE">
              <w:rPr>
                <w:sz w:val="17"/>
                <w:szCs w:val="17"/>
              </w:rPr>
              <w:t>estimation of the Solvency</w:t>
            </w:r>
            <w:r>
              <w:rPr>
                <w:sz w:val="17"/>
                <w:szCs w:val="17"/>
              </w:rPr>
              <w:t xml:space="preserve"> </w:t>
            </w:r>
            <w:r w:rsidRPr="00BC1BAE">
              <w:rPr>
                <w:sz w:val="17"/>
                <w:szCs w:val="17"/>
              </w:rPr>
              <w:t>Capital Requirement calculated</w:t>
            </w:r>
            <w:r>
              <w:rPr>
                <w:sz w:val="17"/>
                <w:szCs w:val="17"/>
              </w:rPr>
              <w:t xml:space="preserve"> </w:t>
            </w:r>
            <w:r w:rsidRPr="00BC1BAE">
              <w:rPr>
                <w:sz w:val="17"/>
                <w:szCs w:val="17"/>
              </w:rPr>
              <w:t>with the standard formula</w:t>
            </w:r>
          </w:p>
        </w:tc>
        <w:tc>
          <w:tcPr>
            <w:tcW w:w="4111" w:type="dxa"/>
          </w:tcPr>
          <w:p w14:paraId="5FFD854C" w14:textId="77777777" w:rsidR="00AB514A" w:rsidRDefault="00AB514A" w:rsidP="00121913">
            <w:pPr>
              <w:spacing w:after="200" w:line="276" w:lineRule="auto"/>
              <w:rPr>
                <w:sz w:val="17"/>
                <w:szCs w:val="17"/>
              </w:rPr>
            </w:pPr>
            <w:r w:rsidRPr="00BD5AF9">
              <w:rPr>
                <w:b/>
                <w:bCs/>
                <w:color w:val="00B050"/>
                <w:sz w:val="17"/>
                <w:szCs w:val="17"/>
              </w:rPr>
              <w:t>[Positive]</w:t>
            </w:r>
            <w:r>
              <w:rPr>
                <w:b/>
                <w:bCs/>
                <w:color w:val="00B050"/>
                <w:sz w:val="17"/>
                <w:szCs w:val="17"/>
              </w:rPr>
              <w:t xml:space="preserve"> </w:t>
            </w:r>
            <w:r>
              <w:rPr>
                <w:sz w:val="17"/>
                <w:szCs w:val="17"/>
              </w:rPr>
              <w:t>Minor improvement, it is specified that the reporting can only be required with an annual frequency</w:t>
            </w:r>
          </w:p>
        </w:tc>
        <w:tc>
          <w:tcPr>
            <w:tcW w:w="2835" w:type="dxa"/>
          </w:tcPr>
          <w:p w14:paraId="14ADCA3C" w14:textId="703ED06A" w:rsidR="00AB514A" w:rsidRPr="001E30CE" w:rsidRDefault="00D51DB7" w:rsidP="00F15250">
            <w:pPr>
              <w:spacing w:after="200" w:line="276" w:lineRule="auto"/>
              <w:rPr>
                <w:color w:val="FF0000"/>
                <w:szCs w:val="17"/>
              </w:rPr>
            </w:pPr>
            <w:r w:rsidRPr="00BD5AF9">
              <w:rPr>
                <w:b/>
                <w:bCs/>
                <w:color w:val="00B050"/>
                <w:sz w:val="17"/>
                <w:szCs w:val="17"/>
              </w:rPr>
              <w:t>[Positive]</w:t>
            </w:r>
            <w:r w:rsidR="00DC45B8">
              <w:rPr>
                <w:sz w:val="17"/>
                <w:szCs w:val="17"/>
              </w:rPr>
              <w:t xml:space="preserve"> </w:t>
            </w:r>
            <w:r w:rsidRPr="00F15250">
              <w:rPr>
                <w:sz w:val="17"/>
                <w:szCs w:val="17"/>
              </w:rPr>
              <w:t xml:space="preserve">SF reporting </w:t>
            </w:r>
            <w:r w:rsidR="00FC5E6C" w:rsidRPr="00F15250">
              <w:rPr>
                <w:sz w:val="17"/>
                <w:szCs w:val="17"/>
              </w:rPr>
              <w:t xml:space="preserve">requirement </w:t>
            </w:r>
            <w:r w:rsidRPr="00F15250">
              <w:rPr>
                <w:sz w:val="17"/>
                <w:szCs w:val="17"/>
              </w:rPr>
              <w:t xml:space="preserve">for IM companies </w:t>
            </w:r>
            <w:r w:rsidR="00FC5E6C" w:rsidRPr="00F15250">
              <w:rPr>
                <w:sz w:val="17"/>
                <w:szCs w:val="17"/>
              </w:rPr>
              <w:t xml:space="preserve">is removed </w:t>
            </w:r>
            <w:r w:rsidRPr="00F15250">
              <w:rPr>
                <w:sz w:val="17"/>
                <w:szCs w:val="17"/>
              </w:rPr>
              <w:t xml:space="preserve">(recital </w:t>
            </w:r>
            <w:r w:rsidR="00ED142D" w:rsidRPr="00F15250">
              <w:rPr>
                <w:sz w:val="17"/>
                <w:szCs w:val="17"/>
              </w:rPr>
              <w:t>44</w:t>
            </w:r>
            <w:r w:rsidR="00A22106" w:rsidRPr="00F15250">
              <w:rPr>
                <w:sz w:val="17"/>
                <w:szCs w:val="17"/>
              </w:rPr>
              <w:t>/art 112(7)</w:t>
            </w:r>
            <w:r w:rsidR="00D21B6A" w:rsidRPr="00F15250">
              <w:rPr>
                <w:sz w:val="17"/>
                <w:szCs w:val="17"/>
              </w:rPr>
              <w:t>/</w:t>
            </w:r>
            <w:r w:rsidR="00A22106" w:rsidRPr="00F15250">
              <w:rPr>
                <w:sz w:val="17"/>
                <w:szCs w:val="17"/>
              </w:rPr>
              <w:t>A136</w:t>
            </w:r>
            <w:r w:rsidR="00ED142D" w:rsidRPr="00F15250">
              <w:rPr>
                <w:sz w:val="17"/>
                <w:szCs w:val="17"/>
              </w:rPr>
              <w:t>)</w:t>
            </w:r>
          </w:p>
        </w:tc>
        <w:tc>
          <w:tcPr>
            <w:tcW w:w="2835" w:type="dxa"/>
          </w:tcPr>
          <w:p w14:paraId="19E3B727" w14:textId="0304BCCD" w:rsidR="00AB514A" w:rsidRDefault="00825913" w:rsidP="008852B8">
            <w:pPr>
              <w:spacing w:after="200" w:line="276" w:lineRule="auto"/>
              <w:rPr>
                <w:sz w:val="17"/>
                <w:szCs w:val="17"/>
              </w:rPr>
            </w:pPr>
            <w:r w:rsidRPr="00BD5AF9">
              <w:rPr>
                <w:b/>
                <w:bCs/>
                <w:color w:val="00B050"/>
                <w:sz w:val="17"/>
                <w:szCs w:val="17"/>
              </w:rPr>
              <w:t>[Positive]</w:t>
            </w:r>
            <w:r w:rsidR="008852B8" w:rsidRPr="00E30BD8">
              <w:rPr>
                <w:sz w:val="17"/>
                <w:szCs w:val="17"/>
              </w:rPr>
              <w:t xml:space="preserve"> T</w:t>
            </w:r>
            <w:r w:rsidR="00AB514A" w:rsidRPr="00E30BD8">
              <w:rPr>
                <w:sz w:val="17"/>
                <w:szCs w:val="17"/>
              </w:rPr>
              <w:t>he</w:t>
            </w:r>
            <w:r w:rsidRPr="00F15250">
              <w:rPr>
                <w:sz w:val="17"/>
                <w:szCs w:val="17"/>
              </w:rPr>
              <w:t xml:space="preserve"> </w:t>
            </w:r>
            <w:r w:rsidR="00A569A2" w:rsidRPr="00F15250">
              <w:rPr>
                <w:sz w:val="17"/>
                <w:szCs w:val="17"/>
              </w:rPr>
              <w:t xml:space="preserve">EP </w:t>
            </w:r>
            <w:r w:rsidR="00CC35B9" w:rsidRPr="00F15250">
              <w:rPr>
                <w:sz w:val="17"/>
                <w:szCs w:val="17"/>
              </w:rPr>
              <w:t>report propos</w:t>
            </w:r>
            <w:r w:rsidR="009F05BF">
              <w:rPr>
                <w:sz w:val="17"/>
                <w:szCs w:val="17"/>
              </w:rPr>
              <w:t>es</w:t>
            </w:r>
            <w:r w:rsidR="00CC35B9" w:rsidRPr="00F15250">
              <w:rPr>
                <w:sz w:val="17"/>
                <w:szCs w:val="17"/>
              </w:rPr>
              <w:t xml:space="preserve"> to delete the </w:t>
            </w:r>
            <w:r w:rsidR="003C65C1" w:rsidRPr="00F15250">
              <w:rPr>
                <w:sz w:val="17"/>
                <w:szCs w:val="17"/>
              </w:rPr>
              <w:t xml:space="preserve">standard formula reporting </w:t>
            </w:r>
            <w:r w:rsidRPr="00F15250">
              <w:rPr>
                <w:sz w:val="17"/>
                <w:szCs w:val="17"/>
              </w:rPr>
              <w:t xml:space="preserve">requirement </w:t>
            </w:r>
            <w:r w:rsidR="003C65C1" w:rsidRPr="00F15250">
              <w:rPr>
                <w:sz w:val="17"/>
                <w:szCs w:val="17"/>
              </w:rPr>
              <w:t>for internal model companies is</w:t>
            </w:r>
            <w:r w:rsidR="004F5CA1" w:rsidRPr="00F15250">
              <w:rPr>
                <w:sz w:val="17"/>
                <w:szCs w:val="17"/>
              </w:rPr>
              <w:t xml:space="preserve"> welcome.</w:t>
            </w:r>
            <w:r w:rsidR="004F5CA1">
              <w:rPr>
                <w:sz w:val="17"/>
                <w:szCs w:val="17"/>
              </w:rPr>
              <w:t xml:space="preserve"> </w:t>
            </w:r>
          </w:p>
          <w:p w14:paraId="47BD1CCF" w14:textId="77777777" w:rsidR="009F05BF" w:rsidRDefault="009F05BF" w:rsidP="008852B8">
            <w:pPr>
              <w:spacing w:after="200" w:line="276" w:lineRule="auto"/>
              <w:rPr>
                <w:sz w:val="17"/>
                <w:szCs w:val="17"/>
              </w:rPr>
            </w:pPr>
          </w:p>
          <w:p w14:paraId="1BEF9079" w14:textId="4DF30BA1" w:rsidR="009F05BF" w:rsidRDefault="00AE3BC9" w:rsidP="008852B8">
            <w:pPr>
              <w:spacing w:after="200" w:line="276" w:lineRule="auto"/>
              <w:rPr>
                <w:sz w:val="17"/>
                <w:szCs w:val="17"/>
              </w:rPr>
            </w:pPr>
            <w:r>
              <w:rPr>
                <w:b/>
                <w:bCs/>
                <w:color w:val="1F497D" w:themeColor="text2"/>
                <w:sz w:val="17"/>
                <w:szCs w:val="17"/>
              </w:rPr>
              <w:t>W</w:t>
            </w:r>
            <w:r w:rsidR="009F05BF">
              <w:rPr>
                <w:b/>
                <w:bCs/>
                <w:color w:val="1F497D" w:themeColor="text2"/>
                <w:sz w:val="17"/>
                <w:szCs w:val="17"/>
              </w:rPr>
              <w:t xml:space="preserve">ay forward: </w:t>
            </w:r>
            <w:r w:rsidR="009F05BF" w:rsidRPr="00F15250">
              <w:rPr>
                <w:color w:val="1F497D" w:themeColor="text2"/>
                <w:sz w:val="17"/>
                <w:szCs w:val="17"/>
              </w:rPr>
              <w:t>Support EP proposal</w:t>
            </w:r>
          </w:p>
        </w:tc>
      </w:tr>
      <w:tr w:rsidR="00AB514A" w:rsidRPr="00507BA3" w14:paraId="670ABBAA" w14:textId="77777777" w:rsidTr="00F20F0D">
        <w:trPr>
          <w:trHeight w:val="1267"/>
        </w:trPr>
        <w:tc>
          <w:tcPr>
            <w:tcW w:w="1466" w:type="dxa"/>
            <w:gridSpan w:val="2"/>
          </w:tcPr>
          <w:p w14:paraId="49507737" w14:textId="77777777" w:rsidR="00AB514A" w:rsidRPr="00DA38C6" w:rsidRDefault="00AB514A" w:rsidP="00121913">
            <w:pPr>
              <w:spacing w:after="200" w:line="276" w:lineRule="auto"/>
              <w:rPr>
                <w:b/>
                <w:bCs/>
                <w:sz w:val="17"/>
                <w:szCs w:val="17"/>
              </w:rPr>
            </w:pPr>
            <w:r>
              <w:rPr>
                <w:b/>
                <w:sz w:val="17"/>
                <w:szCs w:val="17"/>
              </w:rPr>
              <w:t>Third country reinsurance</w:t>
            </w:r>
          </w:p>
        </w:tc>
        <w:tc>
          <w:tcPr>
            <w:tcW w:w="1856" w:type="dxa"/>
          </w:tcPr>
          <w:p w14:paraId="2EFA5153" w14:textId="77777777" w:rsidR="00AB514A" w:rsidRPr="00BD5AF9" w:rsidRDefault="00AB514A" w:rsidP="00121913">
            <w:pPr>
              <w:tabs>
                <w:tab w:val="left" w:pos="3815"/>
              </w:tabs>
              <w:rPr>
                <w:b/>
                <w:bCs/>
                <w:color w:val="FF0000"/>
                <w:sz w:val="17"/>
                <w:szCs w:val="17"/>
              </w:rPr>
            </w:pPr>
          </w:p>
        </w:tc>
        <w:tc>
          <w:tcPr>
            <w:tcW w:w="2065" w:type="dxa"/>
          </w:tcPr>
          <w:p w14:paraId="540E968C" w14:textId="77777777" w:rsidR="00AB514A" w:rsidRPr="00BD5AF9" w:rsidRDefault="00AB514A" w:rsidP="00121913">
            <w:pPr>
              <w:spacing w:after="200" w:line="276" w:lineRule="auto"/>
              <w:rPr>
                <w:b/>
                <w:bCs/>
                <w:color w:val="FF0000"/>
                <w:sz w:val="17"/>
                <w:szCs w:val="17"/>
              </w:rPr>
            </w:pPr>
          </w:p>
        </w:tc>
        <w:tc>
          <w:tcPr>
            <w:tcW w:w="4111" w:type="dxa"/>
          </w:tcPr>
          <w:p w14:paraId="7C08C6A8" w14:textId="4277F538" w:rsidR="00DC45B8" w:rsidRDefault="00AB514A" w:rsidP="00121913">
            <w:pPr>
              <w:tabs>
                <w:tab w:val="left" w:pos="3815"/>
              </w:tabs>
              <w:rPr>
                <w:sz w:val="17"/>
                <w:szCs w:val="17"/>
              </w:rPr>
            </w:pPr>
            <w:r w:rsidRPr="00DD7CCE">
              <w:rPr>
                <w:b/>
                <w:bCs/>
                <w:color w:val="FF0000"/>
                <w:sz w:val="17"/>
                <w:szCs w:val="17"/>
              </w:rPr>
              <w:t>[Negative]</w:t>
            </w:r>
            <w:r>
              <w:rPr>
                <w:b/>
                <w:bCs/>
                <w:color w:val="FF0000"/>
                <w:sz w:val="17"/>
                <w:szCs w:val="17"/>
              </w:rPr>
              <w:t xml:space="preserve"> </w:t>
            </w:r>
            <w:r w:rsidRPr="00361F9F">
              <w:rPr>
                <w:sz w:val="17"/>
                <w:szCs w:val="17"/>
              </w:rPr>
              <w:t>Even though the</w:t>
            </w:r>
            <w:r w:rsidRPr="00361F9F">
              <w:rPr>
                <w:b/>
                <w:sz w:val="17"/>
                <w:szCs w:val="17"/>
              </w:rPr>
              <w:t xml:space="preserve"> </w:t>
            </w:r>
            <w:r w:rsidRPr="00DD7CCE">
              <w:rPr>
                <w:sz w:val="17"/>
                <w:szCs w:val="17"/>
              </w:rPr>
              <w:t>FR compromise proposal includes</w:t>
            </w:r>
            <w:r>
              <w:rPr>
                <w:sz w:val="17"/>
                <w:szCs w:val="17"/>
              </w:rPr>
              <w:t xml:space="preserve"> no changes for L1, </w:t>
            </w:r>
            <w:r w:rsidR="00DC45B8">
              <w:rPr>
                <w:sz w:val="17"/>
                <w:szCs w:val="17"/>
              </w:rPr>
              <w:t xml:space="preserve">changes to the </w:t>
            </w:r>
            <w:r>
              <w:rPr>
                <w:sz w:val="17"/>
                <w:szCs w:val="17"/>
              </w:rPr>
              <w:t>L2</w:t>
            </w:r>
            <w:r w:rsidR="00DC45B8">
              <w:rPr>
                <w:sz w:val="17"/>
                <w:szCs w:val="17"/>
              </w:rPr>
              <w:t xml:space="preserve"> texts are expected</w:t>
            </w:r>
            <w:r>
              <w:rPr>
                <w:sz w:val="17"/>
                <w:szCs w:val="17"/>
              </w:rPr>
              <w:t>.</w:t>
            </w:r>
          </w:p>
          <w:p w14:paraId="14EC0F27" w14:textId="77777777" w:rsidR="00F20F0D" w:rsidRDefault="00F20F0D" w:rsidP="00121913">
            <w:pPr>
              <w:tabs>
                <w:tab w:val="left" w:pos="3815"/>
              </w:tabs>
              <w:rPr>
                <w:sz w:val="17"/>
                <w:szCs w:val="17"/>
              </w:rPr>
            </w:pPr>
          </w:p>
          <w:p w14:paraId="20B396C4" w14:textId="3C1A5FE7" w:rsidR="00AB514A" w:rsidRPr="00BD5AF9" w:rsidRDefault="00AB514A" w:rsidP="00121913">
            <w:pPr>
              <w:spacing w:after="200" w:line="276" w:lineRule="auto"/>
              <w:rPr>
                <w:b/>
                <w:bCs/>
                <w:color w:val="00B050"/>
                <w:sz w:val="17"/>
                <w:szCs w:val="17"/>
              </w:rPr>
            </w:pPr>
            <w:r>
              <w:rPr>
                <w:sz w:val="17"/>
                <w:szCs w:val="17"/>
              </w:rPr>
              <w:t>The FR presidency noted that this is a problem that needed to be addressed.</w:t>
            </w:r>
          </w:p>
        </w:tc>
        <w:tc>
          <w:tcPr>
            <w:tcW w:w="2835" w:type="dxa"/>
          </w:tcPr>
          <w:p w14:paraId="0B813082" w14:textId="0F2E6201" w:rsidR="00AB514A" w:rsidRPr="00F15250" w:rsidRDefault="00F32A17" w:rsidP="00121913">
            <w:pPr>
              <w:spacing w:after="200" w:line="276" w:lineRule="auto"/>
              <w:rPr>
                <w:color w:val="FF0000"/>
                <w:sz w:val="17"/>
                <w:szCs w:val="17"/>
              </w:rPr>
            </w:pPr>
            <w:r>
              <w:rPr>
                <w:sz w:val="17"/>
                <w:szCs w:val="17"/>
              </w:rPr>
              <w:t xml:space="preserve">No mention </w:t>
            </w:r>
          </w:p>
        </w:tc>
        <w:tc>
          <w:tcPr>
            <w:tcW w:w="2835" w:type="dxa"/>
          </w:tcPr>
          <w:p w14:paraId="559A2C2A" w14:textId="77777777" w:rsidR="00AB514A" w:rsidRDefault="00AB514A" w:rsidP="00121913">
            <w:pPr>
              <w:spacing w:after="200" w:line="276" w:lineRule="auto"/>
              <w:rPr>
                <w:b/>
                <w:bCs/>
                <w:color w:val="FF0000"/>
                <w:sz w:val="17"/>
                <w:szCs w:val="17"/>
              </w:rPr>
            </w:pPr>
            <w:r w:rsidRPr="001133FD">
              <w:rPr>
                <w:b/>
                <w:bCs/>
                <w:color w:val="FF0000"/>
                <w:sz w:val="17"/>
                <w:szCs w:val="17"/>
              </w:rPr>
              <w:t>[Negative]</w:t>
            </w:r>
            <w:r>
              <w:rPr>
                <w:b/>
                <w:bCs/>
                <w:color w:val="FF0000"/>
                <w:sz w:val="17"/>
                <w:szCs w:val="17"/>
              </w:rPr>
              <w:t xml:space="preserve"> </w:t>
            </w:r>
          </w:p>
          <w:p w14:paraId="10980FA5" w14:textId="77777777" w:rsidR="00ED2542" w:rsidRDefault="00ED2542" w:rsidP="00121913">
            <w:pPr>
              <w:spacing w:after="200" w:line="276" w:lineRule="auto"/>
              <w:rPr>
                <w:b/>
                <w:bCs/>
                <w:color w:val="FF0000"/>
                <w:sz w:val="17"/>
                <w:szCs w:val="17"/>
              </w:rPr>
            </w:pPr>
          </w:p>
          <w:p w14:paraId="24AB9F4B" w14:textId="4CA53C8A" w:rsidR="00ED2542" w:rsidRPr="00BD5AF9" w:rsidRDefault="00AE3BC9" w:rsidP="00121913">
            <w:pPr>
              <w:spacing w:after="200" w:line="276" w:lineRule="auto"/>
              <w:rPr>
                <w:b/>
                <w:bCs/>
                <w:color w:val="FF0000"/>
                <w:sz w:val="17"/>
                <w:szCs w:val="17"/>
              </w:rPr>
            </w:pPr>
            <w:r>
              <w:rPr>
                <w:b/>
                <w:bCs/>
                <w:color w:val="1F497D" w:themeColor="text2"/>
                <w:sz w:val="17"/>
                <w:szCs w:val="17"/>
              </w:rPr>
              <w:t>W</w:t>
            </w:r>
            <w:r w:rsidR="00ED2542">
              <w:rPr>
                <w:b/>
                <w:bCs/>
                <w:color w:val="1F497D" w:themeColor="text2"/>
                <w:sz w:val="17"/>
                <w:szCs w:val="17"/>
              </w:rPr>
              <w:t xml:space="preserve">ay forward: </w:t>
            </w:r>
            <w:r w:rsidR="00BC15B8" w:rsidRPr="00F15250">
              <w:rPr>
                <w:color w:val="1F497D" w:themeColor="text2"/>
                <w:sz w:val="17"/>
                <w:szCs w:val="17"/>
              </w:rPr>
              <w:t>Maintain current position</w:t>
            </w:r>
            <w:r w:rsidR="00BC15B8">
              <w:rPr>
                <w:color w:val="1F497D" w:themeColor="text2"/>
                <w:sz w:val="17"/>
                <w:szCs w:val="17"/>
              </w:rPr>
              <w:t>.</w:t>
            </w:r>
          </w:p>
        </w:tc>
      </w:tr>
    </w:tbl>
    <w:p w14:paraId="3986E444" w14:textId="709489F5" w:rsidR="00AB514A" w:rsidRDefault="00AB514A" w:rsidP="00121913">
      <w:pPr>
        <w:spacing w:after="200" w:line="276" w:lineRule="auto"/>
        <w:rPr>
          <w:sz w:val="17"/>
          <w:szCs w:val="17"/>
        </w:rPr>
      </w:pPr>
      <w:r>
        <w:rPr>
          <w:sz w:val="17"/>
          <w:szCs w:val="17"/>
        </w:rPr>
        <w:lastRenderedPageBreak/>
        <w:br/>
      </w:r>
      <w:r>
        <w:rPr>
          <w:sz w:val="17"/>
          <w:szCs w:val="17"/>
        </w:rPr>
        <w:br/>
      </w:r>
    </w:p>
    <w:tbl>
      <w:tblPr>
        <w:tblStyle w:val="Mriekatabuky"/>
        <w:tblW w:w="14879" w:type="dxa"/>
        <w:tblLook w:val="04A0" w:firstRow="1" w:lastRow="0" w:firstColumn="1" w:lastColumn="0" w:noHBand="0" w:noVBand="1"/>
      </w:tblPr>
      <w:tblGrid>
        <w:gridCol w:w="2055"/>
        <w:gridCol w:w="2244"/>
        <w:gridCol w:w="2078"/>
        <w:gridCol w:w="2832"/>
        <w:gridCol w:w="2126"/>
        <w:gridCol w:w="3544"/>
      </w:tblGrid>
      <w:tr w:rsidR="00AB514A" w14:paraId="6951751E" w14:textId="77777777" w:rsidTr="006F22E8">
        <w:trPr>
          <w:trHeight w:val="941"/>
        </w:trPr>
        <w:tc>
          <w:tcPr>
            <w:tcW w:w="2055" w:type="dxa"/>
          </w:tcPr>
          <w:p w14:paraId="21BD8226" w14:textId="3AE974B8" w:rsidR="00AB514A" w:rsidRDefault="00AB514A" w:rsidP="00AB514A">
            <w:pPr>
              <w:spacing w:after="200" w:line="276" w:lineRule="auto"/>
              <w:rPr>
                <w:sz w:val="17"/>
                <w:szCs w:val="17"/>
              </w:rPr>
            </w:pPr>
            <w:r w:rsidRPr="00491EB9">
              <w:rPr>
                <w:b/>
                <w:bCs/>
                <w:sz w:val="17"/>
                <w:szCs w:val="17"/>
              </w:rPr>
              <w:t>Topic</w:t>
            </w:r>
          </w:p>
        </w:tc>
        <w:tc>
          <w:tcPr>
            <w:tcW w:w="2244" w:type="dxa"/>
          </w:tcPr>
          <w:p w14:paraId="7E36A0A0" w14:textId="292F7B68" w:rsidR="00AB514A" w:rsidRDefault="00AB514A" w:rsidP="00AB514A">
            <w:pPr>
              <w:spacing w:after="200" w:line="276" w:lineRule="auto"/>
              <w:rPr>
                <w:sz w:val="17"/>
                <w:szCs w:val="17"/>
              </w:rPr>
            </w:pPr>
            <w:r w:rsidRPr="00491EB9">
              <w:rPr>
                <w:b/>
                <w:bCs/>
                <w:sz w:val="17"/>
                <w:szCs w:val="17"/>
              </w:rPr>
              <w:t>EIOPA proposal</w:t>
            </w:r>
          </w:p>
        </w:tc>
        <w:tc>
          <w:tcPr>
            <w:tcW w:w="2078" w:type="dxa"/>
          </w:tcPr>
          <w:p w14:paraId="10BD1C81" w14:textId="1D9DFFFA" w:rsidR="00AB514A" w:rsidRDefault="00AB514A" w:rsidP="00AB514A">
            <w:pPr>
              <w:spacing w:after="200" w:line="276" w:lineRule="auto"/>
              <w:rPr>
                <w:sz w:val="17"/>
                <w:szCs w:val="17"/>
              </w:rPr>
            </w:pPr>
            <w:r w:rsidRPr="00491EB9">
              <w:rPr>
                <w:b/>
                <w:bCs/>
                <w:sz w:val="17"/>
                <w:szCs w:val="17"/>
              </w:rPr>
              <w:t>European Commission proposal</w:t>
            </w:r>
          </w:p>
        </w:tc>
        <w:tc>
          <w:tcPr>
            <w:tcW w:w="2832" w:type="dxa"/>
          </w:tcPr>
          <w:p w14:paraId="41FB3670" w14:textId="0F704591" w:rsidR="00AB514A" w:rsidRDefault="00AB514A" w:rsidP="00AB514A">
            <w:pPr>
              <w:spacing w:after="200" w:line="276" w:lineRule="auto"/>
              <w:rPr>
                <w:sz w:val="17"/>
                <w:szCs w:val="17"/>
              </w:rPr>
            </w:pPr>
            <w:r w:rsidRPr="00491EB9">
              <w:rPr>
                <w:b/>
                <w:bCs/>
                <w:sz w:val="17"/>
                <w:szCs w:val="17"/>
              </w:rPr>
              <w:t>French presidency</w:t>
            </w:r>
            <w:r>
              <w:rPr>
                <w:b/>
                <w:bCs/>
                <w:sz w:val="17"/>
                <w:szCs w:val="17"/>
              </w:rPr>
              <w:t xml:space="preserve"> overall compromise proposal/EGBPI discussions</w:t>
            </w:r>
          </w:p>
        </w:tc>
        <w:tc>
          <w:tcPr>
            <w:tcW w:w="2126" w:type="dxa"/>
          </w:tcPr>
          <w:p w14:paraId="417C14CA" w14:textId="733DB568" w:rsidR="00AB514A" w:rsidRDefault="00F66675" w:rsidP="00AB514A">
            <w:pPr>
              <w:spacing w:after="200" w:line="276" w:lineRule="auto"/>
              <w:rPr>
                <w:b/>
                <w:bCs/>
                <w:sz w:val="17"/>
                <w:szCs w:val="17"/>
              </w:rPr>
            </w:pPr>
            <w:r>
              <w:rPr>
                <w:b/>
                <w:bCs/>
                <w:sz w:val="17"/>
                <w:szCs w:val="17"/>
              </w:rPr>
              <w:t>EP draft report</w:t>
            </w:r>
          </w:p>
        </w:tc>
        <w:tc>
          <w:tcPr>
            <w:tcW w:w="3544" w:type="dxa"/>
          </w:tcPr>
          <w:p w14:paraId="5D643BA8" w14:textId="32D8C7F7" w:rsidR="00AB514A" w:rsidRDefault="00AB514A" w:rsidP="00AB514A">
            <w:pPr>
              <w:spacing w:after="200" w:line="276" w:lineRule="auto"/>
              <w:rPr>
                <w:sz w:val="17"/>
                <w:szCs w:val="17"/>
              </w:rPr>
            </w:pPr>
            <w:r>
              <w:rPr>
                <w:b/>
                <w:bCs/>
                <w:sz w:val="17"/>
                <w:szCs w:val="17"/>
              </w:rPr>
              <w:t>Secretariat assessment of current status</w:t>
            </w:r>
          </w:p>
        </w:tc>
      </w:tr>
      <w:tr w:rsidR="00AB514A" w14:paraId="49E4A0AF" w14:textId="77777777" w:rsidTr="00A7675C">
        <w:tc>
          <w:tcPr>
            <w:tcW w:w="2055" w:type="dxa"/>
          </w:tcPr>
          <w:p w14:paraId="7506FEF9" w14:textId="4EAC9BC9" w:rsidR="00AB514A" w:rsidRDefault="00AB514A" w:rsidP="00AB514A">
            <w:pPr>
              <w:spacing w:after="200" w:line="276" w:lineRule="auto"/>
              <w:rPr>
                <w:sz w:val="17"/>
                <w:szCs w:val="17"/>
              </w:rPr>
            </w:pPr>
            <w:r>
              <w:rPr>
                <w:b/>
                <w:bCs/>
                <w:sz w:val="17"/>
                <w:szCs w:val="17"/>
              </w:rPr>
              <w:t>Cross-border supervision</w:t>
            </w:r>
          </w:p>
        </w:tc>
        <w:tc>
          <w:tcPr>
            <w:tcW w:w="2244" w:type="dxa"/>
          </w:tcPr>
          <w:p w14:paraId="2870990F" w14:textId="4EE15246" w:rsidR="00AB514A" w:rsidRDefault="00AB514A" w:rsidP="00AB514A">
            <w:pPr>
              <w:spacing w:after="200" w:line="276" w:lineRule="auto"/>
              <w:rPr>
                <w:sz w:val="17"/>
                <w:szCs w:val="17"/>
              </w:rPr>
            </w:pPr>
            <w:r w:rsidRPr="00BD5AF9">
              <w:rPr>
                <w:b/>
                <w:bCs/>
                <w:color w:val="00B050"/>
                <w:sz w:val="17"/>
                <w:szCs w:val="17"/>
              </w:rPr>
              <w:t>[Positive]</w:t>
            </w:r>
            <w:r>
              <w:rPr>
                <w:b/>
                <w:bCs/>
                <w:color w:val="00B050"/>
                <w:sz w:val="17"/>
                <w:szCs w:val="17"/>
              </w:rPr>
              <w:t xml:space="preserve"> </w:t>
            </w:r>
            <w:r>
              <w:rPr>
                <w:sz w:val="17"/>
                <w:szCs w:val="17"/>
              </w:rPr>
              <w:t>EIOPA made a number of recommendations which are supported by Insurance Europe.</w:t>
            </w:r>
          </w:p>
        </w:tc>
        <w:tc>
          <w:tcPr>
            <w:tcW w:w="2078" w:type="dxa"/>
          </w:tcPr>
          <w:p w14:paraId="02AC9F02" w14:textId="351E229E" w:rsidR="00AB514A" w:rsidRDefault="00AB514A" w:rsidP="00AB514A">
            <w:pPr>
              <w:spacing w:after="200" w:line="276" w:lineRule="auto"/>
              <w:rPr>
                <w:sz w:val="17"/>
                <w:szCs w:val="17"/>
              </w:rPr>
            </w:pPr>
            <w:r w:rsidRPr="00BD5AF9">
              <w:rPr>
                <w:b/>
                <w:bCs/>
                <w:color w:val="FF0000"/>
                <w:sz w:val="17"/>
                <w:szCs w:val="17"/>
              </w:rPr>
              <w:t>[</w:t>
            </w:r>
            <w:r w:rsidRPr="00BD5AF9" w:rsidDel="00067FCA">
              <w:rPr>
                <w:b/>
                <w:bCs/>
                <w:color w:val="FF0000"/>
                <w:sz w:val="17"/>
                <w:szCs w:val="17"/>
              </w:rPr>
              <w:t>Negative</w:t>
            </w:r>
            <w:r w:rsidRPr="00776AA1">
              <w:rPr>
                <w:b/>
                <w:bCs/>
                <w:color w:val="FF0000"/>
                <w:sz w:val="17"/>
                <w:szCs w:val="17"/>
              </w:rPr>
              <w:t>]</w:t>
            </w:r>
            <w:r>
              <w:rPr>
                <w:b/>
                <w:bCs/>
                <w:color w:val="FF0000"/>
                <w:sz w:val="17"/>
                <w:szCs w:val="17"/>
              </w:rPr>
              <w:t xml:space="preserve"> </w:t>
            </w:r>
            <w:r w:rsidRPr="00F57182">
              <w:rPr>
                <w:sz w:val="17"/>
                <w:szCs w:val="17"/>
              </w:rPr>
              <w:t>EC’s proposed 5% threshold</w:t>
            </w:r>
            <w:r>
              <w:rPr>
                <w:sz w:val="17"/>
                <w:szCs w:val="17"/>
              </w:rPr>
              <w:t xml:space="preserve"> for “significant” cross border activity is overly simplistic and not risk based. </w:t>
            </w:r>
          </w:p>
        </w:tc>
        <w:tc>
          <w:tcPr>
            <w:tcW w:w="2832" w:type="dxa"/>
          </w:tcPr>
          <w:p w14:paraId="357B0F15" w14:textId="5343CF73" w:rsidR="00AB514A" w:rsidRPr="00765D77" w:rsidRDefault="00AB514A" w:rsidP="00AB514A">
            <w:pPr>
              <w:spacing w:after="200" w:line="276" w:lineRule="auto"/>
              <w:rPr>
                <w:sz w:val="17"/>
                <w:szCs w:val="17"/>
              </w:rPr>
            </w:pPr>
            <w:r w:rsidRPr="00BD5AF9">
              <w:rPr>
                <w:b/>
                <w:bCs/>
                <w:color w:val="FF0000"/>
                <w:sz w:val="17"/>
                <w:szCs w:val="17"/>
              </w:rPr>
              <w:t>[Negative</w:t>
            </w:r>
            <w:r w:rsidRPr="00776AA1">
              <w:rPr>
                <w:b/>
                <w:bCs/>
                <w:color w:val="FF0000"/>
                <w:sz w:val="17"/>
                <w:szCs w:val="17"/>
              </w:rPr>
              <w:t>]</w:t>
            </w:r>
            <w:r>
              <w:rPr>
                <w:b/>
                <w:bCs/>
                <w:color w:val="E36C0A" w:themeColor="accent6" w:themeShade="BF"/>
                <w:sz w:val="17"/>
                <w:szCs w:val="17"/>
              </w:rPr>
              <w:t xml:space="preserve"> </w:t>
            </w:r>
            <w:r>
              <w:rPr>
                <w:sz w:val="17"/>
                <w:szCs w:val="17"/>
              </w:rPr>
              <w:t>FR compromise proposal includes new definition of “</w:t>
            </w:r>
            <w:r w:rsidRPr="00862E14">
              <w:rPr>
                <w:sz w:val="17"/>
                <w:szCs w:val="17"/>
              </w:rPr>
              <w:t>significant</w:t>
            </w:r>
            <w:r w:rsidRPr="00CD4477">
              <w:rPr>
                <w:sz w:val="17"/>
                <w:szCs w:val="17"/>
              </w:rPr>
              <w:t xml:space="preserve"> </w:t>
            </w:r>
            <w:r w:rsidRPr="00765D77">
              <w:rPr>
                <w:sz w:val="17"/>
                <w:szCs w:val="17"/>
              </w:rPr>
              <w:t>cross border activities”. These are defined as either</w:t>
            </w:r>
          </w:p>
          <w:p w14:paraId="4CFE6D99" w14:textId="77777777" w:rsidR="00AB514A" w:rsidRPr="00765D77" w:rsidRDefault="00AB514A" w:rsidP="00AB514A">
            <w:pPr>
              <w:spacing w:after="200" w:line="276" w:lineRule="auto"/>
              <w:rPr>
                <w:sz w:val="17"/>
                <w:szCs w:val="17"/>
              </w:rPr>
            </w:pPr>
            <w:r w:rsidRPr="00765D77">
              <w:rPr>
                <w:sz w:val="17"/>
                <w:szCs w:val="17"/>
              </w:rPr>
              <w:t>1. where FoS/FoE activities exceed €15m GWP</w:t>
            </w:r>
          </w:p>
          <w:p w14:paraId="57BF5FAC" w14:textId="61298A6D" w:rsidR="00AB514A" w:rsidRDefault="00AB514A" w:rsidP="00AB514A">
            <w:pPr>
              <w:spacing w:after="200" w:line="276" w:lineRule="auto"/>
              <w:rPr>
                <w:sz w:val="17"/>
                <w:szCs w:val="17"/>
              </w:rPr>
            </w:pPr>
            <w:r w:rsidRPr="00765D77">
              <w:rPr>
                <w:sz w:val="17"/>
                <w:szCs w:val="17"/>
              </w:rPr>
              <w:t xml:space="preserve">2. activities are considered </w:t>
            </w:r>
            <w:r>
              <w:rPr>
                <w:sz w:val="17"/>
                <w:szCs w:val="17"/>
              </w:rPr>
              <w:t>relevant/</w:t>
            </w:r>
            <w:r w:rsidRPr="00765D77">
              <w:rPr>
                <w:sz w:val="17"/>
                <w:szCs w:val="17"/>
              </w:rPr>
              <w:t>sensitive by host NSA</w:t>
            </w:r>
            <w:r>
              <w:rPr>
                <w:sz w:val="17"/>
                <w:szCs w:val="17"/>
              </w:rPr>
              <w:t xml:space="preserve"> </w:t>
            </w:r>
          </w:p>
          <w:p w14:paraId="63C62233" w14:textId="77777777" w:rsidR="00AB514A" w:rsidRDefault="00AB514A" w:rsidP="00AB514A">
            <w:pPr>
              <w:spacing w:after="200" w:line="276" w:lineRule="auto"/>
              <w:rPr>
                <w:sz w:val="17"/>
                <w:szCs w:val="17"/>
              </w:rPr>
            </w:pPr>
            <w:r>
              <w:rPr>
                <w:sz w:val="17"/>
                <w:szCs w:val="17"/>
              </w:rPr>
              <w:t xml:space="preserve">Where activities are considered sensitive by the host NSA, then host NSA must inform home NSA who has right to disagree with EIOPA given remedial powers. </w:t>
            </w:r>
          </w:p>
          <w:p w14:paraId="431ADAC4" w14:textId="77777777" w:rsidR="00AB514A" w:rsidRDefault="00AB514A" w:rsidP="00AB514A">
            <w:pPr>
              <w:spacing w:after="200" w:line="276" w:lineRule="auto"/>
              <w:rPr>
                <w:sz w:val="17"/>
                <w:szCs w:val="17"/>
              </w:rPr>
            </w:pPr>
            <w:r>
              <w:rPr>
                <w:sz w:val="17"/>
                <w:szCs w:val="17"/>
              </w:rPr>
              <w:t>It also proposes more limited EIOPA powers to initiate on-site inspections.</w:t>
            </w:r>
          </w:p>
          <w:p w14:paraId="78475BAE" w14:textId="77777777" w:rsidR="00AB514A" w:rsidRDefault="00AB514A" w:rsidP="00AB514A">
            <w:pPr>
              <w:spacing w:after="200" w:line="276" w:lineRule="auto"/>
              <w:rPr>
                <w:sz w:val="17"/>
                <w:szCs w:val="17"/>
              </w:rPr>
            </w:pPr>
            <w:r>
              <w:rPr>
                <w:sz w:val="17"/>
                <w:szCs w:val="17"/>
              </w:rPr>
              <w:t>EIOPA is requested to issue guidelines in relation to Art 33a and Art 159a specifying conditions under which insurers are deemed relevant for the local market of the host MS.</w:t>
            </w:r>
          </w:p>
          <w:p w14:paraId="335CB8F0" w14:textId="6495112E" w:rsidR="00AB514A" w:rsidRDefault="00AB514A" w:rsidP="00AB514A">
            <w:pPr>
              <w:spacing w:after="200" w:line="276" w:lineRule="auto"/>
              <w:rPr>
                <w:sz w:val="17"/>
                <w:szCs w:val="17"/>
              </w:rPr>
            </w:pPr>
            <w:r>
              <w:rPr>
                <w:sz w:val="17"/>
                <w:szCs w:val="17"/>
              </w:rPr>
              <w:lastRenderedPageBreak/>
              <w:t xml:space="preserve">Regarding information requests, the </w:t>
            </w:r>
            <w:r w:rsidRPr="00361F9F">
              <w:rPr>
                <w:sz w:val="17"/>
                <w:szCs w:val="17"/>
              </w:rPr>
              <w:t xml:space="preserve">FR presidency </w:t>
            </w:r>
            <w:r>
              <w:rPr>
                <w:sz w:val="17"/>
                <w:szCs w:val="17"/>
              </w:rPr>
              <w:t>has also proposed that host NSA can only contact an undertaking directly where the home NSA does not provide a response within 2 weeks of the request.</w:t>
            </w:r>
          </w:p>
        </w:tc>
        <w:tc>
          <w:tcPr>
            <w:tcW w:w="2126" w:type="dxa"/>
          </w:tcPr>
          <w:p w14:paraId="34867257" w14:textId="69DBA13F" w:rsidR="00624494" w:rsidRPr="00C76D1C" w:rsidRDefault="003D3FAA" w:rsidP="00AB514A">
            <w:pPr>
              <w:spacing w:after="200" w:line="276" w:lineRule="auto"/>
              <w:rPr>
                <w:sz w:val="17"/>
                <w:szCs w:val="17"/>
              </w:rPr>
            </w:pPr>
            <w:r w:rsidRPr="00BD5AF9">
              <w:rPr>
                <w:b/>
                <w:bCs/>
                <w:color w:val="00B050"/>
                <w:sz w:val="17"/>
                <w:szCs w:val="17"/>
              </w:rPr>
              <w:lastRenderedPageBreak/>
              <w:t>[Positive]</w:t>
            </w:r>
            <w:r w:rsidR="00F800A9">
              <w:rPr>
                <w:b/>
                <w:bCs/>
                <w:color w:val="00B050"/>
                <w:sz w:val="17"/>
                <w:szCs w:val="17"/>
              </w:rPr>
              <w:t xml:space="preserve"> </w:t>
            </w:r>
            <w:r w:rsidR="00F800A9">
              <w:rPr>
                <w:sz w:val="17"/>
                <w:szCs w:val="17"/>
              </w:rPr>
              <w:t>T</w:t>
            </w:r>
            <w:r w:rsidR="00624494" w:rsidRPr="00C76D1C">
              <w:rPr>
                <w:sz w:val="17"/>
                <w:szCs w:val="17"/>
              </w:rPr>
              <w:t xml:space="preserve">he EP </w:t>
            </w:r>
            <w:r w:rsidR="00C76D1C" w:rsidRPr="00C76D1C">
              <w:rPr>
                <w:sz w:val="17"/>
                <w:szCs w:val="17"/>
              </w:rPr>
              <w:t xml:space="preserve">draft report </w:t>
            </w:r>
            <w:r w:rsidR="00E513DC">
              <w:rPr>
                <w:sz w:val="17"/>
                <w:szCs w:val="17"/>
              </w:rPr>
              <w:t>proposes</w:t>
            </w:r>
            <w:r w:rsidR="00C76D1C" w:rsidRPr="00C76D1C">
              <w:rPr>
                <w:sz w:val="17"/>
                <w:szCs w:val="17"/>
              </w:rPr>
              <w:t>:</w:t>
            </w:r>
          </w:p>
          <w:p w14:paraId="727FCF9B" w14:textId="203EA2B6" w:rsidR="00AB514A" w:rsidRPr="004028FC" w:rsidRDefault="00920762" w:rsidP="003D3FAA">
            <w:pPr>
              <w:pStyle w:val="CEABullet-Level1"/>
              <w:rPr>
                <w:color w:val="auto"/>
              </w:rPr>
            </w:pPr>
            <w:r w:rsidRPr="004028FC">
              <w:rPr>
                <w:color w:val="auto"/>
              </w:rPr>
              <w:t xml:space="preserve">Significant cross border activity </w:t>
            </w:r>
            <w:r w:rsidR="008E3225">
              <w:rPr>
                <w:color w:val="auto"/>
              </w:rPr>
              <w:t>=</w:t>
            </w:r>
            <w:r w:rsidRPr="004028FC">
              <w:rPr>
                <w:color w:val="auto"/>
              </w:rPr>
              <w:t xml:space="preserve"> higher than 25% of annual GWP</w:t>
            </w:r>
            <w:r w:rsidR="005749E1">
              <w:rPr>
                <w:color w:val="auto"/>
              </w:rPr>
              <w:t xml:space="preserve"> in given host country. </w:t>
            </w:r>
          </w:p>
          <w:p w14:paraId="59F7F1B4" w14:textId="25E15AB4" w:rsidR="00060203" w:rsidRPr="00B44BF0" w:rsidRDefault="006A6A08" w:rsidP="003D3FAA">
            <w:pPr>
              <w:pStyle w:val="CEABullet-Level1"/>
              <w:rPr>
                <w:color w:val="E36C0A" w:themeColor="accent6" w:themeShade="BF"/>
              </w:rPr>
            </w:pPr>
            <w:r w:rsidRPr="004028FC">
              <w:rPr>
                <w:color w:val="auto"/>
              </w:rPr>
              <w:t>Addition of a requirement for the</w:t>
            </w:r>
            <w:r w:rsidR="0061373E" w:rsidRPr="004028FC">
              <w:rPr>
                <w:color w:val="auto"/>
              </w:rPr>
              <w:t xml:space="preserve"> host NSA to cooperate with the home NSA (Art </w:t>
            </w:r>
            <w:r w:rsidR="0063002C" w:rsidRPr="004028FC">
              <w:rPr>
                <w:color w:val="auto"/>
              </w:rPr>
              <w:t>33a(</w:t>
            </w:r>
            <w:r w:rsidR="00BA68AD" w:rsidRPr="004028FC">
              <w:rPr>
                <w:color w:val="auto"/>
              </w:rPr>
              <w:t>1</w:t>
            </w:r>
            <w:r w:rsidR="0063002C" w:rsidRPr="004028FC">
              <w:rPr>
                <w:color w:val="auto"/>
              </w:rPr>
              <w:t>)</w:t>
            </w:r>
            <w:r w:rsidR="003E55EF">
              <w:rPr>
                <w:color w:val="auto"/>
              </w:rPr>
              <w:t>, A76</w:t>
            </w:r>
            <w:r w:rsidR="004028FC" w:rsidRPr="004028FC">
              <w:rPr>
                <w:color w:val="auto"/>
              </w:rPr>
              <w:t>)</w:t>
            </w:r>
          </w:p>
          <w:p w14:paraId="031E28FF" w14:textId="7E199DD6" w:rsidR="00FD72D4" w:rsidRPr="00A52894" w:rsidRDefault="00FD72D4" w:rsidP="003D3FAA">
            <w:pPr>
              <w:pStyle w:val="CEABullet-Level1"/>
              <w:rPr>
                <w:color w:val="E36C0A" w:themeColor="accent6" w:themeShade="BF"/>
              </w:rPr>
            </w:pPr>
            <w:r w:rsidRPr="007C2955">
              <w:rPr>
                <w:color w:val="auto"/>
              </w:rPr>
              <w:t xml:space="preserve">EIOPA </w:t>
            </w:r>
            <w:r w:rsidRPr="007C2955">
              <w:rPr>
                <w:color w:val="auto"/>
                <w:u w:val="single"/>
              </w:rPr>
              <w:t>shall</w:t>
            </w:r>
            <w:r w:rsidRPr="007C2955">
              <w:rPr>
                <w:color w:val="auto"/>
              </w:rPr>
              <w:t xml:space="preserve"> set up a </w:t>
            </w:r>
            <w:r w:rsidR="008B4B40" w:rsidRPr="007C2955">
              <w:rPr>
                <w:color w:val="auto"/>
              </w:rPr>
              <w:t>collaboration platform.</w:t>
            </w:r>
            <w:r w:rsidR="000D5533">
              <w:rPr>
                <w:color w:val="auto"/>
              </w:rPr>
              <w:t xml:space="preserve"> And NSAs shall </w:t>
            </w:r>
            <w:r w:rsidR="00280E71">
              <w:rPr>
                <w:color w:val="auto"/>
              </w:rPr>
              <w:t xml:space="preserve">timely </w:t>
            </w:r>
            <w:r w:rsidR="00EC132D">
              <w:rPr>
                <w:color w:val="auto"/>
              </w:rPr>
              <w:t xml:space="preserve">submit all information </w:t>
            </w:r>
            <w:r w:rsidR="007F2D26">
              <w:rPr>
                <w:color w:val="auto"/>
              </w:rPr>
              <w:t xml:space="preserve">available </w:t>
            </w:r>
            <w:r w:rsidR="007F2D26" w:rsidRPr="007C2955">
              <w:rPr>
                <w:color w:val="auto"/>
              </w:rPr>
              <w:t>(</w:t>
            </w:r>
            <w:r w:rsidR="008B4B40" w:rsidRPr="007C2955">
              <w:rPr>
                <w:color w:val="auto"/>
              </w:rPr>
              <w:t>Art 152b (1)(2)/A162)</w:t>
            </w:r>
          </w:p>
          <w:p w14:paraId="0C426C6C" w14:textId="282A2279" w:rsidR="00A52894" w:rsidRPr="00D64B3A" w:rsidRDefault="00C530C8" w:rsidP="003D3FAA">
            <w:pPr>
              <w:pStyle w:val="CEABullet-Level1"/>
              <w:rPr>
                <w:color w:val="E36C0A" w:themeColor="accent6" w:themeShade="BF"/>
              </w:rPr>
            </w:pPr>
            <w:r>
              <w:rPr>
                <w:color w:val="auto"/>
              </w:rPr>
              <w:t xml:space="preserve">Proposal to allow direct requests from Host NSAs to undertakings is deleted </w:t>
            </w:r>
            <w:r w:rsidR="00490565" w:rsidRPr="000B2B27">
              <w:rPr>
                <w:color w:val="auto"/>
              </w:rPr>
              <w:t>(Art 153(1)/A</w:t>
            </w:r>
            <w:r w:rsidR="000B2B27" w:rsidRPr="000B2B27">
              <w:rPr>
                <w:color w:val="auto"/>
              </w:rPr>
              <w:t>165)</w:t>
            </w:r>
          </w:p>
          <w:p w14:paraId="5094FE5F" w14:textId="0F0664F2" w:rsidR="00D64B3A" w:rsidRDefault="00D64B3A" w:rsidP="003D3FAA">
            <w:pPr>
              <w:pStyle w:val="CEABullet-Level1"/>
              <w:rPr>
                <w:color w:val="E36C0A" w:themeColor="accent6" w:themeShade="BF"/>
              </w:rPr>
            </w:pPr>
            <w:r w:rsidRPr="00305FC8">
              <w:rPr>
                <w:color w:val="auto"/>
              </w:rPr>
              <w:lastRenderedPageBreak/>
              <w:t xml:space="preserve">Additional requirements </w:t>
            </w:r>
            <w:r w:rsidR="00A4766A" w:rsidRPr="00305FC8">
              <w:rPr>
                <w:color w:val="auto"/>
              </w:rPr>
              <w:t xml:space="preserve">related to significant cross-border activities are removed (Art </w:t>
            </w:r>
            <w:r w:rsidR="00305FC8" w:rsidRPr="00305FC8">
              <w:rPr>
                <w:color w:val="auto"/>
              </w:rPr>
              <w:t>159a</w:t>
            </w:r>
            <w:r w:rsidR="00305FC8">
              <w:rPr>
                <w:color w:val="auto"/>
              </w:rPr>
              <w:t>/A166</w:t>
            </w:r>
            <w:r w:rsidR="00305FC8" w:rsidRPr="00305FC8">
              <w:rPr>
                <w:color w:val="auto"/>
              </w:rPr>
              <w:t>)</w:t>
            </w:r>
            <w:r w:rsidR="00B22671" w:rsidRPr="00305FC8">
              <w:rPr>
                <w:color w:val="E36C0A" w:themeColor="accent6" w:themeShade="BF"/>
              </w:rPr>
              <w:t xml:space="preserve"> </w:t>
            </w:r>
          </w:p>
        </w:tc>
        <w:tc>
          <w:tcPr>
            <w:tcW w:w="3544" w:type="dxa"/>
          </w:tcPr>
          <w:p w14:paraId="1D0E12ED" w14:textId="371142E8" w:rsidR="00AB514A" w:rsidRPr="00F15250" w:rsidRDefault="00A74024" w:rsidP="00AB514A">
            <w:pPr>
              <w:spacing w:after="200" w:line="276" w:lineRule="auto"/>
              <w:rPr>
                <w:sz w:val="17"/>
                <w:szCs w:val="17"/>
                <w:highlight w:val="yellow"/>
              </w:rPr>
            </w:pPr>
            <w:r w:rsidRPr="00BD5AF9">
              <w:rPr>
                <w:b/>
                <w:bCs/>
                <w:color w:val="00B050"/>
                <w:sz w:val="17"/>
                <w:szCs w:val="17"/>
              </w:rPr>
              <w:lastRenderedPageBreak/>
              <w:t>[Positive]</w:t>
            </w:r>
            <w:r w:rsidR="00AB514A" w:rsidRPr="005B3EFA">
              <w:rPr>
                <w:b/>
                <w:color w:val="F79646" w:themeColor="accent6"/>
                <w:sz w:val="17"/>
                <w:szCs w:val="17"/>
              </w:rPr>
              <w:t xml:space="preserve"> </w:t>
            </w:r>
            <w:r w:rsidR="00AB514A" w:rsidRPr="00DF2407">
              <w:rPr>
                <w:sz w:val="17"/>
                <w:szCs w:val="17"/>
              </w:rPr>
              <w:t>New FR compromise text definition of significant cross border activities may result in a more targeted identification of problem insurers doing cross border business and better deal</w:t>
            </w:r>
            <w:r w:rsidR="00DF2407">
              <w:rPr>
                <w:sz w:val="17"/>
                <w:szCs w:val="17"/>
              </w:rPr>
              <w:t>s</w:t>
            </w:r>
            <w:r w:rsidR="00AB514A" w:rsidRPr="00DF2407">
              <w:rPr>
                <w:sz w:val="17"/>
                <w:szCs w:val="17"/>
              </w:rPr>
              <w:t xml:space="preserve"> with the issue. However, the “either-or-nature” of the requirement, maintaining a GWP-based threshold (per host MS) and the low level of the GWP-threshold (15m identical with Art. 4(1) threshold) might not be necessary.</w:t>
            </w:r>
          </w:p>
          <w:p w14:paraId="497F6406" w14:textId="77777777" w:rsidR="00AB514A" w:rsidRDefault="00AB514A" w:rsidP="00AB514A">
            <w:pPr>
              <w:spacing w:after="200" w:line="276" w:lineRule="auto"/>
              <w:rPr>
                <w:sz w:val="17"/>
                <w:szCs w:val="17"/>
              </w:rPr>
            </w:pPr>
            <w:r w:rsidRPr="00A670FC">
              <w:rPr>
                <w:sz w:val="17"/>
                <w:szCs w:val="17"/>
              </w:rPr>
              <w:t>The changes also do not address the industry concerns about inclusion of reinsurers, captives or entities covered by supervisory colleges.</w:t>
            </w:r>
            <w:r>
              <w:rPr>
                <w:sz w:val="17"/>
                <w:szCs w:val="17"/>
              </w:rPr>
              <w:t xml:space="preserve"> </w:t>
            </w:r>
          </w:p>
          <w:p w14:paraId="330D84F4" w14:textId="77777777" w:rsidR="00AB514A" w:rsidRPr="00141CF3" w:rsidRDefault="00AB514A" w:rsidP="00AB514A">
            <w:pPr>
              <w:spacing w:after="200" w:line="276" w:lineRule="auto"/>
              <w:rPr>
                <w:sz w:val="17"/>
                <w:szCs w:val="17"/>
              </w:rPr>
            </w:pPr>
            <w:r>
              <w:rPr>
                <w:sz w:val="17"/>
                <w:szCs w:val="17"/>
              </w:rPr>
              <w:t xml:space="preserve">On the positive side, the FR compromise proposal to limit EIOPA powers to initiate on-site inspections </w:t>
            </w:r>
            <w:r w:rsidRPr="00141CF3">
              <w:rPr>
                <w:sz w:val="17"/>
                <w:szCs w:val="17"/>
              </w:rPr>
              <w:t xml:space="preserve">is welcomed.  </w:t>
            </w:r>
          </w:p>
          <w:p w14:paraId="48208996" w14:textId="420105A9" w:rsidR="007F6955" w:rsidRDefault="005E6935" w:rsidP="00AB514A">
            <w:pPr>
              <w:spacing w:after="200" w:line="276" w:lineRule="auto"/>
              <w:rPr>
                <w:sz w:val="17"/>
                <w:szCs w:val="17"/>
              </w:rPr>
            </w:pPr>
            <w:r w:rsidRPr="00F15250">
              <w:rPr>
                <w:sz w:val="17"/>
                <w:szCs w:val="17"/>
              </w:rPr>
              <w:t xml:space="preserve">The </w:t>
            </w:r>
            <w:r w:rsidR="007D07B4" w:rsidRPr="00F15250">
              <w:rPr>
                <w:b/>
                <w:bCs/>
                <w:sz w:val="17"/>
                <w:szCs w:val="17"/>
              </w:rPr>
              <w:t>EP draft report</w:t>
            </w:r>
            <w:r w:rsidR="00E74E76" w:rsidRPr="00F15250">
              <w:rPr>
                <w:sz w:val="17"/>
                <w:szCs w:val="17"/>
              </w:rPr>
              <w:t xml:space="preserve"> </w:t>
            </w:r>
            <w:r w:rsidR="00731368">
              <w:rPr>
                <w:sz w:val="17"/>
                <w:szCs w:val="17"/>
              </w:rPr>
              <w:t xml:space="preserve">proposals </w:t>
            </w:r>
            <w:r w:rsidR="00E74E76" w:rsidRPr="00F15250">
              <w:rPr>
                <w:sz w:val="17"/>
                <w:szCs w:val="17"/>
              </w:rPr>
              <w:t>are a</w:t>
            </w:r>
            <w:r w:rsidR="00AE6EBA" w:rsidRPr="00F15250">
              <w:rPr>
                <w:sz w:val="17"/>
                <w:szCs w:val="17"/>
              </w:rPr>
              <w:t>n</w:t>
            </w:r>
            <w:r w:rsidR="00E74E76" w:rsidRPr="00F15250">
              <w:rPr>
                <w:sz w:val="17"/>
                <w:szCs w:val="17"/>
              </w:rPr>
              <w:t xml:space="preserve"> improvement compared to the EC proposals, </w:t>
            </w:r>
            <w:r w:rsidR="001932B4" w:rsidRPr="00F15250">
              <w:rPr>
                <w:sz w:val="17"/>
                <w:szCs w:val="17"/>
              </w:rPr>
              <w:t xml:space="preserve">in particular the </w:t>
            </w:r>
            <w:r w:rsidR="003477C0">
              <w:rPr>
                <w:sz w:val="17"/>
                <w:szCs w:val="17"/>
              </w:rPr>
              <w:t>mandatory cooperation on platforms and the duty for the host NCA to cooperate. The</w:t>
            </w:r>
            <w:r w:rsidR="001932B4" w:rsidRPr="00F15250">
              <w:rPr>
                <w:sz w:val="17"/>
                <w:szCs w:val="17"/>
              </w:rPr>
              <w:t xml:space="preserve"> </w:t>
            </w:r>
            <w:r w:rsidR="005B0B97" w:rsidRPr="00F15250">
              <w:rPr>
                <w:sz w:val="17"/>
                <w:szCs w:val="17"/>
              </w:rPr>
              <w:t xml:space="preserve">changed definition of </w:t>
            </w:r>
            <w:r w:rsidR="007B4B9B" w:rsidRPr="00F15250">
              <w:rPr>
                <w:sz w:val="17"/>
                <w:szCs w:val="17"/>
              </w:rPr>
              <w:t>significant cross border business</w:t>
            </w:r>
            <w:r w:rsidR="0030406D">
              <w:rPr>
                <w:sz w:val="17"/>
                <w:szCs w:val="17"/>
              </w:rPr>
              <w:t xml:space="preserve"> does not solve the issue of identifying critical or </w:t>
            </w:r>
            <w:r w:rsidR="0030406D">
              <w:rPr>
                <w:sz w:val="17"/>
                <w:szCs w:val="17"/>
              </w:rPr>
              <w:lastRenderedPageBreak/>
              <w:t>unsustainable business models</w:t>
            </w:r>
            <w:r w:rsidR="00C4371D">
              <w:rPr>
                <w:sz w:val="17"/>
                <w:szCs w:val="17"/>
              </w:rPr>
              <w:t xml:space="preserve"> and represents only a minor </w:t>
            </w:r>
            <w:r w:rsidR="0030406D">
              <w:rPr>
                <w:sz w:val="17"/>
                <w:szCs w:val="17"/>
              </w:rPr>
              <w:t>improvement</w:t>
            </w:r>
            <w:r w:rsidR="00AE79C8" w:rsidRPr="00F15250">
              <w:rPr>
                <w:sz w:val="17"/>
                <w:szCs w:val="17"/>
              </w:rPr>
              <w:t xml:space="preserve">. </w:t>
            </w:r>
          </w:p>
          <w:p w14:paraId="703033C9" w14:textId="77105794" w:rsidR="00562F58" w:rsidRDefault="00AE79C8" w:rsidP="00AB514A">
            <w:pPr>
              <w:spacing w:after="200" w:line="276" w:lineRule="auto"/>
              <w:rPr>
                <w:sz w:val="17"/>
                <w:szCs w:val="17"/>
              </w:rPr>
            </w:pPr>
            <w:r w:rsidRPr="00F15250">
              <w:rPr>
                <w:sz w:val="17"/>
                <w:szCs w:val="17"/>
              </w:rPr>
              <w:t>The pro</w:t>
            </w:r>
            <w:r w:rsidR="00141CF3">
              <w:rPr>
                <w:sz w:val="17"/>
                <w:szCs w:val="17"/>
              </w:rPr>
              <w:t>p</w:t>
            </w:r>
            <w:r w:rsidRPr="00F15250">
              <w:rPr>
                <w:sz w:val="17"/>
                <w:szCs w:val="17"/>
              </w:rPr>
              <w:t xml:space="preserve">osal </w:t>
            </w:r>
            <w:r w:rsidR="00900FF9" w:rsidRPr="00F15250">
              <w:rPr>
                <w:sz w:val="17"/>
                <w:szCs w:val="17"/>
              </w:rPr>
              <w:t>that the home NSA and not the insurer</w:t>
            </w:r>
            <w:r w:rsidR="005212C6">
              <w:rPr>
                <w:sz w:val="17"/>
                <w:szCs w:val="17"/>
              </w:rPr>
              <w:t xml:space="preserve"> directly</w:t>
            </w:r>
            <w:r w:rsidR="00900FF9" w:rsidRPr="00F15250">
              <w:rPr>
                <w:sz w:val="17"/>
                <w:szCs w:val="17"/>
              </w:rPr>
              <w:t xml:space="preserve"> is responsible for </w:t>
            </w:r>
            <w:r w:rsidR="00EA23AD" w:rsidRPr="00F15250">
              <w:rPr>
                <w:sz w:val="17"/>
                <w:szCs w:val="17"/>
              </w:rPr>
              <w:t>the provision of information</w:t>
            </w:r>
            <w:r w:rsidR="00141CF3" w:rsidRPr="00F15250">
              <w:rPr>
                <w:sz w:val="17"/>
                <w:szCs w:val="17"/>
              </w:rPr>
              <w:t xml:space="preserve"> </w:t>
            </w:r>
            <w:r w:rsidR="00A42B5A">
              <w:rPr>
                <w:sz w:val="17"/>
                <w:szCs w:val="17"/>
              </w:rPr>
              <w:t xml:space="preserve">appears </w:t>
            </w:r>
            <w:r w:rsidR="00141CF3" w:rsidRPr="00F15250">
              <w:rPr>
                <w:sz w:val="17"/>
                <w:szCs w:val="17"/>
              </w:rPr>
              <w:t>consistent with IE position</w:t>
            </w:r>
            <w:r w:rsidR="00EA23AD" w:rsidRPr="00F15250">
              <w:rPr>
                <w:sz w:val="17"/>
                <w:szCs w:val="17"/>
              </w:rPr>
              <w:t>.</w:t>
            </w:r>
            <w:r w:rsidR="00EA23AD">
              <w:rPr>
                <w:sz w:val="17"/>
                <w:szCs w:val="17"/>
              </w:rPr>
              <w:t xml:space="preserve"> </w:t>
            </w:r>
            <w:r w:rsidR="00A42B5A">
              <w:rPr>
                <w:sz w:val="17"/>
                <w:szCs w:val="17"/>
              </w:rPr>
              <w:t xml:space="preserve">However, </w:t>
            </w:r>
            <w:r w:rsidR="0053223A">
              <w:rPr>
                <w:sz w:val="17"/>
                <w:szCs w:val="17"/>
              </w:rPr>
              <w:t>there</w:t>
            </w:r>
            <w:r w:rsidR="00F06838">
              <w:rPr>
                <w:sz w:val="17"/>
                <w:szCs w:val="17"/>
              </w:rPr>
              <w:t xml:space="preserve"> is</w:t>
            </w:r>
            <w:r w:rsidR="0053223A">
              <w:rPr>
                <w:sz w:val="17"/>
                <w:szCs w:val="17"/>
              </w:rPr>
              <w:t xml:space="preserve"> </w:t>
            </w:r>
            <w:r w:rsidR="00752512">
              <w:rPr>
                <w:sz w:val="17"/>
                <w:szCs w:val="17"/>
              </w:rPr>
              <w:t>no trigger point which would be preferred by some members</w:t>
            </w:r>
            <w:r w:rsidR="00C62CEC">
              <w:rPr>
                <w:sz w:val="17"/>
                <w:szCs w:val="17"/>
              </w:rPr>
              <w:t>.</w:t>
            </w:r>
            <w:r w:rsidR="00752512">
              <w:rPr>
                <w:sz w:val="17"/>
                <w:szCs w:val="17"/>
              </w:rPr>
              <w:t xml:space="preserve"> </w:t>
            </w:r>
          </w:p>
          <w:p w14:paraId="6BD58E71" w14:textId="3D603C01" w:rsidR="005E6935" w:rsidRDefault="0053223A" w:rsidP="00AB514A">
            <w:pPr>
              <w:spacing w:after="200" w:line="276" w:lineRule="auto"/>
              <w:rPr>
                <w:sz w:val="17"/>
                <w:szCs w:val="17"/>
              </w:rPr>
            </w:pPr>
            <w:r>
              <w:rPr>
                <w:sz w:val="17"/>
                <w:szCs w:val="17"/>
              </w:rPr>
              <w:t xml:space="preserve">EIOPA </w:t>
            </w:r>
            <w:r w:rsidR="00805842">
              <w:rPr>
                <w:sz w:val="17"/>
                <w:szCs w:val="17"/>
              </w:rPr>
              <w:t>should use its already existing structures (i</w:t>
            </w:r>
            <w:r w:rsidR="00781D16">
              <w:rPr>
                <w:sz w:val="17"/>
                <w:szCs w:val="17"/>
              </w:rPr>
              <w:t>e</w:t>
            </w:r>
            <w:r w:rsidR="00805842">
              <w:rPr>
                <w:sz w:val="17"/>
                <w:szCs w:val="17"/>
              </w:rPr>
              <w:t xml:space="preserve"> database) to facilitate the new platforms and reduce the administrative burden</w:t>
            </w:r>
            <w:r w:rsidR="00752512">
              <w:rPr>
                <w:sz w:val="17"/>
                <w:szCs w:val="17"/>
              </w:rPr>
              <w:t xml:space="preserve">. </w:t>
            </w:r>
          </w:p>
          <w:p w14:paraId="14AAA569" w14:textId="1F4DEC26" w:rsidR="004932A6" w:rsidRDefault="00AE3BC9" w:rsidP="00606C4B">
            <w:pPr>
              <w:spacing w:line="276" w:lineRule="auto"/>
              <w:rPr>
                <w:color w:val="1F497D" w:themeColor="text2"/>
                <w:sz w:val="17"/>
                <w:szCs w:val="17"/>
              </w:rPr>
            </w:pPr>
            <w:r>
              <w:rPr>
                <w:b/>
                <w:bCs/>
                <w:color w:val="1F497D" w:themeColor="text2"/>
                <w:sz w:val="17"/>
                <w:szCs w:val="17"/>
              </w:rPr>
              <w:t>W</w:t>
            </w:r>
            <w:r w:rsidR="006E3CCC">
              <w:rPr>
                <w:b/>
                <w:bCs/>
                <w:color w:val="1F497D" w:themeColor="text2"/>
                <w:sz w:val="17"/>
                <w:szCs w:val="17"/>
              </w:rPr>
              <w:t>ay forward:</w:t>
            </w:r>
            <w:r w:rsidR="001D5DF5">
              <w:rPr>
                <w:b/>
                <w:bCs/>
                <w:color w:val="1F497D" w:themeColor="text2"/>
                <w:sz w:val="17"/>
                <w:szCs w:val="17"/>
              </w:rPr>
              <w:t xml:space="preserve"> </w:t>
            </w:r>
            <w:r w:rsidR="002D62F4">
              <w:rPr>
                <w:color w:val="1F497D" w:themeColor="text2"/>
                <w:sz w:val="17"/>
                <w:szCs w:val="17"/>
              </w:rPr>
              <w:t>S</w:t>
            </w:r>
            <w:r w:rsidR="005A3DA3">
              <w:rPr>
                <w:color w:val="1F497D" w:themeColor="text2"/>
                <w:sz w:val="17"/>
                <w:szCs w:val="17"/>
              </w:rPr>
              <w:t>upport EP draft report with further amendment</w:t>
            </w:r>
            <w:r w:rsidR="002D62F4">
              <w:rPr>
                <w:color w:val="1F497D" w:themeColor="text2"/>
                <w:sz w:val="17"/>
                <w:szCs w:val="17"/>
              </w:rPr>
              <w:t>/refine</w:t>
            </w:r>
            <w:r w:rsidR="004932A6">
              <w:rPr>
                <w:color w:val="1F497D" w:themeColor="text2"/>
                <w:sz w:val="17"/>
                <w:szCs w:val="17"/>
              </w:rPr>
              <w:t xml:space="preserve">ments to their text </w:t>
            </w:r>
            <w:r w:rsidR="005A3DA3">
              <w:rPr>
                <w:color w:val="1F497D" w:themeColor="text2"/>
                <w:sz w:val="17"/>
                <w:szCs w:val="17"/>
              </w:rPr>
              <w:t xml:space="preserve">to </w:t>
            </w:r>
          </w:p>
          <w:p w14:paraId="282AFCF5" w14:textId="77CF78F6" w:rsidR="007F6831" w:rsidRPr="00606C4B" w:rsidRDefault="004A7194" w:rsidP="004932A6">
            <w:pPr>
              <w:pStyle w:val="Odsekzoznamu"/>
              <w:numPr>
                <w:ilvl w:val="0"/>
                <w:numId w:val="46"/>
              </w:numPr>
              <w:spacing w:after="200" w:line="276" w:lineRule="auto"/>
              <w:rPr>
                <w:sz w:val="17"/>
                <w:szCs w:val="17"/>
              </w:rPr>
            </w:pPr>
            <w:r>
              <w:rPr>
                <w:color w:val="1F497D" w:themeColor="text2"/>
                <w:sz w:val="17"/>
                <w:szCs w:val="17"/>
              </w:rPr>
              <w:t xml:space="preserve">Make platform idea </w:t>
            </w:r>
            <w:r w:rsidR="0007147A">
              <w:rPr>
                <w:color w:val="1F497D" w:themeColor="text2"/>
                <w:sz w:val="17"/>
                <w:szCs w:val="17"/>
              </w:rPr>
              <w:t xml:space="preserve">workable by adding a trigger that </w:t>
            </w:r>
            <w:r w:rsidR="00CA2A60">
              <w:rPr>
                <w:color w:val="1F497D" w:themeColor="text2"/>
                <w:sz w:val="17"/>
                <w:szCs w:val="17"/>
              </w:rPr>
              <w:t xml:space="preserve">platform shall be </w:t>
            </w:r>
            <w:r w:rsidR="00FF3A91">
              <w:rPr>
                <w:color w:val="1F497D" w:themeColor="text2"/>
                <w:sz w:val="17"/>
                <w:szCs w:val="17"/>
              </w:rPr>
              <w:t xml:space="preserve">established </w:t>
            </w:r>
            <w:r w:rsidR="007F6831">
              <w:rPr>
                <w:color w:val="1F497D" w:themeColor="text2"/>
                <w:sz w:val="17"/>
                <w:szCs w:val="17"/>
              </w:rPr>
              <w:t xml:space="preserve">at request of home or </w:t>
            </w:r>
            <w:r w:rsidR="00CA2A60">
              <w:rPr>
                <w:color w:val="1F497D" w:themeColor="text2"/>
                <w:sz w:val="17"/>
                <w:szCs w:val="17"/>
              </w:rPr>
              <w:t>host NSA</w:t>
            </w:r>
          </w:p>
          <w:p w14:paraId="072FA549" w14:textId="445651A4" w:rsidR="006E3CCC" w:rsidRPr="00D05A91" w:rsidRDefault="00B41B9A" w:rsidP="00606C4B">
            <w:pPr>
              <w:pStyle w:val="Odsekzoznamu"/>
              <w:numPr>
                <w:ilvl w:val="0"/>
                <w:numId w:val="46"/>
              </w:numPr>
              <w:spacing w:after="200" w:line="276" w:lineRule="auto"/>
              <w:rPr>
                <w:sz w:val="17"/>
                <w:szCs w:val="17"/>
              </w:rPr>
            </w:pPr>
            <w:r>
              <w:rPr>
                <w:color w:val="1F497D" w:themeColor="text2"/>
                <w:sz w:val="17"/>
                <w:szCs w:val="17"/>
              </w:rPr>
              <w:t>reintroduc</w:t>
            </w:r>
            <w:r w:rsidR="00F00A63">
              <w:rPr>
                <w:color w:val="1F497D" w:themeColor="text2"/>
                <w:sz w:val="17"/>
                <w:szCs w:val="17"/>
              </w:rPr>
              <w:t>tion of</w:t>
            </w:r>
            <w:r>
              <w:rPr>
                <w:color w:val="1F497D" w:themeColor="text2"/>
                <w:sz w:val="17"/>
                <w:szCs w:val="17"/>
              </w:rPr>
              <w:t xml:space="preserve"> the </w:t>
            </w:r>
            <w:r w:rsidR="0092542A">
              <w:rPr>
                <w:color w:val="1F497D" w:themeColor="text2"/>
                <w:sz w:val="17"/>
                <w:szCs w:val="17"/>
              </w:rPr>
              <w:t>possib</w:t>
            </w:r>
            <w:r w:rsidR="00995571">
              <w:rPr>
                <w:color w:val="1F497D" w:themeColor="text2"/>
                <w:sz w:val="17"/>
                <w:szCs w:val="17"/>
              </w:rPr>
              <w:t xml:space="preserve">ility of direct approach from host NSA in exceptional </w:t>
            </w:r>
            <w:r w:rsidR="00CE4648">
              <w:rPr>
                <w:color w:val="1F497D" w:themeColor="text2"/>
                <w:sz w:val="17"/>
                <w:szCs w:val="17"/>
              </w:rPr>
              <w:t xml:space="preserve">situations ie </w:t>
            </w:r>
            <w:r w:rsidR="004D7298">
              <w:rPr>
                <w:color w:val="1F497D" w:themeColor="text2"/>
                <w:sz w:val="17"/>
                <w:szCs w:val="17"/>
              </w:rPr>
              <w:t>where the home does not provide requested data within reasonable time</w:t>
            </w:r>
            <w:r w:rsidR="005A3DA3">
              <w:rPr>
                <w:color w:val="1F497D" w:themeColor="text2"/>
                <w:sz w:val="17"/>
                <w:szCs w:val="17"/>
              </w:rPr>
              <w:t>.</w:t>
            </w:r>
          </w:p>
        </w:tc>
      </w:tr>
    </w:tbl>
    <w:p w14:paraId="01448BC1" w14:textId="1AD2CDA8" w:rsidR="00D1418C" w:rsidRDefault="00D1418C" w:rsidP="00121913">
      <w:pPr>
        <w:spacing w:after="200" w:line="276" w:lineRule="auto"/>
        <w:rPr>
          <w:sz w:val="17"/>
          <w:szCs w:val="17"/>
        </w:rPr>
      </w:pPr>
      <w:r>
        <w:rPr>
          <w:sz w:val="17"/>
          <w:szCs w:val="17"/>
        </w:rPr>
        <w:lastRenderedPageBreak/>
        <w:br w:type="page"/>
      </w:r>
    </w:p>
    <w:tbl>
      <w:tblPr>
        <w:tblStyle w:val="Mriekatabuky"/>
        <w:tblW w:w="15026" w:type="dxa"/>
        <w:tblInd w:w="-289" w:type="dxa"/>
        <w:tblLook w:val="04A0" w:firstRow="1" w:lastRow="0" w:firstColumn="1" w:lastColumn="0" w:noHBand="0" w:noVBand="1"/>
      </w:tblPr>
      <w:tblGrid>
        <w:gridCol w:w="1541"/>
        <w:gridCol w:w="2107"/>
        <w:gridCol w:w="2335"/>
        <w:gridCol w:w="2523"/>
        <w:gridCol w:w="2693"/>
        <w:gridCol w:w="3827"/>
      </w:tblGrid>
      <w:tr w:rsidR="00AB514A" w14:paraId="67FB42A0" w14:textId="77777777" w:rsidTr="006F22E8">
        <w:trPr>
          <w:trHeight w:val="781"/>
        </w:trPr>
        <w:tc>
          <w:tcPr>
            <w:tcW w:w="1541" w:type="dxa"/>
          </w:tcPr>
          <w:p w14:paraId="3DB21C57" w14:textId="77777777" w:rsidR="00AB514A" w:rsidRDefault="00AB514A" w:rsidP="00121913">
            <w:pPr>
              <w:spacing w:after="200" w:line="276" w:lineRule="auto"/>
              <w:rPr>
                <w:sz w:val="17"/>
                <w:szCs w:val="17"/>
              </w:rPr>
            </w:pPr>
            <w:r w:rsidRPr="00491EB9">
              <w:rPr>
                <w:b/>
                <w:bCs/>
                <w:sz w:val="17"/>
                <w:szCs w:val="17"/>
              </w:rPr>
              <w:lastRenderedPageBreak/>
              <w:t>Topic</w:t>
            </w:r>
          </w:p>
        </w:tc>
        <w:tc>
          <w:tcPr>
            <w:tcW w:w="2107" w:type="dxa"/>
          </w:tcPr>
          <w:p w14:paraId="74F61C68" w14:textId="77777777" w:rsidR="00AB514A" w:rsidRDefault="00AB514A" w:rsidP="00121913">
            <w:pPr>
              <w:spacing w:after="200" w:line="276" w:lineRule="auto"/>
              <w:rPr>
                <w:sz w:val="17"/>
                <w:szCs w:val="17"/>
              </w:rPr>
            </w:pPr>
            <w:r w:rsidRPr="00491EB9">
              <w:rPr>
                <w:b/>
                <w:bCs/>
                <w:sz w:val="17"/>
                <w:szCs w:val="17"/>
              </w:rPr>
              <w:t>EIOPA proposal</w:t>
            </w:r>
          </w:p>
        </w:tc>
        <w:tc>
          <w:tcPr>
            <w:tcW w:w="2335" w:type="dxa"/>
          </w:tcPr>
          <w:p w14:paraId="20ACAF2E" w14:textId="77777777" w:rsidR="00AB514A" w:rsidRDefault="00AB514A" w:rsidP="00121913">
            <w:pPr>
              <w:spacing w:after="200" w:line="276" w:lineRule="auto"/>
              <w:rPr>
                <w:sz w:val="17"/>
                <w:szCs w:val="17"/>
              </w:rPr>
            </w:pPr>
            <w:r w:rsidRPr="00491EB9">
              <w:rPr>
                <w:b/>
                <w:bCs/>
                <w:sz w:val="17"/>
                <w:szCs w:val="17"/>
              </w:rPr>
              <w:t>European Commission proposal</w:t>
            </w:r>
          </w:p>
        </w:tc>
        <w:tc>
          <w:tcPr>
            <w:tcW w:w="2523" w:type="dxa"/>
          </w:tcPr>
          <w:p w14:paraId="1BC932AF" w14:textId="79A87A85" w:rsidR="00AB514A" w:rsidRDefault="00AB514A" w:rsidP="00121913">
            <w:pPr>
              <w:spacing w:after="200" w:line="276" w:lineRule="auto"/>
              <w:rPr>
                <w:sz w:val="17"/>
                <w:szCs w:val="17"/>
              </w:rPr>
            </w:pPr>
            <w:r w:rsidRPr="00491EB9">
              <w:rPr>
                <w:b/>
                <w:bCs/>
                <w:sz w:val="17"/>
                <w:szCs w:val="17"/>
              </w:rPr>
              <w:t>French presidency</w:t>
            </w:r>
            <w:r>
              <w:rPr>
                <w:b/>
                <w:bCs/>
                <w:sz w:val="17"/>
                <w:szCs w:val="17"/>
              </w:rPr>
              <w:t xml:space="preserve"> overall compromise proposal/EGBPI discussions</w:t>
            </w:r>
          </w:p>
        </w:tc>
        <w:tc>
          <w:tcPr>
            <w:tcW w:w="2693" w:type="dxa"/>
          </w:tcPr>
          <w:p w14:paraId="42BD51FF" w14:textId="314D8939" w:rsidR="00AB514A" w:rsidRDefault="00F66675" w:rsidP="00121913">
            <w:pPr>
              <w:spacing w:after="200" w:line="276" w:lineRule="auto"/>
              <w:rPr>
                <w:b/>
                <w:bCs/>
                <w:sz w:val="17"/>
                <w:szCs w:val="17"/>
              </w:rPr>
            </w:pPr>
            <w:r>
              <w:rPr>
                <w:b/>
                <w:bCs/>
                <w:sz w:val="17"/>
                <w:szCs w:val="17"/>
              </w:rPr>
              <w:t>EP draft report</w:t>
            </w:r>
          </w:p>
        </w:tc>
        <w:tc>
          <w:tcPr>
            <w:tcW w:w="3827" w:type="dxa"/>
          </w:tcPr>
          <w:p w14:paraId="10AA152E" w14:textId="7355EEF6" w:rsidR="00AB514A" w:rsidRDefault="00AB514A" w:rsidP="00121913">
            <w:pPr>
              <w:spacing w:after="200" w:line="276" w:lineRule="auto"/>
              <w:rPr>
                <w:sz w:val="17"/>
                <w:szCs w:val="17"/>
              </w:rPr>
            </w:pPr>
            <w:r>
              <w:rPr>
                <w:b/>
                <w:bCs/>
                <w:sz w:val="17"/>
                <w:szCs w:val="17"/>
              </w:rPr>
              <w:t>Secretariat assessment of current status</w:t>
            </w:r>
          </w:p>
        </w:tc>
      </w:tr>
      <w:tr w:rsidR="00AB514A" w14:paraId="00919F11" w14:textId="77777777" w:rsidTr="006F22E8">
        <w:trPr>
          <w:trHeight w:val="6571"/>
        </w:trPr>
        <w:tc>
          <w:tcPr>
            <w:tcW w:w="1541" w:type="dxa"/>
          </w:tcPr>
          <w:p w14:paraId="2D37E7D1" w14:textId="77777777" w:rsidR="00AB514A" w:rsidRDefault="00AB514A" w:rsidP="00121913">
            <w:pPr>
              <w:spacing w:after="200" w:line="276" w:lineRule="auto"/>
              <w:rPr>
                <w:sz w:val="17"/>
                <w:szCs w:val="17"/>
              </w:rPr>
            </w:pPr>
            <w:r>
              <w:rPr>
                <w:b/>
                <w:bCs/>
                <w:sz w:val="17"/>
                <w:szCs w:val="17"/>
              </w:rPr>
              <w:t>Sustainable finance</w:t>
            </w:r>
          </w:p>
        </w:tc>
        <w:tc>
          <w:tcPr>
            <w:tcW w:w="2107" w:type="dxa"/>
          </w:tcPr>
          <w:p w14:paraId="54C501C9" w14:textId="77777777" w:rsidR="00AB514A" w:rsidRDefault="00AB514A" w:rsidP="00121913">
            <w:pPr>
              <w:spacing w:after="200" w:line="276" w:lineRule="auto"/>
              <w:rPr>
                <w:sz w:val="17"/>
                <w:szCs w:val="17"/>
              </w:rPr>
            </w:pPr>
            <w:r w:rsidRPr="00BD5AF9">
              <w:rPr>
                <w:b/>
                <w:bCs/>
                <w:color w:val="00B050"/>
                <w:sz w:val="17"/>
                <w:szCs w:val="17"/>
              </w:rPr>
              <w:t>[</w:t>
            </w:r>
            <w:r w:rsidRPr="00BD5AF9" w:rsidDel="00822186">
              <w:rPr>
                <w:b/>
                <w:bCs/>
                <w:color w:val="00B050"/>
                <w:sz w:val="17"/>
                <w:szCs w:val="17"/>
              </w:rPr>
              <w:t>Positive</w:t>
            </w:r>
            <w:r w:rsidRPr="00BD5AF9">
              <w:rPr>
                <w:b/>
                <w:bCs/>
                <w:color w:val="00B050"/>
                <w:sz w:val="17"/>
                <w:szCs w:val="17"/>
              </w:rPr>
              <w:t>]</w:t>
            </w:r>
            <w:r>
              <w:rPr>
                <w:b/>
                <w:bCs/>
                <w:color w:val="00B050"/>
                <w:sz w:val="17"/>
                <w:szCs w:val="17"/>
              </w:rPr>
              <w:t xml:space="preserve"> </w:t>
            </w:r>
            <w:r>
              <w:rPr>
                <w:sz w:val="17"/>
                <w:szCs w:val="17"/>
              </w:rPr>
              <w:t xml:space="preserve">EIOPA’s recommended to recalibrate the natcat parameters on a frequent basis and to introduce climate change scenarios in the ORSA. </w:t>
            </w:r>
          </w:p>
        </w:tc>
        <w:tc>
          <w:tcPr>
            <w:tcW w:w="2335" w:type="dxa"/>
          </w:tcPr>
          <w:p w14:paraId="24E25317" w14:textId="77777777" w:rsidR="00AB514A" w:rsidRDefault="00AB514A" w:rsidP="00121913">
            <w:pPr>
              <w:spacing w:after="200" w:line="276" w:lineRule="auto"/>
              <w:rPr>
                <w:sz w:val="17"/>
                <w:szCs w:val="17"/>
              </w:rPr>
            </w:pPr>
            <w:r w:rsidRPr="00BD5AF9">
              <w:rPr>
                <w:b/>
                <w:bCs/>
                <w:color w:val="00B050"/>
                <w:sz w:val="17"/>
                <w:szCs w:val="17"/>
              </w:rPr>
              <w:t>[</w:t>
            </w:r>
            <w:r w:rsidRPr="00BD5AF9" w:rsidDel="004102B1">
              <w:rPr>
                <w:b/>
                <w:bCs/>
                <w:color w:val="00B050"/>
                <w:sz w:val="17"/>
                <w:szCs w:val="17"/>
              </w:rPr>
              <w:t>Positive</w:t>
            </w:r>
            <w:r w:rsidRPr="00BD5AF9">
              <w:rPr>
                <w:b/>
                <w:bCs/>
                <w:color w:val="00B050"/>
                <w:sz w:val="17"/>
                <w:szCs w:val="17"/>
              </w:rPr>
              <w:t>]</w:t>
            </w:r>
            <w:r>
              <w:rPr>
                <w:b/>
                <w:bCs/>
                <w:color w:val="00B050"/>
                <w:sz w:val="17"/>
                <w:szCs w:val="17"/>
              </w:rPr>
              <w:t xml:space="preserve"> </w:t>
            </w:r>
            <w:r w:rsidRPr="003B15F6">
              <w:rPr>
                <w:sz w:val="17"/>
                <w:szCs w:val="17"/>
              </w:rPr>
              <w:t>The EC proposes changes in line with the EIOPA recommendations</w:t>
            </w:r>
            <w:r>
              <w:rPr>
                <w:sz w:val="17"/>
                <w:szCs w:val="17"/>
              </w:rPr>
              <w:t xml:space="preserve"> and includes a mandate for EIOPA to report on whether GSF/BPF can be justified on a risk basis.</w:t>
            </w:r>
          </w:p>
        </w:tc>
        <w:tc>
          <w:tcPr>
            <w:tcW w:w="2523" w:type="dxa"/>
          </w:tcPr>
          <w:p w14:paraId="199A4F62" w14:textId="109BA352" w:rsidR="00AB514A" w:rsidRDefault="00AB514A" w:rsidP="00121913">
            <w:pPr>
              <w:tabs>
                <w:tab w:val="left" w:pos="3815"/>
              </w:tabs>
              <w:rPr>
                <w:sz w:val="17"/>
                <w:szCs w:val="17"/>
              </w:rPr>
            </w:pPr>
            <w:r w:rsidRPr="00BD5AF9">
              <w:rPr>
                <w:b/>
                <w:color w:val="E36C0A" w:themeColor="accent6" w:themeShade="BF"/>
                <w:sz w:val="17"/>
                <w:szCs w:val="17"/>
              </w:rPr>
              <w:t>[</w:t>
            </w:r>
            <w:r w:rsidRPr="00BD5AF9">
              <w:rPr>
                <w:b/>
                <w:bCs/>
                <w:color w:val="E36C0A" w:themeColor="accent6" w:themeShade="BF"/>
                <w:sz w:val="17"/>
                <w:szCs w:val="17"/>
              </w:rPr>
              <w:t>Neutral]</w:t>
            </w:r>
            <w:r>
              <w:rPr>
                <w:b/>
                <w:color w:val="E36C0A" w:themeColor="accent6" w:themeShade="BF"/>
                <w:sz w:val="17"/>
                <w:szCs w:val="17"/>
              </w:rPr>
              <w:t xml:space="preserve"> </w:t>
            </w:r>
            <w:r>
              <w:rPr>
                <w:sz w:val="17"/>
                <w:szCs w:val="17"/>
              </w:rPr>
              <w:t>FR compromise proposal includes</w:t>
            </w:r>
          </w:p>
          <w:p w14:paraId="4FE414A7" w14:textId="77777777" w:rsidR="00AB514A" w:rsidRDefault="00AB514A" w:rsidP="00121913">
            <w:pPr>
              <w:tabs>
                <w:tab w:val="left" w:pos="3815"/>
              </w:tabs>
              <w:rPr>
                <w:b/>
                <w:bCs/>
                <w:color w:val="00B050"/>
                <w:sz w:val="17"/>
                <w:szCs w:val="17"/>
              </w:rPr>
            </w:pPr>
          </w:p>
          <w:p w14:paraId="7BF93164" w14:textId="77777777" w:rsidR="00AB514A" w:rsidRDefault="00AB514A" w:rsidP="00121913">
            <w:pPr>
              <w:tabs>
                <w:tab w:val="left" w:pos="3815"/>
              </w:tabs>
              <w:rPr>
                <w:sz w:val="17"/>
                <w:szCs w:val="17"/>
              </w:rPr>
            </w:pPr>
            <w:r w:rsidRPr="0051077D">
              <w:rPr>
                <w:sz w:val="17"/>
                <w:szCs w:val="17"/>
              </w:rPr>
              <w:t xml:space="preserve">1.  </w:t>
            </w:r>
            <w:r>
              <w:rPr>
                <w:sz w:val="17"/>
                <w:szCs w:val="17"/>
              </w:rPr>
              <w:t>New</w:t>
            </w:r>
            <w:r w:rsidRPr="0051077D">
              <w:rPr>
                <w:sz w:val="17"/>
                <w:szCs w:val="17"/>
              </w:rPr>
              <w:t xml:space="preserve"> EIOPA </w:t>
            </w:r>
            <w:r>
              <w:rPr>
                <w:sz w:val="17"/>
                <w:szCs w:val="17"/>
              </w:rPr>
              <w:t>mandate to assess</w:t>
            </w:r>
            <w:r w:rsidRPr="0051077D">
              <w:rPr>
                <w:sz w:val="17"/>
                <w:szCs w:val="17"/>
              </w:rPr>
              <w:t xml:space="preserve"> biodiversity loss risks</w:t>
            </w:r>
            <w:r>
              <w:rPr>
                <w:sz w:val="17"/>
                <w:szCs w:val="17"/>
              </w:rPr>
              <w:t xml:space="preserve"> (as well as GSF/BPF factors)</w:t>
            </w:r>
          </w:p>
          <w:p w14:paraId="21E8CAA8" w14:textId="77777777" w:rsidR="00AB514A" w:rsidRPr="0051077D" w:rsidRDefault="00AB514A" w:rsidP="00121913">
            <w:pPr>
              <w:tabs>
                <w:tab w:val="left" w:pos="3815"/>
              </w:tabs>
              <w:rPr>
                <w:sz w:val="17"/>
                <w:szCs w:val="17"/>
              </w:rPr>
            </w:pPr>
          </w:p>
          <w:p w14:paraId="7AB35649" w14:textId="77777777" w:rsidR="00AB514A" w:rsidRDefault="00AB514A" w:rsidP="00121913">
            <w:pPr>
              <w:spacing w:after="200" w:line="276" w:lineRule="auto"/>
              <w:rPr>
                <w:sz w:val="17"/>
                <w:szCs w:val="17"/>
              </w:rPr>
            </w:pPr>
            <w:r>
              <w:rPr>
                <w:sz w:val="17"/>
                <w:szCs w:val="17"/>
              </w:rPr>
              <w:t>2</w:t>
            </w:r>
            <w:r w:rsidRPr="0051077D">
              <w:rPr>
                <w:sz w:val="17"/>
                <w:szCs w:val="17"/>
              </w:rPr>
              <w:t xml:space="preserve">. </w:t>
            </w:r>
            <w:r>
              <w:rPr>
                <w:sz w:val="17"/>
                <w:szCs w:val="17"/>
              </w:rPr>
              <w:t>Reduced f</w:t>
            </w:r>
            <w:r w:rsidRPr="0051077D">
              <w:rPr>
                <w:sz w:val="17"/>
                <w:szCs w:val="17"/>
              </w:rPr>
              <w:t>requency of recalibration of natcat parameters</w:t>
            </w:r>
            <w:r>
              <w:rPr>
                <w:sz w:val="17"/>
                <w:szCs w:val="17"/>
              </w:rPr>
              <w:t xml:space="preserve"> to 5 years                             </w:t>
            </w:r>
          </w:p>
          <w:p w14:paraId="4D0224C2" w14:textId="77777777" w:rsidR="00AB514A" w:rsidRDefault="00AB514A" w:rsidP="00121913">
            <w:pPr>
              <w:spacing w:after="200" w:line="276" w:lineRule="auto"/>
              <w:rPr>
                <w:sz w:val="17"/>
                <w:szCs w:val="17"/>
              </w:rPr>
            </w:pPr>
            <w:r>
              <w:rPr>
                <w:sz w:val="17"/>
                <w:szCs w:val="17"/>
              </w:rPr>
              <w:t xml:space="preserve">3.Clarification that EIOPA mandate on the GSF/BPF is not only on the assets side but include the liabilities.                        </w:t>
            </w:r>
          </w:p>
          <w:p w14:paraId="6648F23A" w14:textId="40CAF850" w:rsidR="00AB514A" w:rsidRDefault="00AB514A" w:rsidP="00121913">
            <w:pPr>
              <w:spacing w:after="200" w:line="276" w:lineRule="auto"/>
              <w:rPr>
                <w:sz w:val="17"/>
                <w:szCs w:val="17"/>
              </w:rPr>
            </w:pPr>
            <w:r>
              <w:rPr>
                <w:sz w:val="17"/>
                <w:szCs w:val="17"/>
              </w:rPr>
              <w:t xml:space="preserve">4. </w:t>
            </w:r>
            <w:r w:rsidRPr="00E119B9">
              <w:rPr>
                <w:sz w:val="17"/>
                <w:szCs w:val="17"/>
              </w:rPr>
              <w:t xml:space="preserve">ESAs </w:t>
            </w:r>
            <w:r>
              <w:rPr>
                <w:sz w:val="17"/>
                <w:szCs w:val="17"/>
              </w:rPr>
              <w:t>to</w:t>
            </w:r>
            <w:r w:rsidRPr="00E119B9">
              <w:rPr>
                <w:sz w:val="17"/>
                <w:szCs w:val="17"/>
              </w:rPr>
              <w:t xml:space="preserve"> develop guidelines </w:t>
            </w:r>
            <w:r>
              <w:rPr>
                <w:sz w:val="17"/>
                <w:szCs w:val="17"/>
              </w:rPr>
              <w:t xml:space="preserve">ensuring </w:t>
            </w:r>
            <w:r w:rsidRPr="00E119B9">
              <w:rPr>
                <w:sz w:val="17"/>
                <w:szCs w:val="17"/>
              </w:rPr>
              <w:t xml:space="preserve">common standards for assessment methodologies </w:t>
            </w:r>
            <w:r>
              <w:rPr>
                <w:sz w:val="17"/>
                <w:szCs w:val="17"/>
              </w:rPr>
              <w:t xml:space="preserve">for </w:t>
            </w:r>
            <w:r w:rsidRPr="00E119B9">
              <w:rPr>
                <w:sz w:val="17"/>
                <w:szCs w:val="17"/>
              </w:rPr>
              <w:t xml:space="preserve">stress testing of </w:t>
            </w:r>
            <w:r>
              <w:rPr>
                <w:sz w:val="17"/>
                <w:szCs w:val="17"/>
              </w:rPr>
              <w:t>ESG risks</w:t>
            </w:r>
            <w:r w:rsidRPr="00E119B9">
              <w:rPr>
                <w:sz w:val="17"/>
                <w:szCs w:val="17"/>
              </w:rPr>
              <w:t>.</w:t>
            </w:r>
          </w:p>
          <w:p w14:paraId="17818D6A" w14:textId="77777777" w:rsidR="00AB514A" w:rsidRDefault="00AB514A" w:rsidP="00121913">
            <w:pPr>
              <w:spacing w:after="200" w:line="276" w:lineRule="auto"/>
              <w:rPr>
                <w:sz w:val="17"/>
                <w:szCs w:val="17"/>
              </w:rPr>
            </w:pPr>
            <w:r>
              <w:rPr>
                <w:sz w:val="17"/>
                <w:szCs w:val="17"/>
              </w:rPr>
              <w:t>(Art. 304a)</w:t>
            </w:r>
          </w:p>
        </w:tc>
        <w:tc>
          <w:tcPr>
            <w:tcW w:w="2693" w:type="dxa"/>
          </w:tcPr>
          <w:p w14:paraId="3C9CFF32" w14:textId="25C4F459" w:rsidR="005F3150" w:rsidRPr="00F15250" w:rsidRDefault="00145E95" w:rsidP="00F15250">
            <w:pPr>
              <w:spacing w:after="200" w:line="276" w:lineRule="auto"/>
              <w:rPr>
                <w:szCs w:val="17"/>
              </w:rPr>
            </w:pPr>
            <w:r w:rsidRPr="00BD5AF9">
              <w:rPr>
                <w:b/>
                <w:color w:val="E36C0A" w:themeColor="accent6" w:themeShade="BF"/>
                <w:sz w:val="17"/>
                <w:szCs w:val="17"/>
              </w:rPr>
              <w:t>[</w:t>
            </w:r>
            <w:r>
              <w:rPr>
                <w:b/>
                <w:bCs/>
                <w:color w:val="E36C0A" w:themeColor="accent6" w:themeShade="BF"/>
                <w:sz w:val="17"/>
                <w:szCs w:val="17"/>
              </w:rPr>
              <w:t>Neutral</w:t>
            </w:r>
            <w:r w:rsidRPr="00BD5AF9">
              <w:rPr>
                <w:b/>
                <w:bCs/>
                <w:color w:val="E36C0A" w:themeColor="accent6" w:themeShade="BF"/>
                <w:sz w:val="17"/>
                <w:szCs w:val="17"/>
              </w:rPr>
              <w:t>]</w:t>
            </w:r>
            <w:r>
              <w:rPr>
                <w:b/>
                <w:bCs/>
                <w:color w:val="E36C0A" w:themeColor="accent6" w:themeShade="BF"/>
                <w:sz w:val="17"/>
                <w:szCs w:val="17"/>
              </w:rPr>
              <w:t xml:space="preserve"> </w:t>
            </w:r>
            <w:r w:rsidR="00CA423D" w:rsidRPr="00F15250">
              <w:rPr>
                <w:sz w:val="17"/>
                <w:szCs w:val="17"/>
              </w:rPr>
              <w:t>The draft EP report removes all proposals/mandates that were included by EIOPA/EC in relation to sustainability and climate risk</w:t>
            </w:r>
            <w:r w:rsidR="005F3150" w:rsidRPr="00F15250">
              <w:rPr>
                <w:sz w:val="17"/>
                <w:szCs w:val="17"/>
              </w:rPr>
              <w:t xml:space="preserve"> (includes deletion of recitals 4,5</w:t>
            </w:r>
            <w:r w:rsidR="004A2BF0" w:rsidRPr="00F15250">
              <w:rPr>
                <w:sz w:val="17"/>
                <w:szCs w:val="17"/>
              </w:rPr>
              <w:t xml:space="preserve"> and 26</w:t>
            </w:r>
            <w:r w:rsidR="00AF5C8F" w:rsidRPr="00F15250">
              <w:rPr>
                <w:sz w:val="17"/>
                <w:szCs w:val="17"/>
              </w:rPr>
              <w:t>, 79</w:t>
            </w:r>
            <w:r w:rsidR="005F73F1" w:rsidRPr="00F15250">
              <w:rPr>
                <w:sz w:val="17"/>
                <w:szCs w:val="17"/>
              </w:rPr>
              <w:t xml:space="preserve">) including </w:t>
            </w:r>
            <w:r w:rsidR="009C0E3B" w:rsidRPr="00F15250">
              <w:rPr>
                <w:sz w:val="17"/>
                <w:szCs w:val="17"/>
              </w:rPr>
              <w:t xml:space="preserve">art 304a, which contains the EIOPA mandate for assessing a differential prudential treatment for </w:t>
            </w:r>
            <w:r w:rsidR="00505784" w:rsidRPr="00F15250">
              <w:rPr>
                <w:sz w:val="17"/>
                <w:szCs w:val="17"/>
              </w:rPr>
              <w:t>green and brown assets</w:t>
            </w:r>
            <w:r w:rsidR="00AC54B3">
              <w:rPr>
                <w:sz w:val="17"/>
                <w:szCs w:val="17"/>
              </w:rPr>
              <w:t xml:space="preserve">, </w:t>
            </w:r>
            <w:r w:rsidR="00505784" w:rsidRPr="00F15250">
              <w:rPr>
                <w:sz w:val="17"/>
                <w:szCs w:val="17"/>
              </w:rPr>
              <w:t xml:space="preserve">the </w:t>
            </w:r>
            <w:r w:rsidR="00977E44" w:rsidRPr="00F15250">
              <w:rPr>
                <w:sz w:val="17"/>
                <w:szCs w:val="17"/>
              </w:rPr>
              <w:t>mandate for reviewing natcat standard parameters</w:t>
            </w:r>
            <w:r w:rsidR="00AC54B3">
              <w:rPr>
                <w:sz w:val="17"/>
                <w:szCs w:val="17"/>
              </w:rPr>
              <w:t xml:space="preserve"> and </w:t>
            </w:r>
            <w:r w:rsidR="00977E44" w:rsidRPr="00F15250">
              <w:rPr>
                <w:sz w:val="17"/>
                <w:szCs w:val="17"/>
              </w:rPr>
              <w:t xml:space="preserve">the </w:t>
            </w:r>
            <w:r w:rsidR="007F4593" w:rsidRPr="00F15250">
              <w:rPr>
                <w:sz w:val="17"/>
                <w:szCs w:val="17"/>
              </w:rPr>
              <w:t xml:space="preserve">requirement for </w:t>
            </w:r>
            <w:r w:rsidR="00E022F7" w:rsidRPr="00F15250">
              <w:rPr>
                <w:sz w:val="17"/>
                <w:szCs w:val="17"/>
              </w:rPr>
              <w:t>climate change scenario analysis</w:t>
            </w:r>
            <w:r w:rsidR="00AC54B3">
              <w:rPr>
                <w:sz w:val="17"/>
                <w:szCs w:val="17"/>
              </w:rPr>
              <w:t xml:space="preserve"> in the ORSA</w:t>
            </w:r>
            <w:r w:rsidR="00E8122D" w:rsidRPr="00F15250">
              <w:rPr>
                <w:sz w:val="17"/>
                <w:szCs w:val="17"/>
              </w:rPr>
              <w:t>.</w:t>
            </w:r>
            <w:r w:rsidR="00E022F7" w:rsidRPr="00F15250">
              <w:rPr>
                <w:sz w:val="17"/>
                <w:szCs w:val="17"/>
              </w:rPr>
              <w:t xml:space="preserve"> </w:t>
            </w:r>
            <w:r w:rsidR="00C16159" w:rsidRPr="00F15250">
              <w:rPr>
                <w:sz w:val="17"/>
                <w:szCs w:val="17"/>
              </w:rPr>
              <w:t xml:space="preserve">(A2, A3, </w:t>
            </w:r>
            <w:r w:rsidR="0018255B" w:rsidRPr="00F15250">
              <w:rPr>
                <w:sz w:val="17"/>
                <w:szCs w:val="17"/>
              </w:rPr>
              <w:t xml:space="preserve">A10, </w:t>
            </w:r>
            <w:r w:rsidR="00860F61" w:rsidRPr="00F15250">
              <w:rPr>
                <w:sz w:val="17"/>
                <w:szCs w:val="17"/>
              </w:rPr>
              <w:t>A23</w:t>
            </w:r>
            <w:r w:rsidR="00DC0BE9" w:rsidRPr="00F15250">
              <w:rPr>
                <w:sz w:val="17"/>
                <w:szCs w:val="17"/>
              </w:rPr>
              <w:t>, A</w:t>
            </w:r>
            <w:r w:rsidR="00087D58" w:rsidRPr="00F15250">
              <w:rPr>
                <w:sz w:val="17"/>
                <w:szCs w:val="17"/>
              </w:rPr>
              <w:t>199)</w:t>
            </w:r>
          </w:p>
          <w:p w14:paraId="3031FC4B" w14:textId="05F3F27D" w:rsidR="00230C7E" w:rsidRPr="0032668A" w:rsidRDefault="00230C7E" w:rsidP="00E022F7">
            <w:pPr>
              <w:pStyle w:val="CEABullet-Level1"/>
              <w:numPr>
                <w:ilvl w:val="0"/>
                <w:numId w:val="0"/>
              </w:numPr>
              <w:ind w:left="360"/>
              <w:rPr>
                <w:color w:val="FFC000"/>
              </w:rPr>
            </w:pPr>
          </w:p>
        </w:tc>
        <w:tc>
          <w:tcPr>
            <w:tcW w:w="3827" w:type="dxa"/>
          </w:tcPr>
          <w:p w14:paraId="22DAA029" w14:textId="429BB5BA" w:rsidR="00AB514A" w:rsidRDefault="00AB514A" w:rsidP="00121913">
            <w:pPr>
              <w:spacing w:after="200" w:line="276" w:lineRule="auto"/>
              <w:rPr>
                <w:sz w:val="17"/>
                <w:szCs w:val="17"/>
              </w:rPr>
            </w:pPr>
            <w:r w:rsidRPr="00F15250">
              <w:rPr>
                <w:b/>
                <w:bCs/>
                <w:color w:val="F79646" w:themeColor="accent6"/>
                <w:sz w:val="17"/>
                <w:szCs w:val="17"/>
              </w:rPr>
              <w:t>[</w:t>
            </w:r>
            <w:r w:rsidR="008E4F14" w:rsidRPr="00F15250">
              <w:rPr>
                <w:b/>
                <w:bCs/>
                <w:color w:val="F79646" w:themeColor="accent6"/>
                <w:sz w:val="17"/>
                <w:szCs w:val="17"/>
              </w:rPr>
              <w:t>N</w:t>
            </w:r>
            <w:r w:rsidRPr="00F15250">
              <w:rPr>
                <w:b/>
                <w:bCs/>
                <w:color w:val="F79646" w:themeColor="accent6"/>
                <w:sz w:val="17"/>
                <w:szCs w:val="17"/>
              </w:rPr>
              <w:t xml:space="preserve">eutral] </w:t>
            </w:r>
            <w:r w:rsidRPr="001C1F0A">
              <w:rPr>
                <w:sz w:val="17"/>
                <w:szCs w:val="17"/>
              </w:rPr>
              <w:t xml:space="preserve">The </w:t>
            </w:r>
            <w:r w:rsidRPr="00F15250">
              <w:rPr>
                <w:b/>
                <w:bCs/>
                <w:sz w:val="17"/>
                <w:szCs w:val="17"/>
              </w:rPr>
              <w:t>FR compromise proposal</w:t>
            </w:r>
            <w:r>
              <w:rPr>
                <w:sz w:val="17"/>
                <w:szCs w:val="17"/>
              </w:rPr>
              <w:t xml:space="preserve"> </w:t>
            </w:r>
            <w:r w:rsidRPr="001C1F0A">
              <w:rPr>
                <w:sz w:val="17"/>
                <w:szCs w:val="17"/>
              </w:rPr>
              <w:t xml:space="preserve">on the Green Deal provisions </w:t>
            </w:r>
            <w:r>
              <w:rPr>
                <w:sz w:val="17"/>
                <w:szCs w:val="17"/>
              </w:rPr>
              <w:t xml:space="preserve">is </w:t>
            </w:r>
            <w:r w:rsidRPr="001C1F0A">
              <w:rPr>
                <w:sz w:val="17"/>
                <w:szCs w:val="17"/>
              </w:rPr>
              <w:t>broadly in line with EC proposals</w:t>
            </w:r>
            <w:r w:rsidR="00034FE6">
              <w:rPr>
                <w:sz w:val="17"/>
                <w:szCs w:val="17"/>
              </w:rPr>
              <w:t xml:space="preserve">. </w:t>
            </w:r>
          </w:p>
          <w:p w14:paraId="4E6EBE05" w14:textId="407691E8" w:rsidR="00DA24A9" w:rsidRDefault="00DA24A9" w:rsidP="00121913">
            <w:pPr>
              <w:spacing w:after="200" w:line="276" w:lineRule="auto"/>
              <w:rPr>
                <w:sz w:val="17"/>
                <w:szCs w:val="17"/>
              </w:rPr>
            </w:pPr>
            <w:r w:rsidRPr="00F15250">
              <w:rPr>
                <w:sz w:val="17"/>
                <w:szCs w:val="17"/>
              </w:rPr>
              <w:t xml:space="preserve">The </w:t>
            </w:r>
            <w:r w:rsidRPr="00F15250">
              <w:rPr>
                <w:b/>
                <w:bCs/>
                <w:sz w:val="17"/>
                <w:szCs w:val="17"/>
              </w:rPr>
              <w:t>draft EP report</w:t>
            </w:r>
            <w:r w:rsidRPr="00F15250">
              <w:rPr>
                <w:sz w:val="17"/>
                <w:szCs w:val="17"/>
              </w:rPr>
              <w:t xml:space="preserve"> </w:t>
            </w:r>
            <w:r w:rsidR="00C84B3E" w:rsidRPr="00F15250">
              <w:rPr>
                <w:sz w:val="17"/>
                <w:szCs w:val="17"/>
              </w:rPr>
              <w:t xml:space="preserve">proposals creates a clear </w:t>
            </w:r>
            <w:r w:rsidR="00F50BCE" w:rsidRPr="00F15250">
              <w:rPr>
                <w:sz w:val="17"/>
                <w:szCs w:val="17"/>
              </w:rPr>
              <w:t xml:space="preserve">discussion point within the Parliament negotiations given the statements to date of the shadow rapporteurs and the </w:t>
            </w:r>
            <w:r w:rsidR="00467E63" w:rsidRPr="00F15250">
              <w:rPr>
                <w:sz w:val="17"/>
                <w:szCs w:val="17"/>
              </w:rPr>
              <w:t>sustainability and climate</w:t>
            </w:r>
            <w:r w:rsidR="00FE372B" w:rsidRPr="00F15250">
              <w:rPr>
                <w:sz w:val="17"/>
                <w:szCs w:val="17"/>
              </w:rPr>
              <w:t xml:space="preserve"> initiatives being undertaken by EP and EC. </w:t>
            </w:r>
            <w:r w:rsidR="00B46676">
              <w:rPr>
                <w:sz w:val="17"/>
                <w:szCs w:val="17"/>
              </w:rPr>
              <w:t xml:space="preserve"> </w:t>
            </w:r>
            <w:r w:rsidR="00DA6BFB">
              <w:rPr>
                <w:sz w:val="17"/>
                <w:szCs w:val="17"/>
              </w:rPr>
              <w:t xml:space="preserve"> </w:t>
            </w:r>
          </w:p>
          <w:p w14:paraId="43053E13" w14:textId="6E9BDA67" w:rsidR="00BD2351" w:rsidRDefault="004B6097" w:rsidP="00121913">
            <w:pPr>
              <w:spacing w:after="200" w:line="276" w:lineRule="auto"/>
              <w:rPr>
                <w:sz w:val="17"/>
                <w:szCs w:val="17"/>
              </w:rPr>
            </w:pPr>
            <w:r>
              <w:rPr>
                <w:b/>
                <w:bCs/>
                <w:color w:val="1F497D" w:themeColor="text2"/>
                <w:sz w:val="17"/>
                <w:szCs w:val="17"/>
              </w:rPr>
              <w:t>W</w:t>
            </w:r>
            <w:r w:rsidR="00BD2351">
              <w:rPr>
                <w:b/>
                <w:bCs/>
                <w:color w:val="1F497D" w:themeColor="text2"/>
                <w:sz w:val="17"/>
                <w:szCs w:val="17"/>
              </w:rPr>
              <w:t xml:space="preserve">ay forward: </w:t>
            </w:r>
            <w:r w:rsidR="00BD2351">
              <w:rPr>
                <w:color w:val="1F497D" w:themeColor="text2"/>
                <w:sz w:val="17"/>
                <w:szCs w:val="17"/>
              </w:rPr>
              <w:t xml:space="preserve">Keep to current position to support the Council proposals but reinforce </w:t>
            </w:r>
            <w:r w:rsidR="002F5EC8">
              <w:rPr>
                <w:color w:val="1F497D" w:themeColor="text2"/>
                <w:sz w:val="17"/>
                <w:szCs w:val="17"/>
              </w:rPr>
              <w:t xml:space="preserve">that this is because the EC </w:t>
            </w:r>
            <w:r w:rsidR="00537CE9">
              <w:rPr>
                <w:color w:val="1F497D" w:themeColor="text2"/>
                <w:sz w:val="17"/>
                <w:szCs w:val="17"/>
              </w:rPr>
              <w:t xml:space="preserve">made clear their request to EIOPA for advice is </w:t>
            </w:r>
            <w:r w:rsidR="00975E8E">
              <w:rPr>
                <w:color w:val="1F497D" w:themeColor="text2"/>
                <w:sz w:val="17"/>
                <w:szCs w:val="17"/>
              </w:rPr>
              <w:t>fully risk-</w:t>
            </w:r>
            <w:r w:rsidR="00537CE9">
              <w:rPr>
                <w:color w:val="1F497D" w:themeColor="text2"/>
                <w:sz w:val="17"/>
                <w:szCs w:val="17"/>
              </w:rPr>
              <w:t>based</w:t>
            </w:r>
            <w:r w:rsidR="00975E8E">
              <w:rPr>
                <w:color w:val="1F497D" w:themeColor="text2"/>
                <w:sz w:val="17"/>
                <w:szCs w:val="17"/>
              </w:rPr>
              <w:t xml:space="preserve">. </w:t>
            </w:r>
          </w:p>
          <w:p w14:paraId="601AD606" w14:textId="285E418B" w:rsidR="00BD2351" w:rsidRDefault="00BD2351" w:rsidP="00121913">
            <w:pPr>
              <w:spacing w:after="200" w:line="276" w:lineRule="auto"/>
              <w:rPr>
                <w:sz w:val="17"/>
                <w:szCs w:val="17"/>
              </w:rPr>
            </w:pPr>
          </w:p>
        </w:tc>
      </w:tr>
    </w:tbl>
    <w:p w14:paraId="6D8FFE74" w14:textId="77777777" w:rsidR="00D1418C" w:rsidRDefault="00D1418C" w:rsidP="00121913">
      <w:pPr>
        <w:spacing w:after="200" w:line="276" w:lineRule="auto"/>
        <w:rPr>
          <w:sz w:val="17"/>
          <w:szCs w:val="17"/>
        </w:rPr>
      </w:pPr>
      <w:r>
        <w:rPr>
          <w:sz w:val="17"/>
          <w:szCs w:val="17"/>
        </w:rPr>
        <w:br w:type="page"/>
      </w:r>
    </w:p>
    <w:p w14:paraId="48219995" w14:textId="77777777" w:rsidR="00D1418C" w:rsidRDefault="00D1418C" w:rsidP="00121913">
      <w:pPr>
        <w:spacing w:after="200" w:line="276" w:lineRule="auto"/>
        <w:rPr>
          <w:sz w:val="17"/>
          <w:szCs w:val="17"/>
        </w:rPr>
      </w:pPr>
    </w:p>
    <w:tbl>
      <w:tblPr>
        <w:tblStyle w:val="Mriekatabuky"/>
        <w:tblW w:w="15026" w:type="dxa"/>
        <w:tblInd w:w="-289" w:type="dxa"/>
        <w:tblLayout w:type="fixed"/>
        <w:tblLook w:val="04A0" w:firstRow="1" w:lastRow="0" w:firstColumn="1" w:lastColumn="0" w:noHBand="0" w:noVBand="1"/>
      </w:tblPr>
      <w:tblGrid>
        <w:gridCol w:w="1844"/>
        <w:gridCol w:w="2268"/>
        <w:gridCol w:w="1701"/>
        <w:gridCol w:w="2835"/>
        <w:gridCol w:w="2976"/>
        <w:gridCol w:w="3402"/>
      </w:tblGrid>
      <w:tr w:rsidR="00AB514A" w14:paraId="7C285A00" w14:textId="77777777" w:rsidTr="006F22E8">
        <w:trPr>
          <w:trHeight w:val="202"/>
        </w:trPr>
        <w:tc>
          <w:tcPr>
            <w:tcW w:w="1844" w:type="dxa"/>
          </w:tcPr>
          <w:p w14:paraId="4C0DCEA8" w14:textId="77777777" w:rsidR="00AB514A" w:rsidRDefault="00AB514A" w:rsidP="00121913">
            <w:pPr>
              <w:spacing w:after="200" w:line="276" w:lineRule="auto"/>
              <w:rPr>
                <w:sz w:val="17"/>
                <w:szCs w:val="17"/>
              </w:rPr>
            </w:pPr>
            <w:r w:rsidRPr="00491EB9">
              <w:rPr>
                <w:b/>
                <w:bCs/>
                <w:sz w:val="17"/>
                <w:szCs w:val="17"/>
              </w:rPr>
              <w:t>Topic</w:t>
            </w:r>
          </w:p>
        </w:tc>
        <w:tc>
          <w:tcPr>
            <w:tcW w:w="2268" w:type="dxa"/>
          </w:tcPr>
          <w:p w14:paraId="48BDE197" w14:textId="77777777" w:rsidR="00AB514A" w:rsidRDefault="00AB514A" w:rsidP="00121913">
            <w:pPr>
              <w:spacing w:after="200" w:line="276" w:lineRule="auto"/>
              <w:rPr>
                <w:sz w:val="17"/>
                <w:szCs w:val="17"/>
              </w:rPr>
            </w:pPr>
            <w:r w:rsidRPr="00491EB9">
              <w:rPr>
                <w:b/>
                <w:bCs/>
                <w:sz w:val="17"/>
                <w:szCs w:val="17"/>
              </w:rPr>
              <w:t>EIOPA proposal</w:t>
            </w:r>
          </w:p>
        </w:tc>
        <w:tc>
          <w:tcPr>
            <w:tcW w:w="1701" w:type="dxa"/>
          </w:tcPr>
          <w:p w14:paraId="37844089" w14:textId="77777777" w:rsidR="00AB514A" w:rsidRDefault="00AB514A" w:rsidP="00121913">
            <w:pPr>
              <w:spacing w:after="200" w:line="276" w:lineRule="auto"/>
              <w:rPr>
                <w:sz w:val="17"/>
                <w:szCs w:val="17"/>
              </w:rPr>
            </w:pPr>
            <w:r w:rsidRPr="00491EB9">
              <w:rPr>
                <w:b/>
                <w:bCs/>
                <w:sz w:val="17"/>
                <w:szCs w:val="17"/>
              </w:rPr>
              <w:t>European Commission proposal</w:t>
            </w:r>
          </w:p>
        </w:tc>
        <w:tc>
          <w:tcPr>
            <w:tcW w:w="2835" w:type="dxa"/>
          </w:tcPr>
          <w:p w14:paraId="67ACAA13" w14:textId="1FC84354" w:rsidR="00AB514A" w:rsidRDefault="00AB514A" w:rsidP="00121913">
            <w:pPr>
              <w:spacing w:after="200" w:line="276" w:lineRule="auto"/>
              <w:rPr>
                <w:sz w:val="17"/>
                <w:szCs w:val="17"/>
              </w:rPr>
            </w:pPr>
            <w:r w:rsidRPr="00491EB9">
              <w:rPr>
                <w:b/>
                <w:bCs/>
                <w:sz w:val="17"/>
                <w:szCs w:val="17"/>
              </w:rPr>
              <w:t>French presidency</w:t>
            </w:r>
            <w:r>
              <w:rPr>
                <w:b/>
                <w:bCs/>
                <w:sz w:val="17"/>
                <w:szCs w:val="17"/>
              </w:rPr>
              <w:t xml:space="preserve"> overall compromise proposal/EGBPI discussions</w:t>
            </w:r>
          </w:p>
        </w:tc>
        <w:tc>
          <w:tcPr>
            <w:tcW w:w="2976" w:type="dxa"/>
          </w:tcPr>
          <w:p w14:paraId="3D14625D" w14:textId="3FBD3C15" w:rsidR="00AB514A" w:rsidRDefault="00F66675" w:rsidP="00121913">
            <w:pPr>
              <w:spacing w:after="200" w:line="276" w:lineRule="auto"/>
              <w:rPr>
                <w:b/>
                <w:bCs/>
                <w:sz w:val="17"/>
                <w:szCs w:val="17"/>
              </w:rPr>
            </w:pPr>
            <w:r>
              <w:rPr>
                <w:b/>
                <w:bCs/>
                <w:sz w:val="17"/>
                <w:szCs w:val="17"/>
              </w:rPr>
              <w:t>EP draft report</w:t>
            </w:r>
          </w:p>
        </w:tc>
        <w:tc>
          <w:tcPr>
            <w:tcW w:w="3402" w:type="dxa"/>
          </w:tcPr>
          <w:p w14:paraId="660580BA" w14:textId="5501B1F2" w:rsidR="00AB514A" w:rsidRDefault="00AB514A" w:rsidP="00121913">
            <w:pPr>
              <w:spacing w:after="200" w:line="276" w:lineRule="auto"/>
              <w:rPr>
                <w:sz w:val="17"/>
                <w:szCs w:val="17"/>
              </w:rPr>
            </w:pPr>
            <w:r>
              <w:rPr>
                <w:b/>
                <w:bCs/>
                <w:sz w:val="17"/>
                <w:szCs w:val="17"/>
              </w:rPr>
              <w:t>Secretariat assessment of current status</w:t>
            </w:r>
          </w:p>
        </w:tc>
      </w:tr>
      <w:tr w:rsidR="00AB514A" w14:paraId="32D5B985" w14:textId="77777777" w:rsidTr="006F22E8">
        <w:tc>
          <w:tcPr>
            <w:tcW w:w="1844" w:type="dxa"/>
            <w:vMerge w:val="restart"/>
          </w:tcPr>
          <w:p w14:paraId="3311AA90" w14:textId="77777777" w:rsidR="00AB514A" w:rsidRDefault="00AB514A" w:rsidP="00121913">
            <w:pPr>
              <w:spacing w:after="200" w:line="276" w:lineRule="auto"/>
              <w:rPr>
                <w:sz w:val="17"/>
                <w:szCs w:val="17"/>
              </w:rPr>
            </w:pPr>
            <w:r>
              <w:rPr>
                <w:b/>
                <w:bCs/>
                <w:sz w:val="17"/>
                <w:szCs w:val="17"/>
              </w:rPr>
              <w:t>Proportionality</w:t>
            </w:r>
          </w:p>
        </w:tc>
        <w:tc>
          <w:tcPr>
            <w:tcW w:w="2268" w:type="dxa"/>
          </w:tcPr>
          <w:p w14:paraId="47C913D4" w14:textId="77777777" w:rsidR="00AB514A" w:rsidRDefault="00AB514A" w:rsidP="00121913">
            <w:pPr>
              <w:spacing w:after="200" w:line="276" w:lineRule="auto"/>
              <w:rPr>
                <w:sz w:val="17"/>
                <w:szCs w:val="17"/>
              </w:rPr>
            </w:pPr>
            <w:r w:rsidRPr="00BD5AF9">
              <w:rPr>
                <w:b/>
                <w:bCs/>
                <w:color w:val="00B050"/>
                <w:sz w:val="17"/>
                <w:szCs w:val="17"/>
              </w:rPr>
              <w:t>[Positive]</w:t>
            </w:r>
            <w:r>
              <w:rPr>
                <w:b/>
                <w:bCs/>
                <w:color w:val="00B050"/>
                <w:sz w:val="17"/>
                <w:szCs w:val="17"/>
              </w:rPr>
              <w:t xml:space="preserve"> </w:t>
            </w:r>
            <w:r w:rsidRPr="00F57182">
              <w:rPr>
                <w:sz w:val="17"/>
                <w:szCs w:val="17"/>
              </w:rPr>
              <w:t>Introduction of automatic proportionality for LR</w:t>
            </w:r>
            <w:r>
              <w:rPr>
                <w:sz w:val="17"/>
                <w:szCs w:val="17"/>
              </w:rPr>
              <w:t>P</w:t>
            </w:r>
            <w:r w:rsidRPr="00F57182">
              <w:rPr>
                <w:sz w:val="17"/>
                <w:szCs w:val="17"/>
              </w:rPr>
              <w:t>U</w:t>
            </w:r>
            <w:r>
              <w:rPr>
                <w:sz w:val="17"/>
                <w:szCs w:val="17"/>
              </w:rPr>
              <w:t>. However, c</w:t>
            </w:r>
            <w:r w:rsidRPr="00E1013F">
              <w:rPr>
                <w:sz w:val="17"/>
                <w:szCs w:val="17"/>
              </w:rPr>
              <w:t>riteria to identify low risk undertakings are too restrictive and not risk based</w:t>
            </w:r>
          </w:p>
        </w:tc>
        <w:tc>
          <w:tcPr>
            <w:tcW w:w="1701" w:type="dxa"/>
          </w:tcPr>
          <w:p w14:paraId="080A8ABB" w14:textId="77777777" w:rsidR="00AB514A" w:rsidRDefault="00AB514A" w:rsidP="00121913">
            <w:pPr>
              <w:pStyle w:val="CEABullet-Level1"/>
              <w:numPr>
                <w:ilvl w:val="0"/>
                <w:numId w:val="0"/>
              </w:numPr>
              <w:spacing w:line="30" w:lineRule="atLeast"/>
              <w:jc w:val="left"/>
              <w:rPr>
                <w:b/>
                <w:bCs/>
                <w:color w:val="00B050"/>
                <w:szCs w:val="17"/>
              </w:rPr>
            </w:pPr>
            <w:r w:rsidRPr="00BD5AF9">
              <w:rPr>
                <w:b/>
                <w:bCs/>
                <w:color w:val="00B050"/>
                <w:szCs w:val="17"/>
              </w:rPr>
              <w:t>[Positive]</w:t>
            </w:r>
            <w:r>
              <w:rPr>
                <w:b/>
                <w:bCs/>
                <w:color w:val="00B050"/>
                <w:szCs w:val="17"/>
              </w:rPr>
              <w:t xml:space="preserve"> </w:t>
            </w:r>
          </w:p>
          <w:p w14:paraId="1778CBD4" w14:textId="77777777" w:rsidR="00AB514A" w:rsidRDefault="00AB514A" w:rsidP="00121913">
            <w:pPr>
              <w:pStyle w:val="CEABullet-Level1"/>
              <w:numPr>
                <w:ilvl w:val="0"/>
                <w:numId w:val="25"/>
              </w:numPr>
              <w:spacing w:line="30" w:lineRule="atLeast"/>
              <w:jc w:val="left"/>
              <w:rPr>
                <w:bCs/>
                <w:color w:val="auto"/>
                <w:szCs w:val="17"/>
              </w:rPr>
            </w:pPr>
            <w:r w:rsidRPr="00F57182">
              <w:rPr>
                <w:color w:val="auto"/>
                <w:szCs w:val="17"/>
              </w:rPr>
              <w:t xml:space="preserve">Automatic proportionality for </w:t>
            </w:r>
            <w:r>
              <w:rPr>
                <w:bCs/>
                <w:color w:val="auto"/>
                <w:szCs w:val="17"/>
              </w:rPr>
              <w:t>LRPU</w:t>
            </w:r>
            <w:r w:rsidRPr="00F57182">
              <w:rPr>
                <w:color w:val="auto"/>
                <w:szCs w:val="17"/>
              </w:rPr>
              <w:t xml:space="preserve"> and extended to low</w:t>
            </w:r>
            <w:r>
              <w:rPr>
                <w:color w:val="auto"/>
                <w:szCs w:val="17"/>
              </w:rPr>
              <w:t>-</w:t>
            </w:r>
            <w:r w:rsidRPr="00F57182">
              <w:rPr>
                <w:color w:val="auto"/>
                <w:szCs w:val="17"/>
              </w:rPr>
              <w:t xml:space="preserve">risk groups </w:t>
            </w:r>
          </w:p>
          <w:p w14:paraId="103037B8" w14:textId="77777777" w:rsidR="00AB514A" w:rsidRPr="00F57182" w:rsidRDefault="00AB514A" w:rsidP="00121913">
            <w:pPr>
              <w:pStyle w:val="CEABullet-Level1"/>
              <w:numPr>
                <w:ilvl w:val="0"/>
                <w:numId w:val="25"/>
              </w:numPr>
              <w:spacing w:line="30" w:lineRule="atLeast"/>
              <w:jc w:val="left"/>
              <w:rPr>
                <w:color w:val="auto"/>
                <w:szCs w:val="17"/>
              </w:rPr>
            </w:pPr>
            <w:r w:rsidRPr="00F57182">
              <w:rPr>
                <w:color w:val="auto"/>
                <w:szCs w:val="17"/>
              </w:rPr>
              <w:t>List of proportionality measures that apply automatically for LRPU</w:t>
            </w:r>
            <w:r w:rsidRPr="00F57182" w:rsidDel="00495AE3">
              <w:rPr>
                <w:color w:val="auto"/>
                <w:szCs w:val="17"/>
              </w:rPr>
              <w:t xml:space="preserve"> </w:t>
            </w:r>
          </w:p>
          <w:p w14:paraId="24D64E0F" w14:textId="77777777" w:rsidR="00AB514A" w:rsidRPr="00F57182" w:rsidRDefault="00AB514A" w:rsidP="00121913">
            <w:pPr>
              <w:pStyle w:val="CEABullet-Level1"/>
              <w:numPr>
                <w:ilvl w:val="0"/>
                <w:numId w:val="0"/>
              </w:numPr>
              <w:spacing w:line="30" w:lineRule="atLeast"/>
              <w:ind w:left="360"/>
              <w:jc w:val="left"/>
              <w:rPr>
                <w:color w:val="auto"/>
                <w:szCs w:val="17"/>
              </w:rPr>
            </w:pPr>
          </w:p>
          <w:p w14:paraId="4C7D627A" w14:textId="77777777" w:rsidR="00AB514A" w:rsidRDefault="00AB514A" w:rsidP="00121913">
            <w:pPr>
              <w:spacing w:after="200" w:line="276" w:lineRule="auto"/>
              <w:rPr>
                <w:sz w:val="17"/>
                <w:szCs w:val="17"/>
              </w:rPr>
            </w:pPr>
          </w:p>
        </w:tc>
        <w:tc>
          <w:tcPr>
            <w:tcW w:w="2835" w:type="dxa"/>
          </w:tcPr>
          <w:p w14:paraId="0137B1AC" w14:textId="3D0CD013" w:rsidR="00AB514A" w:rsidRDefault="00AB514A" w:rsidP="00121913">
            <w:pPr>
              <w:tabs>
                <w:tab w:val="left" w:pos="3815"/>
              </w:tabs>
              <w:rPr>
                <w:b/>
                <w:color w:val="E36C0A" w:themeColor="accent6" w:themeShade="BF"/>
                <w:sz w:val="17"/>
                <w:szCs w:val="17"/>
              </w:rPr>
            </w:pPr>
            <w:r w:rsidRPr="00BD5AF9">
              <w:rPr>
                <w:b/>
                <w:color w:val="E36C0A" w:themeColor="accent6" w:themeShade="BF"/>
                <w:sz w:val="17"/>
                <w:szCs w:val="17"/>
              </w:rPr>
              <w:t>[</w:t>
            </w:r>
            <w:r w:rsidRPr="00BD5AF9">
              <w:rPr>
                <w:b/>
                <w:bCs/>
                <w:color w:val="E36C0A" w:themeColor="accent6" w:themeShade="BF"/>
                <w:sz w:val="17"/>
                <w:szCs w:val="17"/>
              </w:rPr>
              <w:t>Neutral]</w:t>
            </w:r>
            <w:r>
              <w:rPr>
                <w:b/>
                <w:color w:val="E36C0A" w:themeColor="accent6" w:themeShade="BF"/>
                <w:sz w:val="17"/>
                <w:szCs w:val="17"/>
              </w:rPr>
              <w:t xml:space="preserve"> </w:t>
            </w:r>
          </w:p>
          <w:p w14:paraId="50A7D4AC" w14:textId="77777777" w:rsidR="00AB514A" w:rsidRDefault="00AB514A" w:rsidP="00121913">
            <w:pPr>
              <w:pStyle w:val="CEABullet-Level1"/>
            </w:pPr>
            <w:r>
              <w:t xml:space="preserve">LRPU is now labelled as small and non-complex undertaking, which aligns with banking wording. (Art. 13) </w:t>
            </w:r>
          </w:p>
          <w:p w14:paraId="5196A55F" w14:textId="77777777" w:rsidR="00AB514A" w:rsidRPr="00B66284" w:rsidRDefault="00AB514A" w:rsidP="00121913">
            <w:pPr>
              <w:pStyle w:val="CEABullet-Level1"/>
            </w:pPr>
            <w:r w:rsidRPr="00DD7CCE">
              <w:t>Conditions:</w:t>
            </w:r>
          </w:p>
          <w:p w14:paraId="1B531F7B" w14:textId="77777777" w:rsidR="00AB514A" w:rsidRPr="00765D77" w:rsidRDefault="00AB514A" w:rsidP="00121913">
            <w:pPr>
              <w:pStyle w:val="Odsekzoznamu"/>
              <w:numPr>
                <w:ilvl w:val="1"/>
                <w:numId w:val="25"/>
              </w:numPr>
              <w:ind w:left="596"/>
              <w:rPr>
                <w:rFonts w:cs="Frutiger LT Std 45 Light"/>
                <w:sz w:val="17"/>
                <w:szCs w:val="17"/>
              </w:rPr>
            </w:pPr>
            <w:r w:rsidRPr="00DD7CCE">
              <w:rPr>
                <w:rFonts w:cs="Frutiger LT Std 45 Light"/>
                <w:sz w:val="17"/>
                <w:szCs w:val="17"/>
              </w:rPr>
              <w:t>Cross border - 1</w:t>
            </w:r>
            <w:r w:rsidRPr="00765D77">
              <w:rPr>
                <w:rFonts w:cs="Frutiger LT Std 45 Light"/>
                <w:sz w:val="17"/>
                <w:szCs w:val="17"/>
              </w:rPr>
              <w:t>5Mio or 5% of total annual GWP</w:t>
            </w:r>
            <w:r>
              <w:rPr>
                <w:rFonts w:cs="Frutiger LT Std 45 Light"/>
                <w:sz w:val="17"/>
                <w:szCs w:val="17"/>
              </w:rPr>
              <w:t xml:space="preserve"> (Art. 29a)</w:t>
            </w:r>
          </w:p>
          <w:p w14:paraId="5EEB6FB9" w14:textId="533EE1B5" w:rsidR="00AB514A" w:rsidRDefault="00AB514A" w:rsidP="00121913">
            <w:pPr>
              <w:pStyle w:val="Odsekzoznamu"/>
              <w:numPr>
                <w:ilvl w:val="1"/>
                <w:numId w:val="25"/>
              </w:numPr>
              <w:ind w:left="596"/>
              <w:rPr>
                <w:rFonts w:cs="Frutiger LT Std 45 Light"/>
                <w:sz w:val="17"/>
                <w:szCs w:val="17"/>
              </w:rPr>
            </w:pPr>
            <w:r w:rsidRPr="00DD7CCE">
              <w:rPr>
                <w:rFonts w:cs="Frutiger LT Std 45 Light"/>
                <w:sz w:val="17"/>
                <w:szCs w:val="17"/>
              </w:rPr>
              <w:t>Non-traditional</w:t>
            </w:r>
            <w:r w:rsidRPr="00DD7CCE">
              <w:rPr>
                <w:sz w:val="17"/>
                <w:szCs w:val="17"/>
              </w:rPr>
              <w:t xml:space="preserve"> investments </w:t>
            </w:r>
            <w:r>
              <w:rPr>
                <w:sz w:val="17"/>
                <w:szCs w:val="17"/>
              </w:rPr>
              <w:t>criterion is converted into ‘traditional investments criterion, traditional investments should be minimum 80% (EC shall specify in DA which investments may not be considered as traditional investments Art 29(6))</w:t>
            </w:r>
          </w:p>
          <w:p w14:paraId="0929F556" w14:textId="77777777" w:rsidR="00AB514A" w:rsidRPr="00DD7CCE" w:rsidRDefault="00AB514A" w:rsidP="00121913">
            <w:pPr>
              <w:pStyle w:val="CEABullet-Level1"/>
            </w:pPr>
            <w:r w:rsidRPr="00DD7CCE">
              <w:t>Additional criteria added based on which NSAs can refuse small and non-complex undertakings status</w:t>
            </w:r>
          </w:p>
          <w:p w14:paraId="29B591A7" w14:textId="77777777" w:rsidR="00AB514A" w:rsidRPr="007A4DF7" w:rsidRDefault="00AB514A" w:rsidP="00121913">
            <w:pPr>
              <w:pStyle w:val="Odsekzoznamu"/>
              <w:numPr>
                <w:ilvl w:val="1"/>
                <w:numId w:val="25"/>
              </w:numPr>
              <w:ind w:left="596"/>
              <w:rPr>
                <w:rFonts w:cs="Frutiger LT Std 45 Light"/>
                <w:sz w:val="17"/>
                <w:szCs w:val="17"/>
              </w:rPr>
            </w:pPr>
            <w:r w:rsidRPr="007A4DF7">
              <w:rPr>
                <w:rFonts w:cs="Frutiger LT Std 45 Light"/>
                <w:sz w:val="17"/>
                <w:szCs w:val="17"/>
              </w:rPr>
              <w:t xml:space="preserve">Non-compliance with SCR, assessed with and without </w:t>
            </w:r>
            <w:r w:rsidRPr="007A4DF7">
              <w:rPr>
                <w:rFonts w:cs="Frutiger LT Std 45 Light"/>
                <w:sz w:val="17"/>
                <w:szCs w:val="17"/>
              </w:rPr>
              <w:lastRenderedPageBreak/>
              <w:t xml:space="preserve">transitionals; </w:t>
            </w:r>
            <w:r>
              <w:rPr>
                <w:rFonts w:cs="Frutiger LT Std 45 Light"/>
                <w:sz w:val="17"/>
                <w:szCs w:val="17"/>
              </w:rPr>
              <w:t>(Art. 29b)</w:t>
            </w:r>
          </w:p>
          <w:p w14:paraId="35A169FE" w14:textId="77777777" w:rsidR="00AB514A" w:rsidRPr="007A4DF7" w:rsidRDefault="00AB514A" w:rsidP="00121913">
            <w:pPr>
              <w:pStyle w:val="Odsekzoznamu"/>
              <w:numPr>
                <w:ilvl w:val="1"/>
                <w:numId w:val="25"/>
              </w:numPr>
              <w:ind w:left="596"/>
              <w:rPr>
                <w:rFonts w:cs="Frutiger LT Std 45 Light"/>
                <w:sz w:val="17"/>
                <w:szCs w:val="17"/>
              </w:rPr>
            </w:pPr>
            <w:r w:rsidRPr="007A4DF7">
              <w:rPr>
                <w:rFonts w:cs="Frutiger LT Std 45 Light"/>
                <w:sz w:val="17"/>
                <w:szCs w:val="17"/>
              </w:rPr>
              <w:t xml:space="preserve">Undertaking represents more than 5% of life/non-life of the home MS of the undertaking (market share) </w:t>
            </w:r>
            <w:r>
              <w:rPr>
                <w:rFonts w:cs="Frutiger LT Std 45 Light"/>
                <w:sz w:val="17"/>
                <w:szCs w:val="17"/>
              </w:rPr>
              <w:t>(Art. 29b)</w:t>
            </w:r>
          </w:p>
          <w:p w14:paraId="0C6C0334" w14:textId="77777777" w:rsidR="00AB514A" w:rsidRDefault="00AB514A" w:rsidP="00121913">
            <w:pPr>
              <w:pStyle w:val="CEABullet-Level1"/>
              <w:rPr>
                <w:szCs w:val="17"/>
              </w:rPr>
            </w:pPr>
            <w:r>
              <w:t xml:space="preserve">notification requirement for small and non-complex undertakings, when it plans to use more/less proportionality measures than announced. </w:t>
            </w:r>
            <w:r>
              <w:rPr>
                <w:szCs w:val="17"/>
              </w:rPr>
              <w:t>(Art. 29b)</w:t>
            </w:r>
          </w:p>
          <w:p w14:paraId="54055265" w14:textId="577B1606" w:rsidR="00AB514A" w:rsidRDefault="00AB514A" w:rsidP="00121913">
            <w:pPr>
              <w:pStyle w:val="CEABullet-Level1"/>
              <w:rPr>
                <w:szCs w:val="17"/>
              </w:rPr>
            </w:pPr>
            <w:r>
              <w:rPr>
                <w:szCs w:val="17"/>
              </w:rPr>
              <w:t>Art 29c specifies criteria under which NSAs can ask undertakings not to use automatic proportionality measures (serious concerns re: SCR with/without transitionals; severe deficiencies regarding functioning of system of governance; material changes in the insurer’s activities that affect compliance with the criteria)</w:t>
            </w:r>
          </w:p>
          <w:p w14:paraId="2B16C306" w14:textId="1DE49198" w:rsidR="00AB514A" w:rsidRPr="00E45B8E" w:rsidRDefault="00AB514A" w:rsidP="00121913">
            <w:pPr>
              <w:pStyle w:val="CEABullet-Level1"/>
              <w:rPr>
                <w:szCs w:val="17"/>
              </w:rPr>
            </w:pPr>
            <w:r>
              <w:rPr>
                <w:szCs w:val="17"/>
              </w:rPr>
              <w:t>EIOPA requested to publish scenarios to be used for prudent deterministic validation (Art 77e(aa))</w:t>
            </w:r>
          </w:p>
          <w:p w14:paraId="26C391C6" w14:textId="77777777" w:rsidR="00AB514A" w:rsidRDefault="00AB514A" w:rsidP="00121913">
            <w:pPr>
              <w:pStyle w:val="CEABullet-Level1"/>
              <w:numPr>
                <w:ilvl w:val="0"/>
                <w:numId w:val="0"/>
              </w:numPr>
              <w:rPr>
                <w:szCs w:val="17"/>
              </w:rPr>
            </w:pPr>
          </w:p>
        </w:tc>
        <w:tc>
          <w:tcPr>
            <w:tcW w:w="2976" w:type="dxa"/>
          </w:tcPr>
          <w:p w14:paraId="07B54D27" w14:textId="20014F35" w:rsidR="002537C9" w:rsidRDefault="002537C9" w:rsidP="002537C9">
            <w:pPr>
              <w:pStyle w:val="CEABullet-Level1"/>
              <w:numPr>
                <w:ilvl w:val="0"/>
                <w:numId w:val="0"/>
              </w:numPr>
              <w:spacing w:line="30" w:lineRule="atLeast"/>
              <w:jc w:val="left"/>
              <w:rPr>
                <w:b/>
                <w:bCs/>
                <w:color w:val="00B050"/>
                <w:szCs w:val="17"/>
              </w:rPr>
            </w:pPr>
            <w:r w:rsidRPr="00BD5AF9">
              <w:rPr>
                <w:b/>
                <w:bCs/>
                <w:color w:val="00B050"/>
                <w:szCs w:val="17"/>
              </w:rPr>
              <w:lastRenderedPageBreak/>
              <w:t>[Positive]</w:t>
            </w:r>
            <w:r>
              <w:rPr>
                <w:b/>
                <w:bCs/>
                <w:color w:val="00B050"/>
                <w:szCs w:val="17"/>
              </w:rPr>
              <w:t xml:space="preserve"> </w:t>
            </w:r>
          </w:p>
          <w:p w14:paraId="026BBA19" w14:textId="77777777" w:rsidR="00BD4B22" w:rsidRDefault="0040526E" w:rsidP="002537C9">
            <w:pPr>
              <w:pStyle w:val="CEABullet-Level1"/>
              <w:numPr>
                <w:ilvl w:val="0"/>
                <w:numId w:val="0"/>
              </w:numPr>
              <w:spacing w:line="30" w:lineRule="atLeast"/>
              <w:jc w:val="left"/>
              <w:rPr>
                <w:color w:val="auto"/>
                <w:szCs w:val="17"/>
              </w:rPr>
            </w:pPr>
            <w:r w:rsidRPr="0073562C">
              <w:rPr>
                <w:color w:val="auto"/>
                <w:szCs w:val="17"/>
              </w:rPr>
              <w:t>Impo</w:t>
            </w:r>
            <w:r>
              <w:rPr>
                <w:color w:val="auto"/>
                <w:szCs w:val="17"/>
              </w:rPr>
              <w:t xml:space="preserve">rtant improvements to the </w:t>
            </w:r>
            <w:r w:rsidR="009333D4">
              <w:rPr>
                <w:color w:val="auto"/>
                <w:szCs w:val="17"/>
              </w:rPr>
              <w:t>proportionality criteria are proposed.</w:t>
            </w:r>
          </w:p>
          <w:p w14:paraId="1C64229C" w14:textId="052B997D" w:rsidR="00BD4B22" w:rsidRDefault="00BD4B22" w:rsidP="002537C9">
            <w:pPr>
              <w:pStyle w:val="CEABullet-Level1"/>
              <w:numPr>
                <w:ilvl w:val="0"/>
                <w:numId w:val="0"/>
              </w:numPr>
              <w:spacing w:line="30" w:lineRule="atLeast"/>
              <w:jc w:val="left"/>
              <w:rPr>
                <w:color w:val="auto"/>
                <w:szCs w:val="17"/>
              </w:rPr>
            </w:pPr>
          </w:p>
          <w:p w14:paraId="74AC066E" w14:textId="6D0082F8" w:rsidR="00BD4B22" w:rsidRDefault="00BD4B22" w:rsidP="002537C9">
            <w:pPr>
              <w:pStyle w:val="CEABullet-Level1"/>
              <w:numPr>
                <w:ilvl w:val="0"/>
                <w:numId w:val="0"/>
              </w:numPr>
              <w:spacing w:line="30" w:lineRule="atLeast"/>
              <w:jc w:val="left"/>
              <w:rPr>
                <w:color w:val="auto"/>
                <w:szCs w:val="17"/>
              </w:rPr>
            </w:pPr>
            <w:r>
              <w:rPr>
                <w:color w:val="auto"/>
                <w:szCs w:val="17"/>
              </w:rPr>
              <w:t>Keeps LRPU terminology.</w:t>
            </w:r>
          </w:p>
          <w:p w14:paraId="2A7E9455" w14:textId="77777777" w:rsidR="00BD4B22" w:rsidRDefault="00BD4B22" w:rsidP="002537C9">
            <w:pPr>
              <w:pStyle w:val="CEABullet-Level1"/>
              <w:numPr>
                <w:ilvl w:val="0"/>
                <w:numId w:val="0"/>
              </w:numPr>
              <w:spacing w:line="30" w:lineRule="atLeast"/>
              <w:jc w:val="left"/>
              <w:rPr>
                <w:color w:val="auto"/>
                <w:szCs w:val="17"/>
              </w:rPr>
            </w:pPr>
          </w:p>
          <w:p w14:paraId="43AAA5BF" w14:textId="0C0D4E39" w:rsidR="009B68ED" w:rsidRDefault="009B68ED" w:rsidP="002537C9">
            <w:pPr>
              <w:pStyle w:val="CEABullet-Level1"/>
              <w:numPr>
                <w:ilvl w:val="0"/>
                <w:numId w:val="0"/>
              </w:numPr>
              <w:spacing w:line="30" w:lineRule="atLeast"/>
              <w:jc w:val="left"/>
              <w:rPr>
                <w:color w:val="auto"/>
                <w:szCs w:val="17"/>
              </w:rPr>
            </w:pPr>
            <w:r>
              <w:rPr>
                <w:color w:val="auto"/>
                <w:szCs w:val="17"/>
              </w:rPr>
              <w:t xml:space="preserve">Criteria </w:t>
            </w:r>
            <w:r w:rsidR="00C34EEB">
              <w:rPr>
                <w:color w:val="auto"/>
                <w:szCs w:val="17"/>
              </w:rPr>
              <w:t xml:space="preserve">appear to be </w:t>
            </w:r>
            <w:r w:rsidR="00BD4B22">
              <w:rPr>
                <w:color w:val="auto"/>
                <w:szCs w:val="17"/>
              </w:rPr>
              <w:t>improved and</w:t>
            </w:r>
            <w:r w:rsidR="009B46B7">
              <w:rPr>
                <w:color w:val="auto"/>
                <w:szCs w:val="17"/>
              </w:rPr>
              <w:t xml:space="preserve"> are</w:t>
            </w:r>
            <w:r w:rsidR="00BD4B22">
              <w:rPr>
                <w:color w:val="auto"/>
                <w:szCs w:val="17"/>
              </w:rPr>
              <w:t xml:space="preserve"> </w:t>
            </w:r>
            <w:r>
              <w:rPr>
                <w:color w:val="auto"/>
                <w:szCs w:val="17"/>
              </w:rPr>
              <w:t xml:space="preserve">made relative: </w:t>
            </w:r>
          </w:p>
          <w:p w14:paraId="761AA5FD" w14:textId="77777777" w:rsidR="001F3491" w:rsidRDefault="001F3491" w:rsidP="002537C9">
            <w:pPr>
              <w:pStyle w:val="CEABullet-Level1"/>
              <w:numPr>
                <w:ilvl w:val="0"/>
                <w:numId w:val="0"/>
              </w:numPr>
              <w:spacing w:line="30" w:lineRule="atLeast"/>
              <w:jc w:val="left"/>
              <w:rPr>
                <w:color w:val="auto"/>
                <w:szCs w:val="17"/>
              </w:rPr>
            </w:pPr>
          </w:p>
          <w:p w14:paraId="6B1F0265" w14:textId="08072408" w:rsidR="003A3450" w:rsidRDefault="009B68ED" w:rsidP="002537C9">
            <w:pPr>
              <w:pStyle w:val="CEABullet-Level1"/>
              <w:numPr>
                <w:ilvl w:val="0"/>
                <w:numId w:val="0"/>
              </w:numPr>
              <w:spacing w:line="30" w:lineRule="atLeast"/>
              <w:jc w:val="left"/>
              <w:rPr>
                <w:color w:val="auto"/>
                <w:szCs w:val="17"/>
              </w:rPr>
            </w:pPr>
            <w:r w:rsidRPr="0073562C">
              <w:rPr>
                <w:b/>
                <w:color w:val="auto"/>
                <w:szCs w:val="17"/>
              </w:rPr>
              <w:t>Size criterion:</w:t>
            </w:r>
            <w:r>
              <w:rPr>
                <w:color w:val="auto"/>
                <w:szCs w:val="17"/>
              </w:rPr>
              <w:t xml:space="preserve"> </w:t>
            </w:r>
            <w:r w:rsidR="00D45FE1">
              <w:rPr>
                <w:color w:val="auto"/>
                <w:szCs w:val="17"/>
              </w:rPr>
              <w:t>(non</w:t>
            </w:r>
            <w:r w:rsidR="007971B3">
              <w:rPr>
                <w:color w:val="auto"/>
                <w:szCs w:val="17"/>
              </w:rPr>
              <w:t>-)</w:t>
            </w:r>
            <w:r w:rsidR="00460DEC">
              <w:rPr>
                <w:color w:val="auto"/>
                <w:szCs w:val="17"/>
              </w:rPr>
              <w:t>life</w:t>
            </w:r>
            <w:r w:rsidR="00D45FE1">
              <w:rPr>
                <w:color w:val="auto"/>
                <w:szCs w:val="17"/>
              </w:rPr>
              <w:t xml:space="preserve"> </w:t>
            </w:r>
            <w:r w:rsidR="00FE5354">
              <w:rPr>
                <w:color w:val="auto"/>
                <w:szCs w:val="17"/>
              </w:rPr>
              <w:t xml:space="preserve">insurers representing less than 10% of a home MS </w:t>
            </w:r>
            <w:r w:rsidR="001D4211">
              <w:rPr>
                <w:color w:val="auto"/>
                <w:szCs w:val="17"/>
              </w:rPr>
              <w:t>(non-)</w:t>
            </w:r>
            <w:r w:rsidR="008B1692">
              <w:rPr>
                <w:color w:val="auto"/>
                <w:szCs w:val="17"/>
              </w:rPr>
              <w:t>life</w:t>
            </w:r>
            <w:r w:rsidR="00141E9D">
              <w:rPr>
                <w:color w:val="auto"/>
                <w:szCs w:val="17"/>
              </w:rPr>
              <w:t xml:space="preserve"> market</w:t>
            </w:r>
            <w:r w:rsidR="001D4211">
              <w:rPr>
                <w:color w:val="auto"/>
                <w:szCs w:val="17"/>
              </w:rPr>
              <w:t xml:space="preserve">, </w:t>
            </w:r>
            <w:r w:rsidR="00141E9D">
              <w:rPr>
                <w:color w:val="auto"/>
                <w:szCs w:val="17"/>
              </w:rPr>
              <w:t xml:space="preserve">based </w:t>
            </w:r>
            <w:r w:rsidR="00925B38">
              <w:rPr>
                <w:color w:val="auto"/>
                <w:szCs w:val="17"/>
              </w:rPr>
              <w:t xml:space="preserve">on </w:t>
            </w:r>
            <w:r w:rsidR="00CA2B24">
              <w:rPr>
                <w:color w:val="auto"/>
                <w:szCs w:val="17"/>
              </w:rPr>
              <w:t>TP</w:t>
            </w:r>
            <w:r w:rsidR="003A3450">
              <w:rPr>
                <w:color w:val="auto"/>
                <w:szCs w:val="17"/>
              </w:rPr>
              <w:t>.</w:t>
            </w:r>
          </w:p>
          <w:p w14:paraId="4D869876" w14:textId="77777777" w:rsidR="00726264" w:rsidRDefault="00726264" w:rsidP="002537C9">
            <w:pPr>
              <w:pStyle w:val="CEABullet-Level1"/>
              <w:numPr>
                <w:ilvl w:val="0"/>
                <w:numId w:val="0"/>
              </w:numPr>
              <w:spacing w:line="30" w:lineRule="atLeast"/>
              <w:jc w:val="left"/>
              <w:rPr>
                <w:b/>
                <w:bCs/>
                <w:color w:val="auto"/>
                <w:szCs w:val="17"/>
              </w:rPr>
            </w:pPr>
          </w:p>
          <w:p w14:paraId="6752BA96" w14:textId="546BFAEF" w:rsidR="00460460" w:rsidRDefault="00A85730" w:rsidP="002537C9">
            <w:pPr>
              <w:pStyle w:val="CEABullet-Level1"/>
              <w:numPr>
                <w:ilvl w:val="0"/>
                <w:numId w:val="0"/>
              </w:numPr>
              <w:spacing w:line="30" w:lineRule="atLeast"/>
              <w:jc w:val="left"/>
              <w:rPr>
                <w:color w:val="auto"/>
                <w:szCs w:val="17"/>
              </w:rPr>
            </w:pPr>
            <w:r w:rsidRPr="0073562C">
              <w:rPr>
                <w:b/>
                <w:bCs/>
                <w:color w:val="auto"/>
                <w:szCs w:val="17"/>
              </w:rPr>
              <w:t>Cross border</w:t>
            </w:r>
            <w:r w:rsidR="00E612B6">
              <w:rPr>
                <w:color w:val="auto"/>
                <w:szCs w:val="17"/>
              </w:rPr>
              <w:t>:</w:t>
            </w:r>
            <w:r>
              <w:rPr>
                <w:color w:val="auto"/>
                <w:szCs w:val="17"/>
              </w:rPr>
              <w:t xml:space="preserve"> </w:t>
            </w:r>
            <w:r w:rsidR="00E21843">
              <w:rPr>
                <w:color w:val="auto"/>
                <w:szCs w:val="17"/>
              </w:rPr>
              <w:t xml:space="preserve">business underwritten </w:t>
            </w:r>
            <w:r w:rsidR="005E136D">
              <w:rPr>
                <w:color w:val="auto"/>
                <w:szCs w:val="17"/>
              </w:rPr>
              <w:t xml:space="preserve">in other MS </w:t>
            </w:r>
            <w:r w:rsidR="00E21843">
              <w:rPr>
                <w:color w:val="auto"/>
                <w:szCs w:val="17"/>
              </w:rPr>
              <w:t xml:space="preserve">is </w:t>
            </w:r>
            <w:r w:rsidR="00724561">
              <w:rPr>
                <w:color w:val="auto"/>
                <w:szCs w:val="17"/>
              </w:rPr>
              <w:t>not higher</w:t>
            </w:r>
            <w:r>
              <w:rPr>
                <w:color w:val="auto"/>
                <w:szCs w:val="17"/>
              </w:rPr>
              <w:t xml:space="preserve"> than 25% of the annual </w:t>
            </w:r>
            <w:r w:rsidR="00141E9D">
              <w:rPr>
                <w:color w:val="auto"/>
                <w:szCs w:val="17"/>
              </w:rPr>
              <w:t>GWP</w:t>
            </w:r>
            <w:r>
              <w:rPr>
                <w:color w:val="auto"/>
                <w:szCs w:val="17"/>
              </w:rPr>
              <w:t>.</w:t>
            </w:r>
            <w:r w:rsidR="00A93984">
              <w:rPr>
                <w:color w:val="auto"/>
                <w:szCs w:val="17"/>
              </w:rPr>
              <w:t xml:space="preserve"> </w:t>
            </w:r>
          </w:p>
          <w:p w14:paraId="183A4C6B" w14:textId="77777777" w:rsidR="0073562C" w:rsidRDefault="0073562C" w:rsidP="0073562C">
            <w:pPr>
              <w:pStyle w:val="CEABullet-Level1"/>
              <w:numPr>
                <w:ilvl w:val="0"/>
                <w:numId w:val="0"/>
              </w:numPr>
              <w:rPr>
                <w:b/>
                <w:bCs/>
              </w:rPr>
            </w:pPr>
          </w:p>
          <w:p w14:paraId="5A99B4F6" w14:textId="756AAB4B" w:rsidR="00726264" w:rsidRDefault="00460460" w:rsidP="0073562C">
            <w:pPr>
              <w:pStyle w:val="CEABullet-Level1"/>
              <w:numPr>
                <w:ilvl w:val="0"/>
                <w:numId w:val="0"/>
              </w:numPr>
            </w:pPr>
            <w:r w:rsidRPr="0073562C">
              <w:rPr>
                <w:b/>
                <w:bCs/>
              </w:rPr>
              <w:t>Non-traditional inv</w:t>
            </w:r>
            <w:r>
              <w:rPr>
                <w:b/>
                <w:bCs/>
              </w:rPr>
              <w:t>estments</w:t>
            </w:r>
            <w:r w:rsidR="00573C6D">
              <w:rPr>
                <w:b/>
                <w:bCs/>
              </w:rPr>
              <w:t xml:space="preserve"> </w:t>
            </w:r>
            <w:r w:rsidR="00573C6D" w:rsidRPr="0073562C">
              <w:t>are</w:t>
            </w:r>
            <w:r w:rsidR="00573C6D">
              <w:rPr>
                <w:b/>
                <w:bCs/>
              </w:rPr>
              <w:t xml:space="preserve"> </w:t>
            </w:r>
            <w:r w:rsidR="00726264" w:rsidRPr="0073562C">
              <w:t>less</w:t>
            </w:r>
            <w:r w:rsidR="00726264">
              <w:rPr>
                <w:b/>
                <w:bCs/>
              </w:rPr>
              <w:t xml:space="preserve"> </w:t>
            </w:r>
            <w:r>
              <w:t>than 30%</w:t>
            </w:r>
            <w:r w:rsidR="00726264">
              <w:t xml:space="preserve"> of total investments. (Traditional investments</w:t>
            </w:r>
            <w:r w:rsidR="0099761C">
              <w:t xml:space="preserve"> include</w:t>
            </w:r>
            <w:r w:rsidR="00726264">
              <w:t xml:space="preserve"> </w:t>
            </w:r>
            <w:r w:rsidR="005949CE">
              <w:t xml:space="preserve">bonds, equity, </w:t>
            </w:r>
            <w:r w:rsidR="00726264">
              <w:t>real estate</w:t>
            </w:r>
            <w:r w:rsidR="008005A6">
              <w:t xml:space="preserve">, </w:t>
            </w:r>
            <w:r w:rsidR="00726264">
              <w:t>loans, incl mortgages</w:t>
            </w:r>
            <w:r w:rsidR="00FF35D3">
              <w:t xml:space="preserve">, </w:t>
            </w:r>
            <w:r w:rsidR="00141EFE">
              <w:t>promissory notes</w:t>
            </w:r>
            <w:r w:rsidR="00726264">
              <w:t xml:space="preserve"> and private loans</w:t>
            </w:r>
            <w:r w:rsidR="00141EFE">
              <w:t xml:space="preserve"> and </w:t>
            </w:r>
            <w:r w:rsidR="00385EE6">
              <w:t>cash (equivalents).</w:t>
            </w:r>
            <w:r w:rsidR="00726264">
              <w:t xml:space="preserve"> </w:t>
            </w:r>
            <w:r w:rsidR="00D947AE">
              <w:t>Total assets</w:t>
            </w:r>
            <w:r w:rsidR="000A1E66">
              <w:t xml:space="preserve"> </w:t>
            </w:r>
            <w:r w:rsidR="00726264" w:rsidRPr="0073562C">
              <w:rPr>
                <w:i/>
                <w:iCs/>
              </w:rPr>
              <w:t>ex</w:t>
            </w:r>
            <w:r w:rsidR="00726264">
              <w:t xml:space="preserve">clude </w:t>
            </w:r>
            <w:r w:rsidR="008F5301">
              <w:t>investments</w:t>
            </w:r>
            <w:r w:rsidR="00726264">
              <w:t xml:space="preserve"> covering unit linked</w:t>
            </w:r>
            <w:r w:rsidR="0057524F">
              <w:t xml:space="preserve"> contracts</w:t>
            </w:r>
            <w:r w:rsidR="00726264">
              <w:t>)</w:t>
            </w:r>
          </w:p>
          <w:p w14:paraId="654079D7" w14:textId="55C02C4A" w:rsidR="00460460" w:rsidRDefault="00460460" w:rsidP="00460460">
            <w:pPr>
              <w:pStyle w:val="CEABullet-Level1"/>
              <w:numPr>
                <w:ilvl w:val="0"/>
                <w:numId w:val="0"/>
              </w:numPr>
            </w:pPr>
          </w:p>
          <w:p w14:paraId="79C16493" w14:textId="77777777" w:rsidR="00D3432B" w:rsidRDefault="00D3432B" w:rsidP="00D3432B">
            <w:pPr>
              <w:pStyle w:val="CEABullet-Level1"/>
              <w:numPr>
                <w:ilvl w:val="0"/>
                <w:numId w:val="0"/>
              </w:numPr>
            </w:pPr>
            <w:r w:rsidRPr="0073562C">
              <w:rPr>
                <w:b/>
                <w:bCs/>
              </w:rPr>
              <w:lastRenderedPageBreak/>
              <w:t>Reinsurance business accepted</w:t>
            </w:r>
            <w:r>
              <w:t xml:space="preserve"> is below 50% of annual GWP</w:t>
            </w:r>
          </w:p>
          <w:p w14:paraId="34A03379" w14:textId="77777777" w:rsidR="00BE15ED" w:rsidRDefault="00BE15ED" w:rsidP="00D3432B">
            <w:pPr>
              <w:pStyle w:val="CEABullet-Level1"/>
              <w:numPr>
                <w:ilvl w:val="0"/>
                <w:numId w:val="0"/>
              </w:numPr>
            </w:pPr>
          </w:p>
          <w:p w14:paraId="377C6BE1" w14:textId="27B436CC" w:rsidR="00BE15ED" w:rsidRPr="0073562C" w:rsidRDefault="00C31735" w:rsidP="0073562C">
            <w:pPr>
              <w:pStyle w:val="CEABullet-Level1"/>
              <w:numPr>
                <w:ilvl w:val="0"/>
                <w:numId w:val="0"/>
              </w:numPr>
              <w:jc w:val="left"/>
            </w:pPr>
            <w:r w:rsidRPr="0073562C">
              <w:rPr>
                <w:b/>
                <w:bCs/>
              </w:rPr>
              <w:t>SCR/Capital add-on:</w:t>
            </w:r>
            <w:r>
              <w:t xml:space="preserve"> </w:t>
            </w:r>
            <w:r w:rsidR="00BE15ED" w:rsidRPr="00C31735">
              <w:t>Undertaking complies with SCR</w:t>
            </w:r>
            <w:r w:rsidR="001B68A9" w:rsidRPr="00C31735">
              <w:t xml:space="preserve"> and</w:t>
            </w:r>
            <w:r w:rsidR="00BE15ED" w:rsidRPr="0073562C">
              <w:t xml:space="preserve"> no capital add</w:t>
            </w:r>
            <w:r w:rsidR="001B68A9" w:rsidRPr="0073562C">
              <w:t>-</w:t>
            </w:r>
            <w:r w:rsidR="00BE15ED" w:rsidRPr="0073562C">
              <w:t>on</w:t>
            </w:r>
            <w:r w:rsidRPr="0073562C">
              <w:t xml:space="preserve"> was set</w:t>
            </w:r>
          </w:p>
          <w:p w14:paraId="6B49A7BC" w14:textId="77777777" w:rsidR="00BE15ED" w:rsidRDefault="00BE15ED" w:rsidP="0073562C">
            <w:pPr>
              <w:pStyle w:val="CEABullet-Level1"/>
              <w:numPr>
                <w:ilvl w:val="0"/>
                <w:numId w:val="0"/>
              </w:numPr>
            </w:pPr>
          </w:p>
          <w:p w14:paraId="0A03F254" w14:textId="1F5B18CB" w:rsidR="001F3491" w:rsidRDefault="001F3491" w:rsidP="0073562C">
            <w:pPr>
              <w:pStyle w:val="CEABullet-Level1"/>
              <w:numPr>
                <w:ilvl w:val="0"/>
                <w:numId w:val="0"/>
              </w:numPr>
            </w:pPr>
            <w:r w:rsidRPr="0073562C">
              <w:rPr>
                <w:b/>
                <w:bCs/>
              </w:rPr>
              <w:t>Specifically for non-life:</w:t>
            </w:r>
            <w:r>
              <w:t xml:space="preserve"> Annual GWP of classes 4-7</w:t>
            </w:r>
            <w:r w:rsidR="00CA6A56">
              <w:t>, 14 and 15</w:t>
            </w:r>
            <w:r>
              <w:t xml:space="preserve"> is not higher than 30%</w:t>
            </w:r>
            <w:r w:rsidR="002C56DF">
              <w:t xml:space="preserve"> of total annual GWP.</w:t>
            </w:r>
          </w:p>
          <w:p w14:paraId="538CC3A5" w14:textId="54743F74" w:rsidR="00D3432B" w:rsidRDefault="00D3432B" w:rsidP="00460460">
            <w:pPr>
              <w:pStyle w:val="CEABullet-Level1"/>
              <w:numPr>
                <w:ilvl w:val="0"/>
                <w:numId w:val="0"/>
              </w:numPr>
            </w:pPr>
          </w:p>
          <w:p w14:paraId="7B2E69F5" w14:textId="3FAC45AB" w:rsidR="00755DE9" w:rsidRPr="005A79C1" w:rsidRDefault="00755DE9" w:rsidP="0073562C">
            <w:pPr>
              <w:pStyle w:val="CEABullet-Level1"/>
              <w:numPr>
                <w:ilvl w:val="0"/>
                <w:numId w:val="0"/>
              </w:numPr>
              <w:rPr>
                <w:b/>
                <w:bCs/>
              </w:rPr>
            </w:pPr>
            <w:r>
              <w:rPr>
                <w:b/>
                <w:bCs/>
              </w:rPr>
              <w:t>For</w:t>
            </w:r>
            <w:r w:rsidR="00675E28" w:rsidRPr="0073562C">
              <w:rPr>
                <w:b/>
                <w:bCs/>
              </w:rPr>
              <w:t xml:space="preserve"> </w:t>
            </w:r>
            <w:r>
              <w:rPr>
                <w:b/>
                <w:bCs/>
              </w:rPr>
              <w:t xml:space="preserve">undertakings combining life/non-life </w:t>
            </w:r>
            <w:r w:rsidRPr="0073562C">
              <w:t xml:space="preserve">all criteria applicable for life/non-life insurers apply. </w:t>
            </w:r>
            <w:r w:rsidR="000B15DB">
              <w:t>Except for the size crit</w:t>
            </w:r>
            <w:r w:rsidR="0029497F">
              <w:t xml:space="preserve">erion </w:t>
            </w:r>
            <w:r w:rsidR="002134D8">
              <w:t xml:space="preserve">the undertaking represents </w:t>
            </w:r>
            <w:r w:rsidR="00454A8D">
              <w:t>less than 10%</w:t>
            </w:r>
            <w:r w:rsidR="00C8598F">
              <w:t xml:space="preserve"> of life insurance </w:t>
            </w:r>
            <w:r w:rsidR="009A50FD">
              <w:t>market</w:t>
            </w:r>
            <w:r w:rsidR="005D1510">
              <w:t xml:space="preserve"> in terms of TP </w:t>
            </w:r>
            <w:r w:rsidR="00C073AB">
              <w:t>OR</w:t>
            </w:r>
            <w:r w:rsidR="005D1510">
              <w:t xml:space="preserve"> </w:t>
            </w:r>
            <w:r w:rsidR="00C073AB">
              <w:t>for non</w:t>
            </w:r>
            <w:r w:rsidR="00BB345A">
              <w:t>-</w:t>
            </w:r>
            <w:r w:rsidR="00C073AB">
              <w:t xml:space="preserve">life less than 10% of home MS non-life market, </w:t>
            </w:r>
            <w:r w:rsidR="00596A54">
              <w:t xml:space="preserve">based on </w:t>
            </w:r>
            <w:r w:rsidR="00596A54" w:rsidRPr="0073562C">
              <w:rPr>
                <w:b/>
                <w:bCs/>
              </w:rPr>
              <w:t>GWP</w:t>
            </w:r>
            <w:r w:rsidR="00596A54">
              <w:rPr>
                <w:b/>
                <w:bCs/>
              </w:rPr>
              <w:t xml:space="preserve"> </w:t>
            </w:r>
            <w:r w:rsidR="00596A54" w:rsidRPr="0073562C">
              <w:t>(</w:t>
            </w:r>
            <w:r w:rsidR="00BA378C" w:rsidRPr="0073562C">
              <w:rPr>
                <w:i/>
                <w:iCs/>
              </w:rPr>
              <w:t>while size criterion for non-life undertaking is based on TP</w:t>
            </w:r>
            <w:r w:rsidR="00BA378C">
              <w:rPr>
                <w:i/>
                <w:iCs/>
              </w:rPr>
              <w:t xml:space="preserve">, could potentially be an </w:t>
            </w:r>
            <w:r w:rsidR="009D62E8">
              <w:rPr>
                <w:i/>
                <w:iCs/>
              </w:rPr>
              <w:t>error</w:t>
            </w:r>
            <w:r w:rsidR="00BA378C" w:rsidRPr="0073562C">
              <w:t>)</w:t>
            </w:r>
            <w:r w:rsidR="00596A54">
              <w:t>.</w:t>
            </w:r>
          </w:p>
          <w:p w14:paraId="77DE411B" w14:textId="77777777" w:rsidR="00675E28" w:rsidRDefault="00675E28" w:rsidP="00460460">
            <w:pPr>
              <w:pStyle w:val="CEABullet-Level1"/>
              <w:numPr>
                <w:ilvl w:val="0"/>
                <w:numId w:val="0"/>
              </w:numPr>
              <w:rPr>
                <w:b/>
                <w:bCs/>
              </w:rPr>
            </w:pPr>
          </w:p>
          <w:p w14:paraId="2FBAF1D0" w14:textId="12BB2DC5" w:rsidR="00A85730" w:rsidRPr="0073562C" w:rsidRDefault="00BF3786" w:rsidP="002537C9">
            <w:pPr>
              <w:pStyle w:val="CEABullet-Level1"/>
              <w:numPr>
                <w:ilvl w:val="0"/>
                <w:numId w:val="0"/>
              </w:numPr>
              <w:spacing w:line="30" w:lineRule="atLeast"/>
              <w:jc w:val="left"/>
              <w:rPr>
                <w:b/>
                <w:color w:val="auto"/>
                <w:szCs w:val="17"/>
              </w:rPr>
            </w:pPr>
            <w:r>
              <w:rPr>
                <w:b/>
                <w:bCs/>
                <w:color w:val="auto"/>
                <w:szCs w:val="17"/>
              </w:rPr>
              <w:t>LRPU status</w:t>
            </w:r>
            <w:r w:rsidR="001B34F7">
              <w:rPr>
                <w:b/>
                <w:bCs/>
                <w:color w:val="auto"/>
                <w:szCs w:val="17"/>
              </w:rPr>
              <w:t>:</w:t>
            </w:r>
          </w:p>
          <w:p w14:paraId="556D0581" w14:textId="77777777" w:rsidR="001E3903" w:rsidRDefault="001E3903" w:rsidP="001E3903">
            <w:pPr>
              <w:pStyle w:val="CEABullet-Level1"/>
            </w:pPr>
            <w:r>
              <w:t>Internal model users can be eligible for LPRU status. Internal model groups need approval from NSA ((Art 213a(4)/A180)</w:t>
            </w:r>
          </w:p>
          <w:p w14:paraId="3CDDA694" w14:textId="0F059162" w:rsidR="00A85730" w:rsidRDefault="00A85730" w:rsidP="002537C9">
            <w:pPr>
              <w:pStyle w:val="CEABullet-Level1"/>
            </w:pPr>
            <w:r>
              <w:lastRenderedPageBreak/>
              <w:t>Reinsurers are excluded from LRPU status</w:t>
            </w:r>
            <w:r w:rsidR="008E2AC4">
              <w:t xml:space="preserve"> (A35, A</w:t>
            </w:r>
            <w:r w:rsidR="00A52EDB">
              <w:t xml:space="preserve">38, </w:t>
            </w:r>
            <w:r w:rsidR="001467BA">
              <w:t>A67</w:t>
            </w:r>
            <w:r w:rsidR="00717D95">
              <w:t>, A68, A69</w:t>
            </w:r>
            <w:r w:rsidR="00877C83">
              <w:t>)</w:t>
            </w:r>
          </w:p>
          <w:p w14:paraId="516A7017" w14:textId="7A0A21CD" w:rsidR="00AB514A" w:rsidRDefault="002537C9" w:rsidP="002537C9">
            <w:pPr>
              <w:pStyle w:val="CEABullet-Level1"/>
            </w:pPr>
            <w:r>
              <w:t>Captives</w:t>
            </w:r>
            <w:r w:rsidR="009C12AE">
              <w:t>, including reinsurers are</w:t>
            </w:r>
            <w:r>
              <w:t xml:space="preserve"> automatically recognized as LRPU</w:t>
            </w:r>
            <w:r w:rsidR="005E117A">
              <w:t xml:space="preserve"> (recital 14</w:t>
            </w:r>
            <w:r w:rsidR="00CB2CA0">
              <w:t>/</w:t>
            </w:r>
            <w:r w:rsidR="00DD42AB">
              <w:t>Art 29a (1a)</w:t>
            </w:r>
            <w:r w:rsidR="006F1F31">
              <w:t xml:space="preserve">/ A4, </w:t>
            </w:r>
            <w:r w:rsidR="00FE1EE1">
              <w:t>A</w:t>
            </w:r>
            <w:r w:rsidR="00C402D4">
              <w:t>64</w:t>
            </w:r>
            <w:r w:rsidR="005E117A">
              <w:t>)</w:t>
            </w:r>
          </w:p>
          <w:p w14:paraId="0687EDD7" w14:textId="77777777" w:rsidR="00C56FC4" w:rsidRDefault="00C56FC4" w:rsidP="00C56FC4">
            <w:pPr>
              <w:pStyle w:val="CEABullet-Level1"/>
              <w:numPr>
                <w:ilvl w:val="0"/>
                <w:numId w:val="0"/>
              </w:numPr>
            </w:pPr>
          </w:p>
          <w:p w14:paraId="1F34E3F0" w14:textId="0E42A871" w:rsidR="000276E2" w:rsidRPr="00BD5AF9" w:rsidRDefault="000276E2" w:rsidP="00484E28">
            <w:pPr>
              <w:pStyle w:val="CEABullet-Level1"/>
              <w:numPr>
                <w:ilvl w:val="0"/>
                <w:numId w:val="0"/>
              </w:numPr>
              <w:ind w:left="360"/>
            </w:pPr>
          </w:p>
        </w:tc>
        <w:tc>
          <w:tcPr>
            <w:tcW w:w="3402" w:type="dxa"/>
            <w:vMerge w:val="restart"/>
          </w:tcPr>
          <w:p w14:paraId="37BC0F07" w14:textId="243A29C4" w:rsidR="00AB514A" w:rsidRDefault="00AB514A" w:rsidP="00121913">
            <w:pPr>
              <w:tabs>
                <w:tab w:val="left" w:pos="3815"/>
              </w:tabs>
              <w:rPr>
                <w:b/>
                <w:color w:val="E36C0A" w:themeColor="accent6" w:themeShade="BF"/>
                <w:sz w:val="17"/>
                <w:szCs w:val="17"/>
              </w:rPr>
            </w:pPr>
            <w:r w:rsidRPr="00BD5AF9">
              <w:rPr>
                <w:b/>
                <w:color w:val="E36C0A" w:themeColor="accent6" w:themeShade="BF"/>
                <w:sz w:val="17"/>
                <w:szCs w:val="17"/>
              </w:rPr>
              <w:lastRenderedPageBreak/>
              <w:t>[</w:t>
            </w:r>
            <w:r w:rsidRPr="00BD5AF9">
              <w:rPr>
                <w:b/>
                <w:bCs/>
                <w:color w:val="E36C0A" w:themeColor="accent6" w:themeShade="BF"/>
                <w:sz w:val="17"/>
                <w:szCs w:val="17"/>
              </w:rPr>
              <w:t>Neutral]</w:t>
            </w:r>
            <w:r>
              <w:rPr>
                <w:b/>
                <w:color w:val="E36C0A" w:themeColor="accent6" w:themeShade="BF"/>
                <w:sz w:val="17"/>
                <w:szCs w:val="17"/>
              </w:rPr>
              <w:t xml:space="preserve"> </w:t>
            </w:r>
          </w:p>
          <w:p w14:paraId="44995EED" w14:textId="0C83537A" w:rsidR="00AB514A" w:rsidRDefault="00AB514A" w:rsidP="00121913">
            <w:pPr>
              <w:tabs>
                <w:tab w:val="left" w:pos="3815"/>
              </w:tabs>
              <w:rPr>
                <w:sz w:val="17"/>
                <w:szCs w:val="17"/>
              </w:rPr>
            </w:pPr>
            <w:r>
              <w:rPr>
                <w:sz w:val="17"/>
                <w:szCs w:val="17"/>
              </w:rPr>
              <w:t xml:space="preserve">While it is expected that EC/Presidency will go ahead with the much-needed automation of proportionality, at the moment it seems that no further improvements will be adopted. Furthermore, the </w:t>
            </w:r>
            <w:r w:rsidR="003145A1">
              <w:rPr>
                <w:sz w:val="17"/>
                <w:szCs w:val="17"/>
              </w:rPr>
              <w:t xml:space="preserve">EP draft report proposes increased </w:t>
            </w:r>
            <w:r>
              <w:rPr>
                <w:sz w:val="17"/>
                <w:szCs w:val="17"/>
              </w:rPr>
              <w:t xml:space="preserve">thresholds for exclusion of SII. </w:t>
            </w:r>
          </w:p>
          <w:p w14:paraId="4ADB8CB4" w14:textId="77777777" w:rsidR="00AB514A" w:rsidRDefault="00AB514A" w:rsidP="00121913">
            <w:pPr>
              <w:tabs>
                <w:tab w:val="left" w:pos="3815"/>
              </w:tabs>
              <w:rPr>
                <w:sz w:val="17"/>
                <w:szCs w:val="17"/>
              </w:rPr>
            </w:pPr>
          </w:p>
          <w:p w14:paraId="1267225C" w14:textId="5EA94AEE" w:rsidR="0040526E" w:rsidRDefault="00AB514A" w:rsidP="00121913">
            <w:pPr>
              <w:tabs>
                <w:tab w:val="left" w:pos="3815"/>
              </w:tabs>
              <w:rPr>
                <w:sz w:val="17"/>
                <w:szCs w:val="17"/>
              </w:rPr>
            </w:pPr>
            <w:r>
              <w:rPr>
                <w:sz w:val="17"/>
                <w:szCs w:val="17"/>
              </w:rPr>
              <w:t>In particular improvements to the size, cross border and non-traditional investments criterion are needed to make automatic proportionality work for all markets.</w:t>
            </w:r>
          </w:p>
          <w:p w14:paraId="3BE480EE" w14:textId="77777777" w:rsidR="0040526E" w:rsidRDefault="0040526E" w:rsidP="00121913">
            <w:pPr>
              <w:tabs>
                <w:tab w:val="left" w:pos="3815"/>
              </w:tabs>
              <w:rPr>
                <w:sz w:val="17"/>
                <w:szCs w:val="17"/>
              </w:rPr>
            </w:pPr>
          </w:p>
          <w:p w14:paraId="0F7B71F3" w14:textId="77777777" w:rsidR="00973A8C" w:rsidRPr="00541924" w:rsidRDefault="0040526E" w:rsidP="00121913">
            <w:pPr>
              <w:tabs>
                <w:tab w:val="left" w:pos="3815"/>
              </w:tabs>
              <w:rPr>
                <w:sz w:val="17"/>
                <w:szCs w:val="17"/>
              </w:rPr>
            </w:pPr>
            <w:r w:rsidRPr="00F15250">
              <w:rPr>
                <w:sz w:val="17"/>
                <w:szCs w:val="17"/>
              </w:rPr>
              <w:t xml:space="preserve">The </w:t>
            </w:r>
            <w:r w:rsidRPr="00F15250">
              <w:rPr>
                <w:b/>
                <w:bCs/>
                <w:sz w:val="17"/>
                <w:szCs w:val="17"/>
              </w:rPr>
              <w:t>EP draft report</w:t>
            </w:r>
            <w:r w:rsidRPr="00F15250">
              <w:rPr>
                <w:sz w:val="17"/>
                <w:szCs w:val="17"/>
              </w:rPr>
              <w:t xml:space="preserve"> suggests -improved - relative thresholds and other additional improvements in the area of proportionality</w:t>
            </w:r>
            <w:r w:rsidR="007B356D" w:rsidRPr="00F15250">
              <w:rPr>
                <w:sz w:val="17"/>
                <w:szCs w:val="17"/>
              </w:rPr>
              <w:t xml:space="preserve">, including the removal of the three-year validity period </w:t>
            </w:r>
            <w:r w:rsidR="00EB2EC2" w:rsidRPr="00F15250">
              <w:rPr>
                <w:sz w:val="17"/>
                <w:szCs w:val="17"/>
              </w:rPr>
              <w:t>for simplified calculations</w:t>
            </w:r>
            <w:r w:rsidR="00683D51" w:rsidRPr="00F15250">
              <w:rPr>
                <w:sz w:val="17"/>
                <w:szCs w:val="17"/>
              </w:rPr>
              <w:t xml:space="preserve">, </w:t>
            </w:r>
            <w:r w:rsidR="005859D6" w:rsidRPr="00F15250">
              <w:rPr>
                <w:sz w:val="17"/>
                <w:szCs w:val="17"/>
              </w:rPr>
              <w:t xml:space="preserve">internal model using companies </w:t>
            </w:r>
            <w:r w:rsidR="00294501" w:rsidRPr="00F15250">
              <w:rPr>
                <w:sz w:val="17"/>
                <w:szCs w:val="17"/>
              </w:rPr>
              <w:t>are also eligible for LRPU status</w:t>
            </w:r>
            <w:r w:rsidR="00A5132A" w:rsidRPr="00F15250">
              <w:rPr>
                <w:sz w:val="17"/>
                <w:szCs w:val="17"/>
              </w:rPr>
              <w:t xml:space="preserve"> (groups subject to NSA approval)</w:t>
            </w:r>
            <w:r w:rsidR="00643671" w:rsidRPr="00F15250">
              <w:rPr>
                <w:sz w:val="17"/>
                <w:szCs w:val="17"/>
              </w:rPr>
              <w:t xml:space="preserve">, captive (re)insurers </w:t>
            </w:r>
            <w:r w:rsidR="001712B2" w:rsidRPr="00F15250">
              <w:rPr>
                <w:sz w:val="17"/>
                <w:szCs w:val="17"/>
              </w:rPr>
              <w:t>get LRPU status by default</w:t>
            </w:r>
            <w:r w:rsidRPr="00F15250">
              <w:rPr>
                <w:sz w:val="17"/>
                <w:szCs w:val="17"/>
              </w:rPr>
              <w:t>.</w:t>
            </w:r>
          </w:p>
          <w:p w14:paraId="4B763042" w14:textId="77777777" w:rsidR="00AB514A" w:rsidRDefault="00973A8C" w:rsidP="00121913">
            <w:pPr>
              <w:tabs>
                <w:tab w:val="left" w:pos="3815"/>
              </w:tabs>
              <w:rPr>
                <w:sz w:val="17"/>
                <w:szCs w:val="17"/>
              </w:rPr>
            </w:pPr>
            <w:r w:rsidRPr="00541924">
              <w:rPr>
                <w:sz w:val="17"/>
                <w:szCs w:val="17"/>
              </w:rPr>
              <w:t xml:space="preserve">On the negative side, reinsurers are not eligible for </w:t>
            </w:r>
            <w:r w:rsidR="00324157" w:rsidRPr="00541924">
              <w:rPr>
                <w:sz w:val="17"/>
                <w:szCs w:val="17"/>
              </w:rPr>
              <w:t>LRPU status.</w:t>
            </w:r>
            <w:r w:rsidR="00324157">
              <w:rPr>
                <w:sz w:val="17"/>
                <w:szCs w:val="17"/>
              </w:rPr>
              <w:t xml:space="preserve"> </w:t>
            </w:r>
            <w:r w:rsidR="0040526E" w:rsidRPr="00F15250">
              <w:rPr>
                <w:sz w:val="17"/>
                <w:szCs w:val="17"/>
              </w:rPr>
              <w:t xml:space="preserve">  </w:t>
            </w:r>
            <w:r w:rsidR="00AB514A" w:rsidRPr="0040526E">
              <w:rPr>
                <w:sz w:val="17"/>
                <w:szCs w:val="17"/>
              </w:rPr>
              <w:t xml:space="preserve"> </w:t>
            </w:r>
          </w:p>
          <w:p w14:paraId="5F1D6D4C" w14:textId="77777777" w:rsidR="000C45FD" w:rsidRDefault="000C45FD" w:rsidP="00121913">
            <w:pPr>
              <w:tabs>
                <w:tab w:val="left" w:pos="3815"/>
              </w:tabs>
              <w:rPr>
                <w:sz w:val="17"/>
                <w:szCs w:val="17"/>
              </w:rPr>
            </w:pPr>
          </w:p>
          <w:p w14:paraId="7C57D90B" w14:textId="77777777" w:rsidR="000C45FD" w:rsidRDefault="000C45FD" w:rsidP="00121913">
            <w:pPr>
              <w:tabs>
                <w:tab w:val="left" w:pos="3815"/>
              </w:tabs>
              <w:rPr>
                <w:sz w:val="17"/>
                <w:szCs w:val="17"/>
              </w:rPr>
            </w:pPr>
          </w:p>
          <w:p w14:paraId="12CD1D9E" w14:textId="64E36CBC" w:rsidR="007A739B" w:rsidRDefault="004B6097" w:rsidP="00121913">
            <w:pPr>
              <w:tabs>
                <w:tab w:val="left" w:pos="3815"/>
              </w:tabs>
              <w:rPr>
                <w:color w:val="1F497D" w:themeColor="text2"/>
                <w:sz w:val="17"/>
                <w:szCs w:val="17"/>
              </w:rPr>
            </w:pPr>
            <w:r>
              <w:rPr>
                <w:b/>
                <w:bCs/>
                <w:color w:val="1F497D" w:themeColor="text2"/>
                <w:sz w:val="17"/>
                <w:szCs w:val="17"/>
              </w:rPr>
              <w:t>W</w:t>
            </w:r>
            <w:r w:rsidR="000C45FD">
              <w:rPr>
                <w:b/>
                <w:bCs/>
                <w:color w:val="1F497D" w:themeColor="text2"/>
                <w:sz w:val="17"/>
                <w:szCs w:val="17"/>
              </w:rPr>
              <w:t xml:space="preserve">ay forward: </w:t>
            </w:r>
            <w:r w:rsidR="000C45FD">
              <w:rPr>
                <w:color w:val="1F497D" w:themeColor="text2"/>
                <w:sz w:val="17"/>
                <w:szCs w:val="17"/>
              </w:rPr>
              <w:t xml:space="preserve">support the EP’s recognition </w:t>
            </w:r>
            <w:r w:rsidR="00B45F71">
              <w:rPr>
                <w:color w:val="1F497D" w:themeColor="text2"/>
                <w:sz w:val="17"/>
                <w:szCs w:val="17"/>
              </w:rPr>
              <w:t>and</w:t>
            </w:r>
            <w:r w:rsidR="00E85182">
              <w:rPr>
                <w:color w:val="1F497D" w:themeColor="text2"/>
                <w:sz w:val="17"/>
                <w:szCs w:val="17"/>
              </w:rPr>
              <w:t xml:space="preserve"> </w:t>
            </w:r>
            <w:r w:rsidR="000C45FD">
              <w:rPr>
                <w:color w:val="1F497D" w:themeColor="text2"/>
                <w:sz w:val="17"/>
                <w:szCs w:val="17"/>
              </w:rPr>
              <w:t xml:space="preserve">refinements to </w:t>
            </w:r>
            <w:r w:rsidR="00E85182">
              <w:rPr>
                <w:color w:val="1F497D" w:themeColor="text2"/>
                <w:sz w:val="17"/>
                <w:szCs w:val="17"/>
              </w:rPr>
              <w:t xml:space="preserve">the </w:t>
            </w:r>
            <w:r w:rsidR="000C45FD">
              <w:rPr>
                <w:color w:val="1F497D" w:themeColor="text2"/>
                <w:sz w:val="17"/>
                <w:szCs w:val="17"/>
              </w:rPr>
              <w:t>proposals are needed</w:t>
            </w:r>
            <w:r w:rsidR="00E85182">
              <w:rPr>
                <w:color w:val="1F497D" w:themeColor="text2"/>
                <w:sz w:val="17"/>
                <w:szCs w:val="17"/>
              </w:rPr>
              <w:t xml:space="preserve">, </w:t>
            </w:r>
            <w:r w:rsidR="00AC027E">
              <w:rPr>
                <w:color w:val="1F497D" w:themeColor="text2"/>
                <w:sz w:val="17"/>
                <w:szCs w:val="17"/>
              </w:rPr>
              <w:t>eg</w:t>
            </w:r>
            <w:r w:rsidR="00E85182">
              <w:rPr>
                <w:color w:val="1F497D" w:themeColor="text2"/>
                <w:sz w:val="17"/>
                <w:szCs w:val="17"/>
              </w:rPr>
              <w:t xml:space="preserve"> w</w:t>
            </w:r>
            <w:r w:rsidR="00A87240">
              <w:rPr>
                <w:color w:val="1F497D" w:themeColor="text2"/>
                <w:sz w:val="17"/>
                <w:szCs w:val="17"/>
              </w:rPr>
              <w:t>ith regards to the determination of cross-border activity as risk-factor.</w:t>
            </w:r>
            <w:r w:rsidR="00D245DE">
              <w:rPr>
                <w:color w:val="1F497D" w:themeColor="text2"/>
                <w:sz w:val="17"/>
                <w:szCs w:val="17"/>
              </w:rPr>
              <w:t xml:space="preserve"> </w:t>
            </w:r>
            <w:r w:rsidR="00BF3783">
              <w:rPr>
                <w:color w:val="1F497D" w:themeColor="text2"/>
                <w:sz w:val="17"/>
                <w:szCs w:val="17"/>
              </w:rPr>
              <w:t>Furthermore</w:t>
            </w:r>
            <w:r w:rsidR="00D245DE">
              <w:rPr>
                <w:color w:val="1F497D" w:themeColor="text2"/>
                <w:sz w:val="17"/>
                <w:szCs w:val="17"/>
              </w:rPr>
              <w:t xml:space="preserve"> a </w:t>
            </w:r>
            <w:r w:rsidR="00D245DE" w:rsidRPr="00D245DE">
              <w:rPr>
                <w:color w:val="1F497D" w:themeColor="text2"/>
                <w:sz w:val="17"/>
                <w:szCs w:val="17"/>
              </w:rPr>
              <w:t>recital should be included to allow undertakings qualifying for LRPU status under SII to be recognised as SME for the purpose of CSRD</w:t>
            </w:r>
            <w:r w:rsidR="00D245DE">
              <w:rPr>
                <w:color w:val="1F497D" w:themeColor="text2"/>
                <w:sz w:val="17"/>
                <w:szCs w:val="17"/>
              </w:rPr>
              <w:t>.</w:t>
            </w:r>
            <w:r w:rsidR="00EB6F15">
              <w:rPr>
                <w:color w:val="1F497D" w:themeColor="text2"/>
                <w:sz w:val="17"/>
                <w:szCs w:val="17"/>
              </w:rPr>
              <w:t xml:space="preserve"> </w:t>
            </w:r>
            <w:r w:rsidR="00BC7809">
              <w:rPr>
                <w:color w:val="1F497D" w:themeColor="text2"/>
                <w:sz w:val="17"/>
                <w:szCs w:val="17"/>
              </w:rPr>
              <w:t xml:space="preserve">(if members can identify specific and credible additional </w:t>
            </w:r>
            <w:r w:rsidR="00A532ED">
              <w:rPr>
                <w:color w:val="1F497D" w:themeColor="text2"/>
                <w:sz w:val="17"/>
                <w:szCs w:val="17"/>
              </w:rPr>
              <w:t>proportionality tools from IE’s proportionality toolbox, then these could be considered as justifying additional amendments.</w:t>
            </w:r>
            <w:r w:rsidR="00172581">
              <w:rPr>
                <w:color w:val="1F497D" w:themeColor="text2"/>
                <w:sz w:val="17"/>
                <w:szCs w:val="17"/>
              </w:rPr>
              <w:t>)</w:t>
            </w:r>
            <w:r w:rsidR="00A532ED">
              <w:rPr>
                <w:color w:val="1F497D" w:themeColor="text2"/>
                <w:sz w:val="17"/>
                <w:szCs w:val="17"/>
              </w:rPr>
              <w:t xml:space="preserve"> </w:t>
            </w:r>
          </w:p>
          <w:p w14:paraId="7A8A4014" w14:textId="77777777" w:rsidR="00464803" w:rsidRDefault="00464803" w:rsidP="00121913">
            <w:pPr>
              <w:tabs>
                <w:tab w:val="left" w:pos="3815"/>
              </w:tabs>
              <w:rPr>
                <w:color w:val="1F497D" w:themeColor="text2"/>
                <w:sz w:val="17"/>
                <w:szCs w:val="17"/>
              </w:rPr>
            </w:pPr>
          </w:p>
          <w:p w14:paraId="64515797" w14:textId="77777777" w:rsidR="00464803" w:rsidRDefault="00464803" w:rsidP="00121913">
            <w:pPr>
              <w:tabs>
                <w:tab w:val="left" w:pos="3815"/>
              </w:tabs>
              <w:rPr>
                <w:color w:val="1F497D" w:themeColor="text2"/>
                <w:sz w:val="17"/>
                <w:szCs w:val="17"/>
              </w:rPr>
            </w:pPr>
          </w:p>
          <w:p w14:paraId="63B1B0BA" w14:textId="0786944B" w:rsidR="000C45FD" w:rsidRPr="0040526E" w:rsidRDefault="000C45FD" w:rsidP="00121913">
            <w:pPr>
              <w:tabs>
                <w:tab w:val="left" w:pos="3815"/>
              </w:tabs>
              <w:rPr>
                <w:sz w:val="17"/>
                <w:szCs w:val="17"/>
              </w:rPr>
            </w:pPr>
          </w:p>
        </w:tc>
      </w:tr>
      <w:tr w:rsidR="00AB514A" w14:paraId="4A5044B5" w14:textId="77777777" w:rsidTr="006F22E8">
        <w:tc>
          <w:tcPr>
            <w:tcW w:w="1844" w:type="dxa"/>
            <w:vMerge/>
          </w:tcPr>
          <w:p w14:paraId="4C3AF703" w14:textId="77777777" w:rsidR="00AB514A" w:rsidRDefault="00AB514A" w:rsidP="00121913">
            <w:pPr>
              <w:spacing w:after="200" w:line="276" w:lineRule="auto"/>
              <w:rPr>
                <w:b/>
                <w:bCs/>
                <w:sz w:val="17"/>
                <w:szCs w:val="17"/>
              </w:rPr>
            </w:pPr>
          </w:p>
        </w:tc>
        <w:tc>
          <w:tcPr>
            <w:tcW w:w="2268" w:type="dxa"/>
          </w:tcPr>
          <w:p w14:paraId="0D2303D0" w14:textId="77777777" w:rsidR="00AB514A" w:rsidRPr="00BD5AF9" w:rsidRDefault="00AB514A" w:rsidP="00121913">
            <w:pPr>
              <w:spacing w:after="200" w:line="276" w:lineRule="auto"/>
              <w:rPr>
                <w:b/>
                <w:bCs/>
                <w:color w:val="00B050"/>
                <w:sz w:val="17"/>
                <w:szCs w:val="17"/>
              </w:rPr>
            </w:pPr>
            <w:r w:rsidRPr="00BD5AF9">
              <w:rPr>
                <w:b/>
                <w:bCs/>
                <w:color w:val="00B050"/>
                <w:sz w:val="17"/>
                <w:szCs w:val="17"/>
              </w:rPr>
              <w:t>[Positive]</w:t>
            </w:r>
            <w:r>
              <w:rPr>
                <w:b/>
                <w:bCs/>
                <w:color w:val="00B050"/>
                <w:sz w:val="17"/>
                <w:szCs w:val="17"/>
              </w:rPr>
              <w:t xml:space="preserve"> </w:t>
            </w:r>
            <w:r w:rsidRPr="007E7DBD">
              <w:rPr>
                <w:sz w:val="17"/>
                <w:szCs w:val="17"/>
              </w:rPr>
              <w:t>Introduction of simplified calculations for immaterial SCR submodules.</w:t>
            </w:r>
            <w:r w:rsidRPr="007E7DBD">
              <w:rPr>
                <w:b/>
                <w:bCs/>
                <w:sz w:val="17"/>
                <w:szCs w:val="17"/>
              </w:rPr>
              <w:t xml:space="preserve">  </w:t>
            </w:r>
          </w:p>
        </w:tc>
        <w:tc>
          <w:tcPr>
            <w:tcW w:w="1701" w:type="dxa"/>
          </w:tcPr>
          <w:p w14:paraId="1355EE40" w14:textId="77777777" w:rsidR="00AB514A" w:rsidRPr="00BD5AF9" w:rsidRDefault="00AB514A" w:rsidP="00121913">
            <w:pPr>
              <w:pStyle w:val="CEABullet-Level1"/>
              <w:numPr>
                <w:ilvl w:val="0"/>
                <w:numId w:val="0"/>
              </w:numPr>
              <w:spacing w:line="30" w:lineRule="atLeast"/>
              <w:jc w:val="left"/>
              <w:rPr>
                <w:b/>
                <w:bCs/>
                <w:color w:val="00B050"/>
                <w:szCs w:val="17"/>
              </w:rPr>
            </w:pPr>
            <w:r w:rsidRPr="00BD5AF9">
              <w:rPr>
                <w:b/>
                <w:bCs/>
                <w:color w:val="00B050"/>
                <w:szCs w:val="17"/>
              </w:rPr>
              <w:t>[Positive]</w:t>
            </w:r>
            <w:r>
              <w:rPr>
                <w:b/>
                <w:bCs/>
                <w:color w:val="00B050"/>
                <w:szCs w:val="17"/>
              </w:rPr>
              <w:t xml:space="preserve"> </w:t>
            </w:r>
            <w:r w:rsidRPr="00F57182">
              <w:rPr>
                <w:szCs w:val="17"/>
              </w:rPr>
              <w:t>introduction of simplification for non-material risks</w:t>
            </w:r>
          </w:p>
        </w:tc>
        <w:tc>
          <w:tcPr>
            <w:tcW w:w="2835" w:type="dxa"/>
          </w:tcPr>
          <w:p w14:paraId="62A1BCC1" w14:textId="77777777" w:rsidR="00AB514A" w:rsidRPr="00BD5AF9" w:rsidRDefault="00AB514A" w:rsidP="00121913">
            <w:pPr>
              <w:tabs>
                <w:tab w:val="left" w:pos="3815"/>
              </w:tabs>
              <w:rPr>
                <w:b/>
                <w:bCs/>
                <w:color w:val="FF0000"/>
                <w:sz w:val="17"/>
                <w:szCs w:val="17"/>
              </w:rPr>
            </w:pPr>
            <w:r w:rsidRPr="00F57182">
              <w:rPr>
                <w:sz w:val="17"/>
                <w:szCs w:val="17"/>
              </w:rPr>
              <w:t>No changes to EC proposal</w:t>
            </w:r>
          </w:p>
        </w:tc>
        <w:tc>
          <w:tcPr>
            <w:tcW w:w="2976" w:type="dxa"/>
          </w:tcPr>
          <w:p w14:paraId="263193B9" w14:textId="70CE1994" w:rsidR="005D7E26" w:rsidRPr="00F15250" w:rsidRDefault="005D7E26" w:rsidP="00F15250">
            <w:pPr>
              <w:spacing w:after="200" w:line="276" w:lineRule="auto"/>
              <w:rPr>
                <w:szCs w:val="17"/>
              </w:rPr>
            </w:pPr>
            <w:r w:rsidRPr="00DD7CCE">
              <w:rPr>
                <w:rFonts w:cs="Frutiger LT Std 45 Light"/>
                <w:b/>
                <w:bCs/>
                <w:color w:val="00B050"/>
                <w:sz w:val="17"/>
                <w:szCs w:val="17"/>
              </w:rPr>
              <w:t>[Positive]</w:t>
            </w:r>
            <w:r w:rsidR="00902A14">
              <w:t xml:space="preserve"> </w:t>
            </w:r>
            <w:r w:rsidRPr="00F15250">
              <w:rPr>
                <w:sz w:val="17"/>
                <w:szCs w:val="17"/>
              </w:rPr>
              <w:t xml:space="preserve">3year </w:t>
            </w:r>
            <w:r w:rsidR="007B356D" w:rsidRPr="00F15250">
              <w:rPr>
                <w:sz w:val="17"/>
                <w:szCs w:val="17"/>
              </w:rPr>
              <w:t>validity</w:t>
            </w:r>
            <w:r w:rsidRPr="00F15250">
              <w:rPr>
                <w:sz w:val="17"/>
                <w:szCs w:val="17"/>
              </w:rPr>
              <w:t xml:space="preserve"> period was removed (Art 109(2)/A 132)</w:t>
            </w:r>
          </w:p>
          <w:p w14:paraId="717095EC" w14:textId="5E48B416" w:rsidR="00AB514A" w:rsidRDefault="005D7E26" w:rsidP="005F185D">
            <w:pPr>
              <w:pStyle w:val="CEABullet-Level1"/>
            </w:pPr>
            <w:r>
              <w:t xml:space="preserve">Specification added that </w:t>
            </w:r>
            <w:r w:rsidR="005F185D">
              <w:t xml:space="preserve">LRPU </w:t>
            </w:r>
            <w:r w:rsidR="003F7C90">
              <w:t xml:space="preserve">may use a simplified calculation for </w:t>
            </w:r>
            <w:r w:rsidR="00D7215D">
              <w:t xml:space="preserve">a </w:t>
            </w:r>
            <w:r w:rsidR="006523C7">
              <w:t xml:space="preserve">specific (sub) risk module (Art </w:t>
            </w:r>
            <w:r w:rsidR="007320A0">
              <w:t>109(1)</w:t>
            </w:r>
            <w:r w:rsidR="005861A1">
              <w:t>, A131</w:t>
            </w:r>
            <w:r w:rsidR="007320A0">
              <w:t>)</w:t>
            </w:r>
          </w:p>
          <w:p w14:paraId="65693672" w14:textId="15822AE9" w:rsidR="00D560C7" w:rsidRDefault="00D560C7" w:rsidP="008176A2">
            <w:pPr>
              <w:pStyle w:val="CEABullet-Level1"/>
              <w:numPr>
                <w:ilvl w:val="0"/>
                <w:numId w:val="0"/>
              </w:numPr>
              <w:ind w:left="360"/>
            </w:pPr>
          </w:p>
        </w:tc>
        <w:tc>
          <w:tcPr>
            <w:tcW w:w="3402" w:type="dxa"/>
            <w:vMerge/>
          </w:tcPr>
          <w:p w14:paraId="71D31818" w14:textId="1C32D6DA" w:rsidR="00AB514A" w:rsidRDefault="00AB514A" w:rsidP="00121913">
            <w:pPr>
              <w:spacing w:after="200" w:line="276" w:lineRule="auto"/>
              <w:rPr>
                <w:sz w:val="17"/>
                <w:szCs w:val="17"/>
              </w:rPr>
            </w:pPr>
          </w:p>
        </w:tc>
      </w:tr>
      <w:tr w:rsidR="00AB514A" w14:paraId="6BD0561D" w14:textId="77777777" w:rsidTr="006F22E8">
        <w:tc>
          <w:tcPr>
            <w:tcW w:w="1844" w:type="dxa"/>
            <w:vMerge/>
          </w:tcPr>
          <w:p w14:paraId="0468B47E" w14:textId="77777777" w:rsidR="00AB514A" w:rsidRDefault="00AB514A" w:rsidP="00121913">
            <w:pPr>
              <w:spacing w:after="200" w:line="276" w:lineRule="auto"/>
              <w:rPr>
                <w:b/>
                <w:bCs/>
                <w:sz w:val="17"/>
                <w:szCs w:val="17"/>
              </w:rPr>
            </w:pPr>
          </w:p>
        </w:tc>
        <w:tc>
          <w:tcPr>
            <w:tcW w:w="2268" w:type="dxa"/>
          </w:tcPr>
          <w:p w14:paraId="3FE0E5FE" w14:textId="77777777" w:rsidR="00AB514A" w:rsidRPr="00BD5AF9" w:rsidRDefault="00AB514A" w:rsidP="00121913">
            <w:pPr>
              <w:spacing w:after="200" w:line="276" w:lineRule="auto"/>
              <w:rPr>
                <w:b/>
                <w:bCs/>
                <w:color w:val="00B050"/>
                <w:sz w:val="17"/>
                <w:szCs w:val="17"/>
              </w:rPr>
            </w:pPr>
            <w:r w:rsidRPr="00BD5AF9">
              <w:rPr>
                <w:b/>
                <w:bCs/>
                <w:color w:val="00B050"/>
                <w:sz w:val="17"/>
                <w:szCs w:val="17"/>
              </w:rPr>
              <w:t>[Positive]</w:t>
            </w:r>
            <w:r>
              <w:rPr>
                <w:b/>
                <w:bCs/>
                <w:color w:val="00B050"/>
                <w:sz w:val="17"/>
                <w:szCs w:val="17"/>
              </w:rPr>
              <w:t xml:space="preserve"> </w:t>
            </w:r>
            <w:r w:rsidRPr="00F57182">
              <w:rPr>
                <w:sz w:val="17"/>
                <w:szCs w:val="17"/>
              </w:rPr>
              <w:t>Increase in thresholds for exclusion of SII</w:t>
            </w:r>
            <w:r>
              <w:rPr>
                <w:sz w:val="17"/>
                <w:szCs w:val="17"/>
              </w:rPr>
              <w:t>. (</w:t>
            </w:r>
            <w:r w:rsidRPr="00BE3E8D">
              <w:rPr>
                <w:sz w:val="17"/>
                <w:szCs w:val="17"/>
              </w:rPr>
              <w:t xml:space="preserve">technical provisions from €5m to €10m </w:t>
            </w:r>
            <w:r>
              <w:rPr>
                <w:sz w:val="17"/>
                <w:szCs w:val="17"/>
              </w:rPr>
              <w:t xml:space="preserve">and </w:t>
            </w:r>
            <w:r w:rsidRPr="00BE3E8D">
              <w:rPr>
                <w:sz w:val="17"/>
                <w:szCs w:val="17"/>
              </w:rPr>
              <w:t>premiums from €5m to an option for member states between €5m and €25m</w:t>
            </w:r>
            <w:r>
              <w:rPr>
                <w:sz w:val="17"/>
                <w:szCs w:val="17"/>
              </w:rPr>
              <w:t>)</w:t>
            </w:r>
          </w:p>
        </w:tc>
        <w:tc>
          <w:tcPr>
            <w:tcW w:w="1701" w:type="dxa"/>
          </w:tcPr>
          <w:p w14:paraId="31E41F29" w14:textId="0B4CC8EC" w:rsidR="00AB514A" w:rsidRPr="00BD5AF9" w:rsidRDefault="00AB514A" w:rsidP="00121913">
            <w:pPr>
              <w:pStyle w:val="CEABullet-Level1"/>
              <w:numPr>
                <w:ilvl w:val="0"/>
                <w:numId w:val="0"/>
              </w:numPr>
              <w:spacing w:line="30" w:lineRule="atLeast"/>
              <w:jc w:val="left"/>
              <w:rPr>
                <w:b/>
                <w:bCs/>
                <w:color w:val="00B050"/>
                <w:szCs w:val="17"/>
              </w:rPr>
            </w:pPr>
            <w:r w:rsidRPr="00BD5AF9">
              <w:rPr>
                <w:b/>
                <w:bCs/>
                <w:color w:val="00B050"/>
                <w:szCs w:val="17"/>
              </w:rPr>
              <w:t>[Positive]</w:t>
            </w:r>
            <w:r>
              <w:rPr>
                <w:b/>
                <w:bCs/>
                <w:color w:val="00B050"/>
                <w:szCs w:val="17"/>
              </w:rPr>
              <w:t xml:space="preserve"> </w:t>
            </w:r>
            <w:r w:rsidRPr="007E7DBD">
              <w:rPr>
                <w:szCs w:val="17"/>
              </w:rPr>
              <w:t>Increase in thresholds for exclusion of SII</w:t>
            </w:r>
            <w:r>
              <w:rPr>
                <w:szCs w:val="17"/>
              </w:rPr>
              <w:t>. (</w:t>
            </w:r>
            <w:r w:rsidRPr="00BE3E8D">
              <w:rPr>
                <w:szCs w:val="17"/>
              </w:rPr>
              <w:t>technical provisions from €</w:t>
            </w:r>
            <w:r w:rsidR="00444FCE">
              <w:rPr>
                <w:szCs w:val="17"/>
              </w:rPr>
              <w:t>2</w:t>
            </w:r>
            <w:r w:rsidRPr="00BE3E8D">
              <w:rPr>
                <w:szCs w:val="17"/>
              </w:rPr>
              <w:t>5m to €</w:t>
            </w:r>
            <w:r w:rsidR="008E357B">
              <w:rPr>
                <w:szCs w:val="17"/>
              </w:rPr>
              <w:t>50</w:t>
            </w:r>
            <w:r w:rsidRPr="00BE3E8D">
              <w:rPr>
                <w:szCs w:val="17"/>
              </w:rPr>
              <w:t xml:space="preserve">m </w:t>
            </w:r>
            <w:r>
              <w:rPr>
                <w:szCs w:val="17"/>
              </w:rPr>
              <w:t xml:space="preserve">and </w:t>
            </w:r>
            <w:r w:rsidRPr="00BE3E8D">
              <w:rPr>
                <w:szCs w:val="17"/>
              </w:rPr>
              <w:t xml:space="preserve">premiums from €5m to </w:t>
            </w:r>
            <w:r w:rsidR="006A69DA" w:rsidRPr="00BE3E8D">
              <w:rPr>
                <w:szCs w:val="17"/>
              </w:rPr>
              <w:t>€</w:t>
            </w:r>
            <w:r w:rsidR="006A69DA">
              <w:rPr>
                <w:szCs w:val="17"/>
              </w:rPr>
              <w:t>15m</w:t>
            </w:r>
            <w:r>
              <w:rPr>
                <w:szCs w:val="17"/>
              </w:rPr>
              <w:t>)</w:t>
            </w:r>
          </w:p>
        </w:tc>
        <w:tc>
          <w:tcPr>
            <w:tcW w:w="2835" w:type="dxa"/>
          </w:tcPr>
          <w:p w14:paraId="178C323A" w14:textId="77777777" w:rsidR="00AB514A" w:rsidRPr="00F57182" w:rsidRDefault="00AB514A" w:rsidP="00121913">
            <w:pPr>
              <w:tabs>
                <w:tab w:val="left" w:pos="3815"/>
              </w:tabs>
              <w:rPr>
                <w:sz w:val="17"/>
                <w:szCs w:val="17"/>
              </w:rPr>
            </w:pPr>
            <w:r w:rsidRPr="00DD7CCE">
              <w:rPr>
                <w:rFonts w:cs="Frutiger LT Std 45 Light"/>
                <w:b/>
                <w:bCs/>
                <w:color w:val="00B050"/>
                <w:sz w:val="17"/>
                <w:szCs w:val="17"/>
              </w:rPr>
              <w:t>[Positive]</w:t>
            </w:r>
            <w:r>
              <w:rPr>
                <w:b/>
                <w:bCs/>
                <w:color w:val="00B050"/>
                <w:szCs w:val="17"/>
              </w:rPr>
              <w:t xml:space="preserve"> </w:t>
            </w:r>
            <w:r w:rsidRPr="008828DE">
              <w:rPr>
                <w:sz w:val="17"/>
                <w:szCs w:val="17"/>
              </w:rPr>
              <w:t>Groups with technical provisions (gross of reinsurance recoverables) below 50mio are exempted from SII.</w:t>
            </w:r>
            <w:r>
              <w:rPr>
                <w:sz w:val="17"/>
                <w:szCs w:val="17"/>
              </w:rPr>
              <w:t xml:space="preserve"> (Art. 4)</w:t>
            </w:r>
          </w:p>
        </w:tc>
        <w:tc>
          <w:tcPr>
            <w:tcW w:w="2976" w:type="dxa"/>
          </w:tcPr>
          <w:p w14:paraId="294F520E" w14:textId="263CC1F4" w:rsidR="00AB514A" w:rsidRDefault="001B5588" w:rsidP="00F15250">
            <w:pPr>
              <w:spacing w:after="200" w:line="276" w:lineRule="auto"/>
            </w:pPr>
            <w:r w:rsidRPr="00BD5AF9">
              <w:rPr>
                <w:b/>
                <w:bCs/>
                <w:color w:val="FF0000"/>
                <w:sz w:val="17"/>
                <w:szCs w:val="17"/>
              </w:rPr>
              <w:t>[Negative</w:t>
            </w:r>
            <w:r w:rsidRPr="00B27004">
              <w:rPr>
                <w:b/>
                <w:bCs/>
                <w:color w:val="FF0000"/>
                <w:sz w:val="17"/>
                <w:szCs w:val="17"/>
              </w:rPr>
              <w:t xml:space="preserve">] </w:t>
            </w:r>
            <w:r w:rsidR="00F42554" w:rsidRPr="00F15250">
              <w:rPr>
                <w:sz w:val="17"/>
                <w:szCs w:val="17"/>
              </w:rPr>
              <w:t xml:space="preserve">SII application threshold from </w:t>
            </w:r>
            <w:r w:rsidR="00DD63C9" w:rsidRPr="00F15250">
              <w:rPr>
                <w:sz w:val="17"/>
                <w:szCs w:val="17"/>
              </w:rPr>
              <w:t xml:space="preserve">15 to </w:t>
            </w:r>
            <w:r w:rsidR="00E82ED0" w:rsidRPr="00F15250">
              <w:rPr>
                <w:sz w:val="17"/>
                <w:szCs w:val="17"/>
              </w:rPr>
              <w:t>2</w:t>
            </w:r>
            <w:r w:rsidR="00DE0D13" w:rsidRPr="00F15250">
              <w:rPr>
                <w:sz w:val="17"/>
                <w:szCs w:val="17"/>
              </w:rPr>
              <w:t>5 Mio</w:t>
            </w:r>
            <w:r w:rsidR="001D7D81" w:rsidRPr="00F15250">
              <w:rPr>
                <w:sz w:val="17"/>
                <w:szCs w:val="17"/>
              </w:rPr>
              <w:t xml:space="preserve"> for premiums </w:t>
            </w:r>
            <w:r w:rsidR="008C5CB5" w:rsidRPr="00F15250">
              <w:rPr>
                <w:sz w:val="17"/>
                <w:szCs w:val="17"/>
              </w:rPr>
              <w:t xml:space="preserve">and to 65Mio for </w:t>
            </w:r>
            <w:r w:rsidR="00303A96" w:rsidRPr="00F15250">
              <w:rPr>
                <w:sz w:val="17"/>
                <w:szCs w:val="17"/>
              </w:rPr>
              <w:t>technical provisions</w:t>
            </w:r>
            <w:r w:rsidR="0004286E" w:rsidRPr="00F15250">
              <w:rPr>
                <w:sz w:val="17"/>
                <w:szCs w:val="17"/>
              </w:rPr>
              <w:t xml:space="preserve"> </w:t>
            </w:r>
            <w:r w:rsidR="00FD6542" w:rsidRPr="00F15250">
              <w:rPr>
                <w:sz w:val="17"/>
                <w:szCs w:val="17"/>
              </w:rPr>
              <w:t>and for groups technical provision threshold increased from 25m to 65m</w:t>
            </w:r>
            <w:r w:rsidR="00303A96" w:rsidRPr="00F15250">
              <w:rPr>
                <w:sz w:val="17"/>
                <w:szCs w:val="17"/>
              </w:rPr>
              <w:t xml:space="preserve"> (Art 4</w:t>
            </w:r>
            <w:r w:rsidR="003F73D4" w:rsidRPr="00F15250">
              <w:rPr>
                <w:sz w:val="17"/>
                <w:szCs w:val="17"/>
              </w:rPr>
              <w:t>(1)(a)</w:t>
            </w:r>
            <w:r w:rsidR="00232D11" w:rsidRPr="00F15250">
              <w:rPr>
                <w:sz w:val="17"/>
                <w:szCs w:val="17"/>
              </w:rPr>
              <w:t>,</w:t>
            </w:r>
            <w:r w:rsidR="003F73D4" w:rsidRPr="00F15250">
              <w:rPr>
                <w:sz w:val="17"/>
                <w:szCs w:val="17"/>
              </w:rPr>
              <w:t>(b)</w:t>
            </w:r>
            <w:r w:rsidR="00232D11" w:rsidRPr="00F15250">
              <w:rPr>
                <w:sz w:val="17"/>
                <w:szCs w:val="17"/>
              </w:rPr>
              <w:t>,</w:t>
            </w:r>
            <w:r w:rsidR="0004286E" w:rsidRPr="00F15250">
              <w:rPr>
                <w:sz w:val="17"/>
                <w:szCs w:val="17"/>
              </w:rPr>
              <w:t>(c)</w:t>
            </w:r>
            <w:r w:rsidR="00232D11" w:rsidRPr="00F15250">
              <w:rPr>
                <w:sz w:val="17"/>
                <w:szCs w:val="17"/>
              </w:rPr>
              <w:t>/ A26, A27, A28</w:t>
            </w:r>
            <w:r w:rsidR="0004286E" w:rsidRPr="00F15250">
              <w:rPr>
                <w:sz w:val="17"/>
                <w:szCs w:val="17"/>
              </w:rPr>
              <w:t>)</w:t>
            </w:r>
          </w:p>
        </w:tc>
        <w:tc>
          <w:tcPr>
            <w:tcW w:w="3402" w:type="dxa"/>
            <w:vMerge/>
          </w:tcPr>
          <w:p w14:paraId="786F95BC" w14:textId="0FF0F0B7" w:rsidR="00AB514A" w:rsidRDefault="00AB514A" w:rsidP="00121913">
            <w:pPr>
              <w:spacing w:after="200" w:line="276" w:lineRule="auto"/>
              <w:rPr>
                <w:sz w:val="17"/>
                <w:szCs w:val="17"/>
              </w:rPr>
            </w:pPr>
          </w:p>
        </w:tc>
      </w:tr>
    </w:tbl>
    <w:p w14:paraId="32848A73" w14:textId="0295ABA2" w:rsidR="00A52343" w:rsidRDefault="00A52343" w:rsidP="00121913">
      <w:pPr>
        <w:spacing w:after="200" w:line="276" w:lineRule="auto"/>
        <w:rPr>
          <w:sz w:val="17"/>
          <w:szCs w:val="17"/>
        </w:rPr>
      </w:pPr>
    </w:p>
    <w:p w14:paraId="42E61C53" w14:textId="77777777" w:rsidR="00A52343" w:rsidRDefault="00A52343">
      <w:pPr>
        <w:spacing w:after="200" w:line="276" w:lineRule="auto"/>
        <w:rPr>
          <w:sz w:val="17"/>
          <w:szCs w:val="17"/>
        </w:rPr>
      </w:pPr>
      <w:r>
        <w:rPr>
          <w:sz w:val="17"/>
          <w:szCs w:val="17"/>
        </w:rPr>
        <w:br w:type="page"/>
      </w:r>
    </w:p>
    <w:tbl>
      <w:tblPr>
        <w:tblStyle w:val="Mriekatabuky"/>
        <w:tblW w:w="15026" w:type="dxa"/>
        <w:tblInd w:w="-289" w:type="dxa"/>
        <w:tblLook w:val="04A0" w:firstRow="1" w:lastRow="0" w:firstColumn="1" w:lastColumn="0" w:noHBand="0" w:noVBand="1"/>
      </w:tblPr>
      <w:tblGrid>
        <w:gridCol w:w="1242"/>
        <w:gridCol w:w="2663"/>
        <w:gridCol w:w="2664"/>
        <w:gridCol w:w="2929"/>
        <w:gridCol w:w="2693"/>
        <w:gridCol w:w="2835"/>
      </w:tblGrid>
      <w:tr w:rsidR="00AB514A" w14:paraId="308B7A48" w14:textId="77777777" w:rsidTr="00AB514A">
        <w:trPr>
          <w:trHeight w:val="699"/>
        </w:trPr>
        <w:tc>
          <w:tcPr>
            <w:tcW w:w="1242" w:type="dxa"/>
          </w:tcPr>
          <w:p w14:paraId="21C0379E" w14:textId="77777777" w:rsidR="00AB514A" w:rsidRDefault="00AB514A" w:rsidP="00121913">
            <w:pPr>
              <w:spacing w:after="200" w:line="276" w:lineRule="auto"/>
              <w:rPr>
                <w:sz w:val="17"/>
                <w:szCs w:val="17"/>
              </w:rPr>
            </w:pPr>
            <w:r w:rsidRPr="00491EB9">
              <w:rPr>
                <w:b/>
                <w:bCs/>
                <w:sz w:val="17"/>
                <w:szCs w:val="17"/>
              </w:rPr>
              <w:lastRenderedPageBreak/>
              <w:t>Topic</w:t>
            </w:r>
          </w:p>
        </w:tc>
        <w:tc>
          <w:tcPr>
            <w:tcW w:w="2663" w:type="dxa"/>
          </w:tcPr>
          <w:p w14:paraId="66227A11" w14:textId="77777777" w:rsidR="00AB514A" w:rsidRDefault="00AB514A" w:rsidP="00121913">
            <w:pPr>
              <w:spacing w:after="200" w:line="276" w:lineRule="auto"/>
              <w:rPr>
                <w:sz w:val="17"/>
                <w:szCs w:val="17"/>
              </w:rPr>
            </w:pPr>
            <w:r w:rsidRPr="00491EB9">
              <w:rPr>
                <w:b/>
                <w:bCs/>
                <w:sz w:val="17"/>
                <w:szCs w:val="17"/>
              </w:rPr>
              <w:t>EIOPA proposal</w:t>
            </w:r>
          </w:p>
        </w:tc>
        <w:tc>
          <w:tcPr>
            <w:tcW w:w="2664" w:type="dxa"/>
          </w:tcPr>
          <w:p w14:paraId="53B1DDED" w14:textId="77777777" w:rsidR="00AB514A" w:rsidRDefault="00AB514A" w:rsidP="00121913">
            <w:pPr>
              <w:spacing w:after="200" w:line="276" w:lineRule="auto"/>
              <w:rPr>
                <w:sz w:val="17"/>
                <w:szCs w:val="17"/>
              </w:rPr>
            </w:pPr>
            <w:r w:rsidRPr="00491EB9">
              <w:rPr>
                <w:b/>
                <w:bCs/>
                <w:sz w:val="17"/>
                <w:szCs w:val="17"/>
              </w:rPr>
              <w:t>European Commission proposal</w:t>
            </w:r>
          </w:p>
        </w:tc>
        <w:tc>
          <w:tcPr>
            <w:tcW w:w="2929" w:type="dxa"/>
          </w:tcPr>
          <w:p w14:paraId="699BC1AF" w14:textId="20A39A31" w:rsidR="00AB514A" w:rsidRDefault="00AB514A" w:rsidP="00121913">
            <w:pPr>
              <w:spacing w:after="200" w:line="276" w:lineRule="auto"/>
              <w:rPr>
                <w:sz w:val="17"/>
                <w:szCs w:val="17"/>
              </w:rPr>
            </w:pPr>
            <w:r w:rsidRPr="00491EB9">
              <w:rPr>
                <w:b/>
                <w:bCs/>
                <w:sz w:val="17"/>
                <w:szCs w:val="17"/>
              </w:rPr>
              <w:t>French presidency</w:t>
            </w:r>
            <w:r>
              <w:rPr>
                <w:b/>
                <w:bCs/>
                <w:sz w:val="17"/>
                <w:szCs w:val="17"/>
              </w:rPr>
              <w:t xml:space="preserve"> overall compromise proposal/EGBPI discussions</w:t>
            </w:r>
          </w:p>
        </w:tc>
        <w:tc>
          <w:tcPr>
            <w:tcW w:w="2693" w:type="dxa"/>
          </w:tcPr>
          <w:p w14:paraId="35B1E620" w14:textId="197C1690" w:rsidR="00AB514A" w:rsidRDefault="00F66675" w:rsidP="00121913">
            <w:pPr>
              <w:spacing w:after="200" w:line="276" w:lineRule="auto"/>
              <w:rPr>
                <w:b/>
                <w:bCs/>
                <w:sz w:val="17"/>
                <w:szCs w:val="17"/>
              </w:rPr>
            </w:pPr>
            <w:r>
              <w:rPr>
                <w:b/>
                <w:bCs/>
                <w:sz w:val="17"/>
                <w:szCs w:val="17"/>
              </w:rPr>
              <w:t>EP draft report</w:t>
            </w:r>
          </w:p>
        </w:tc>
        <w:tc>
          <w:tcPr>
            <w:tcW w:w="2835" w:type="dxa"/>
          </w:tcPr>
          <w:p w14:paraId="176248B1" w14:textId="30A499ED" w:rsidR="00AB514A" w:rsidRDefault="00AB514A" w:rsidP="00121913">
            <w:pPr>
              <w:spacing w:after="200" w:line="276" w:lineRule="auto"/>
              <w:rPr>
                <w:sz w:val="17"/>
                <w:szCs w:val="17"/>
              </w:rPr>
            </w:pPr>
            <w:r>
              <w:rPr>
                <w:b/>
                <w:bCs/>
                <w:sz w:val="17"/>
                <w:szCs w:val="17"/>
              </w:rPr>
              <w:t>Secretariat assessment</w:t>
            </w:r>
          </w:p>
        </w:tc>
      </w:tr>
      <w:tr w:rsidR="00AB514A" w14:paraId="7562BB34" w14:textId="77777777" w:rsidTr="00AB514A">
        <w:trPr>
          <w:trHeight w:val="2469"/>
        </w:trPr>
        <w:tc>
          <w:tcPr>
            <w:tcW w:w="1242" w:type="dxa"/>
            <w:vMerge w:val="restart"/>
          </w:tcPr>
          <w:p w14:paraId="71DED6AC" w14:textId="77777777" w:rsidR="00AB514A" w:rsidRDefault="00AB514A" w:rsidP="00121913">
            <w:pPr>
              <w:spacing w:after="200" w:line="276" w:lineRule="auto"/>
              <w:rPr>
                <w:sz w:val="17"/>
                <w:szCs w:val="17"/>
              </w:rPr>
            </w:pPr>
            <w:r>
              <w:rPr>
                <w:b/>
                <w:bCs/>
                <w:sz w:val="17"/>
                <w:szCs w:val="17"/>
              </w:rPr>
              <w:t>Reporting</w:t>
            </w:r>
          </w:p>
        </w:tc>
        <w:tc>
          <w:tcPr>
            <w:tcW w:w="2663" w:type="dxa"/>
          </w:tcPr>
          <w:p w14:paraId="0CDE7F5F" w14:textId="77777777" w:rsidR="00AB514A" w:rsidRDefault="00AB514A" w:rsidP="00121913">
            <w:pPr>
              <w:tabs>
                <w:tab w:val="left" w:pos="3815"/>
              </w:tabs>
              <w:rPr>
                <w:sz w:val="17"/>
                <w:szCs w:val="17"/>
              </w:rPr>
            </w:pPr>
            <w:r w:rsidRPr="00BD5AF9">
              <w:rPr>
                <w:b/>
                <w:bCs/>
                <w:color w:val="FF0000"/>
                <w:sz w:val="17"/>
                <w:szCs w:val="17"/>
              </w:rPr>
              <w:t>[Negative]</w:t>
            </w:r>
            <w:r>
              <w:rPr>
                <w:b/>
                <w:bCs/>
                <w:color w:val="FF0000"/>
                <w:sz w:val="17"/>
                <w:szCs w:val="17"/>
              </w:rPr>
              <w:t xml:space="preserve"> </w:t>
            </w:r>
            <w:r w:rsidRPr="00F57182">
              <w:rPr>
                <w:sz w:val="17"/>
                <w:szCs w:val="17"/>
              </w:rPr>
              <w:t>Introduction of minimum external audit requirement</w:t>
            </w:r>
            <w:r>
              <w:rPr>
                <w:sz w:val="17"/>
                <w:szCs w:val="17"/>
              </w:rPr>
              <w:t xml:space="preserve"> – SII Balance sheet</w:t>
            </w:r>
          </w:p>
          <w:p w14:paraId="4EC90ECA" w14:textId="77777777" w:rsidR="00AB514A" w:rsidRDefault="00AB514A" w:rsidP="00121913">
            <w:pPr>
              <w:spacing w:after="200" w:line="276" w:lineRule="auto"/>
              <w:rPr>
                <w:sz w:val="17"/>
                <w:szCs w:val="17"/>
              </w:rPr>
            </w:pPr>
          </w:p>
        </w:tc>
        <w:tc>
          <w:tcPr>
            <w:tcW w:w="2664" w:type="dxa"/>
          </w:tcPr>
          <w:p w14:paraId="12494CD4" w14:textId="77777777" w:rsidR="00AB514A" w:rsidRDefault="00AB514A" w:rsidP="00121913">
            <w:pPr>
              <w:spacing w:after="200" w:line="276" w:lineRule="auto"/>
              <w:rPr>
                <w:sz w:val="17"/>
                <w:szCs w:val="17"/>
              </w:rPr>
            </w:pPr>
            <w:r w:rsidRPr="00BD5AF9">
              <w:rPr>
                <w:b/>
                <w:bCs/>
                <w:color w:val="00B050"/>
                <w:sz w:val="17"/>
                <w:szCs w:val="17"/>
              </w:rPr>
              <w:t>[Positive]</w:t>
            </w:r>
            <w:r>
              <w:rPr>
                <w:b/>
                <w:bCs/>
                <w:color w:val="00B050"/>
                <w:sz w:val="17"/>
                <w:szCs w:val="17"/>
              </w:rPr>
              <w:t xml:space="preserve"> </w:t>
            </w:r>
            <w:r w:rsidRPr="00F57182">
              <w:rPr>
                <w:sz w:val="17"/>
                <w:szCs w:val="17"/>
              </w:rPr>
              <w:t>External audit requirement is limited to balance sheet disclosed as part of the SFCR</w:t>
            </w:r>
            <w:r>
              <w:rPr>
                <w:sz w:val="17"/>
                <w:szCs w:val="17"/>
              </w:rPr>
              <w:t>, LRPU are exempted</w:t>
            </w:r>
          </w:p>
        </w:tc>
        <w:tc>
          <w:tcPr>
            <w:tcW w:w="2929" w:type="dxa"/>
          </w:tcPr>
          <w:p w14:paraId="211514A5" w14:textId="03E985FC" w:rsidR="00AB514A" w:rsidRDefault="00AB514A" w:rsidP="006024F4">
            <w:pPr>
              <w:spacing w:after="200" w:line="276" w:lineRule="auto"/>
              <w:rPr>
                <w:sz w:val="17"/>
                <w:szCs w:val="17"/>
              </w:rPr>
            </w:pPr>
            <w:r w:rsidRPr="00BD5AF9">
              <w:rPr>
                <w:b/>
                <w:bCs/>
                <w:color w:val="FF0000"/>
                <w:sz w:val="17"/>
                <w:szCs w:val="17"/>
              </w:rPr>
              <w:t>[Negative]</w:t>
            </w:r>
            <w:r>
              <w:rPr>
                <w:b/>
                <w:bCs/>
                <w:color w:val="FF0000"/>
                <w:sz w:val="17"/>
                <w:szCs w:val="17"/>
              </w:rPr>
              <w:t xml:space="preserve"> </w:t>
            </w:r>
            <w:r w:rsidRPr="007E7DBD">
              <w:rPr>
                <w:sz w:val="17"/>
                <w:szCs w:val="17"/>
              </w:rPr>
              <w:t>external audit requirement</w:t>
            </w:r>
            <w:r>
              <w:rPr>
                <w:sz w:val="17"/>
                <w:szCs w:val="17"/>
              </w:rPr>
              <w:t xml:space="preserve"> can be extended at discretion of NSA, and small and </w:t>
            </w:r>
            <w:r w:rsidR="000F3E8B">
              <w:rPr>
                <w:sz w:val="17"/>
                <w:szCs w:val="17"/>
              </w:rPr>
              <w:t>non-complex</w:t>
            </w:r>
            <w:r>
              <w:rPr>
                <w:sz w:val="17"/>
                <w:szCs w:val="17"/>
              </w:rPr>
              <w:t xml:space="preserve"> undertakings are no longer exempted by default. (Art. 51a), although recital 31 specifically mentions that an exemption is appropriate, but MS already having an audit requirement in place should have the possibility to apply audit to all undertakings and other parts of the SFCR.</w:t>
            </w:r>
            <w:r>
              <w:rPr>
                <w:sz w:val="17"/>
                <w:szCs w:val="17"/>
              </w:rPr>
              <w:br/>
              <w:t xml:space="preserve">Exception added for Portugal, where audit requirement can be fulfilled by ‘Atuario Responsavel’  </w:t>
            </w:r>
          </w:p>
        </w:tc>
        <w:tc>
          <w:tcPr>
            <w:tcW w:w="2693" w:type="dxa"/>
          </w:tcPr>
          <w:p w14:paraId="77EA5889" w14:textId="0FA23AE4" w:rsidR="00AB514A" w:rsidRPr="00BD5AF9" w:rsidRDefault="00241429" w:rsidP="00121913">
            <w:pPr>
              <w:tabs>
                <w:tab w:val="left" w:pos="3815"/>
              </w:tabs>
              <w:rPr>
                <w:b/>
                <w:bCs/>
                <w:color w:val="FF0000"/>
                <w:sz w:val="17"/>
                <w:szCs w:val="17"/>
              </w:rPr>
            </w:pPr>
            <w:r w:rsidRPr="00BD5AF9">
              <w:rPr>
                <w:b/>
                <w:bCs/>
                <w:color w:val="00B050"/>
                <w:sz w:val="17"/>
                <w:szCs w:val="17"/>
              </w:rPr>
              <w:t>[Positive]</w:t>
            </w:r>
            <w:r>
              <w:rPr>
                <w:b/>
                <w:bCs/>
                <w:color w:val="00B050"/>
                <w:sz w:val="17"/>
                <w:szCs w:val="17"/>
              </w:rPr>
              <w:t xml:space="preserve"> </w:t>
            </w:r>
            <w:r w:rsidRPr="006103FE">
              <w:rPr>
                <w:sz w:val="17"/>
                <w:szCs w:val="17"/>
              </w:rPr>
              <w:t xml:space="preserve">Deletion of external audit requirement </w:t>
            </w:r>
            <w:r w:rsidR="00E07438">
              <w:rPr>
                <w:sz w:val="17"/>
                <w:szCs w:val="17"/>
              </w:rPr>
              <w:t xml:space="preserve">both for solo and groups </w:t>
            </w:r>
            <w:r w:rsidR="00DC02CF" w:rsidRPr="006103FE">
              <w:rPr>
                <w:sz w:val="17"/>
                <w:szCs w:val="17"/>
              </w:rPr>
              <w:t xml:space="preserve">(recital </w:t>
            </w:r>
            <w:r w:rsidR="006103FE" w:rsidRPr="006103FE">
              <w:rPr>
                <w:sz w:val="17"/>
                <w:szCs w:val="17"/>
              </w:rPr>
              <w:t>30</w:t>
            </w:r>
            <w:r w:rsidR="00556456">
              <w:rPr>
                <w:sz w:val="17"/>
                <w:szCs w:val="17"/>
              </w:rPr>
              <w:t>/31</w:t>
            </w:r>
            <w:r w:rsidR="006E599E">
              <w:rPr>
                <w:sz w:val="17"/>
                <w:szCs w:val="17"/>
              </w:rPr>
              <w:t>, Art 51a</w:t>
            </w:r>
            <w:r w:rsidR="00AF0C02">
              <w:rPr>
                <w:sz w:val="17"/>
                <w:szCs w:val="17"/>
              </w:rPr>
              <w:t xml:space="preserve">, Art </w:t>
            </w:r>
            <w:r w:rsidR="00A46A01">
              <w:rPr>
                <w:sz w:val="17"/>
                <w:szCs w:val="17"/>
              </w:rPr>
              <w:t>256c/</w:t>
            </w:r>
            <w:r w:rsidR="00333807">
              <w:rPr>
                <w:sz w:val="17"/>
                <w:szCs w:val="17"/>
              </w:rPr>
              <w:t>A</w:t>
            </w:r>
            <w:r w:rsidR="00E07438">
              <w:rPr>
                <w:sz w:val="17"/>
                <w:szCs w:val="17"/>
              </w:rPr>
              <w:t>192</w:t>
            </w:r>
            <w:r w:rsidR="006103FE" w:rsidRPr="006103FE">
              <w:rPr>
                <w:sz w:val="17"/>
                <w:szCs w:val="17"/>
              </w:rPr>
              <w:t>)</w:t>
            </w:r>
          </w:p>
        </w:tc>
        <w:tc>
          <w:tcPr>
            <w:tcW w:w="2835" w:type="dxa"/>
            <w:vMerge w:val="restart"/>
          </w:tcPr>
          <w:p w14:paraId="40C5B730" w14:textId="3048E79E" w:rsidR="00AB514A" w:rsidRDefault="00AB514A" w:rsidP="00121913">
            <w:pPr>
              <w:tabs>
                <w:tab w:val="left" w:pos="3815"/>
              </w:tabs>
              <w:rPr>
                <w:b/>
                <w:bCs/>
                <w:color w:val="FF0000"/>
                <w:sz w:val="17"/>
                <w:szCs w:val="17"/>
              </w:rPr>
            </w:pPr>
            <w:r w:rsidRPr="00BD5AF9">
              <w:rPr>
                <w:b/>
                <w:bCs/>
                <w:color w:val="FF0000"/>
                <w:sz w:val="17"/>
                <w:szCs w:val="17"/>
              </w:rPr>
              <w:t>[Negative]</w:t>
            </w:r>
          </w:p>
          <w:p w14:paraId="7C117D95" w14:textId="45A4FB57" w:rsidR="00AB514A" w:rsidRDefault="00AB514A" w:rsidP="00121913">
            <w:pPr>
              <w:tabs>
                <w:tab w:val="left" w:pos="3815"/>
              </w:tabs>
              <w:rPr>
                <w:sz w:val="17"/>
                <w:szCs w:val="17"/>
              </w:rPr>
            </w:pPr>
            <w:r>
              <w:rPr>
                <w:sz w:val="17"/>
                <w:szCs w:val="17"/>
              </w:rPr>
              <w:t xml:space="preserve">The </w:t>
            </w:r>
            <w:r w:rsidRPr="00F15250">
              <w:rPr>
                <w:b/>
                <w:bCs/>
                <w:sz w:val="17"/>
                <w:szCs w:val="17"/>
              </w:rPr>
              <w:t>EC/Presidency</w:t>
            </w:r>
            <w:r>
              <w:rPr>
                <w:sz w:val="17"/>
                <w:szCs w:val="17"/>
              </w:rPr>
              <w:t xml:space="preserve"> is expected to approve the current proposals and be even more restrictive, eg by introducing a minimum external audit requirement, and by making LRPUs exemption of external audit optional; by splitting the SFCR in two parts, but thereby disregarding the streamlining of the report; Automatic application of proportionality should apply for limitations and exemptions (up to 20%)</w:t>
            </w:r>
          </w:p>
          <w:p w14:paraId="460BB277" w14:textId="515DEF0C" w:rsidR="00AB514A" w:rsidRDefault="00AB514A" w:rsidP="00121913">
            <w:pPr>
              <w:tabs>
                <w:tab w:val="left" w:pos="3815"/>
              </w:tabs>
              <w:rPr>
                <w:sz w:val="17"/>
                <w:szCs w:val="17"/>
              </w:rPr>
            </w:pPr>
          </w:p>
          <w:p w14:paraId="50DD13AD" w14:textId="31CF49AE" w:rsidR="00543B71" w:rsidRPr="00F15250" w:rsidRDefault="00960830" w:rsidP="00543B71">
            <w:pPr>
              <w:tabs>
                <w:tab w:val="left" w:pos="3815"/>
              </w:tabs>
              <w:rPr>
                <w:sz w:val="17"/>
                <w:szCs w:val="17"/>
              </w:rPr>
            </w:pPr>
            <w:r w:rsidRPr="00F15250">
              <w:rPr>
                <w:sz w:val="17"/>
                <w:szCs w:val="17"/>
              </w:rPr>
              <w:t xml:space="preserve">The </w:t>
            </w:r>
            <w:r w:rsidR="00046680" w:rsidRPr="00F15250">
              <w:rPr>
                <w:b/>
                <w:bCs/>
                <w:sz w:val="17"/>
                <w:szCs w:val="17"/>
              </w:rPr>
              <w:t xml:space="preserve">EP </w:t>
            </w:r>
            <w:r w:rsidR="00E86735" w:rsidRPr="00F15250">
              <w:rPr>
                <w:b/>
                <w:bCs/>
                <w:sz w:val="17"/>
                <w:szCs w:val="17"/>
              </w:rPr>
              <w:t>draft report</w:t>
            </w:r>
            <w:r w:rsidR="00E86735" w:rsidRPr="00F15250">
              <w:rPr>
                <w:sz w:val="17"/>
                <w:szCs w:val="17"/>
              </w:rPr>
              <w:t xml:space="preserve"> </w:t>
            </w:r>
            <w:r w:rsidRPr="00F15250">
              <w:rPr>
                <w:sz w:val="17"/>
                <w:szCs w:val="17"/>
              </w:rPr>
              <w:t xml:space="preserve">suggests </w:t>
            </w:r>
            <w:r w:rsidR="007B3A79" w:rsidRPr="00F15250">
              <w:rPr>
                <w:sz w:val="17"/>
                <w:szCs w:val="17"/>
              </w:rPr>
              <w:t xml:space="preserve">some </w:t>
            </w:r>
            <w:r w:rsidR="00B17E13" w:rsidRPr="00F15250">
              <w:rPr>
                <w:sz w:val="17"/>
                <w:szCs w:val="17"/>
              </w:rPr>
              <w:t xml:space="preserve">good </w:t>
            </w:r>
            <w:r w:rsidR="009B7155" w:rsidRPr="00F15250">
              <w:rPr>
                <w:sz w:val="17"/>
                <w:szCs w:val="17"/>
              </w:rPr>
              <w:t>upgrades to the proposal</w:t>
            </w:r>
            <w:r w:rsidR="00543B71" w:rsidRPr="00F15250">
              <w:rPr>
                <w:sz w:val="17"/>
                <w:szCs w:val="17"/>
              </w:rPr>
              <w:t>.</w:t>
            </w:r>
          </w:p>
          <w:p w14:paraId="703C1C31" w14:textId="37F7DF16" w:rsidR="00543B71" w:rsidRDefault="00543B71" w:rsidP="00543B71">
            <w:pPr>
              <w:tabs>
                <w:tab w:val="left" w:pos="3815"/>
              </w:tabs>
              <w:rPr>
                <w:sz w:val="17"/>
                <w:szCs w:val="17"/>
                <w:highlight w:val="green"/>
              </w:rPr>
            </w:pPr>
          </w:p>
          <w:p w14:paraId="3B361949" w14:textId="77777777" w:rsidR="00DB073A" w:rsidRDefault="00DB073A" w:rsidP="00543B71">
            <w:pPr>
              <w:tabs>
                <w:tab w:val="left" w:pos="3815"/>
              </w:tabs>
              <w:rPr>
                <w:sz w:val="17"/>
                <w:szCs w:val="17"/>
                <w:highlight w:val="green"/>
              </w:rPr>
            </w:pPr>
          </w:p>
          <w:p w14:paraId="5B3B5B46" w14:textId="166C2CF8" w:rsidR="00680C2F" w:rsidRPr="00765E9F" w:rsidRDefault="004B6097" w:rsidP="00680C2F">
            <w:pPr>
              <w:tabs>
                <w:tab w:val="left" w:pos="3815"/>
              </w:tabs>
              <w:rPr>
                <w:highlight w:val="green"/>
              </w:rPr>
            </w:pPr>
            <w:r>
              <w:rPr>
                <w:b/>
                <w:bCs/>
                <w:color w:val="1F497D" w:themeColor="text2"/>
                <w:sz w:val="17"/>
                <w:szCs w:val="17"/>
              </w:rPr>
              <w:t>W</w:t>
            </w:r>
            <w:r w:rsidR="00543B71">
              <w:rPr>
                <w:b/>
                <w:bCs/>
                <w:color w:val="1F497D" w:themeColor="text2"/>
                <w:sz w:val="17"/>
                <w:szCs w:val="17"/>
              </w:rPr>
              <w:t xml:space="preserve">ay forward: </w:t>
            </w:r>
            <w:r w:rsidR="00543B71">
              <w:rPr>
                <w:color w:val="1F497D" w:themeColor="text2"/>
                <w:sz w:val="17"/>
                <w:szCs w:val="17"/>
              </w:rPr>
              <w:t>Support EP’s proposals</w:t>
            </w:r>
            <w:r w:rsidR="00680C2F">
              <w:rPr>
                <w:color w:val="1F497D" w:themeColor="text2"/>
                <w:sz w:val="17"/>
                <w:szCs w:val="17"/>
              </w:rPr>
              <w:t xml:space="preserve"> but suggest refinements with regards to extension of quarterly reporting deadline</w:t>
            </w:r>
            <w:r w:rsidR="005D48BB">
              <w:rPr>
                <w:color w:val="1F497D" w:themeColor="text2"/>
                <w:sz w:val="17"/>
                <w:szCs w:val="17"/>
              </w:rPr>
              <w:t xml:space="preserve">, the </w:t>
            </w:r>
            <w:r w:rsidR="00680C2F">
              <w:rPr>
                <w:color w:val="1F497D" w:themeColor="text2"/>
                <w:sz w:val="17"/>
                <w:szCs w:val="17"/>
              </w:rPr>
              <w:t>“missed opportunity” of SFCR split</w:t>
            </w:r>
            <w:r w:rsidR="005D48BB">
              <w:rPr>
                <w:color w:val="1F497D" w:themeColor="text2"/>
                <w:sz w:val="17"/>
                <w:szCs w:val="17"/>
              </w:rPr>
              <w:t>, a</w:t>
            </w:r>
            <w:r w:rsidR="008F4EFC">
              <w:rPr>
                <w:color w:val="1F497D" w:themeColor="text2"/>
                <w:sz w:val="17"/>
                <w:szCs w:val="17"/>
              </w:rPr>
              <w:t xml:space="preserve">nd the need for a removal of the requirement </w:t>
            </w:r>
            <w:r w:rsidR="00FF2D38">
              <w:rPr>
                <w:color w:val="1F497D" w:themeColor="text2"/>
                <w:sz w:val="17"/>
                <w:szCs w:val="17"/>
              </w:rPr>
              <w:t xml:space="preserve">to </w:t>
            </w:r>
            <w:r w:rsidR="00FF2D38">
              <w:rPr>
                <w:color w:val="1F497D" w:themeColor="text2"/>
                <w:sz w:val="17"/>
                <w:szCs w:val="17"/>
              </w:rPr>
              <w:lastRenderedPageBreak/>
              <w:t xml:space="preserve">disclose figures with the VA/MA set to zero. </w:t>
            </w:r>
          </w:p>
          <w:p w14:paraId="6DF7203F" w14:textId="0F29624E" w:rsidR="00B757D8" w:rsidRPr="00765E9F" w:rsidRDefault="00B757D8" w:rsidP="00F15250">
            <w:pPr>
              <w:tabs>
                <w:tab w:val="left" w:pos="3815"/>
              </w:tabs>
              <w:rPr>
                <w:highlight w:val="green"/>
              </w:rPr>
            </w:pPr>
          </w:p>
          <w:p w14:paraId="49CA6A74" w14:textId="13EA9290" w:rsidR="00AB514A" w:rsidRDefault="00AB514A" w:rsidP="00121913">
            <w:pPr>
              <w:spacing w:after="200" w:line="276" w:lineRule="auto"/>
              <w:rPr>
                <w:sz w:val="17"/>
                <w:szCs w:val="17"/>
              </w:rPr>
            </w:pPr>
          </w:p>
        </w:tc>
      </w:tr>
      <w:tr w:rsidR="00AB514A" w14:paraId="50DB978F" w14:textId="77777777" w:rsidTr="00AB514A">
        <w:trPr>
          <w:trHeight w:val="538"/>
        </w:trPr>
        <w:tc>
          <w:tcPr>
            <w:tcW w:w="1242" w:type="dxa"/>
            <w:vMerge/>
          </w:tcPr>
          <w:p w14:paraId="67B4BCA3" w14:textId="77777777" w:rsidR="00AB514A" w:rsidRDefault="00AB514A" w:rsidP="00121913">
            <w:pPr>
              <w:spacing w:after="200" w:line="276" w:lineRule="auto"/>
              <w:rPr>
                <w:sz w:val="17"/>
                <w:szCs w:val="17"/>
              </w:rPr>
            </w:pPr>
          </w:p>
        </w:tc>
        <w:tc>
          <w:tcPr>
            <w:tcW w:w="2663" w:type="dxa"/>
          </w:tcPr>
          <w:p w14:paraId="1BB5B812" w14:textId="77777777" w:rsidR="00AB514A" w:rsidRDefault="00AB514A" w:rsidP="00121913">
            <w:pPr>
              <w:spacing w:after="200" w:line="276" w:lineRule="auto"/>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Pr="005957CB">
              <w:rPr>
                <w:sz w:val="17"/>
                <w:szCs w:val="17"/>
              </w:rPr>
              <w:t>SFCR split in two parts, with proposals for streamlining, however narrative is still required.</w:t>
            </w:r>
          </w:p>
        </w:tc>
        <w:tc>
          <w:tcPr>
            <w:tcW w:w="2664" w:type="dxa"/>
          </w:tcPr>
          <w:p w14:paraId="256351DF" w14:textId="77777777" w:rsidR="00AB514A" w:rsidRDefault="00AB514A" w:rsidP="00121913">
            <w:pPr>
              <w:spacing w:after="200" w:line="276" w:lineRule="auto"/>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Pr="005957CB">
              <w:rPr>
                <w:sz w:val="17"/>
                <w:szCs w:val="17"/>
              </w:rPr>
              <w:t>SFCR split in two parts, with proposals for streamlining, however narrative is still required.</w:t>
            </w:r>
          </w:p>
        </w:tc>
        <w:tc>
          <w:tcPr>
            <w:tcW w:w="2929" w:type="dxa"/>
          </w:tcPr>
          <w:p w14:paraId="6E48AEDA" w14:textId="77777777" w:rsidR="00AB514A" w:rsidRDefault="00AB514A" w:rsidP="00121913">
            <w:pPr>
              <w:spacing w:after="200" w:line="276" w:lineRule="auto"/>
              <w:rPr>
                <w:sz w:val="17"/>
                <w:szCs w:val="17"/>
              </w:rPr>
            </w:pPr>
            <w:r>
              <w:rPr>
                <w:sz w:val="17"/>
                <w:szCs w:val="17"/>
              </w:rPr>
              <w:t>No changes proposed</w:t>
            </w:r>
          </w:p>
        </w:tc>
        <w:tc>
          <w:tcPr>
            <w:tcW w:w="2693" w:type="dxa"/>
          </w:tcPr>
          <w:p w14:paraId="059AD7B3" w14:textId="51D50498" w:rsidR="00AB514A" w:rsidRDefault="00E64051" w:rsidP="00121913">
            <w:pPr>
              <w:spacing w:after="200" w:line="276" w:lineRule="auto"/>
              <w:rPr>
                <w:sz w:val="17"/>
                <w:szCs w:val="17"/>
              </w:rPr>
            </w:pPr>
            <w:r w:rsidRPr="00BD5AF9">
              <w:rPr>
                <w:b/>
                <w:bCs/>
                <w:color w:val="E36C0A" w:themeColor="accent6" w:themeShade="BF"/>
                <w:sz w:val="17"/>
                <w:szCs w:val="17"/>
              </w:rPr>
              <w:t>[Neutral]</w:t>
            </w:r>
            <w:r w:rsidRPr="00BD5AF9">
              <w:rPr>
                <w:color w:val="E36C0A" w:themeColor="accent6" w:themeShade="BF"/>
                <w:sz w:val="17"/>
                <w:szCs w:val="17"/>
              </w:rPr>
              <w:t xml:space="preserve"> </w:t>
            </w:r>
            <w:r w:rsidR="00781DE6">
              <w:rPr>
                <w:sz w:val="17"/>
                <w:szCs w:val="17"/>
              </w:rPr>
              <w:t>Rejection</w:t>
            </w:r>
            <w:r w:rsidR="007B655A">
              <w:rPr>
                <w:sz w:val="17"/>
                <w:szCs w:val="17"/>
              </w:rPr>
              <w:t xml:space="preserve"> of </w:t>
            </w:r>
            <w:r w:rsidR="0033169E">
              <w:rPr>
                <w:sz w:val="17"/>
                <w:szCs w:val="17"/>
              </w:rPr>
              <w:t>split of SFCR report (both solo and group)</w:t>
            </w:r>
            <w:r w:rsidR="007B655A">
              <w:rPr>
                <w:sz w:val="17"/>
                <w:szCs w:val="17"/>
              </w:rPr>
              <w:t xml:space="preserve"> </w:t>
            </w:r>
            <w:r w:rsidR="00924F13">
              <w:rPr>
                <w:sz w:val="17"/>
                <w:szCs w:val="17"/>
              </w:rPr>
              <w:t xml:space="preserve">due to </w:t>
            </w:r>
            <w:r w:rsidR="00923BA8">
              <w:rPr>
                <w:sz w:val="17"/>
                <w:szCs w:val="17"/>
              </w:rPr>
              <w:t xml:space="preserve">little benefit </w:t>
            </w:r>
            <w:r w:rsidR="0092398F">
              <w:rPr>
                <w:sz w:val="17"/>
                <w:szCs w:val="17"/>
              </w:rPr>
              <w:t xml:space="preserve">(Art </w:t>
            </w:r>
            <w:r w:rsidR="006A32CC">
              <w:rPr>
                <w:sz w:val="17"/>
                <w:szCs w:val="17"/>
              </w:rPr>
              <w:t>51 (1), (</w:t>
            </w:r>
            <w:r w:rsidR="00970A07">
              <w:rPr>
                <w:sz w:val="17"/>
                <w:szCs w:val="17"/>
              </w:rPr>
              <w:t>1a),</w:t>
            </w:r>
            <w:r w:rsidR="00B122DA">
              <w:rPr>
                <w:sz w:val="17"/>
                <w:szCs w:val="17"/>
              </w:rPr>
              <w:t xml:space="preserve"> </w:t>
            </w:r>
            <w:r w:rsidR="00136F33">
              <w:rPr>
                <w:sz w:val="17"/>
                <w:szCs w:val="17"/>
              </w:rPr>
              <w:t>(1b)</w:t>
            </w:r>
            <w:r w:rsidR="00210C3C">
              <w:rPr>
                <w:sz w:val="17"/>
                <w:szCs w:val="17"/>
              </w:rPr>
              <w:t>, (3)</w:t>
            </w:r>
            <w:r w:rsidR="00A653BD">
              <w:rPr>
                <w:sz w:val="17"/>
                <w:szCs w:val="17"/>
              </w:rPr>
              <w:t>, (4),</w:t>
            </w:r>
            <w:r w:rsidR="005E4902">
              <w:rPr>
                <w:sz w:val="17"/>
                <w:szCs w:val="17"/>
              </w:rPr>
              <w:t xml:space="preserve"> (5)</w:t>
            </w:r>
            <w:r w:rsidR="0033169E">
              <w:rPr>
                <w:sz w:val="17"/>
                <w:szCs w:val="17"/>
              </w:rPr>
              <w:t>/Art 256/A188)</w:t>
            </w:r>
            <w:r w:rsidR="0034710B">
              <w:rPr>
                <w:sz w:val="17"/>
                <w:szCs w:val="17"/>
              </w:rPr>
              <w:t xml:space="preserve">. </w:t>
            </w:r>
          </w:p>
        </w:tc>
        <w:tc>
          <w:tcPr>
            <w:tcW w:w="2835" w:type="dxa"/>
            <w:vMerge/>
          </w:tcPr>
          <w:p w14:paraId="7568CF0A" w14:textId="700B8930" w:rsidR="00AB514A" w:rsidRDefault="00AB514A" w:rsidP="00121913">
            <w:pPr>
              <w:spacing w:after="200" w:line="276" w:lineRule="auto"/>
              <w:rPr>
                <w:sz w:val="17"/>
                <w:szCs w:val="17"/>
              </w:rPr>
            </w:pPr>
          </w:p>
        </w:tc>
      </w:tr>
      <w:tr w:rsidR="00AB514A" w14:paraId="52C0256A" w14:textId="77777777" w:rsidTr="00AB514A">
        <w:tc>
          <w:tcPr>
            <w:tcW w:w="1242" w:type="dxa"/>
            <w:vMerge/>
          </w:tcPr>
          <w:p w14:paraId="13523C91" w14:textId="77777777" w:rsidR="00AB514A" w:rsidRDefault="00AB514A" w:rsidP="00121913">
            <w:pPr>
              <w:spacing w:after="200" w:line="276" w:lineRule="auto"/>
              <w:rPr>
                <w:sz w:val="17"/>
                <w:szCs w:val="17"/>
              </w:rPr>
            </w:pPr>
          </w:p>
        </w:tc>
        <w:tc>
          <w:tcPr>
            <w:tcW w:w="2663" w:type="dxa"/>
          </w:tcPr>
          <w:p w14:paraId="54EA4491" w14:textId="77777777" w:rsidR="00AB514A" w:rsidRDefault="00AB514A" w:rsidP="00121913">
            <w:pPr>
              <w:pStyle w:val="Odsekzoznamu"/>
              <w:spacing w:line="240" w:lineRule="auto"/>
              <w:ind w:left="0"/>
              <w:rPr>
                <w:b/>
                <w:bCs/>
                <w:color w:val="FF0000"/>
                <w:szCs w:val="20"/>
              </w:rPr>
            </w:pPr>
            <w:r w:rsidRPr="00BD5AF9">
              <w:rPr>
                <w:b/>
                <w:bCs/>
                <w:color w:val="FF0000"/>
                <w:sz w:val="17"/>
                <w:szCs w:val="17"/>
              </w:rPr>
              <w:t>[Negative]</w:t>
            </w:r>
            <w:r>
              <w:rPr>
                <w:b/>
                <w:bCs/>
                <w:color w:val="FF0000"/>
                <w:sz w:val="17"/>
                <w:szCs w:val="17"/>
              </w:rPr>
              <w:t xml:space="preserve"> </w:t>
            </w:r>
            <w:r w:rsidRPr="00F57182">
              <w:rPr>
                <w:sz w:val="17"/>
                <w:szCs w:val="17"/>
              </w:rPr>
              <w:t xml:space="preserve">Limitations and exemptions </w:t>
            </w:r>
            <w:r>
              <w:rPr>
                <w:sz w:val="17"/>
                <w:szCs w:val="17"/>
              </w:rPr>
              <w:t xml:space="preserve">remain </w:t>
            </w:r>
            <w:r w:rsidRPr="00F57182">
              <w:rPr>
                <w:sz w:val="17"/>
                <w:szCs w:val="17"/>
              </w:rPr>
              <w:t>at the discretion of the supervisor</w:t>
            </w:r>
            <w:r>
              <w:rPr>
                <w:sz w:val="17"/>
                <w:szCs w:val="17"/>
              </w:rPr>
              <w:t xml:space="preserve">, although LRPU are prioritised </w:t>
            </w:r>
          </w:p>
          <w:p w14:paraId="3A5549DD" w14:textId="77777777" w:rsidR="00AB514A" w:rsidRDefault="00AB514A" w:rsidP="00121913">
            <w:pPr>
              <w:spacing w:after="200" w:line="276" w:lineRule="auto"/>
              <w:rPr>
                <w:sz w:val="17"/>
                <w:szCs w:val="17"/>
              </w:rPr>
            </w:pPr>
          </w:p>
        </w:tc>
        <w:tc>
          <w:tcPr>
            <w:tcW w:w="2664" w:type="dxa"/>
          </w:tcPr>
          <w:p w14:paraId="74FF7F4B" w14:textId="77777777" w:rsidR="00AB514A" w:rsidRDefault="00AB514A" w:rsidP="00121913">
            <w:pPr>
              <w:pStyle w:val="Odsekzoznamu"/>
              <w:spacing w:line="240" w:lineRule="auto"/>
              <w:ind w:left="0"/>
              <w:rPr>
                <w:b/>
                <w:bCs/>
                <w:color w:val="FF0000"/>
                <w:szCs w:val="20"/>
              </w:rPr>
            </w:pPr>
            <w:r w:rsidRPr="00BD5AF9">
              <w:rPr>
                <w:b/>
                <w:bCs/>
                <w:color w:val="FF0000"/>
                <w:sz w:val="17"/>
                <w:szCs w:val="17"/>
              </w:rPr>
              <w:t>[Negative]</w:t>
            </w:r>
            <w:r>
              <w:rPr>
                <w:b/>
                <w:bCs/>
                <w:color w:val="FF0000"/>
                <w:sz w:val="17"/>
                <w:szCs w:val="17"/>
              </w:rPr>
              <w:t xml:space="preserve"> </w:t>
            </w:r>
            <w:r w:rsidRPr="007E7DBD">
              <w:rPr>
                <w:sz w:val="17"/>
                <w:szCs w:val="17"/>
              </w:rPr>
              <w:t xml:space="preserve">Limitations and exemptions </w:t>
            </w:r>
            <w:r>
              <w:rPr>
                <w:sz w:val="17"/>
                <w:szCs w:val="17"/>
              </w:rPr>
              <w:t xml:space="preserve">remain </w:t>
            </w:r>
            <w:r w:rsidRPr="007E7DBD">
              <w:rPr>
                <w:sz w:val="17"/>
                <w:szCs w:val="17"/>
              </w:rPr>
              <w:t>at the discretion of the supervisor</w:t>
            </w:r>
            <w:r>
              <w:rPr>
                <w:sz w:val="17"/>
                <w:szCs w:val="17"/>
              </w:rPr>
              <w:t xml:space="preserve">, although LRPU are prioritised </w:t>
            </w:r>
          </w:p>
          <w:p w14:paraId="08C3628D" w14:textId="77777777" w:rsidR="00AB514A" w:rsidRPr="004D4642" w:rsidRDefault="00AB514A" w:rsidP="00121913">
            <w:pPr>
              <w:spacing w:after="200" w:line="276" w:lineRule="auto"/>
              <w:rPr>
                <w:sz w:val="17"/>
                <w:szCs w:val="17"/>
              </w:rPr>
            </w:pPr>
          </w:p>
        </w:tc>
        <w:tc>
          <w:tcPr>
            <w:tcW w:w="2929" w:type="dxa"/>
          </w:tcPr>
          <w:p w14:paraId="4AA869E7" w14:textId="205A8084" w:rsidR="00AB514A" w:rsidRDefault="00AB514A" w:rsidP="00121913">
            <w:pPr>
              <w:spacing w:after="200" w:line="276" w:lineRule="auto"/>
              <w:rPr>
                <w:sz w:val="17"/>
                <w:szCs w:val="17"/>
              </w:rPr>
            </w:pPr>
            <w:r w:rsidRPr="00BD5AF9">
              <w:rPr>
                <w:b/>
                <w:bCs/>
                <w:color w:val="00B050"/>
                <w:sz w:val="17"/>
                <w:szCs w:val="17"/>
              </w:rPr>
              <w:t>[Positive]</w:t>
            </w:r>
            <w:r>
              <w:rPr>
                <w:b/>
                <w:bCs/>
                <w:color w:val="00B050"/>
                <w:sz w:val="17"/>
                <w:szCs w:val="17"/>
              </w:rPr>
              <w:t xml:space="preserve"> </w:t>
            </w:r>
            <w:r w:rsidRPr="00597F39">
              <w:rPr>
                <w:sz w:val="17"/>
                <w:szCs w:val="17"/>
              </w:rPr>
              <w:t xml:space="preserve">NSAs have the possibility to exempt insurers that are part of a group from reporting on an item-by-item basis. These insurers no longer have to demonstrate to the satisfaction of the NSA that </w:t>
            </w:r>
            <w:r w:rsidRPr="00597F39">
              <w:rPr>
                <w:sz w:val="17"/>
                <w:szCs w:val="17"/>
              </w:rPr>
              <w:lastRenderedPageBreak/>
              <w:t>reporting on an item-by-item basis is inappropriate</w:t>
            </w:r>
            <w:r>
              <w:rPr>
                <w:sz w:val="17"/>
                <w:szCs w:val="17"/>
              </w:rPr>
              <w:t>. (Art. 35a)</w:t>
            </w:r>
          </w:p>
        </w:tc>
        <w:tc>
          <w:tcPr>
            <w:tcW w:w="2693" w:type="dxa"/>
          </w:tcPr>
          <w:p w14:paraId="718CE256" w14:textId="5941263E" w:rsidR="00ED1120" w:rsidRPr="00F15250" w:rsidRDefault="007B79B5" w:rsidP="00F15250">
            <w:pPr>
              <w:spacing w:after="200" w:line="276" w:lineRule="auto"/>
              <w:rPr>
                <w:szCs w:val="17"/>
              </w:rPr>
            </w:pPr>
            <w:r w:rsidRPr="00BD5AF9">
              <w:rPr>
                <w:b/>
                <w:bCs/>
                <w:color w:val="00B050"/>
                <w:sz w:val="17"/>
                <w:szCs w:val="17"/>
              </w:rPr>
              <w:lastRenderedPageBreak/>
              <w:t>[Positive]</w:t>
            </w:r>
            <w:r w:rsidR="000C45FD">
              <w:t xml:space="preserve"> </w:t>
            </w:r>
            <w:r w:rsidR="009F63B7" w:rsidRPr="00F15250">
              <w:rPr>
                <w:sz w:val="17"/>
                <w:szCs w:val="17"/>
              </w:rPr>
              <w:t xml:space="preserve">Limitations and exemptions are automatically granted </w:t>
            </w:r>
            <w:r w:rsidR="00023F89" w:rsidRPr="00F15250">
              <w:rPr>
                <w:sz w:val="17"/>
                <w:szCs w:val="17"/>
              </w:rPr>
              <w:t>to Low-risk profile undertakings</w:t>
            </w:r>
            <w:r w:rsidR="00ED1120" w:rsidRPr="00F15250">
              <w:rPr>
                <w:sz w:val="17"/>
                <w:szCs w:val="17"/>
              </w:rPr>
              <w:t>.</w:t>
            </w:r>
            <w:r w:rsidR="001C1DE6" w:rsidRPr="00F15250">
              <w:rPr>
                <w:sz w:val="17"/>
                <w:szCs w:val="17"/>
              </w:rPr>
              <w:t xml:space="preserve"> (Art 35a(1)</w:t>
            </w:r>
            <w:r w:rsidR="005F0EFD" w:rsidRPr="00F15250">
              <w:rPr>
                <w:sz w:val="17"/>
                <w:szCs w:val="17"/>
              </w:rPr>
              <w:t>, A85</w:t>
            </w:r>
            <w:r w:rsidR="001C1DE6" w:rsidRPr="00F15250">
              <w:rPr>
                <w:sz w:val="17"/>
                <w:szCs w:val="17"/>
              </w:rPr>
              <w:t>)</w:t>
            </w:r>
          </w:p>
          <w:p w14:paraId="46AD2AE1" w14:textId="00A98702" w:rsidR="00AB514A" w:rsidRDefault="001B1E11" w:rsidP="001C1DE6">
            <w:pPr>
              <w:pStyle w:val="CEABullet-Level1"/>
            </w:pPr>
            <w:r>
              <w:lastRenderedPageBreak/>
              <w:t>Other</w:t>
            </w:r>
            <w:r w:rsidR="007A4440">
              <w:t xml:space="preserve"> undertakings </w:t>
            </w:r>
            <w:r w:rsidRPr="001B1E11">
              <w:rPr>
                <w:u w:val="single"/>
              </w:rPr>
              <w:t>shall</w:t>
            </w:r>
            <w:r>
              <w:t xml:space="preserve"> (instead of may) </w:t>
            </w:r>
            <w:r w:rsidR="007A4440">
              <w:t xml:space="preserve">be granted </w:t>
            </w:r>
            <w:r w:rsidR="00050730">
              <w:t>limitations/exem</w:t>
            </w:r>
            <w:r w:rsidR="00B264A2">
              <w:t>ptions</w:t>
            </w:r>
            <w:r w:rsidR="006C337A">
              <w:t xml:space="preserve"> </w:t>
            </w:r>
            <w:r w:rsidR="001302A9">
              <w:t>if certain conditions are me</w:t>
            </w:r>
            <w:r w:rsidR="00D92499">
              <w:t>t</w:t>
            </w:r>
            <w:r w:rsidR="009F63B7">
              <w:t xml:space="preserve">, </w:t>
            </w:r>
            <w:r w:rsidR="001C1DE6">
              <w:t xml:space="preserve">up to </w:t>
            </w:r>
            <w:r w:rsidR="00DE0046">
              <w:t xml:space="preserve">30% </w:t>
            </w:r>
            <w:r w:rsidR="001C1DE6">
              <w:t>of MS life/</w:t>
            </w:r>
            <w:r w:rsidR="00DE0046">
              <w:t>non-life</w:t>
            </w:r>
            <w:r w:rsidR="001C1DE6">
              <w:t xml:space="preserve"> insurance mar</w:t>
            </w:r>
            <w:r w:rsidR="00DE0046">
              <w:t xml:space="preserve">ket </w:t>
            </w:r>
            <w:r w:rsidR="00392670">
              <w:t xml:space="preserve">(Art </w:t>
            </w:r>
            <w:r w:rsidR="00896255">
              <w:t>35a(1)</w:t>
            </w:r>
            <w:r w:rsidR="0075229E">
              <w:t>, A</w:t>
            </w:r>
            <w:r w:rsidR="0009073C">
              <w:t>84</w:t>
            </w:r>
            <w:r w:rsidR="00363624">
              <w:t>, A88</w:t>
            </w:r>
            <w:r w:rsidR="00896255">
              <w:t>)</w:t>
            </w:r>
          </w:p>
          <w:p w14:paraId="68B0D3AC" w14:textId="3364EE2B" w:rsidR="00D24E14" w:rsidRDefault="000C3D85" w:rsidP="00D24E14">
            <w:pPr>
              <w:pStyle w:val="CEABullet-Level1"/>
            </w:pPr>
            <w:r w:rsidRPr="000C3D85">
              <w:t>NSAs have the possibility to exempt insurers that are part of a group from reporting on an item-by-item basis. (Art. 35a</w:t>
            </w:r>
            <w:r w:rsidR="00363624">
              <w:t>, A87</w:t>
            </w:r>
            <w:r w:rsidRPr="000C3D85">
              <w:t>)</w:t>
            </w:r>
          </w:p>
        </w:tc>
        <w:tc>
          <w:tcPr>
            <w:tcW w:w="2835" w:type="dxa"/>
            <w:vMerge/>
          </w:tcPr>
          <w:p w14:paraId="39F3A2FA" w14:textId="067F9CD9" w:rsidR="00AB514A" w:rsidRDefault="00AB514A" w:rsidP="00121913">
            <w:pPr>
              <w:spacing w:after="200" w:line="276" w:lineRule="auto"/>
              <w:rPr>
                <w:sz w:val="17"/>
                <w:szCs w:val="17"/>
              </w:rPr>
            </w:pPr>
          </w:p>
        </w:tc>
      </w:tr>
      <w:tr w:rsidR="00AB514A" w14:paraId="608CDDDD" w14:textId="77777777" w:rsidTr="00AB514A">
        <w:tc>
          <w:tcPr>
            <w:tcW w:w="1242" w:type="dxa"/>
            <w:vMerge/>
          </w:tcPr>
          <w:p w14:paraId="3068301F" w14:textId="77777777" w:rsidR="00AB514A" w:rsidRDefault="00AB514A" w:rsidP="00121913">
            <w:pPr>
              <w:spacing w:after="200" w:line="276" w:lineRule="auto"/>
              <w:rPr>
                <w:sz w:val="17"/>
                <w:szCs w:val="17"/>
              </w:rPr>
            </w:pPr>
          </w:p>
        </w:tc>
        <w:tc>
          <w:tcPr>
            <w:tcW w:w="2663" w:type="dxa"/>
          </w:tcPr>
          <w:p w14:paraId="280ADC38" w14:textId="77777777" w:rsidR="00AB514A" w:rsidRPr="0018094B" w:rsidRDefault="00AB514A" w:rsidP="006024F4">
            <w:pPr>
              <w:tabs>
                <w:tab w:val="left" w:pos="3815"/>
              </w:tabs>
              <w:spacing w:line="240" w:lineRule="auto"/>
              <w:rPr>
                <w:sz w:val="17"/>
                <w:szCs w:val="17"/>
              </w:rPr>
            </w:pPr>
            <w:r w:rsidRPr="00BD5AF9">
              <w:rPr>
                <w:b/>
                <w:bCs/>
                <w:color w:val="FF0000"/>
                <w:sz w:val="17"/>
                <w:szCs w:val="17"/>
              </w:rPr>
              <w:t>[Negative]</w:t>
            </w:r>
            <w:r>
              <w:rPr>
                <w:b/>
                <w:bCs/>
                <w:color w:val="FF0000"/>
                <w:sz w:val="17"/>
                <w:szCs w:val="17"/>
              </w:rPr>
              <w:t xml:space="preserve"> </w:t>
            </w:r>
            <w:r w:rsidRPr="00F57182">
              <w:rPr>
                <w:sz w:val="17"/>
                <w:szCs w:val="17"/>
              </w:rPr>
              <w:t xml:space="preserve">Disclosure </w:t>
            </w:r>
            <w:r>
              <w:rPr>
                <w:sz w:val="17"/>
                <w:szCs w:val="17"/>
              </w:rPr>
              <w:t xml:space="preserve">in </w:t>
            </w:r>
            <w:r w:rsidRPr="0018094B">
              <w:rPr>
                <w:sz w:val="17"/>
                <w:szCs w:val="17"/>
              </w:rPr>
              <w:t xml:space="preserve">SFCR </w:t>
            </w:r>
            <w:r w:rsidRPr="00F57182">
              <w:rPr>
                <w:sz w:val="17"/>
                <w:szCs w:val="17"/>
              </w:rPr>
              <w:t>of</w:t>
            </w:r>
            <w:r w:rsidRPr="0018094B">
              <w:rPr>
                <w:sz w:val="17"/>
                <w:szCs w:val="17"/>
              </w:rPr>
              <w:t xml:space="preserve"> information:</w:t>
            </w:r>
            <w:r w:rsidRPr="00F57182">
              <w:rPr>
                <w:sz w:val="17"/>
                <w:szCs w:val="17"/>
              </w:rPr>
              <w:t xml:space="preserve"> </w:t>
            </w:r>
          </w:p>
          <w:p w14:paraId="43AF2AB5" w14:textId="77777777" w:rsidR="00AB514A" w:rsidRPr="0018094B" w:rsidRDefault="00AB514A" w:rsidP="006024F4">
            <w:pPr>
              <w:pStyle w:val="Odsekzoznamu"/>
              <w:numPr>
                <w:ilvl w:val="0"/>
                <w:numId w:val="21"/>
              </w:numPr>
              <w:tabs>
                <w:tab w:val="left" w:pos="3815"/>
              </w:tabs>
              <w:spacing w:line="240" w:lineRule="auto"/>
              <w:rPr>
                <w:sz w:val="17"/>
                <w:szCs w:val="17"/>
              </w:rPr>
            </w:pPr>
            <w:r w:rsidRPr="00F57182">
              <w:rPr>
                <w:sz w:val="17"/>
                <w:szCs w:val="17"/>
              </w:rPr>
              <w:t>with and without VA/MA (in professional section of SFCR)</w:t>
            </w:r>
          </w:p>
          <w:p w14:paraId="32063DD8" w14:textId="77777777" w:rsidR="00AB514A" w:rsidRPr="00F57182" w:rsidRDefault="00AB514A" w:rsidP="006024F4">
            <w:pPr>
              <w:pStyle w:val="Odsekzoznamu"/>
              <w:numPr>
                <w:ilvl w:val="0"/>
                <w:numId w:val="21"/>
              </w:numPr>
              <w:tabs>
                <w:tab w:val="left" w:pos="3815"/>
              </w:tabs>
              <w:spacing w:line="240" w:lineRule="auto"/>
              <w:rPr>
                <w:rStyle w:val="normaltextrun"/>
                <w:sz w:val="17"/>
                <w:szCs w:val="17"/>
              </w:rPr>
            </w:pPr>
            <w:r w:rsidRPr="00F57182">
              <w:rPr>
                <w:rStyle w:val="normaltextrun"/>
                <w:sz w:val="17"/>
                <w:szCs w:val="17"/>
                <w:shd w:val="clear" w:color="auto" w:fill="FFFFFF"/>
              </w:rPr>
              <w:t>use of transitionals for interest rates and technical provisions</w:t>
            </w:r>
          </w:p>
          <w:p w14:paraId="347F4403" w14:textId="77777777" w:rsidR="00AB514A" w:rsidRPr="00B262AD" w:rsidRDefault="00AB514A" w:rsidP="006024F4">
            <w:pPr>
              <w:pStyle w:val="Odsekzoznamu"/>
              <w:numPr>
                <w:ilvl w:val="0"/>
                <w:numId w:val="21"/>
              </w:numPr>
              <w:tabs>
                <w:tab w:val="left" w:pos="3815"/>
              </w:tabs>
              <w:spacing w:line="240" w:lineRule="auto"/>
              <w:rPr>
                <w:rStyle w:val="normaltextrun"/>
                <w:sz w:val="17"/>
                <w:szCs w:val="17"/>
              </w:rPr>
            </w:pPr>
            <w:r w:rsidRPr="00F57182">
              <w:rPr>
                <w:rStyle w:val="normaltextrun"/>
                <w:sz w:val="17"/>
                <w:szCs w:val="17"/>
                <w:shd w:val="clear" w:color="auto" w:fill="FFFFFF"/>
              </w:rPr>
              <w:t>standardisation of the sensitivity of SCR</w:t>
            </w:r>
          </w:p>
          <w:p w14:paraId="1160F7F1" w14:textId="77777777" w:rsidR="00AB514A" w:rsidRPr="00B262AD" w:rsidRDefault="00AB514A" w:rsidP="006024F4">
            <w:pPr>
              <w:pStyle w:val="Odsekzoznamu"/>
              <w:numPr>
                <w:ilvl w:val="0"/>
                <w:numId w:val="21"/>
              </w:numPr>
              <w:tabs>
                <w:tab w:val="left" w:pos="3815"/>
              </w:tabs>
              <w:spacing w:line="240" w:lineRule="auto"/>
              <w:rPr>
                <w:sz w:val="17"/>
                <w:szCs w:val="17"/>
              </w:rPr>
            </w:pPr>
            <w:r w:rsidRPr="00B262AD">
              <w:rPr>
                <w:sz w:val="17"/>
                <w:szCs w:val="17"/>
                <w:shd w:val="clear" w:color="auto" w:fill="FFFFFF"/>
              </w:rPr>
              <w:t>impact of changes to the convergence parameter of the alternative extrapolation method on financial position.</w:t>
            </w:r>
          </w:p>
        </w:tc>
        <w:tc>
          <w:tcPr>
            <w:tcW w:w="2664" w:type="dxa"/>
          </w:tcPr>
          <w:p w14:paraId="50148BA7" w14:textId="77777777" w:rsidR="00AB514A" w:rsidRPr="0018094B" w:rsidRDefault="00AB514A" w:rsidP="006024F4">
            <w:pPr>
              <w:tabs>
                <w:tab w:val="left" w:pos="3815"/>
              </w:tabs>
              <w:spacing w:line="240" w:lineRule="auto"/>
              <w:rPr>
                <w:sz w:val="17"/>
                <w:szCs w:val="17"/>
              </w:rPr>
            </w:pPr>
            <w:r w:rsidRPr="00BD5AF9">
              <w:rPr>
                <w:b/>
                <w:bCs/>
                <w:color w:val="FF0000"/>
                <w:sz w:val="17"/>
                <w:szCs w:val="17"/>
              </w:rPr>
              <w:t>[Negative]</w:t>
            </w:r>
            <w:r>
              <w:rPr>
                <w:b/>
                <w:bCs/>
                <w:color w:val="FF0000"/>
                <w:sz w:val="17"/>
                <w:szCs w:val="17"/>
              </w:rPr>
              <w:t xml:space="preserve"> </w:t>
            </w:r>
            <w:r w:rsidRPr="007E7DBD">
              <w:rPr>
                <w:sz w:val="17"/>
                <w:szCs w:val="17"/>
              </w:rPr>
              <w:t xml:space="preserve">Disclosure </w:t>
            </w:r>
            <w:r>
              <w:rPr>
                <w:sz w:val="17"/>
                <w:szCs w:val="17"/>
              </w:rPr>
              <w:t xml:space="preserve">in </w:t>
            </w:r>
            <w:r w:rsidRPr="0018094B">
              <w:rPr>
                <w:sz w:val="17"/>
                <w:szCs w:val="17"/>
              </w:rPr>
              <w:t xml:space="preserve">SFCR </w:t>
            </w:r>
            <w:r w:rsidRPr="007E7DBD">
              <w:rPr>
                <w:sz w:val="17"/>
                <w:szCs w:val="17"/>
              </w:rPr>
              <w:t>of</w:t>
            </w:r>
            <w:r w:rsidRPr="0018094B">
              <w:rPr>
                <w:sz w:val="17"/>
                <w:szCs w:val="17"/>
              </w:rPr>
              <w:t xml:space="preserve"> information:</w:t>
            </w:r>
            <w:r w:rsidRPr="007E7DBD">
              <w:rPr>
                <w:sz w:val="17"/>
                <w:szCs w:val="17"/>
              </w:rPr>
              <w:t xml:space="preserve"> </w:t>
            </w:r>
          </w:p>
          <w:p w14:paraId="3F3E5ADD" w14:textId="77777777" w:rsidR="00AB514A" w:rsidRPr="00515845" w:rsidRDefault="00AB514A" w:rsidP="006024F4">
            <w:pPr>
              <w:pStyle w:val="Odsekzoznamu"/>
              <w:numPr>
                <w:ilvl w:val="0"/>
                <w:numId w:val="21"/>
              </w:numPr>
              <w:tabs>
                <w:tab w:val="left" w:pos="3815"/>
              </w:tabs>
              <w:spacing w:line="240" w:lineRule="auto"/>
              <w:rPr>
                <w:sz w:val="17"/>
                <w:szCs w:val="17"/>
              </w:rPr>
            </w:pPr>
            <w:r w:rsidRPr="00515845">
              <w:rPr>
                <w:sz w:val="17"/>
                <w:szCs w:val="17"/>
              </w:rPr>
              <w:t>with and without VA/MA (in professional section of SFCR)</w:t>
            </w:r>
          </w:p>
          <w:p w14:paraId="563097EA" w14:textId="77777777" w:rsidR="00AB514A" w:rsidRPr="00515845" w:rsidRDefault="00AB514A" w:rsidP="006024F4">
            <w:pPr>
              <w:pStyle w:val="Odsekzoznamu"/>
              <w:numPr>
                <w:ilvl w:val="0"/>
                <w:numId w:val="21"/>
              </w:numPr>
              <w:tabs>
                <w:tab w:val="left" w:pos="3815"/>
              </w:tabs>
              <w:spacing w:line="240" w:lineRule="auto"/>
              <w:rPr>
                <w:rStyle w:val="normaltextrun"/>
                <w:sz w:val="17"/>
                <w:szCs w:val="17"/>
              </w:rPr>
            </w:pPr>
            <w:r w:rsidRPr="00515845">
              <w:rPr>
                <w:rStyle w:val="normaltextrun"/>
                <w:sz w:val="17"/>
                <w:szCs w:val="17"/>
                <w:shd w:val="clear" w:color="auto" w:fill="FFFFFF"/>
              </w:rPr>
              <w:t>use of transitionals for interest rates and technical provisions</w:t>
            </w:r>
          </w:p>
          <w:p w14:paraId="2140DEBA" w14:textId="77777777" w:rsidR="00AB514A" w:rsidRPr="00F41439" w:rsidRDefault="00AB514A" w:rsidP="006024F4">
            <w:pPr>
              <w:pStyle w:val="Odsekzoznamu"/>
              <w:numPr>
                <w:ilvl w:val="0"/>
                <w:numId w:val="21"/>
              </w:numPr>
              <w:tabs>
                <w:tab w:val="left" w:pos="3815"/>
              </w:tabs>
              <w:spacing w:line="240" w:lineRule="auto"/>
              <w:rPr>
                <w:rStyle w:val="normaltextrun"/>
                <w:sz w:val="17"/>
                <w:szCs w:val="17"/>
              </w:rPr>
            </w:pPr>
            <w:r w:rsidRPr="00515845">
              <w:rPr>
                <w:rStyle w:val="normaltextrun"/>
                <w:sz w:val="17"/>
                <w:szCs w:val="17"/>
                <w:shd w:val="clear" w:color="auto" w:fill="FFFFFF"/>
              </w:rPr>
              <w:t>standardisation of the sensitivity of SCR.</w:t>
            </w:r>
          </w:p>
          <w:p w14:paraId="50AD3C91" w14:textId="77777777" w:rsidR="00AB514A" w:rsidRPr="00F41439" w:rsidRDefault="00AB514A" w:rsidP="006024F4">
            <w:pPr>
              <w:pStyle w:val="Odsekzoznamu"/>
              <w:numPr>
                <w:ilvl w:val="0"/>
                <w:numId w:val="21"/>
              </w:numPr>
              <w:tabs>
                <w:tab w:val="left" w:pos="3815"/>
              </w:tabs>
              <w:spacing w:line="240" w:lineRule="auto"/>
              <w:rPr>
                <w:sz w:val="17"/>
                <w:szCs w:val="17"/>
              </w:rPr>
            </w:pPr>
            <w:r>
              <w:rPr>
                <w:sz w:val="17"/>
                <w:szCs w:val="17"/>
                <w:shd w:val="clear" w:color="auto" w:fill="FFFFFF"/>
              </w:rPr>
              <w:t>I</w:t>
            </w:r>
            <w:r w:rsidRPr="00F41439">
              <w:rPr>
                <w:sz w:val="17"/>
                <w:szCs w:val="17"/>
                <w:shd w:val="clear" w:color="auto" w:fill="FFFFFF"/>
              </w:rPr>
              <w:t>mpact of changes to the convergence parameter of the alternative extrapolation method on financial position.</w:t>
            </w:r>
          </w:p>
        </w:tc>
        <w:tc>
          <w:tcPr>
            <w:tcW w:w="2929" w:type="dxa"/>
          </w:tcPr>
          <w:p w14:paraId="20F96CF5" w14:textId="77777777" w:rsidR="00AB514A" w:rsidRDefault="00AB514A" w:rsidP="00121913">
            <w:pPr>
              <w:spacing w:after="200" w:line="276" w:lineRule="auto"/>
              <w:rPr>
                <w:b/>
                <w:bCs/>
                <w:color w:val="FF0000"/>
                <w:sz w:val="17"/>
                <w:szCs w:val="17"/>
              </w:rPr>
            </w:pPr>
            <w:r w:rsidRPr="00BD5AF9">
              <w:rPr>
                <w:b/>
                <w:bCs/>
                <w:color w:val="FF0000"/>
                <w:sz w:val="17"/>
                <w:szCs w:val="17"/>
              </w:rPr>
              <w:t>[Negative]</w:t>
            </w:r>
          </w:p>
          <w:p w14:paraId="72584DC0" w14:textId="77777777" w:rsidR="00AB514A" w:rsidRDefault="00AB514A" w:rsidP="008629C0">
            <w:pPr>
              <w:spacing w:after="200" w:line="276" w:lineRule="auto"/>
              <w:rPr>
                <w:sz w:val="17"/>
                <w:szCs w:val="17"/>
              </w:rPr>
            </w:pPr>
            <w:r w:rsidRPr="00717DEA">
              <w:rPr>
                <w:sz w:val="17"/>
                <w:szCs w:val="17"/>
              </w:rPr>
              <w:t>•</w:t>
            </w:r>
            <w:r>
              <w:rPr>
                <w:sz w:val="17"/>
                <w:szCs w:val="17"/>
              </w:rPr>
              <w:t>R</w:t>
            </w:r>
            <w:r w:rsidRPr="00717DEA">
              <w:rPr>
                <w:sz w:val="17"/>
                <w:szCs w:val="17"/>
              </w:rPr>
              <w:t xml:space="preserve">equirement for (re)insurers to disclose in SFCR with and without the interest rate risk transitionals </w:t>
            </w:r>
          </w:p>
          <w:p w14:paraId="673AFC63" w14:textId="58774328" w:rsidR="00AB514A" w:rsidRPr="00D4536A" w:rsidRDefault="00AB514A" w:rsidP="008629C0">
            <w:pPr>
              <w:spacing w:after="200" w:line="276" w:lineRule="auto"/>
              <w:rPr>
                <w:sz w:val="17"/>
                <w:szCs w:val="17"/>
              </w:rPr>
            </w:pPr>
            <w:r w:rsidRPr="00D4536A">
              <w:rPr>
                <w:sz w:val="17"/>
                <w:szCs w:val="17"/>
              </w:rPr>
              <w:t>•Should include description of business and performance of the undertaking</w:t>
            </w:r>
          </w:p>
          <w:p w14:paraId="6E07725D" w14:textId="77777777" w:rsidR="00AB514A" w:rsidRPr="00F57182" w:rsidRDefault="00AB514A" w:rsidP="00121913">
            <w:pPr>
              <w:spacing w:after="200" w:line="276" w:lineRule="auto"/>
              <w:rPr>
                <w:sz w:val="17"/>
                <w:szCs w:val="17"/>
              </w:rPr>
            </w:pPr>
            <w:r w:rsidRPr="00717DEA">
              <w:rPr>
                <w:sz w:val="17"/>
                <w:szCs w:val="17"/>
              </w:rPr>
              <w:t>•</w:t>
            </w:r>
            <w:r>
              <w:rPr>
                <w:sz w:val="17"/>
                <w:szCs w:val="17"/>
              </w:rPr>
              <w:t>R</w:t>
            </w:r>
            <w:r w:rsidRPr="00717DEA">
              <w:rPr>
                <w:sz w:val="17"/>
                <w:szCs w:val="17"/>
              </w:rPr>
              <w:t>equirement (re)insurers to disclose in SFCR with and without the combined impact of the transitionals</w:t>
            </w:r>
          </w:p>
        </w:tc>
        <w:tc>
          <w:tcPr>
            <w:tcW w:w="2693" w:type="dxa"/>
          </w:tcPr>
          <w:p w14:paraId="3AA45001" w14:textId="77777777" w:rsidR="0058699F" w:rsidRDefault="00985FD5" w:rsidP="00121913">
            <w:pPr>
              <w:spacing w:after="200" w:line="276" w:lineRule="auto"/>
              <w:rPr>
                <w:b/>
                <w:bCs/>
                <w:color w:val="00B050"/>
                <w:sz w:val="17"/>
                <w:szCs w:val="17"/>
              </w:rPr>
            </w:pPr>
            <w:r w:rsidRPr="00BD5AF9">
              <w:rPr>
                <w:b/>
                <w:bCs/>
                <w:color w:val="00B050"/>
                <w:sz w:val="17"/>
                <w:szCs w:val="17"/>
              </w:rPr>
              <w:t>[Positive]</w:t>
            </w:r>
            <w:r>
              <w:rPr>
                <w:b/>
                <w:bCs/>
                <w:color w:val="00B050"/>
                <w:sz w:val="17"/>
                <w:szCs w:val="17"/>
              </w:rPr>
              <w:t xml:space="preserve"> </w:t>
            </w:r>
          </w:p>
          <w:p w14:paraId="1E7FB847" w14:textId="2D4E5A99" w:rsidR="00AB514A" w:rsidRDefault="006B77B3" w:rsidP="0058699F">
            <w:pPr>
              <w:pStyle w:val="CEABullet-Level1"/>
            </w:pPr>
            <w:r>
              <w:t>Disclosure</w:t>
            </w:r>
            <w:r w:rsidR="00BC4409">
              <w:t xml:space="preserve"> in SFCR </w:t>
            </w:r>
            <w:r w:rsidR="00345C60">
              <w:t>of information in regards the use of tran</w:t>
            </w:r>
            <w:r>
              <w:t xml:space="preserve">sitional </w:t>
            </w:r>
            <w:r w:rsidR="008335D8">
              <w:t xml:space="preserve">measure on </w:t>
            </w:r>
            <w:r w:rsidR="009C6528">
              <w:t xml:space="preserve">risk-free </w:t>
            </w:r>
            <w:r w:rsidR="005B3B8E">
              <w:t xml:space="preserve">interest rates or </w:t>
            </w:r>
            <w:r w:rsidR="00D43F07">
              <w:t xml:space="preserve">technical provisions </w:t>
            </w:r>
            <w:r>
              <w:t xml:space="preserve">not </w:t>
            </w:r>
            <w:r w:rsidR="00985FD5">
              <w:t>required</w:t>
            </w:r>
            <w:r w:rsidR="00172B82">
              <w:t xml:space="preserve"> </w:t>
            </w:r>
            <w:r w:rsidR="00172B82">
              <w:rPr>
                <w:szCs w:val="17"/>
              </w:rPr>
              <w:t>(Art 308 (b)</w:t>
            </w:r>
            <w:r w:rsidR="00F55DF7">
              <w:rPr>
                <w:szCs w:val="17"/>
              </w:rPr>
              <w:t>, A201</w:t>
            </w:r>
            <w:r w:rsidR="00172B82">
              <w:rPr>
                <w:szCs w:val="17"/>
              </w:rPr>
              <w:t>)</w:t>
            </w:r>
            <w:r w:rsidR="00985FD5">
              <w:t>.</w:t>
            </w:r>
          </w:p>
        </w:tc>
        <w:tc>
          <w:tcPr>
            <w:tcW w:w="2835" w:type="dxa"/>
            <w:vMerge/>
          </w:tcPr>
          <w:p w14:paraId="2EBB3FD7" w14:textId="18EEDC22" w:rsidR="00AB514A" w:rsidRDefault="00AB514A" w:rsidP="00121913">
            <w:pPr>
              <w:spacing w:after="200" w:line="276" w:lineRule="auto"/>
              <w:rPr>
                <w:sz w:val="17"/>
                <w:szCs w:val="17"/>
              </w:rPr>
            </w:pPr>
          </w:p>
        </w:tc>
      </w:tr>
    </w:tbl>
    <w:p w14:paraId="54657A8F" w14:textId="1C07706F" w:rsidR="00AB514A" w:rsidRDefault="00AB514A">
      <w:pPr>
        <w:spacing w:after="200" w:line="276" w:lineRule="auto"/>
        <w:rPr>
          <w:rFonts w:cs="Frutiger LT Std 45 Light"/>
          <w:color w:val="000000"/>
          <w:sz w:val="17"/>
          <w:szCs w:val="20"/>
        </w:rPr>
      </w:pPr>
    </w:p>
    <w:p w14:paraId="6FD36646" w14:textId="77777777" w:rsidR="00A52343" w:rsidRDefault="00A52343">
      <w:pPr>
        <w:spacing w:after="200" w:line="276" w:lineRule="auto"/>
        <w:rPr>
          <w:rFonts w:cs="Frutiger LT Std 45 Light"/>
          <w:color w:val="000000"/>
          <w:sz w:val="17"/>
          <w:szCs w:val="20"/>
        </w:rPr>
      </w:pPr>
    </w:p>
    <w:tbl>
      <w:tblPr>
        <w:tblStyle w:val="Mriekatabuky"/>
        <w:tblW w:w="15168" w:type="dxa"/>
        <w:tblInd w:w="-289" w:type="dxa"/>
        <w:tblLook w:val="04A0" w:firstRow="1" w:lastRow="0" w:firstColumn="1" w:lastColumn="0" w:noHBand="0" w:noVBand="1"/>
      </w:tblPr>
      <w:tblGrid>
        <w:gridCol w:w="1158"/>
        <w:gridCol w:w="2954"/>
        <w:gridCol w:w="4820"/>
        <w:gridCol w:w="2250"/>
        <w:gridCol w:w="2648"/>
        <w:gridCol w:w="1338"/>
      </w:tblGrid>
      <w:tr w:rsidR="00504B74" w14:paraId="6FAEC33E" w14:textId="77777777" w:rsidTr="00D170DC">
        <w:trPr>
          <w:trHeight w:val="829"/>
        </w:trPr>
        <w:tc>
          <w:tcPr>
            <w:tcW w:w="1158" w:type="dxa"/>
          </w:tcPr>
          <w:p w14:paraId="032E2290" w14:textId="77777777" w:rsidR="00AB514A" w:rsidRDefault="00AB514A" w:rsidP="00121913">
            <w:pPr>
              <w:spacing w:after="200" w:line="276" w:lineRule="auto"/>
              <w:rPr>
                <w:sz w:val="17"/>
                <w:szCs w:val="17"/>
              </w:rPr>
            </w:pPr>
            <w:r w:rsidRPr="00491EB9">
              <w:rPr>
                <w:b/>
                <w:bCs/>
                <w:sz w:val="17"/>
                <w:szCs w:val="17"/>
              </w:rPr>
              <w:lastRenderedPageBreak/>
              <w:t>Topic</w:t>
            </w:r>
          </w:p>
        </w:tc>
        <w:tc>
          <w:tcPr>
            <w:tcW w:w="2954" w:type="dxa"/>
          </w:tcPr>
          <w:p w14:paraId="1BF095E1" w14:textId="77777777" w:rsidR="00AB514A" w:rsidRDefault="00AB514A" w:rsidP="00121913">
            <w:pPr>
              <w:spacing w:after="200" w:line="276" w:lineRule="auto"/>
              <w:rPr>
                <w:sz w:val="17"/>
                <w:szCs w:val="17"/>
              </w:rPr>
            </w:pPr>
            <w:r w:rsidRPr="00491EB9">
              <w:rPr>
                <w:b/>
                <w:bCs/>
                <w:sz w:val="17"/>
                <w:szCs w:val="17"/>
              </w:rPr>
              <w:t>EIOPA proposal</w:t>
            </w:r>
          </w:p>
        </w:tc>
        <w:tc>
          <w:tcPr>
            <w:tcW w:w="4820" w:type="dxa"/>
          </w:tcPr>
          <w:p w14:paraId="77B2889E" w14:textId="77777777" w:rsidR="00AB514A" w:rsidRDefault="00AB514A" w:rsidP="00121913">
            <w:pPr>
              <w:spacing w:after="200" w:line="276" w:lineRule="auto"/>
              <w:rPr>
                <w:sz w:val="17"/>
                <w:szCs w:val="17"/>
              </w:rPr>
            </w:pPr>
            <w:r w:rsidRPr="00491EB9">
              <w:rPr>
                <w:b/>
                <w:bCs/>
                <w:sz w:val="17"/>
                <w:szCs w:val="17"/>
              </w:rPr>
              <w:t>European Commission proposal</w:t>
            </w:r>
          </w:p>
        </w:tc>
        <w:tc>
          <w:tcPr>
            <w:tcW w:w="2250" w:type="dxa"/>
          </w:tcPr>
          <w:p w14:paraId="173008DE" w14:textId="7075F124" w:rsidR="00AB514A" w:rsidRDefault="00AB514A" w:rsidP="00121913">
            <w:pPr>
              <w:spacing w:after="200" w:line="276" w:lineRule="auto"/>
              <w:rPr>
                <w:sz w:val="17"/>
                <w:szCs w:val="17"/>
              </w:rPr>
            </w:pPr>
            <w:r w:rsidRPr="00491EB9">
              <w:rPr>
                <w:b/>
                <w:bCs/>
                <w:sz w:val="17"/>
                <w:szCs w:val="17"/>
              </w:rPr>
              <w:t>French presidency</w:t>
            </w:r>
            <w:r>
              <w:rPr>
                <w:b/>
                <w:bCs/>
                <w:sz w:val="17"/>
                <w:szCs w:val="17"/>
              </w:rPr>
              <w:t xml:space="preserve"> overall compromise proposal/EGBPI discussions</w:t>
            </w:r>
          </w:p>
        </w:tc>
        <w:tc>
          <w:tcPr>
            <w:tcW w:w="2648" w:type="dxa"/>
          </w:tcPr>
          <w:p w14:paraId="04C5ADBD" w14:textId="017F1798" w:rsidR="00AB514A" w:rsidRDefault="00F66675" w:rsidP="00121913">
            <w:pPr>
              <w:spacing w:after="200" w:line="276" w:lineRule="auto"/>
              <w:rPr>
                <w:b/>
                <w:bCs/>
                <w:sz w:val="17"/>
                <w:szCs w:val="17"/>
              </w:rPr>
            </w:pPr>
            <w:r>
              <w:rPr>
                <w:b/>
                <w:bCs/>
                <w:sz w:val="17"/>
                <w:szCs w:val="17"/>
              </w:rPr>
              <w:t>EP draft report</w:t>
            </w:r>
          </w:p>
        </w:tc>
        <w:tc>
          <w:tcPr>
            <w:tcW w:w="1338" w:type="dxa"/>
          </w:tcPr>
          <w:p w14:paraId="28D0DCAE" w14:textId="3C3CD50A" w:rsidR="00AB514A" w:rsidRDefault="00AB514A" w:rsidP="00121913">
            <w:pPr>
              <w:spacing w:after="200" w:line="276" w:lineRule="auto"/>
              <w:rPr>
                <w:sz w:val="17"/>
                <w:szCs w:val="17"/>
              </w:rPr>
            </w:pPr>
            <w:r>
              <w:rPr>
                <w:b/>
                <w:bCs/>
                <w:sz w:val="17"/>
                <w:szCs w:val="17"/>
              </w:rPr>
              <w:t>Secretariat assessment of current status</w:t>
            </w:r>
          </w:p>
        </w:tc>
      </w:tr>
      <w:tr w:rsidR="00504B74" w14:paraId="6DF3491A" w14:textId="77777777" w:rsidTr="00D170DC">
        <w:tc>
          <w:tcPr>
            <w:tcW w:w="1158" w:type="dxa"/>
            <w:vMerge w:val="restart"/>
          </w:tcPr>
          <w:p w14:paraId="1E851F08" w14:textId="77777777" w:rsidR="00AB514A" w:rsidRDefault="00E03C55" w:rsidP="00121913">
            <w:pPr>
              <w:spacing w:after="200" w:line="276" w:lineRule="auto"/>
              <w:rPr>
                <w:sz w:val="17"/>
                <w:szCs w:val="17"/>
              </w:rPr>
            </w:pPr>
            <w:r>
              <w:rPr>
                <w:b/>
                <w:bCs/>
                <w:sz w:val="17"/>
                <w:szCs w:val="17"/>
              </w:rPr>
              <w:t>Reporting (cont.)</w:t>
            </w:r>
          </w:p>
        </w:tc>
        <w:tc>
          <w:tcPr>
            <w:tcW w:w="2954" w:type="dxa"/>
          </w:tcPr>
          <w:p w14:paraId="740432F8" w14:textId="77777777" w:rsidR="00AB514A" w:rsidRPr="00BD5AF9" w:rsidRDefault="00AB514A" w:rsidP="00121913">
            <w:pPr>
              <w:tabs>
                <w:tab w:val="left" w:pos="3815"/>
              </w:tabs>
              <w:rPr>
                <w:b/>
                <w:bCs/>
                <w:color w:val="FF0000"/>
                <w:sz w:val="17"/>
                <w:szCs w:val="17"/>
              </w:rPr>
            </w:pPr>
            <w:r w:rsidRPr="0088731D">
              <w:rPr>
                <w:b/>
                <w:bCs/>
                <w:color w:val="E36C0A" w:themeColor="accent6" w:themeShade="BF"/>
                <w:sz w:val="17"/>
                <w:szCs w:val="17"/>
              </w:rPr>
              <w:t>[Neutral]</w:t>
            </w:r>
            <w:r w:rsidRPr="00F57182">
              <w:rPr>
                <w:color w:val="E36C0A" w:themeColor="accent6" w:themeShade="BF"/>
                <w:sz w:val="17"/>
                <w:szCs w:val="17"/>
              </w:rPr>
              <w:t xml:space="preserve"> </w:t>
            </w:r>
            <w:r w:rsidRPr="00F57182">
              <w:rPr>
                <w:sz w:val="17"/>
                <w:szCs w:val="17"/>
              </w:rPr>
              <w:t>Increase in reporting timelines for annual QRTs and SFCR and RSR. No increase for quarterly QRTs.</w:t>
            </w:r>
          </w:p>
        </w:tc>
        <w:tc>
          <w:tcPr>
            <w:tcW w:w="4820" w:type="dxa"/>
          </w:tcPr>
          <w:p w14:paraId="602455B8" w14:textId="77777777" w:rsidR="00AB514A" w:rsidRDefault="00AB514A" w:rsidP="00121913">
            <w:pPr>
              <w:tabs>
                <w:tab w:val="left" w:pos="3815"/>
              </w:tabs>
              <w:rPr>
                <w:sz w:val="17"/>
                <w:szCs w:val="17"/>
              </w:rPr>
            </w:pPr>
            <w:r w:rsidRPr="008C0526">
              <w:rPr>
                <w:b/>
                <w:color w:val="E36C0A" w:themeColor="accent6" w:themeShade="BF"/>
                <w:sz w:val="17"/>
                <w:szCs w:val="17"/>
              </w:rPr>
              <w:t>[Neutral]</w:t>
            </w:r>
            <w:r w:rsidRPr="008C0526">
              <w:rPr>
                <w:color w:val="E36C0A" w:themeColor="accent6" w:themeShade="BF"/>
                <w:sz w:val="17"/>
                <w:szCs w:val="17"/>
              </w:rPr>
              <w:t xml:space="preserve"> </w:t>
            </w:r>
            <w:r w:rsidRPr="008C0526">
              <w:rPr>
                <w:sz w:val="17"/>
                <w:szCs w:val="17"/>
              </w:rPr>
              <w:t>Even though the EC extends the Reporting deadlines for annual QRTs (16 weeks), RSR and SFCR (18 weeks), the timelines for the Quarterly QRTs are kept (5weeks), and additional time will be needed for external audit.</w:t>
            </w:r>
          </w:p>
          <w:p w14:paraId="6CF956F9" w14:textId="77777777" w:rsidR="00AB514A" w:rsidRPr="008C0526" w:rsidRDefault="00AB514A" w:rsidP="00121913">
            <w:pPr>
              <w:tabs>
                <w:tab w:val="left" w:pos="3815"/>
              </w:tabs>
              <w:rPr>
                <w:sz w:val="17"/>
                <w:szCs w:val="17"/>
              </w:rPr>
            </w:pPr>
          </w:p>
          <w:p w14:paraId="348A7436" w14:textId="5A1F6326" w:rsidR="00AB514A" w:rsidRPr="00B77A3C" w:rsidRDefault="00AB514A" w:rsidP="00004B60">
            <w:pPr>
              <w:tabs>
                <w:tab w:val="left" w:pos="3815"/>
              </w:tabs>
              <w:rPr>
                <w:sz w:val="17"/>
                <w:szCs w:val="17"/>
              </w:rPr>
            </w:pPr>
            <w:r w:rsidRPr="00F57182">
              <w:rPr>
                <w:b/>
                <w:color w:val="FF0000"/>
                <w:sz w:val="17"/>
                <w:szCs w:val="17"/>
              </w:rPr>
              <w:t>[Negative]</w:t>
            </w:r>
            <w:r w:rsidRPr="00F57182">
              <w:rPr>
                <w:b/>
                <w:sz w:val="17"/>
                <w:szCs w:val="17"/>
              </w:rPr>
              <w:t xml:space="preserve"> </w:t>
            </w:r>
            <w:r w:rsidRPr="00F57182">
              <w:rPr>
                <w:sz w:val="17"/>
                <w:szCs w:val="17"/>
              </w:rPr>
              <w:t>In addition, the 6-week extension for group reporting compared to solo reporting was removed, and the current proposal requires annual group reporting within 20 weeks.</w:t>
            </w:r>
            <w:r>
              <w:rPr>
                <w:sz w:val="17"/>
                <w:szCs w:val="17"/>
              </w:rPr>
              <w:t xml:space="preserve"> </w:t>
            </w:r>
            <w:r w:rsidRPr="00F47619">
              <w:rPr>
                <w:sz w:val="17"/>
                <w:szCs w:val="17"/>
              </w:rPr>
              <w:t xml:space="preserve">Because, extending the annual deadline for solo submissions while preserving the original group reporting deadlines will not benefit solo companies which are part of a group. In order to accommodate group reporting requirements (re)insurance companies within the group will have to provide final data within the original and not extended deadlines. </w:t>
            </w:r>
          </w:p>
        </w:tc>
        <w:tc>
          <w:tcPr>
            <w:tcW w:w="2250" w:type="dxa"/>
          </w:tcPr>
          <w:p w14:paraId="3E9908DE" w14:textId="02896B41" w:rsidR="00084BD9" w:rsidRPr="007E7DBD" w:rsidRDefault="008C49D7" w:rsidP="00121913">
            <w:pPr>
              <w:spacing w:after="200" w:line="276" w:lineRule="auto"/>
              <w:rPr>
                <w:sz w:val="17"/>
                <w:szCs w:val="17"/>
              </w:rPr>
            </w:pPr>
            <w:r w:rsidRPr="00BD5AF9">
              <w:rPr>
                <w:b/>
                <w:bCs/>
                <w:color w:val="00B050"/>
                <w:sz w:val="17"/>
                <w:szCs w:val="17"/>
              </w:rPr>
              <w:t>[Positive]</w:t>
            </w:r>
            <w:r w:rsidR="008023BC">
              <w:rPr>
                <w:rFonts w:eastAsiaTheme="minorHAnsi"/>
                <w:b/>
                <w:color w:val="00B050"/>
                <w:sz w:val="17"/>
                <w:szCs w:val="17"/>
              </w:rPr>
              <w:t xml:space="preserve"> </w:t>
            </w:r>
            <w:r w:rsidR="008023BC">
              <w:rPr>
                <w:rFonts w:eastAsiaTheme="minorHAnsi" w:cs="Verdana"/>
                <w:sz w:val="17"/>
                <w:szCs w:val="17"/>
              </w:rPr>
              <w:t>Annual group submission extended to 22 weeks after the undertaking’s financial year end</w:t>
            </w:r>
            <w:r w:rsidR="00217AEB">
              <w:rPr>
                <w:rFonts w:eastAsiaTheme="minorHAnsi" w:cs="Verdana"/>
                <w:sz w:val="17"/>
                <w:szCs w:val="17"/>
              </w:rPr>
              <w:t xml:space="preserve"> under Article 254 (3)</w:t>
            </w:r>
            <w:r w:rsidR="003D7CE2">
              <w:rPr>
                <w:rFonts w:eastAsiaTheme="minorHAnsi" w:cs="Verdana"/>
                <w:sz w:val="17"/>
                <w:szCs w:val="17"/>
              </w:rPr>
              <w:t>.</w:t>
            </w:r>
          </w:p>
        </w:tc>
        <w:tc>
          <w:tcPr>
            <w:tcW w:w="2648" w:type="dxa"/>
          </w:tcPr>
          <w:p w14:paraId="4882731C" w14:textId="399B9358" w:rsidR="00AB514A" w:rsidRDefault="00EE06A1" w:rsidP="00121913">
            <w:pPr>
              <w:spacing w:after="200" w:line="276" w:lineRule="auto"/>
              <w:rPr>
                <w:sz w:val="17"/>
                <w:szCs w:val="17"/>
              </w:rPr>
            </w:pPr>
            <w:r>
              <w:rPr>
                <w:sz w:val="17"/>
                <w:szCs w:val="17"/>
              </w:rPr>
              <w:t>EIOPA has to be consulted before EC extends the deadlines based on exceptional circumstances (</w:t>
            </w:r>
            <w:r w:rsidR="00001BFC">
              <w:rPr>
                <w:sz w:val="17"/>
                <w:szCs w:val="17"/>
              </w:rPr>
              <w:t>Recital 19</w:t>
            </w:r>
            <w:r w:rsidR="004845E3">
              <w:rPr>
                <w:sz w:val="17"/>
                <w:szCs w:val="17"/>
              </w:rPr>
              <w:t>/Art 35b</w:t>
            </w:r>
            <w:r w:rsidR="00FF415B">
              <w:rPr>
                <w:sz w:val="17"/>
                <w:szCs w:val="17"/>
              </w:rPr>
              <w:t>(4)</w:t>
            </w:r>
            <w:r w:rsidR="00CB75BE">
              <w:rPr>
                <w:sz w:val="17"/>
                <w:szCs w:val="17"/>
              </w:rPr>
              <w:t>/A</w:t>
            </w:r>
            <w:r w:rsidR="00C77A1A">
              <w:rPr>
                <w:sz w:val="17"/>
                <w:szCs w:val="17"/>
              </w:rPr>
              <w:t>5, A</w:t>
            </w:r>
            <w:r w:rsidR="008036D8">
              <w:rPr>
                <w:sz w:val="17"/>
                <w:szCs w:val="17"/>
              </w:rPr>
              <w:t>91</w:t>
            </w:r>
            <w:r w:rsidR="003A43C2">
              <w:rPr>
                <w:sz w:val="17"/>
                <w:szCs w:val="17"/>
              </w:rPr>
              <w:t>, A92</w:t>
            </w:r>
            <w:r w:rsidR="00001BFC">
              <w:rPr>
                <w:sz w:val="17"/>
                <w:szCs w:val="17"/>
              </w:rPr>
              <w:t>)</w:t>
            </w:r>
          </w:p>
          <w:p w14:paraId="109935C2" w14:textId="3F27AFAE" w:rsidR="00155094" w:rsidRDefault="00155094">
            <w:pPr>
              <w:spacing w:after="200" w:line="276" w:lineRule="auto"/>
              <w:rPr>
                <w:sz w:val="17"/>
                <w:szCs w:val="17"/>
              </w:rPr>
            </w:pPr>
          </w:p>
        </w:tc>
        <w:tc>
          <w:tcPr>
            <w:tcW w:w="1338" w:type="dxa"/>
            <w:vMerge w:val="restart"/>
          </w:tcPr>
          <w:p w14:paraId="0FF610E8" w14:textId="14C6257F" w:rsidR="00AB514A" w:rsidRDefault="00AB514A" w:rsidP="00121913">
            <w:pPr>
              <w:spacing w:after="200" w:line="276" w:lineRule="auto"/>
              <w:rPr>
                <w:sz w:val="17"/>
                <w:szCs w:val="17"/>
              </w:rPr>
            </w:pPr>
            <w:r>
              <w:rPr>
                <w:sz w:val="17"/>
                <w:szCs w:val="17"/>
              </w:rPr>
              <w:t>See above</w:t>
            </w:r>
          </w:p>
        </w:tc>
      </w:tr>
      <w:tr w:rsidR="00504B74" w14:paraId="1A222CF9" w14:textId="77777777" w:rsidTr="00D170DC">
        <w:tc>
          <w:tcPr>
            <w:tcW w:w="1158" w:type="dxa"/>
            <w:vMerge/>
          </w:tcPr>
          <w:p w14:paraId="29486CD2" w14:textId="77777777" w:rsidR="00AB514A" w:rsidRDefault="00AB514A" w:rsidP="00121913">
            <w:pPr>
              <w:spacing w:after="200" w:line="276" w:lineRule="auto"/>
              <w:rPr>
                <w:sz w:val="17"/>
                <w:szCs w:val="17"/>
              </w:rPr>
            </w:pPr>
          </w:p>
        </w:tc>
        <w:tc>
          <w:tcPr>
            <w:tcW w:w="2954" w:type="dxa"/>
          </w:tcPr>
          <w:p w14:paraId="5A83903A" w14:textId="77777777" w:rsidR="00AB514A" w:rsidRPr="0088731D" w:rsidRDefault="00AB514A" w:rsidP="00121913">
            <w:pPr>
              <w:tabs>
                <w:tab w:val="left" w:pos="3815"/>
              </w:tabs>
              <w:rPr>
                <w:b/>
                <w:bCs/>
                <w:color w:val="E36C0A" w:themeColor="accent6" w:themeShade="BF"/>
                <w:sz w:val="17"/>
                <w:szCs w:val="17"/>
              </w:rPr>
            </w:pPr>
            <w:r w:rsidRPr="00BD5AF9">
              <w:rPr>
                <w:b/>
                <w:bCs/>
                <w:color w:val="00B050"/>
                <w:sz w:val="17"/>
                <w:szCs w:val="17"/>
              </w:rPr>
              <w:t>[Positive]</w:t>
            </w:r>
            <w:r>
              <w:rPr>
                <w:b/>
                <w:bCs/>
                <w:color w:val="00B050"/>
                <w:sz w:val="17"/>
                <w:szCs w:val="17"/>
              </w:rPr>
              <w:t xml:space="preserve"> </w:t>
            </w:r>
            <w:r w:rsidRPr="00F57182">
              <w:rPr>
                <w:sz w:val="17"/>
                <w:szCs w:val="17"/>
              </w:rPr>
              <w:t>Option to have a single group RSR subject to criteria</w:t>
            </w:r>
          </w:p>
        </w:tc>
        <w:tc>
          <w:tcPr>
            <w:tcW w:w="4820" w:type="dxa"/>
          </w:tcPr>
          <w:p w14:paraId="0440D60B" w14:textId="77777777" w:rsidR="00AB514A" w:rsidRPr="00F41439" w:rsidRDefault="00AB514A" w:rsidP="00121913">
            <w:pPr>
              <w:tabs>
                <w:tab w:val="left" w:pos="3815"/>
              </w:tabs>
              <w:rPr>
                <w:b/>
                <w:color w:val="E36C0A" w:themeColor="accent6" w:themeShade="BF"/>
                <w:sz w:val="17"/>
                <w:szCs w:val="17"/>
              </w:rPr>
            </w:pPr>
            <w:r w:rsidRPr="00F41439">
              <w:rPr>
                <w:b/>
                <w:bCs/>
                <w:color w:val="00B050"/>
                <w:sz w:val="17"/>
                <w:szCs w:val="17"/>
              </w:rPr>
              <w:t xml:space="preserve">[Positive] </w:t>
            </w:r>
            <w:r w:rsidRPr="00F41439">
              <w:rPr>
                <w:sz w:val="17"/>
                <w:szCs w:val="17"/>
              </w:rPr>
              <w:t>Option to have a single group RSR subject to criteria</w:t>
            </w:r>
          </w:p>
        </w:tc>
        <w:tc>
          <w:tcPr>
            <w:tcW w:w="2250" w:type="dxa"/>
          </w:tcPr>
          <w:p w14:paraId="466016B9" w14:textId="77777777" w:rsidR="00AB514A" w:rsidRPr="007E7DBD" w:rsidRDefault="00AB514A" w:rsidP="00121913">
            <w:pPr>
              <w:spacing w:after="200" w:line="276" w:lineRule="auto"/>
              <w:rPr>
                <w:sz w:val="17"/>
                <w:szCs w:val="17"/>
              </w:rPr>
            </w:pPr>
            <w:r w:rsidRPr="007E7DBD">
              <w:rPr>
                <w:sz w:val="17"/>
                <w:szCs w:val="17"/>
              </w:rPr>
              <w:t>No changes proposed</w:t>
            </w:r>
          </w:p>
        </w:tc>
        <w:tc>
          <w:tcPr>
            <w:tcW w:w="2648" w:type="dxa"/>
          </w:tcPr>
          <w:p w14:paraId="24C2459A" w14:textId="77777777" w:rsidR="00CD568A" w:rsidRDefault="00CD568A" w:rsidP="00606C4B">
            <w:pPr>
              <w:spacing w:line="276" w:lineRule="auto"/>
              <w:rPr>
                <w:b/>
                <w:bCs/>
                <w:color w:val="00B050"/>
                <w:sz w:val="17"/>
                <w:szCs w:val="17"/>
              </w:rPr>
            </w:pPr>
            <w:r w:rsidRPr="00F41439">
              <w:rPr>
                <w:b/>
                <w:bCs/>
                <w:color w:val="00B050"/>
                <w:sz w:val="17"/>
                <w:szCs w:val="17"/>
              </w:rPr>
              <w:t>[Positive]</w:t>
            </w:r>
          </w:p>
          <w:p w14:paraId="111B88E5" w14:textId="1B3A1DD2" w:rsidR="00AB514A" w:rsidRDefault="00CD568A" w:rsidP="00D9419F">
            <w:pPr>
              <w:pStyle w:val="CEABullet-Level1"/>
              <w:numPr>
                <w:ilvl w:val="0"/>
                <w:numId w:val="0"/>
              </w:numPr>
              <w:jc w:val="left"/>
            </w:pPr>
            <w:r>
              <w:t>RSR every three years only, except in exceptional circumstances (Art 35</w:t>
            </w:r>
            <w:r w:rsidR="00EE2DCD">
              <w:t>(5a)(b)</w:t>
            </w:r>
            <w:r w:rsidR="00AB41B0">
              <w:t xml:space="preserve">, </w:t>
            </w:r>
            <w:r w:rsidR="004A3600">
              <w:t>A81</w:t>
            </w:r>
            <w:r w:rsidR="008D49F8">
              <w:t>)</w:t>
            </w:r>
            <w:r w:rsidR="00DA1269">
              <w:t xml:space="preserve"> and RSR every 5 years </w:t>
            </w:r>
            <w:r w:rsidR="005D307A">
              <w:t>for low-risk profile undertakings (Art 35(5a)(a)</w:t>
            </w:r>
            <w:r w:rsidR="004A3600">
              <w:t>, A80</w:t>
            </w:r>
            <w:r w:rsidR="005D307A">
              <w:t>)</w:t>
            </w:r>
          </w:p>
        </w:tc>
        <w:tc>
          <w:tcPr>
            <w:tcW w:w="1338" w:type="dxa"/>
            <w:vMerge/>
          </w:tcPr>
          <w:p w14:paraId="6F548FEB" w14:textId="07CAFB68" w:rsidR="00AB514A" w:rsidRDefault="00AB514A" w:rsidP="00121913">
            <w:pPr>
              <w:spacing w:after="200" w:line="276" w:lineRule="auto"/>
              <w:rPr>
                <w:sz w:val="17"/>
                <w:szCs w:val="17"/>
              </w:rPr>
            </w:pPr>
          </w:p>
        </w:tc>
      </w:tr>
      <w:tr w:rsidR="00851C52" w14:paraId="79777E8B" w14:textId="77777777" w:rsidTr="00D170DC">
        <w:trPr>
          <w:trHeight w:val="430"/>
        </w:trPr>
        <w:tc>
          <w:tcPr>
            <w:tcW w:w="1158" w:type="dxa"/>
          </w:tcPr>
          <w:p w14:paraId="20959B6D" w14:textId="0CA0B5CE" w:rsidR="00E03C55" w:rsidRPr="00D4536A" w:rsidRDefault="00E03C55" w:rsidP="00121913">
            <w:pPr>
              <w:spacing w:after="200" w:line="276" w:lineRule="auto"/>
              <w:rPr>
                <w:b/>
                <w:bCs/>
                <w:sz w:val="17"/>
                <w:szCs w:val="17"/>
              </w:rPr>
            </w:pPr>
            <w:r>
              <w:rPr>
                <w:b/>
                <w:bCs/>
                <w:sz w:val="17"/>
                <w:szCs w:val="17"/>
              </w:rPr>
              <w:t>Reporting (cont.)</w:t>
            </w:r>
          </w:p>
        </w:tc>
        <w:tc>
          <w:tcPr>
            <w:tcW w:w="2954" w:type="dxa"/>
          </w:tcPr>
          <w:p w14:paraId="2678700D" w14:textId="40E8435B" w:rsidR="00E03C55" w:rsidRPr="00BD5AF9" w:rsidRDefault="00E03C55" w:rsidP="00121913">
            <w:pPr>
              <w:tabs>
                <w:tab w:val="left" w:pos="3815"/>
              </w:tabs>
              <w:rPr>
                <w:b/>
                <w:bCs/>
                <w:color w:val="00B050"/>
                <w:sz w:val="17"/>
                <w:szCs w:val="17"/>
              </w:rPr>
            </w:pPr>
            <w:r w:rsidRPr="00BD5AF9">
              <w:rPr>
                <w:b/>
                <w:bCs/>
                <w:color w:val="00B050"/>
                <w:sz w:val="17"/>
                <w:szCs w:val="17"/>
              </w:rPr>
              <w:t>[Positive]</w:t>
            </w:r>
            <w:r>
              <w:rPr>
                <w:b/>
                <w:bCs/>
                <w:color w:val="00B050"/>
                <w:sz w:val="17"/>
                <w:szCs w:val="17"/>
              </w:rPr>
              <w:t xml:space="preserve"> </w:t>
            </w:r>
            <w:r>
              <w:rPr>
                <w:sz w:val="17"/>
                <w:szCs w:val="17"/>
              </w:rPr>
              <w:t>reduce areas of duplication</w:t>
            </w:r>
            <w:r w:rsidR="00947B09">
              <w:rPr>
                <w:sz w:val="17"/>
                <w:szCs w:val="17"/>
              </w:rPr>
              <w:t>/inconsistencies</w:t>
            </w:r>
            <w:r w:rsidR="00EE5D46">
              <w:rPr>
                <w:sz w:val="17"/>
                <w:szCs w:val="17"/>
              </w:rPr>
              <w:t xml:space="preserve"> between reporting frameworks and </w:t>
            </w:r>
            <w:r w:rsidR="00BC0B9E">
              <w:rPr>
                <w:sz w:val="17"/>
                <w:szCs w:val="17"/>
              </w:rPr>
              <w:t xml:space="preserve">other financial sectors. </w:t>
            </w:r>
          </w:p>
        </w:tc>
        <w:tc>
          <w:tcPr>
            <w:tcW w:w="4820" w:type="dxa"/>
          </w:tcPr>
          <w:p w14:paraId="756F7930" w14:textId="23016BB7" w:rsidR="00E03C55" w:rsidRPr="00130C1A" w:rsidRDefault="00130C1A" w:rsidP="00121913">
            <w:pPr>
              <w:tabs>
                <w:tab w:val="left" w:pos="3815"/>
              </w:tabs>
              <w:rPr>
                <w:sz w:val="17"/>
                <w:szCs w:val="17"/>
              </w:rPr>
            </w:pPr>
            <w:r w:rsidRPr="00130C1A">
              <w:rPr>
                <w:sz w:val="17"/>
                <w:szCs w:val="17"/>
              </w:rPr>
              <w:t>No change</w:t>
            </w:r>
          </w:p>
        </w:tc>
        <w:tc>
          <w:tcPr>
            <w:tcW w:w="2250" w:type="dxa"/>
          </w:tcPr>
          <w:p w14:paraId="508917CE" w14:textId="114DBBE3" w:rsidR="00E03C55" w:rsidRPr="00130C1A" w:rsidRDefault="00130C1A" w:rsidP="00121913">
            <w:pPr>
              <w:spacing w:after="200" w:line="276" w:lineRule="auto"/>
              <w:rPr>
                <w:sz w:val="17"/>
                <w:szCs w:val="17"/>
              </w:rPr>
            </w:pPr>
            <w:r w:rsidRPr="00130C1A">
              <w:rPr>
                <w:sz w:val="17"/>
                <w:szCs w:val="17"/>
              </w:rPr>
              <w:t>No change</w:t>
            </w:r>
          </w:p>
        </w:tc>
        <w:tc>
          <w:tcPr>
            <w:tcW w:w="2648" w:type="dxa"/>
          </w:tcPr>
          <w:p w14:paraId="36630CEF" w14:textId="40F28E9B" w:rsidR="00E03C55" w:rsidRDefault="00130C1A" w:rsidP="006F2B14">
            <w:pPr>
              <w:spacing w:after="200" w:line="276" w:lineRule="auto"/>
              <w:rPr>
                <w:sz w:val="17"/>
                <w:szCs w:val="17"/>
              </w:rPr>
            </w:pPr>
            <w:r w:rsidRPr="00F41439">
              <w:rPr>
                <w:b/>
                <w:bCs/>
                <w:color w:val="00B050"/>
                <w:sz w:val="17"/>
                <w:szCs w:val="17"/>
              </w:rPr>
              <w:t>[Positive]</w:t>
            </w:r>
            <w:r w:rsidR="006F2B14">
              <w:rPr>
                <w:b/>
                <w:bCs/>
                <w:color w:val="00B050"/>
                <w:sz w:val="17"/>
                <w:szCs w:val="17"/>
              </w:rPr>
              <w:t xml:space="preserve"> </w:t>
            </w:r>
            <w:r>
              <w:rPr>
                <w:sz w:val="17"/>
                <w:szCs w:val="17"/>
              </w:rPr>
              <w:t>Include</w:t>
            </w:r>
            <w:r w:rsidR="00771996">
              <w:rPr>
                <w:sz w:val="17"/>
                <w:szCs w:val="17"/>
              </w:rPr>
              <w:t>s also</w:t>
            </w:r>
            <w:r>
              <w:rPr>
                <w:sz w:val="17"/>
                <w:szCs w:val="17"/>
              </w:rPr>
              <w:t xml:space="preserve"> reduction of compliance costs</w:t>
            </w:r>
            <w:r w:rsidR="00771996">
              <w:rPr>
                <w:sz w:val="17"/>
                <w:szCs w:val="17"/>
              </w:rPr>
              <w:t>, in particular for LRPU (Art 35(12)</w:t>
            </w:r>
            <w:r w:rsidR="00277671">
              <w:rPr>
                <w:sz w:val="17"/>
                <w:szCs w:val="17"/>
              </w:rPr>
              <w:t>(ba)</w:t>
            </w:r>
            <w:r w:rsidR="00062511">
              <w:rPr>
                <w:sz w:val="17"/>
                <w:szCs w:val="17"/>
              </w:rPr>
              <w:t>, A83</w:t>
            </w:r>
            <w:r w:rsidR="00277671">
              <w:rPr>
                <w:sz w:val="17"/>
                <w:szCs w:val="17"/>
              </w:rPr>
              <w:t>)</w:t>
            </w:r>
            <w:r>
              <w:rPr>
                <w:sz w:val="17"/>
                <w:szCs w:val="17"/>
              </w:rPr>
              <w:t xml:space="preserve"> </w:t>
            </w:r>
          </w:p>
        </w:tc>
        <w:tc>
          <w:tcPr>
            <w:tcW w:w="1338" w:type="dxa"/>
          </w:tcPr>
          <w:p w14:paraId="10F3F129" w14:textId="77777777" w:rsidR="00E03C55" w:rsidRDefault="00E03C55" w:rsidP="00121913">
            <w:pPr>
              <w:spacing w:after="200" w:line="276" w:lineRule="auto"/>
              <w:rPr>
                <w:sz w:val="17"/>
                <w:szCs w:val="17"/>
              </w:rPr>
            </w:pPr>
          </w:p>
        </w:tc>
      </w:tr>
    </w:tbl>
    <w:p w14:paraId="57EDB2A6" w14:textId="4EE8571A" w:rsidR="00B77A3C" w:rsidRPr="00B77A3C" w:rsidRDefault="00B77A3C" w:rsidP="00A10EFF">
      <w:pPr>
        <w:pStyle w:val="CEABullet-Level1"/>
        <w:numPr>
          <w:ilvl w:val="0"/>
          <w:numId w:val="0"/>
        </w:numPr>
      </w:pPr>
    </w:p>
    <w:sectPr w:rsidR="00B77A3C" w:rsidRPr="00B77A3C" w:rsidSect="00765D77">
      <w:pgSz w:w="16839" w:h="11907" w:orient="landscape" w:code="9"/>
      <w:pgMar w:top="1454" w:right="2347" w:bottom="907" w:left="1253" w:header="706" w:footer="2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5905" w14:textId="77777777" w:rsidR="00EB6B66" w:rsidRDefault="00EB6B66">
      <w:pPr>
        <w:spacing w:line="240" w:lineRule="auto"/>
      </w:pPr>
      <w:r>
        <w:separator/>
      </w:r>
    </w:p>
  </w:endnote>
  <w:endnote w:type="continuationSeparator" w:id="0">
    <w:p w14:paraId="6AE9FBA2" w14:textId="77777777" w:rsidR="00EB6B66" w:rsidRDefault="00EB6B66">
      <w:pPr>
        <w:spacing w:line="240" w:lineRule="auto"/>
      </w:pPr>
      <w:r>
        <w:continuationSeparator/>
      </w:r>
    </w:p>
  </w:endnote>
  <w:endnote w:type="continuationNotice" w:id="1">
    <w:p w14:paraId="71BC1059" w14:textId="77777777" w:rsidR="00EB6B66" w:rsidRDefault="00EB6B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altName w:val="Times New Roman"/>
    <w:charset w:val="00"/>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3FBB" w14:textId="77777777" w:rsidR="008E2FCE" w:rsidRDefault="008E2FC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FEA0" w14:textId="0639825A" w:rsidR="00D1418C" w:rsidRPr="00EF7A2A" w:rsidRDefault="00D1418C" w:rsidP="00121913">
    <w:pPr>
      <w:tabs>
        <w:tab w:val="left" w:pos="0"/>
        <w:tab w:val="right" w:pos="10065"/>
        <w:tab w:val="right" w:pos="10260"/>
      </w:tabs>
      <w:autoSpaceDE w:val="0"/>
      <w:autoSpaceDN w:val="0"/>
      <w:adjustRightInd w:val="0"/>
      <w:ind w:right="23"/>
      <w:textAlignment w:val="center"/>
      <w:rPr>
        <w:color w:val="000080"/>
        <w:sz w:val="18"/>
        <w:szCs w:val="18"/>
      </w:rPr>
    </w:pPr>
    <w:r>
      <w:rPr>
        <w:rStyle w:val="slostrany"/>
        <w:b/>
        <w:i/>
        <w:color w:val="034EA2"/>
        <w:sz w:val="32"/>
        <w:szCs w:val="32"/>
      </w:rPr>
      <w:t xml:space="preserve">  </w:t>
    </w:r>
    <w:r>
      <w:rPr>
        <w:rStyle w:val="slostrany"/>
        <w:color w:val="000080"/>
        <w:sz w:val="18"/>
        <w:szCs w:val="18"/>
      </w:rPr>
      <w:tab/>
    </w:r>
  </w:p>
  <w:p w14:paraId="32C0FDDE" w14:textId="77777777" w:rsidR="00D1418C" w:rsidRDefault="00D141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D574" w14:textId="77777777" w:rsidR="008E2FCE" w:rsidRDefault="008E2F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8397" w14:textId="77777777" w:rsidR="00EB6B66" w:rsidRDefault="00EB6B66">
      <w:pPr>
        <w:spacing w:line="240" w:lineRule="auto"/>
      </w:pPr>
      <w:r>
        <w:separator/>
      </w:r>
    </w:p>
  </w:footnote>
  <w:footnote w:type="continuationSeparator" w:id="0">
    <w:p w14:paraId="40AA61F4" w14:textId="77777777" w:rsidR="00EB6B66" w:rsidRDefault="00EB6B66">
      <w:pPr>
        <w:spacing w:line="240" w:lineRule="auto"/>
      </w:pPr>
      <w:r>
        <w:continuationSeparator/>
      </w:r>
    </w:p>
  </w:footnote>
  <w:footnote w:type="continuationNotice" w:id="1">
    <w:p w14:paraId="41150124" w14:textId="77777777" w:rsidR="00EB6B66" w:rsidRDefault="00EB6B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7403" w14:textId="77777777" w:rsidR="008E2FCE" w:rsidRDefault="008E2FC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2098" w14:textId="75D3F742" w:rsidR="00D1418C" w:rsidRPr="00FD544F" w:rsidRDefault="00F26025" w:rsidP="00121913">
    <w:pPr>
      <w:pStyle w:val="Pta"/>
      <w:framePr w:wrap="around" w:vAnchor="page" w:hAnchor="margin" w:xAlign="right" w:y="16161"/>
      <w:rPr>
        <w:rStyle w:val="slostrany"/>
        <w:color w:val="002957"/>
        <w:sz w:val="18"/>
        <w:szCs w:val="18"/>
      </w:rPr>
    </w:pPr>
    <w:sdt>
      <w:sdtPr>
        <w:rPr>
          <w:rStyle w:val="slostrany"/>
          <w:color w:val="002957"/>
          <w:sz w:val="18"/>
          <w:szCs w:val="18"/>
        </w:rPr>
        <w:id w:val="-1081982427"/>
        <w:docPartObj>
          <w:docPartGallery w:val="Watermarks"/>
          <w:docPartUnique/>
        </w:docPartObj>
      </w:sdtPr>
      <w:sdtEndPr>
        <w:rPr>
          <w:rStyle w:val="slostrany"/>
        </w:rPr>
      </w:sdtEndPr>
      <w:sdtContent>
        <w:r>
          <w:rPr>
            <w:rStyle w:val="slostrany"/>
          </w:rPr>
          <w:pict w14:anchorId="0AD80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418C" w:rsidRPr="00FD544F">
      <w:rPr>
        <w:rStyle w:val="slostrany"/>
        <w:color w:val="002957"/>
        <w:sz w:val="18"/>
        <w:szCs w:val="18"/>
      </w:rPr>
      <w:fldChar w:fldCharType="begin"/>
    </w:r>
    <w:r w:rsidR="00D1418C" w:rsidRPr="00FD544F">
      <w:rPr>
        <w:rStyle w:val="slostrany"/>
        <w:color w:val="002957"/>
        <w:sz w:val="18"/>
        <w:szCs w:val="18"/>
      </w:rPr>
      <w:instrText xml:space="preserve"> PAGE   \* MERGEFORMAT </w:instrText>
    </w:r>
    <w:r w:rsidR="00D1418C" w:rsidRPr="00FD544F">
      <w:rPr>
        <w:rStyle w:val="slostrany"/>
        <w:color w:val="002957"/>
        <w:sz w:val="18"/>
        <w:szCs w:val="18"/>
      </w:rPr>
      <w:fldChar w:fldCharType="separate"/>
    </w:r>
    <w:r w:rsidR="00D1418C">
      <w:rPr>
        <w:rStyle w:val="slostrany"/>
        <w:color w:val="002957"/>
        <w:sz w:val="18"/>
        <w:szCs w:val="18"/>
      </w:rPr>
      <w:t>1</w:t>
    </w:r>
    <w:r w:rsidR="00D1418C" w:rsidRPr="00FD544F">
      <w:rPr>
        <w:rStyle w:val="slostrany"/>
        <w:noProof/>
        <w:color w:val="002957"/>
        <w:sz w:val="18"/>
        <w:szCs w:val="18"/>
      </w:rPr>
      <w:fldChar w:fldCharType="end"/>
    </w:r>
  </w:p>
  <w:p w14:paraId="3187962E" w14:textId="0619A51F" w:rsidR="00FC3947" w:rsidRPr="005C6B5C" w:rsidRDefault="00D1418C" w:rsidP="00703802">
    <w:pPr>
      <w:pStyle w:val="Noparagraphstyle"/>
      <w:ind w:left="7788" w:firstLine="708"/>
      <w:jc w:val="right"/>
      <w:rPr>
        <w:rFonts w:ascii="Verdana" w:hAnsi="Verdana"/>
        <w:b/>
        <w:color w:val="FF0000"/>
        <w:sz w:val="20"/>
        <w:szCs w:val="20"/>
      </w:rPr>
    </w:pPr>
    <w:r w:rsidRPr="005C6B5C">
      <w:rPr>
        <w:rFonts w:ascii="Verdana" w:hAnsi="Verdana"/>
        <w:b/>
        <w:noProof/>
        <w:color w:val="FF0000"/>
        <w:sz w:val="22"/>
        <w:szCs w:val="22"/>
        <w:lang w:val="en-US"/>
      </w:rPr>
      <w:drawing>
        <wp:anchor distT="0" distB="0" distL="114300" distR="114300" simplePos="0" relativeHeight="251657216" behindDoc="0" locked="0" layoutInCell="1" allowOverlap="1" wp14:anchorId="59CBF20B" wp14:editId="00117EAB">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D94B58" w:rsidRPr="005C6B5C">
      <w:rPr>
        <w:rFonts w:ascii="Verdana" w:hAnsi="Verdana"/>
        <w:b/>
        <w:bCs/>
        <w:color w:val="FF0000"/>
        <w:sz w:val="20"/>
        <w:szCs w:val="20"/>
      </w:rPr>
      <w:t xml:space="preserve">Final </w:t>
    </w:r>
  </w:p>
  <w:p w14:paraId="4EE24709" w14:textId="77777777" w:rsidR="00D1418C" w:rsidRDefault="00D141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5F7E" w14:textId="77777777" w:rsidR="008E2FCE" w:rsidRDefault="008E2F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63"/>
    <w:multiLevelType w:val="hybridMultilevel"/>
    <w:tmpl w:val="42E0E1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9035949"/>
    <w:multiLevelType w:val="hybridMultilevel"/>
    <w:tmpl w:val="77D803A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054071E"/>
    <w:multiLevelType w:val="hybridMultilevel"/>
    <w:tmpl w:val="EBE65710"/>
    <w:lvl w:ilvl="0" w:tplc="A0240652">
      <w:start w:val="165"/>
      <w:numFmt w:val="bullet"/>
      <w:pStyle w:val="CEABullet-Level2"/>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132E7339"/>
    <w:multiLevelType w:val="hybridMultilevel"/>
    <w:tmpl w:val="D2DCEF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17AE2C18"/>
    <w:multiLevelType w:val="hybridMultilevel"/>
    <w:tmpl w:val="27C07364"/>
    <w:lvl w:ilvl="0" w:tplc="37F28FDA">
      <w:start w:val="1"/>
      <w:numFmt w:val="decimal"/>
      <w:lvlText w:val="%1)"/>
      <w:lvlJc w:val="left"/>
      <w:pPr>
        <w:ind w:left="720" w:hanging="360"/>
      </w:pPr>
      <w:rPr>
        <w:rFonts w:hint="default"/>
        <w:color w:val="1F497D" w:themeColor="text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BB0C0B"/>
    <w:multiLevelType w:val="multilevel"/>
    <w:tmpl w:val="60CCD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B32F7D"/>
    <w:multiLevelType w:val="hybridMultilevel"/>
    <w:tmpl w:val="F32448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300733F"/>
    <w:multiLevelType w:val="hybridMultilevel"/>
    <w:tmpl w:val="A35447EA"/>
    <w:lvl w:ilvl="0" w:tplc="2F38D82A">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93D365C"/>
    <w:multiLevelType w:val="hybridMultilevel"/>
    <w:tmpl w:val="655260C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2B5477FB"/>
    <w:multiLevelType w:val="hybridMultilevel"/>
    <w:tmpl w:val="4FB8D82E"/>
    <w:lvl w:ilvl="0" w:tplc="DCB0FC7E">
      <w:start w:val="1"/>
      <w:numFmt w:val="bullet"/>
      <w:lvlText w:val=""/>
      <w:lvlJc w:val="left"/>
      <w:pPr>
        <w:ind w:left="360" w:hanging="360"/>
      </w:pPr>
      <w:rPr>
        <w:rFonts w:ascii="Wingdings" w:hAnsi="Wingdings" w:hint="default"/>
        <w:color w:val="17365D" w:themeColor="text2" w:themeShade="BF"/>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F7315FE"/>
    <w:multiLevelType w:val="hybridMultilevel"/>
    <w:tmpl w:val="D358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717D3"/>
    <w:multiLevelType w:val="hybridMultilevel"/>
    <w:tmpl w:val="81E25D3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7933B5A"/>
    <w:multiLevelType w:val="hybridMultilevel"/>
    <w:tmpl w:val="74DEE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424443"/>
    <w:multiLevelType w:val="hybridMultilevel"/>
    <w:tmpl w:val="EC2E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C29DE"/>
    <w:multiLevelType w:val="hybridMultilevel"/>
    <w:tmpl w:val="0F626B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6" w15:restartNumberingAfterBreak="0">
    <w:nsid w:val="46520924"/>
    <w:multiLevelType w:val="hybridMultilevel"/>
    <w:tmpl w:val="CCA21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700036"/>
    <w:multiLevelType w:val="multilevel"/>
    <w:tmpl w:val="82FA4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8F2090"/>
    <w:multiLevelType w:val="multilevel"/>
    <w:tmpl w:val="ECE46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D336457"/>
    <w:multiLevelType w:val="hybridMultilevel"/>
    <w:tmpl w:val="3D704A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5A2A40EC"/>
    <w:multiLevelType w:val="hybridMultilevel"/>
    <w:tmpl w:val="D70A4F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B174D1E"/>
    <w:multiLevelType w:val="hybridMultilevel"/>
    <w:tmpl w:val="645470EC"/>
    <w:lvl w:ilvl="0" w:tplc="DCB0FC7E">
      <w:start w:val="1"/>
      <w:numFmt w:val="bullet"/>
      <w:lvlText w:val=""/>
      <w:lvlJc w:val="left"/>
      <w:pPr>
        <w:ind w:left="360" w:hanging="360"/>
      </w:pPr>
      <w:rPr>
        <w:rFonts w:ascii="Wingdings" w:hAnsi="Wingdings" w:hint="default"/>
        <w:color w:val="17365D" w:themeColor="text2" w:themeShade="BF"/>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AF3F3E"/>
    <w:multiLevelType w:val="hybridMultilevel"/>
    <w:tmpl w:val="C188F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36CA1"/>
    <w:multiLevelType w:val="hybridMultilevel"/>
    <w:tmpl w:val="7C5EC62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63E4614E"/>
    <w:multiLevelType w:val="hybridMultilevel"/>
    <w:tmpl w:val="9550C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9E2B88"/>
    <w:multiLevelType w:val="hybridMultilevel"/>
    <w:tmpl w:val="238619A4"/>
    <w:lvl w:ilvl="0" w:tplc="2CF65F2A">
      <w:start w:val="165"/>
      <w:numFmt w:val="bullet"/>
      <w:pStyle w:val="CEABullet-Level1"/>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FC06D97"/>
    <w:multiLevelType w:val="hybridMultilevel"/>
    <w:tmpl w:val="0576C3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759A5701"/>
    <w:multiLevelType w:val="hybridMultilevel"/>
    <w:tmpl w:val="0228358A"/>
    <w:lvl w:ilvl="0" w:tplc="2000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78047BA"/>
    <w:multiLevelType w:val="hybridMultilevel"/>
    <w:tmpl w:val="280CA790"/>
    <w:lvl w:ilvl="0" w:tplc="DEB69818">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DF56C8D"/>
    <w:multiLevelType w:val="hybridMultilevel"/>
    <w:tmpl w:val="553A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002371">
    <w:abstractNumId w:val="25"/>
  </w:num>
  <w:num w:numId="2" w16cid:durableId="1773207934">
    <w:abstractNumId w:val="2"/>
  </w:num>
  <w:num w:numId="3" w16cid:durableId="1869832520">
    <w:abstractNumId w:val="15"/>
  </w:num>
  <w:num w:numId="4" w16cid:durableId="1544245641">
    <w:abstractNumId w:val="9"/>
  </w:num>
  <w:num w:numId="5" w16cid:durableId="834614541">
    <w:abstractNumId w:val="21"/>
  </w:num>
  <w:num w:numId="6" w16cid:durableId="1991639565">
    <w:abstractNumId w:val="25"/>
  </w:num>
  <w:num w:numId="7" w16cid:durableId="1543636744">
    <w:abstractNumId w:val="25"/>
  </w:num>
  <w:num w:numId="8" w16cid:durableId="1911425271">
    <w:abstractNumId w:val="25"/>
  </w:num>
  <w:num w:numId="9" w16cid:durableId="274599163">
    <w:abstractNumId w:val="25"/>
  </w:num>
  <w:num w:numId="10" w16cid:durableId="654992379">
    <w:abstractNumId w:val="25"/>
  </w:num>
  <w:num w:numId="11" w16cid:durableId="1473447981">
    <w:abstractNumId w:val="25"/>
  </w:num>
  <w:num w:numId="12" w16cid:durableId="1727608614">
    <w:abstractNumId w:val="25"/>
  </w:num>
  <w:num w:numId="13" w16cid:durableId="1682120676">
    <w:abstractNumId w:val="25"/>
  </w:num>
  <w:num w:numId="14" w16cid:durableId="433869000">
    <w:abstractNumId w:val="25"/>
  </w:num>
  <w:num w:numId="15" w16cid:durableId="1644852809">
    <w:abstractNumId w:val="25"/>
  </w:num>
  <w:num w:numId="16" w16cid:durableId="559442208">
    <w:abstractNumId w:val="25"/>
  </w:num>
  <w:num w:numId="17" w16cid:durableId="1233615006">
    <w:abstractNumId w:val="25"/>
  </w:num>
  <w:num w:numId="18" w16cid:durableId="274873484">
    <w:abstractNumId w:val="25"/>
  </w:num>
  <w:num w:numId="19" w16cid:durableId="1980452563">
    <w:abstractNumId w:val="16"/>
  </w:num>
  <w:num w:numId="20" w16cid:durableId="1105425506">
    <w:abstractNumId w:val="22"/>
  </w:num>
  <w:num w:numId="21" w16cid:durableId="666173960">
    <w:abstractNumId w:val="6"/>
  </w:num>
  <w:num w:numId="22" w16cid:durableId="426728776">
    <w:abstractNumId w:val="14"/>
  </w:num>
  <w:num w:numId="23" w16cid:durableId="1511482813">
    <w:abstractNumId w:val="8"/>
  </w:num>
  <w:num w:numId="24" w16cid:durableId="1517110170">
    <w:abstractNumId w:val="7"/>
  </w:num>
  <w:num w:numId="25" w16cid:durableId="801925826">
    <w:abstractNumId w:val="23"/>
  </w:num>
  <w:num w:numId="26" w16cid:durableId="1968849819">
    <w:abstractNumId w:val="25"/>
  </w:num>
  <w:num w:numId="27" w16cid:durableId="1560360863">
    <w:abstractNumId w:val="25"/>
  </w:num>
  <w:num w:numId="28" w16cid:durableId="438140262">
    <w:abstractNumId w:val="27"/>
  </w:num>
  <w:num w:numId="29" w16cid:durableId="342707227">
    <w:abstractNumId w:val="28"/>
  </w:num>
  <w:num w:numId="30" w16cid:durableId="1980956734">
    <w:abstractNumId w:val="1"/>
  </w:num>
  <w:num w:numId="31" w16cid:durableId="1788161611">
    <w:abstractNumId w:val="0"/>
  </w:num>
  <w:num w:numId="32" w16cid:durableId="810832909">
    <w:abstractNumId w:val="19"/>
  </w:num>
  <w:num w:numId="33" w16cid:durableId="922571987">
    <w:abstractNumId w:val="29"/>
  </w:num>
  <w:num w:numId="34" w16cid:durableId="1718625423">
    <w:abstractNumId w:val="10"/>
  </w:num>
  <w:num w:numId="35" w16cid:durableId="903028240">
    <w:abstractNumId w:val="5"/>
  </w:num>
  <w:num w:numId="36" w16cid:durableId="268005107">
    <w:abstractNumId w:val="18"/>
  </w:num>
  <w:num w:numId="37" w16cid:durableId="564141492">
    <w:abstractNumId w:val="13"/>
  </w:num>
  <w:num w:numId="38" w16cid:durableId="935672065">
    <w:abstractNumId w:val="25"/>
  </w:num>
  <w:num w:numId="39" w16cid:durableId="133451787">
    <w:abstractNumId w:val="17"/>
  </w:num>
  <w:num w:numId="40" w16cid:durableId="1924876749">
    <w:abstractNumId w:val="20"/>
  </w:num>
  <w:num w:numId="41" w16cid:durableId="241257449">
    <w:abstractNumId w:val="26"/>
  </w:num>
  <w:num w:numId="42" w16cid:durableId="1810585624">
    <w:abstractNumId w:val="3"/>
  </w:num>
  <w:num w:numId="43" w16cid:durableId="1637762841">
    <w:abstractNumId w:val="24"/>
  </w:num>
  <w:num w:numId="44" w16cid:durableId="1146700387">
    <w:abstractNumId w:val="11"/>
  </w:num>
  <w:num w:numId="45" w16cid:durableId="52969320">
    <w:abstractNumId w:val="12"/>
  </w:num>
  <w:num w:numId="46" w16cid:durableId="844175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8"/>
    <w:rsid w:val="0000057D"/>
    <w:rsid w:val="00000A87"/>
    <w:rsid w:val="00000B9B"/>
    <w:rsid w:val="000017B5"/>
    <w:rsid w:val="0000192C"/>
    <w:rsid w:val="00001BFC"/>
    <w:rsid w:val="00002066"/>
    <w:rsid w:val="000027A4"/>
    <w:rsid w:val="000027DE"/>
    <w:rsid w:val="00002861"/>
    <w:rsid w:val="00002A6E"/>
    <w:rsid w:val="00002CEF"/>
    <w:rsid w:val="0000395F"/>
    <w:rsid w:val="000044D4"/>
    <w:rsid w:val="00004B60"/>
    <w:rsid w:val="00004C12"/>
    <w:rsid w:val="000054C1"/>
    <w:rsid w:val="00005CBF"/>
    <w:rsid w:val="0000705D"/>
    <w:rsid w:val="0000733D"/>
    <w:rsid w:val="0000747E"/>
    <w:rsid w:val="00007D2F"/>
    <w:rsid w:val="00007E03"/>
    <w:rsid w:val="00007E51"/>
    <w:rsid w:val="0001045F"/>
    <w:rsid w:val="0001061E"/>
    <w:rsid w:val="0001066A"/>
    <w:rsid w:val="0001087E"/>
    <w:rsid w:val="00010B7D"/>
    <w:rsid w:val="00011010"/>
    <w:rsid w:val="00011262"/>
    <w:rsid w:val="00011807"/>
    <w:rsid w:val="00011AF0"/>
    <w:rsid w:val="00011BC7"/>
    <w:rsid w:val="00011BFE"/>
    <w:rsid w:val="0001239C"/>
    <w:rsid w:val="00012418"/>
    <w:rsid w:val="00012C62"/>
    <w:rsid w:val="000143AA"/>
    <w:rsid w:val="00014C14"/>
    <w:rsid w:val="000150CA"/>
    <w:rsid w:val="00015185"/>
    <w:rsid w:val="00015A1C"/>
    <w:rsid w:val="00015A57"/>
    <w:rsid w:val="00015A5A"/>
    <w:rsid w:val="0001709D"/>
    <w:rsid w:val="00017636"/>
    <w:rsid w:val="000179B5"/>
    <w:rsid w:val="00017DC2"/>
    <w:rsid w:val="00017E97"/>
    <w:rsid w:val="00020579"/>
    <w:rsid w:val="0002119C"/>
    <w:rsid w:val="00021E31"/>
    <w:rsid w:val="00021F0E"/>
    <w:rsid w:val="00022AC4"/>
    <w:rsid w:val="00022EA7"/>
    <w:rsid w:val="00022FD0"/>
    <w:rsid w:val="000230D0"/>
    <w:rsid w:val="000231E2"/>
    <w:rsid w:val="0002348D"/>
    <w:rsid w:val="0002350D"/>
    <w:rsid w:val="000236AE"/>
    <w:rsid w:val="00023CD4"/>
    <w:rsid w:val="00023CE5"/>
    <w:rsid w:val="00023F89"/>
    <w:rsid w:val="00023FF6"/>
    <w:rsid w:val="00024050"/>
    <w:rsid w:val="00024374"/>
    <w:rsid w:val="00024491"/>
    <w:rsid w:val="00024965"/>
    <w:rsid w:val="00024B60"/>
    <w:rsid w:val="00024E65"/>
    <w:rsid w:val="000250A5"/>
    <w:rsid w:val="00025146"/>
    <w:rsid w:val="000251B0"/>
    <w:rsid w:val="000252A5"/>
    <w:rsid w:val="000254D7"/>
    <w:rsid w:val="00025552"/>
    <w:rsid w:val="00025849"/>
    <w:rsid w:val="00025AD8"/>
    <w:rsid w:val="00025F71"/>
    <w:rsid w:val="000270CF"/>
    <w:rsid w:val="000271DD"/>
    <w:rsid w:val="000274FF"/>
    <w:rsid w:val="000275D4"/>
    <w:rsid w:val="000276E2"/>
    <w:rsid w:val="000278BF"/>
    <w:rsid w:val="00027C3C"/>
    <w:rsid w:val="00030A42"/>
    <w:rsid w:val="00031003"/>
    <w:rsid w:val="000313D9"/>
    <w:rsid w:val="000322E7"/>
    <w:rsid w:val="0003286B"/>
    <w:rsid w:val="0003301C"/>
    <w:rsid w:val="0003325B"/>
    <w:rsid w:val="000338AA"/>
    <w:rsid w:val="0003471E"/>
    <w:rsid w:val="00034888"/>
    <w:rsid w:val="00034FE6"/>
    <w:rsid w:val="0003582C"/>
    <w:rsid w:val="0003683C"/>
    <w:rsid w:val="00036EA6"/>
    <w:rsid w:val="00036F76"/>
    <w:rsid w:val="00037164"/>
    <w:rsid w:val="00037D9D"/>
    <w:rsid w:val="00040625"/>
    <w:rsid w:val="0004064E"/>
    <w:rsid w:val="00040B9C"/>
    <w:rsid w:val="00041067"/>
    <w:rsid w:val="00041085"/>
    <w:rsid w:val="000412C0"/>
    <w:rsid w:val="000412DD"/>
    <w:rsid w:val="00041451"/>
    <w:rsid w:val="00041488"/>
    <w:rsid w:val="0004198F"/>
    <w:rsid w:val="00041C47"/>
    <w:rsid w:val="00041FB7"/>
    <w:rsid w:val="000420BA"/>
    <w:rsid w:val="0004286E"/>
    <w:rsid w:val="00042B31"/>
    <w:rsid w:val="00042E03"/>
    <w:rsid w:val="0004338C"/>
    <w:rsid w:val="00043580"/>
    <w:rsid w:val="000438F5"/>
    <w:rsid w:val="0004412E"/>
    <w:rsid w:val="00044BF0"/>
    <w:rsid w:val="00045155"/>
    <w:rsid w:val="0004576D"/>
    <w:rsid w:val="00045C06"/>
    <w:rsid w:val="00045C14"/>
    <w:rsid w:val="000462F5"/>
    <w:rsid w:val="000465B1"/>
    <w:rsid w:val="00046680"/>
    <w:rsid w:val="00046C9D"/>
    <w:rsid w:val="00046D7B"/>
    <w:rsid w:val="0004701D"/>
    <w:rsid w:val="000473F3"/>
    <w:rsid w:val="00047C76"/>
    <w:rsid w:val="00050147"/>
    <w:rsid w:val="000501CB"/>
    <w:rsid w:val="00050730"/>
    <w:rsid w:val="000508E5"/>
    <w:rsid w:val="00051336"/>
    <w:rsid w:val="00051704"/>
    <w:rsid w:val="0005179E"/>
    <w:rsid w:val="00051826"/>
    <w:rsid w:val="00051B48"/>
    <w:rsid w:val="00051BEE"/>
    <w:rsid w:val="00051C7C"/>
    <w:rsid w:val="0005229A"/>
    <w:rsid w:val="00052FD0"/>
    <w:rsid w:val="000534F3"/>
    <w:rsid w:val="000537E1"/>
    <w:rsid w:val="00053887"/>
    <w:rsid w:val="00053D21"/>
    <w:rsid w:val="00054088"/>
    <w:rsid w:val="0005424F"/>
    <w:rsid w:val="000546F7"/>
    <w:rsid w:val="00054C4C"/>
    <w:rsid w:val="00054D30"/>
    <w:rsid w:val="00054D37"/>
    <w:rsid w:val="00054FA7"/>
    <w:rsid w:val="000552D5"/>
    <w:rsid w:val="00055D61"/>
    <w:rsid w:val="0005699F"/>
    <w:rsid w:val="00056B2F"/>
    <w:rsid w:val="000575D0"/>
    <w:rsid w:val="00057788"/>
    <w:rsid w:val="00060203"/>
    <w:rsid w:val="000606EE"/>
    <w:rsid w:val="000608D3"/>
    <w:rsid w:val="00061310"/>
    <w:rsid w:val="00061427"/>
    <w:rsid w:val="0006166E"/>
    <w:rsid w:val="00061878"/>
    <w:rsid w:val="00061C49"/>
    <w:rsid w:val="00062294"/>
    <w:rsid w:val="0006240D"/>
    <w:rsid w:val="00062511"/>
    <w:rsid w:val="00062862"/>
    <w:rsid w:val="00062CD9"/>
    <w:rsid w:val="00062DCD"/>
    <w:rsid w:val="00062F86"/>
    <w:rsid w:val="000630CA"/>
    <w:rsid w:val="00063133"/>
    <w:rsid w:val="00063EBF"/>
    <w:rsid w:val="00064187"/>
    <w:rsid w:val="00064427"/>
    <w:rsid w:val="0006502B"/>
    <w:rsid w:val="000650FC"/>
    <w:rsid w:val="00065112"/>
    <w:rsid w:val="0006625A"/>
    <w:rsid w:val="0006663B"/>
    <w:rsid w:val="00066B0C"/>
    <w:rsid w:val="0006737C"/>
    <w:rsid w:val="00067823"/>
    <w:rsid w:val="0006790F"/>
    <w:rsid w:val="00067946"/>
    <w:rsid w:val="00067FCA"/>
    <w:rsid w:val="00070DBA"/>
    <w:rsid w:val="0007147A"/>
    <w:rsid w:val="000714A9"/>
    <w:rsid w:val="00072324"/>
    <w:rsid w:val="000727F2"/>
    <w:rsid w:val="00072DDC"/>
    <w:rsid w:val="00072E8D"/>
    <w:rsid w:val="00072F98"/>
    <w:rsid w:val="000732F5"/>
    <w:rsid w:val="000734BF"/>
    <w:rsid w:val="00073500"/>
    <w:rsid w:val="0007420A"/>
    <w:rsid w:val="00074B4B"/>
    <w:rsid w:val="00074EA9"/>
    <w:rsid w:val="000756E4"/>
    <w:rsid w:val="00075F3F"/>
    <w:rsid w:val="000763DE"/>
    <w:rsid w:val="00077304"/>
    <w:rsid w:val="000773E3"/>
    <w:rsid w:val="0008024B"/>
    <w:rsid w:val="00080AFC"/>
    <w:rsid w:val="00080F61"/>
    <w:rsid w:val="0008110C"/>
    <w:rsid w:val="000815E7"/>
    <w:rsid w:val="00081737"/>
    <w:rsid w:val="0008219C"/>
    <w:rsid w:val="00082D7B"/>
    <w:rsid w:val="00082EA6"/>
    <w:rsid w:val="00083516"/>
    <w:rsid w:val="0008384D"/>
    <w:rsid w:val="000840F7"/>
    <w:rsid w:val="000846EF"/>
    <w:rsid w:val="0008496A"/>
    <w:rsid w:val="00084BD9"/>
    <w:rsid w:val="00084F66"/>
    <w:rsid w:val="00085901"/>
    <w:rsid w:val="000862BC"/>
    <w:rsid w:val="00087328"/>
    <w:rsid w:val="0008757D"/>
    <w:rsid w:val="0008785B"/>
    <w:rsid w:val="00087D58"/>
    <w:rsid w:val="0009073C"/>
    <w:rsid w:val="00090763"/>
    <w:rsid w:val="0009085F"/>
    <w:rsid w:val="00090A5D"/>
    <w:rsid w:val="00090B93"/>
    <w:rsid w:val="00090DF0"/>
    <w:rsid w:val="00090E4B"/>
    <w:rsid w:val="000911A1"/>
    <w:rsid w:val="00091962"/>
    <w:rsid w:val="00091E72"/>
    <w:rsid w:val="00091E9B"/>
    <w:rsid w:val="0009247D"/>
    <w:rsid w:val="000928AC"/>
    <w:rsid w:val="000928DF"/>
    <w:rsid w:val="00092C54"/>
    <w:rsid w:val="00092E80"/>
    <w:rsid w:val="00093323"/>
    <w:rsid w:val="0009364F"/>
    <w:rsid w:val="00093AB5"/>
    <w:rsid w:val="000940D0"/>
    <w:rsid w:val="0009415F"/>
    <w:rsid w:val="00094173"/>
    <w:rsid w:val="00094692"/>
    <w:rsid w:val="00094972"/>
    <w:rsid w:val="00094CAA"/>
    <w:rsid w:val="00094D8C"/>
    <w:rsid w:val="00095701"/>
    <w:rsid w:val="00095740"/>
    <w:rsid w:val="00095973"/>
    <w:rsid w:val="000960BD"/>
    <w:rsid w:val="0009633C"/>
    <w:rsid w:val="00096346"/>
    <w:rsid w:val="000967E3"/>
    <w:rsid w:val="000969AA"/>
    <w:rsid w:val="00096E7A"/>
    <w:rsid w:val="00097678"/>
    <w:rsid w:val="000977C0"/>
    <w:rsid w:val="00097F29"/>
    <w:rsid w:val="000A0B65"/>
    <w:rsid w:val="000A1559"/>
    <w:rsid w:val="000A18E5"/>
    <w:rsid w:val="000A1E66"/>
    <w:rsid w:val="000A23C5"/>
    <w:rsid w:val="000A29BF"/>
    <w:rsid w:val="000A2E5D"/>
    <w:rsid w:val="000A31FD"/>
    <w:rsid w:val="000A342C"/>
    <w:rsid w:val="000A35A8"/>
    <w:rsid w:val="000A3AE2"/>
    <w:rsid w:val="000A3EDA"/>
    <w:rsid w:val="000A4498"/>
    <w:rsid w:val="000A5287"/>
    <w:rsid w:val="000A52A8"/>
    <w:rsid w:val="000A5907"/>
    <w:rsid w:val="000A5CBF"/>
    <w:rsid w:val="000A5D3E"/>
    <w:rsid w:val="000A60A8"/>
    <w:rsid w:val="000A696C"/>
    <w:rsid w:val="000A6A69"/>
    <w:rsid w:val="000A6F6F"/>
    <w:rsid w:val="000A716F"/>
    <w:rsid w:val="000A7298"/>
    <w:rsid w:val="000A7501"/>
    <w:rsid w:val="000A7BDA"/>
    <w:rsid w:val="000A7D6C"/>
    <w:rsid w:val="000A7FD6"/>
    <w:rsid w:val="000B02F0"/>
    <w:rsid w:val="000B07D2"/>
    <w:rsid w:val="000B096F"/>
    <w:rsid w:val="000B10C3"/>
    <w:rsid w:val="000B148A"/>
    <w:rsid w:val="000B15DB"/>
    <w:rsid w:val="000B206C"/>
    <w:rsid w:val="000B22F3"/>
    <w:rsid w:val="000B2662"/>
    <w:rsid w:val="000B2B27"/>
    <w:rsid w:val="000B2D3B"/>
    <w:rsid w:val="000B363E"/>
    <w:rsid w:val="000B3C4C"/>
    <w:rsid w:val="000B3F9A"/>
    <w:rsid w:val="000B4256"/>
    <w:rsid w:val="000B43C8"/>
    <w:rsid w:val="000B4A62"/>
    <w:rsid w:val="000B4CD1"/>
    <w:rsid w:val="000B57A5"/>
    <w:rsid w:val="000B6032"/>
    <w:rsid w:val="000B6D8F"/>
    <w:rsid w:val="000B72F4"/>
    <w:rsid w:val="000B789F"/>
    <w:rsid w:val="000C032A"/>
    <w:rsid w:val="000C08C3"/>
    <w:rsid w:val="000C098A"/>
    <w:rsid w:val="000C140A"/>
    <w:rsid w:val="000C1A3E"/>
    <w:rsid w:val="000C1D37"/>
    <w:rsid w:val="000C1F1D"/>
    <w:rsid w:val="000C240D"/>
    <w:rsid w:val="000C29D5"/>
    <w:rsid w:val="000C300A"/>
    <w:rsid w:val="000C353B"/>
    <w:rsid w:val="000C3768"/>
    <w:rsid w:val="000C3D85"/>
    <w:rsid w:val="000C4122"/>
    <w:rsid w:val="000C45FD"/>
    <w:rsid w:val="000C478B"/>
    <w:rsid w:val="000C4FEA"/>
    <w:rsid w:val="000C55D7"/>
    <w:rsid w:val="000C59CE"/>
    <w:rsid w:val="000C675C"/>
    <w:rsid w:val="000C7053"/>
    <w:rsid w:val="000C778D"/>
    <w:rsid w:val="000D00D9"/>
    <w:rsid w:val="000D19A9"/>
    <w:rsid w:val="000D2039"/>
    <w:rsid w:val="000D262E"/>
    <w:rsid w:val="000D278F"/>
    <w:rsid w:val="000D31E1"/>
    <w:rsid w:val="000D404C"/>
    <w:rsid w:val="000D4069"/>
    <w:rsid w:val="000D446A"/>
    <w:rsid w:val="000D4A44"/>
    <w:rsid w:val="000D4A59"/>
    <w:rsid w:val="000D5151"/>
    <w:rsid w:val="000D5533"/>
    <w:rsid w:val="000D6A1A"/>
    <w:rsid w:val="000D7B50"/>
    <w:rsid w:val="000D7B77"/>
    <w:rsid w:val="000E0064"/>
    <w:rsid w:val="000E0290"/>
    <w:rsid w:val="000E0A0A"/>
    <w:rsid w:val="000E0CE5"/>
    <w:rsid w:val="000E0DF2"/>
    <w:rsid w:val="000E0F7C"/>
    <w:rsid w:val="000E14BE"/>
    <w:rsid w:val="000E1983"/>
    <w:rsid w:val="000E19B8"/>
    <w:rsid w:val="000E1D87"/>
    <w:rsid w:val="000E1E32"/>
    <w:rsid w:val="000E24FD"/>
    <w:rsid w:val="000E3174"/>
    <w:rsid w:val="000E3310"/>
    <w:rsid w:val="000E35F4"/>
    <w:rsid w:val="000E3B4D"/>
    <w:rsid w:val="000E404A"/>
    <w:rsid w:val="000E4493"/>
    <w:rsid w:val="000E4998"/>
    <w:rsid w:val="000E4DC9"/>
    <w:rsid w:val="000E4E20"/>
    <w:rsid w:val="000E5637"/>
    <w:rsid w:val="000E5B13"/>
    <w:rsid w:val="000E5E6E"/>
    <w:rsid w:val="000E703D"/>
    <w:rsid w:val="000E71E5"/>
    <w:rsid w:val="000E7279"/>
    <w:rsid w:val="000E76C0"/>
    <w:rsid w:val="000E7D48"/>
    <w:rsid w:val="000F04D4"/>
    <w:rsid w:val="000F0AE6"/>
    <w:rsid w:val="000F0B53"/>
    <w:rsid w:val="000F0E39"/>
    <w:rsid w:val="000F10EC"/>
    <w:rsid w:val="000F1137"/>
    <w:rsid w:val="000F123E"/>
    <w:rsid w:val="000F15AE"/>
    <w:rsid w:val="000F1ADA"/>
    <w:rsid w:val="000F1C79"/>
    <w:rsid w:val="000F1DA1"/>
    <w:rsid w:val="000F1FC7"/>
    <w:rsid w:val="000F2038"/>
    <w:rsid w:val="000F21CB"/>
    <w:rsid w:val="000F39B9"/>
    <w:rsid w:val="000F3E8B"/>
    <w:rsid w:val="000F423B"/>
    <w:rsid w:val="000F4E5D"/>
    <w:rsid w:val="000F4F2A"/>
    <w:rsid w:val="000F4FA2"/>
    <w:rsid w:val="000F508C"/>
    <w:rsid w:val="000F5252"/>
    <w:rsid w:val="000F680E"/>
    <w:rsid w:val="000F713F"/>
    <w:rsid w:val="000F744F"/>
    <w:rsid w:val="000F7AB6"/>
    <w:rsid w:val="00100446"/>
    <w:rsid w:val="00100ADD"/>
    <w:rsid w:val="00100E92"/>
    <w:rsid w:val="00101A55"/>
    <w:rsid w:val="00102057"/>
    <w:rsid w:val="001023E1"/>
    <w:rsid w:val="001024E7"/>
    <w:rsid w:val="00102610"/>
    <w:rsid w:val="00102C38"/>
    <w:rsid w:val="001038D8"/>
    <w:rsid w:val="00103C5F"/>
    <w:rsid w:val="00103CDE"/>
    <w:rsid w:val="00103E35"/>
    <w:rsid w:val="0010406B"/>
    <w:rsid w:val="001043EF"/>
    <w:rsid w:val="0010479E"/>
    <w:rsid w:val="00104DDD"/>
    <w:rsid w:val="00105FF2"/>
    <w:rsid w:val="001066E3"/>
    <w:rsid w:val="00106715"/>
    <w:rsid w:val="00106802"/>
    <w:rsid w:val="0010687A"/>
    <w:rsid w:val="00106DD6"/>
    <w:rsid w:val="0010715E"/>
    <w:rsid w:val="00107425"/>
    <w:rsid w:val="00107B89"/>
    <w:rsid w:val="0011091F"/>
    <w:rsid w:val="00110B34"/>
    <w:rsid w:val="00110E99"/>
    <w:rsid w:val="00111099"/>
    <w:rsid w:val="001112C0"/>
    <w:rsid w:val="00111586"/>
    <w:rsid w:val="00112742"/>
    <w:rsid w:val="001128D7"/>
    <w:rsid w:val="00112A8C"/>
    <w:rsid w:val="00112CFE"/>
    <w:rsid w:val="00112EA3"/>
    <w:rsid w:val="00112F57"/>
    <w:rsid w:val="00113A62"/>
    <w:rsid w:val="00113B81"/>
    <w:rsid w:val="00114060"/>
    <w:rsid w:val="0011437A"/>
    <w:rsid w:val="00114756"/>
    <w:rsid w:val="00115145"/>
    <w:rsid w:val="00115F07"/>
    <w:rsid w:val="00115F39"/>
    <w:rsid w:val="00115F54"/>
    <w:rsid w:val="00117A78"/>
    <w:rsid w:val="00117B57"/>
    <w:rsid w:val="0012021A"/>
    <w:rsid w:val="0012027D"/>
    <w:rsid w:val="001204D6"/>
    <w:rsid w:val="00120756"/>
    <w:rsid w:val="00120F6C"/>
    <w:rsid w:val="001210D6"/>
    <w:rsid w:val="0012128E"/>
    <w:rsid w:val="0012152A"/>
    <w:rsid w:val="00121913"/>
    <w:rsid w:val="00121929"/>
    <w:rsid w:val="00121AA3"/>
    <w:rsid w:val="00121B76"/>
    <w:rsid w:val="00122264"/>
    <w:rsid w:val="00122CB5"/>
    <w:rsid w:val="00123B4E"/>
    <w:rsid w:val="00123EA5"/>
    <w:rsid w:val="0012407E"/>
    <w:rsid w:val="00124675"/>
    <w:rsid w:val="001247E5"/>
    <w:rsid w:val="00124B35"/>
    <w:rsid w:val="00124D08"/>
    <w:rsid w:val="0012597C"/>
    <w:rsid w:val="00125A4F"/>
    <w:rsid w:val="00125C99"/>
    <w:rsid w:val="00125D20"/>
    <w:rsid w:val="001261A5"/>
    <w:rsid w:val="001265F6"/>
    <w:rsid w:val="001268C9"/>
    <w:rsid w:val="00126AAB"/>
    <w:rsid w:val="00127006"/>
    <w:rsid w:val="00127A7B"/>
    <w:rsid w:val="00130006"/>
    <w:rsid w:val="001302A9"/>
    <w:rsid w:val="00130619"/>
    <w:rsid w:val="001306A3"/>
    <w:rsid w:val="00130B0E"/>
    <w:rsid w:val="00130C1A"/>
    <w:rsid w:val="00130EA7"/>
    <w:rsid w:val="001318B1"/>
    <w:rsid w:val="00132432"/>
    <w:rsid w:val="00132566"/>
    <w:rsid w:val="0013278D"/>
    <w:rsid w:val="00132A53"/>
    <w:rsid w:val="00132EF5"/>
    <w:rsid w:val="001331D2"/>
    <w:rsid w:val="00133390"/>
    <w:rsid w:val="0013377A"/>
    <w:rsid w:val="0013486A"/>
    <w:rsid w:val="00135599"/>
    <w:rsid w:val="001356E3"/>
    <w:rsid w:val="001358B8"/>
    <w:rsid w:val="00135DEB"/>
    <w:rsid w:val="00135F13"/>
    <w:rsid w:val="00136AFA"/>
    <w:rsid w:val="00136F33"/>
    <w:rsid w:val="0013733D"/>
    <w:rsid w:val="0013767F"/>
    <w:rsid w:val="001401C6"/>
    <w:rsid w:val="00140636"/>
    <w:rsid w:val="0014064D"/>
    <w:rsid w:val="00140A61"/>
    <w:rsid w:val="00141235"/>
    <w:rsid w:val="001416BC"/>
    <w:rsid w:val="001419F6"/>
    <w:rsid w:val="00141A48"/>
    <w:rsid w:val="00141C47"/>
    <w:rsid w:val="00141CF3"/>
    <w:rsid w:val="00141E9D"/>
    <w:rsid w:val="00141EFE"/>
    <w:rsid w:val="00142497"/>
    <w:rsid w:val="00142AAC"/>
    <w:rsid w:val="00142BCA"/>
    <w:rsid w:val="00142C4D"/>
    <w:rsid w:val="00143156"/>
    <w:rsid w:val="001431FA"/>
    <w:rsid w:val="00143574"/>
    <w:rsid w:val="0014367C"/>
    <w:rsid w:val="00143E5C"/>
    <w:rsid w:val="00144494"/>
    <w:rsid w:val="0014452A"/>
    <w:rsid w:val="00145025"/>
    <w:rsid w:val="00145331"/>
    <w:rsid w:val="0014565C"/>
    <w:rsid w:val="001456BF"/>
    <w:rsid w:val="00145E6A"/>
    <w:rsid w:val="00145E95"/>
    <w:rsid w:val="00146603"/>
    <w:rsid w:val="001467BA"/>
    <w:rsid w:val="00146F9B"/>
    <w:rsid w:val="00146FBC"/>
    <w:rsid w:val="001479C6"/>
    <w:rsid w:val="001500CB"/>
    <w:rsid w:val="00150962"/>
    <w:rsid w:val="00151664"/>
    <w:rsid w:val="0015191C"/>
    <w:rsid w:val="00151CF7"/>
    <w:rsid w:val="00151DA5"/>
    <w:rsid w:val="001526C6"/>
    <w:rsid w:val="001528A7"/>
    <w:rsid w:val="00152E3B"/>
    <w:rsid w:val="00153174"/>
    <w:rsid w:val="00153799"/>
    <w:rsid w:val="00153BE6"/>
    <w:rsid w:val="001542EB"/>
    <w:rsid w:val="001546D0"/>
    <w:rsid w:val="00154AE5"/>
    <w:rsid w:val="00155016"/>
    <w:rsid w:val="00155094"/>
    <w:rsid w:val="0015539E"/>
    <w:rsid w:val="0015541D"/>
    <w:rsid w:val="00155CC7"/>
    <w:rsid w:val="00155E6C"/>
    <w:rsid w:val="00157637"/>
    <w:rsid w:val="00157745"/>
    <w:rsid w:val="00157C2F"/>
    <w:rsid w:val="0016015F"/>
    <w:rsid w:val="00160258"/>
    <w:rsid w:val="0016094A"/>
    <w:rsid w:val="00160AC2"/>
    <w:rsid w:val="00160B82"/>
    <w:rsid w:val="00160C9F"/>
    <w:rsid w:val="001614AA"/>
    <w:rsid w:val="0016181C"/>
    <w:rsid w:val="001629C3"/>
    <w:rsid w:val="00162A82"/>
    <w:rsid w:val="00162DF6"/>
    <w:rsid w:val="00162F35"/>
    <w:rsid w:val="001635D2"/>
    <w:rsid w:val="00163851"/>
    <w:rsid w:val="00163E2B"/>
    <w:rsid w:val="0016432E"/>
    <w:rsid w:val="00164E68"/>
    <w:rsid w:val="00164EA9"/>
    <w:rsid w:val="00165EC0"/>
    <w:rsid w:val="001664D5"/>
    <w:rsid w:val="001669E5"/>
    <w:rsid w:val="00166DDC"/>
    <w:rsid w:val="00166EF1"/>
    <w:rsid w:val="0016709D"/>
    <w:rsid w:val="00167F8C"/>
    <w:rsid w:val="0017018F"/>
    <w:rsid w:val="00170E6D"/>
    <w:rsid w:val="001712B2"/>
    <w:rsid w:val="001712E6"/>
    <w:rsid w:val="001715A1"/>
    <w:rsid w:val="001715DD"/>
    <w:rsid w:val="00171C14"/>
    <w:rsid w:val="001723C5"/>
    <w:rsid w:val="00172581"/>
    <w:rsid w:val="00172647"/>
    <w:rsid w:val="00172782"/>
    <w:rsid w:val="00172B82"/>
    <w:rsid w:val="00173B69"/>
    <w:rsid w:val="00173D90"/>
    <w:rsid w:val="001745DB"/>
    <w:rsid w:val="001751FD"/>
    <w:rsid w:val="001755B8"/>
    <w:rsid w:val="00175BD3"/>
    <w:rsid w:val="0017602E"/>
    <w:rsid w:val="001765B5"/>
    <w:rsid w:val="001776CD"/>
    <w:rsid w:val="001778D0"/>
    <w:rsid w:val="001802C9"/>
    <w:rsid w:val="001807CD"/>
    <w:rsid w:val="001807CE"/>
    <w:rsid w:val="00180911"/>
    <w:rsid w:val="0018094B"/>
    <w:rsid w:val="00182480"/>
    <w:rsid w:val="0018255B"/>
    <w:rsid w:val="001825D5"/>
    <w:rsid w:val="00183088"/>
    <w:rsid w:val="00183AA1"/>
    <w:rsid w:val="00183AC7"/>
    <w:rsid w:val="00183E80"/>
    <w:rsid w:val="00184488"/>
    <w:rsid w:val="001848B9"/>
    <w:rsid w:val="00185596"/>
    <w:rsid w:val="001855F2"/>
    <w:rsid w:val="001859C0"/>
    <w:rsid w:val="00185F16"/>
    <w:rsid w:val="00185F1A"/>
    <w:rsid w:val="00186A00"/>
    <w:rsid w:val="00186B1B"/>
    <w:rsid w:val="00186BBC"/>
    <w:rsid w:val="0018702C"/>
    <w:rsid w:val="00187164"/>
    <w:rsid w:val="00187174"/>
    <w:rsid w:val="001879ED"/>
    <w:rsid w:val="00190333"/>
    <w:rsid w:val="001904A8"/>
    <w:rsid w:val="00190890"/>
    <w:rsid w:val="00190CA3"/>
    <w:rsid w:val="0019147E"/>
    <w:rsid w:val="00191570"/>
    <w:rsid w:val="00191C42"/>
    <w:rsid w:val="001921AE"/>
    <w:rsid w:val="001927D4"/>
    <w:rsid w:val="00192F8B"/>
    <w:rsid w:val="001932B4"/>
    <w:rsid w:val="00193D1B"/>
    <w:rsid w:val="00194B51"/>
    <w:rsid w:val="00194D0E"/>
    <w:rsid w:val="00194EF3"/>
    <w:rsid w:val="00195166"/>
    <w:rsid w:val="001954A8"/>
    <w:rsid w:val="00196A96"/>
    <w:rsid w:val="00196C62"/>
    <w:rsid w:val="001976FE"/>
    <w:rsid w:val="00197AE4"/>
    <w:rsid w:val="00197CE3"/>
    <w:rsid w:val="00197D7F"/>
    <w:rsid w:val="00197F41"/>
    <w:rsid w:val="001A0238"/>
    <w:rsid w:val="001A0281"/>
    <w:rsid w:val="001A0300"/>
    <w:rsid w:val="001A0495"/>
    <w:rsid w:val="001A0933"/>
    <w:rsid w:val="001A0DAA"/>
    <w:rsid w:val="001A0FE9"/>
    <w:rsid w:val="001A1264"/>
    <w:rsid w:val="001A16FC"/>
    <w:rsid w:val="001A22E9"/>
    <w:rsid w:val="001A2413"/>
    <w:rsid w:val="001A261C"/>
    <w:rsid w:val="001A2745"/>
    <w:rsid w:val="001A2B14"/>
    <w:rsid w:val="001A32D1"/>
    <w:rsid w:val="001A351B"/>
    <w:rsid w:val="001A357E"/>
    <w:rsid w:val="001A3D03"/>
    <w:rsid w:val="001A40DF"/>
    <w:rsid w:val="001A498D"/>
    <w:rsid w:val="001A4ACA"/>
    <w:rsid w:val="001A4F01"/>
    <w:rsid w:val="001A51A8"/>
    <w:rsid w:val="001A56C7"/>
    <w:rsid w:val="001A5831"/>
    <w:rsid w:val="001A6198"/>
    <w:rsid w:val="001A6476"/>
    <w:rsid w:val="001A66E1"/>
    <w:rsid w:val="001A68AF"/>
    <w:rsid w:val="001A6D7A"/>
    <w:rsid w:val="001A762E"/>
    <w:rsid w:val="001A77BD"/>
    <w:rsid w:val="001A78B9"/>
    <w:rsid w:val="001A7F90"/>
    <w:rsid w:val="001A7FEA"/>
    <w:rsid w:val="001B0169"/>
    <w:rsid w:val="001B0292"/>
    <w:rsid w:val="001B052D"/>
    <w:rsid w:val="001B0A7A"/>
    <w:rsid w:val="001B15B1"/>
    <w:rsid w:val="001B1C25"/>
    <w:rsid w:val="001B1DA1"/>
    <w:rsid w:val="001B1E11"/>
    <w:rsid w:val="001B269B"/>
    <w:rsid w:val="001B2965"/>
    <w:rsid w:val="001B32AB"/>
    <w:rsid w:val="001B3366"/>
    <w:rsid w:val="001B33E6"/>
    <w:rsid w:val="001B34F7"/>
    <w:rsid w:val="001B3E65"/>
    <w:rsid w:val="001B464C"/>
    <w:rsid w:val="001B4758"/>
    <w:rsid w:val="001B4870"/>
    <w:rsid w:val="001B4A0E"/>
    <w:rsid w:val="001B4B6D"/>
    <w:rsid w:val="001B4CA9"/>
    <w:rsid w:val="001B4F6A"/>
    <w:rsid w:val="001B5588"/>
    <w:rsid w:val="001B578C"/>
    <w:rsid w:val="001B5CBF"/>
    <w:rsid w:val="001B6057"/>
    <w:rsid w:val="001B60A7"/>
    <w:rsid w:val="001B68A9"/>
    <w:rsid w:val="001B742C"/>
    <w:rsid w:val="001B763F"/>
    <w:rsid w:val="001B7A60"/>
    <w:rsid w:val="001B7CFE"/>
    <w:rsid w:val="001C04E8"/>
    <w:rsid w:val="001C05AE"/>
    <w:rsid w:val="001C06A0"/>
    <w:rsid w:val="001C0EEF"/>
    <w:rsid w:val="001C0FBD"/>
    <w:rsid w:val="001C15BE"/>
    <w:rsid w:val="001C1751"/>
    <w:rsid w:val="001C1DB6"/>
    <w:rsid w:val="001C1DE1"/>
    <w:rsid w:val="001C1DE6"/>
    <w:rsid w:val="001C1F0A"/>
    <w:rsid w:val="001C2450"/>
    <w:rsid w:val="001C2920"/>
    <w:rsid w:val="001C2EF5"/>
    <w:rsid w:val="001C373F"/>
    <w:rsid w:val="001C4866"/>
    <w:rsid w:val="001C5329"/>
    <w:rsid w:val="001C54BD"/>
    <w:rsid w:val="001C5D2E"/>
    <w:rsid w:val="001C5FFC"/>
    <w:rsid w:val="001C64E2"/>
    <w:rsid w:val="001C66A2"/>
    <w:rsid w:val="001C6D97"/>
    <w:rsid w:val="001C7B68"/>
    <w:rsid w:val="001D065F"/>
    <w:rsid w:val="001D0E14"/>
    <w:rsid w:val="001D0F3E"/>
    <w:rsid w:val="001D1FF6"/>
    <w:rsid w:val="001D2606"/>
    <w:rsid w:val="001D2BCC"/>
    <w:rsid w:val="001D3191"/>
    <w:rsid w:val="001D397B"/>
    <w:rsid w:val="001D3EDF"/>
    <w:rsid w:val="001D40AF"/>
    <w:rsid w:val="001D4211"/>
    <w:rsid w:val="001D4382"/>
    <w:rsid w:val="001D4C47"/>
    <w:rsid w:val="001D5952"/>
    <w:rsid w:val="001D5DF5"/>
    <w:rsid w:val="001D6346"/>
    <w:rsid w:val="001D73FB"/>
    <w:rsid w:val="001D79F7"/>
    <w:rsid w:val="001D7A21"/>
    <w:rsid w:val="001D7D81"/>
    <w:rsid w:val="001E00DE"/>
    <w:rsid w:val="001E0AD0"/>
    <w:rsid w:val="001E1642"/>
    <w:rsid w:val="001E19B9"/>
    <w:rsid w:val="001E2320"/>
    <w:rsid w:val="001E2A0A"/>
    <w:rsid w:val="001E2B08"/>
    <w:rsid w:val="001E30CE"/>
    <w:rsid w:val="001E38DF"/>
    <w:rsid w:val="001E3903"/>
    <w:rsid w:val="001E426C"/>
    <w:rsid w:val="001E4E70"/>
    <w:rsid w:val="001E517B"/>
    <w:rsid w:val="001E5338"/>
    <w:rsid w:val="001E5C34"/>
    <w:rsid w:val="001E68C7"/>
    <w:rsid w:val="001E6E80"/>
    <w:rsid w:val="001E726F"/>
    <w:rsid w:val="001E75E9"/>
    <w:rsid w:val="001E7607"/>
    <w:rsid w:val="001E7B4D"/>
    <w:rsid w:val="001E7BB9"/>
    <w:rsid w:val="001F0650"/>
    <w:rsid w:val="001F095B"/>
    <w:rsid w:val="001F0B7C"/>
    <w:rsid w:val="001F0C01"/>
    <w:rsid w:val="001F0E94"/>
    <w:rsid w:val="001F0F7D"/>
    <w:rsid w:val="001F13C8"/>
    <w:rsid w:val="001F140A"/>
    <w:rsid w:val="001F1B96"/>
    <w:rsid w:val="001F204E"/>
    <w:rsid w:val="001F21EE"/>
    <w:rsid w:val="001F22E7"/>
    <w:rsid w:val="001F24A0"/>
    <w:rsid w:val="001F252C"/>
    <w:rsid w:val="001F2D84"/>
    <w:rsid w:val="001F2E23"/>
    <w:rsid w:val="001F31E7"/>
    <w:rsid w:val="001F3491"/>
    <w:rsid w:val="001F3C28"/>
    <w:rsid w:val="001F4315"/>
    <w:rsid w:val="001F4EB7"/>
    <w:rsid w:val="001F4FA6"/>
    <w:rsid w:val="001F5622"/>
    <w:rsid w:val="001F5665"/>
    <w:rsid w:val="001F5889"/>
    <w:rsid w:val="001F5D39"/>
    <w:rsid w:val="001F6177"/>
    <w:rsid w:val="001F64DE"/>
    <w:rsid w:val="001F66DD"/>
    <w:rsid w:val="001F797B"/>
    <w:rsid w:val="001F7A10"/>
    <w:rsid w:val="001F7E6F"/>
    <w:rsid w:val="001F7F8A"/>
    <w:rsid w:val="002005D6"/>
    <w:rsid w:val="00200669"/>
    <w:rsid w:val="002007CE"/>
    <w:rsid w:val="002007ED"/>
    <w:rsid w:val="00200D03"/>
    <w:rsid w:val="00200D21"/>
    <w:rsid w:val="00201095"/>
    <w:rsid w:val="00201322"/>
    <w:rsid w:val="00201323"/>
    <w:rsid w:val="002014F4"/>
    <w:rsid w:val="0020217D"/>
    <w:rsid w:val="00202280"/>
    <w:rsid w:val="00202519"/>
    <w:rsid w:val="00202856"/>
    <w:rsid w:val="00202B53"/>
    <w:rsid w:val="00202E7E"/>
    <w:rsid w:val="00203644"/>
    <w:rsid w:val="00203EDC"/>
    <w:rsid w:val="002041E1"/>
    <w:rsid w:val="002044F6"/>
    <w:rsid w:val="002048DA"/>
    <w:rsid w:val="002049D1"/>
    <w:rsid w:val="00204BA9"/>
    <w:rsid w:val="00204E25"/>
    <w:rsid w:val="00205755"/>
    <w:rsid w:val="002057B7"/>
    <w:rsid w:val="002057E8"/>
    <w:rsid w:val="00205832"/>
    <w:rsid w:val="002059F9"/>
    <w:rsid w:val="00206A52"/>
    <w:rsid w:val="00206EF5"/>
    <w:rsid w:val="002075F5"/>
    <w:rsid w:val="0020788B"/>
    <w:rsid w:val="00207CB8"/>
    <w:rsid w:val="00207EB7"/>
    <w:rsid w:val="002109D4"/>
    <w:rsid w:val="00210C3C"/>
    <w:rsid w:val="00210F64"/>
    <w:rsid w:val="00211863"/>
    <w:rsid w:val="00211B19"/>
    <w:rsid w:val="00212409"/>
    <w:rsid w:val="00212445"/>
    <w:rsid w:val="00212AD4"/>
    <w:rsid w:val="00212C87"/>
    <w:rsid w:val="002132C3"/>
    <w:rsid w:val="002134D8"/>
    <w:rsid w:val="00213723"/>
    <w:rsid w:val="00213831"/>
    <w:rsid w:val="0021393A"/>
    <w:rsid w:val="00213CE5"/>
    <w:rsid w:val="00213F39"/>
    <w:rsid w:val="002144FC"/>
    <w:rsid w:val="00214BEF"/>
    <w:rsid w:val="002157AA"/>
    <w:rsid w:val="00215A43"/>
    <w:rsid w:val="00215E9E"/>
    <w:rsid w:val="002162C5"/>
    <w:rsid w:val="002162F5"/>
    <w:rsid w:val="002167B0"/>
    <w:rsid w:val="00216D58"/>
    <w:rsid w:val="00217AEB"/>
    <w:rsid w:val="00220058"/>
    <w:rsid w:val="002200E0"/>
    <w:rsid w:val="002213FA"/>
    <w:rsid w:val="002228D9"/>
    <w:rsid w:val="00222C2A"/>
    <w:rsid w:val="0022338E"/>
    <w:rsid w:val="00224FA4"/>
    <w:rsid w:val="002251C3"/>
    <w:rsid w:val="00225C48"/>
    <w:rsid w:val="00226495"/>
    <w:rsid w:val="00226C03"/>
    <w:rsid w:val="00226FAF"/>
    <w:rsid w:val="00227845"/>
    <w:rsid w:val="00227E4E"/>
    <w:rsid w:val="00230726"/>
    <w:rsid w:val="0023072A"/>
    <w:rsid w:val="00230A00"/>
    <w:rsid w:val="00230C7E"/>
    <w:rsid w:val="00230D01"/>
    <w:rsid w:val="00230ED3"/>
    <w:rsid w:val="00230F8E"/>
    <w:rsid w:val="00230F9C"/>
    <w:rsid w:val="00231638"/>
    <w:rsid w:val="00231D98"/>
    <w:rsid w:val="002321B0"/>
    <w:rsid w:val="002322B7"/>
    <w:rsid w:val="00232B44"/>
    <w:rsid w:val="00232D11"/>
    <w:rsid w:val="00233214"/>
    <w:rsid w:val="002334BB"/>
    <w:rsid w:val="00233C83"/>
    <w:rsid w:val="00233E51"/>
    <w:rsid w:val="00233E5E"/>
    <w:rsid w:val="002340CF"/>
    <w:rsid w:val="002340EC"/>
    <w:rsid w:val="00234556"/>
    <w:rsid w:val="00234AE2"/>
    <w:rsid w:val="00234D69"/>
    <w:rsid w:val="00234F1E"/>
    <w:rsid w:val="002350C8"/>
    <w:rsid w:val="002352AC"/>
    <w:rsid w:val="00235521"/>
    <w:rsid w:val="00235D38"/>
    <w:rsid w:val="00236AF9"/>
    <w:rsid w:val="00237184"/>
    <w:rsid w:val="002375BB"/>
    <w:rsid w:val="00240778"/>
    <w:rsid w:val="00241429"/>
    <w:rsid w:val="00242731"/>
    <w:rsid w:val="00242AB5"/>
    <w:rsid w:val="00242D9A"/>
    <w:rsid w:val="0024341C"/>
    <w:rsid w:val="0024356C"/>
    <w:rsid w:val="00243C93"/>
    <w:rsid w:val="00244213"/>
    <w:rsid w:val="0024462C"/>
    <w:rsid w:val="00244CC4"/>
    <w:rsid w:val="00244E6D"/>
    <w:rsid w:val="00245323"/>
    <w:rsid w:val="0024654C"/>
    <w:rsid w:val="0024655F"/>
    <w:rsid w:val="00246AB2"/>
    <w:rsid w:val="00247C47"/>
    <w:rsid w:val="00247FD2"/>
    <w:rsid w:val="00250219"/>
    <w:rsid w:val="0025077D"/>
    <w:rsid w:val="00250AD5"/>
    <w:rsid w:val="002513B2"/>
    <w:rsid w:val="002515E2"/>
    <w:rsid w:val="00252032"/>
    <w:rsid w:val="0025236A"/>
    <w:rsid w:val="002529DD"/>
    <w:rsid w:val="00252F8C"/>
    <w:rsid w:val="0025371A"/>
    <w:rsid w:val="002537C9"/>
    <w:rsid w:val="00253F59"/>
    <w:rsid w:val="0025480A"/>
    <w:rsid w:val="00254AD1"/>
    <w:rsid w:val="00256103"/>
    <w:rsid w:val="00256BD6"/>
    <w:rsid w:val="00256CA4"/>
    <w:rsid w:val="0025737C"/>
    <w:rsid w:val="00260554"/>
    <w:rsid w:val="00260742"/>
    <w:rsid w:val="00260B3E"/>
    <w:rsid w:val="00260CB6"/>
    <w:rsid w:val="0026154C"/>
    <w:rsid w:val="00261BA2"/>
    <w:rsid w:val="00261EAD"/>
    <w:rsid w:val="00262207"/>
    <w:rsid w:val="0026221A"/>
    <w:rsid w:val="00263256"/>
    <w:rsid w:val="0026393C"/>
    <w:rsid w:val="002645EA"/>
    <w:rsid w:val="00264912"/>
    <w:rsid w:val="00264B8C"/>
    <w:rsid w:val="002651A8"/>
    <w:rsid w:val="00265AEF"/>
    <w:rsid w:val="00265C3F"/>
    <w:rsid w:val="00266087"/>
    <w:rsid w:val="00266569"/>
    <w:rsid w:val="002667CC"/>
    <w:rsid w:val="002677FD"/>
    <w:rsid w:val="00267806"/>
    <w:rsid w:val="00267948"/>
    <w:rsid w:val="00267967"/>
    <w:rsid w:val="0026796D"/>
    <w:rsid w:val="00267CD4"/>
    <w:rsid w:val="0027007B"/>
    <w:rsid w:val="0027010F"/>
    <w:rsid w:val="002705D1"/>
    <w:rsid w:val="00270610"/>
    <w:rsid w:val="00271878"/>
    <w:rsid w:val="00271AAD"/>
    <w:rsid w:val="002722B3"/>
    <w:rsid w:val="0027234C"/>
    <w:rsid w:val="00272C67"/>
    <w:rsid w:val="0027352D"/>
    <w:rsid w:val="00273676"/>
    <w:rsid w:val="00273DFC"/>
    <w:rsid w:val="0027419F"/>
    <w:rsid w:val="00274301"/>
    <w:rsid w:val="00274FE8"/>
    <w:rsid w:val="00275393"/>
    <w:rsid w:val="00275FC9"/>
    <w:rsid w:val="00276629"/>
    <w:rsid w:val="00276899"/>
    <w:rsid w:val="00276F10"/>
    <w:rsid w:val="00277208"/>
    <w:rsid w:val="00277671"/>
    <w:rsid w:val="00277D30"/>
    <w:rsid w:val="0028007B"/>
    <w:rsid w:val="00280E71"/>
    <w:rsid w:val="00280EA5"/>
    <w:rsid w:val="002816C4"/>
    <w:rsid w:val="00282B5A"/>
    <w:rsid w:val="00283106"/>
    <w:rsid w:val="00283D7D"/>
    <w:rsid w:val="00284210"/>
    <w:rsid w:val="0028466B"/>
    <w:rsid w:val="00284E08"/>
    <w:rsid w:val="00284E81"/>
    <w:rsid w:val="00285039"/>
    <w:rsid w:val="002852ED"/>
    <w:rsid w:val="00285509"/>
    <w:rsid w:val="00285883"/>
    <w:rsid w:val="002867B0"/>
    <w:rsid w:val="002876D3"/>
    <w:rsid w:val="002878D5"/>
    <w:rsid w:val="00287994"/>
    <w:rsid w:val="00287E6D"/>
    <w:rsid w:val="00290583"/>
    <w:rsid w:val="00291A5F"/>
    <w:rsid w:val="0029228C"/>
    <w:rsid w:val="002923DC"/>
    <w:rsid w:val="00292BD7"/>
    <w:rsid w:val="00292F87"/>
    <w:rsid w:val="00293139"/>
    <w:rsid w:val="002933C8"/>
    <w:rsid w:val="00293542"/>
    <w:rsid w:val="00293592"/>
    <w:rsid w:val="00293BFE"/>
    <w:rsid w:val="00294088"/>
    <w:rsid w:val="002940D2"/>
    <w:rsid w:val="002942EE"/>
    <w:rsid w:val="00294501"/>
    <w:rsid w:val="002946F6"/>
    <w:rsid w:val="0029497F"/>
    <w:rsid w:val="00294E03"/>
    <w:rsid w:val="00294E7B"/>
    <w:rsid w:val="002954A2"/>
    <w:rsid w:val="00295B1A"/>
    <w:rsid w:val="0029602B"/>
    <w:rsid w:val="00296551"/>
    <w:rsid w:val="002965EA"/>
    <w:rsid w:val="0029690E"/>
    <w:rsid w:val="00297237"/>
    <w:rsid w:val="00297561"/>
    <w:rsid w:val="00297CC4"/>
    <w:rsid w:val="002A01A4"/>
    <w:rsid w:val="002A0734"/>
    <w:rsid w:val="002A07C7"/>
    <w:rsid w:val="002A0CE1"/>
    <w:rsid w:val="002A0E03"/>
    <w:rsid w:val="002A0F5E"/>
    <w:rsid w:val="002A1419"/>
    <w:rsid w:val="002A1F5C"/>
    <w:rsid w:val="002A253D"/>
    <w:rsid w:val="002A312C"/>
    <w:rsid w:val="002A32E5"/>
    <w:rsid w:val="002A3876"/>
    <w:rsid w:val="002A3EF3"/>
    <w:rsid w:val="002A3F8B"/>
    <w:rsid w:val="002A43E1"/>
    <w:rsid w:val="002A4B66"/>
    <w:rsid w:val="002A54C8"/>
    <w:rsid w:val="002A582E"/>
    <w:rsid w:val="002A5D52"/>
    <w:rsid w:val="002A5F29"/>
    <w:rsid w:val="002A6259"/>
    <w:rsid w:val="002A7DD2"/>
    <w:rsid w:val="002A7DE9"/>
    <w:rsid w:val="002B1E42"/>
    <w:rsid w:val="002B2212"/>
    <w:rsid w:val="002B23B2"/>
    <w:rsid w:val="002B31A6"/>
    <w:rsid w:val="002B3463"/>
    <w:rsid w:val="002B36DC"/>
    <w:rsid w:val="002B36E0"/>
    <w:rsid w:val="002B3A1D"/>
    <w:rsid w:val="002B3DA8"/>
    <w:rsid w:val="002B4300"/>
    <w:rsid w:val="002B485A"/>
    <w:rsid w:val="002B4893"/>
    <w:rsid w:val="002B4C20"/>
    <w:rsid w:val="002B5095"/>
    <w:rsid w:val="002B52FE"/>
    <w:rsid w:val="002B6091"/>
    <w:rsid w:val="002B66D9"/>
    <w:rsid w:val="002B69DD"/>
    <w:rsid w:val="002B6E8C"/>
    <w:rsid w:val="002B7CC6"/>
    <w:rsid w:val="002B7EF2"/>
    <w:rsid w:val="002C0335"/>
    <w:rsid w:val="002C0746"/>
    <w:rsid w:val="002C093A"/>
    <w:rsid w:val="002C0A75"/>
    <w:rsid w:val="002C0DA8"/>
    <w:rsid w:val="002C1C9C"/>
    <w:rsid w:val="002C1E34"/>
    <w:rsid w:val="002C2405"/>
    <w:rsid w:val="002C26FD"/>
    <w:rsid w:val="002C2C96"/>
    <w:rsid w:val="002C56D1"/>
    <w:rsid w:val="002C56DF"/>
    <w:rsid w:val="002C6864"/>
    <w:rsid w:val="002C75D0"/>
    <w:rsid w:val="002C7C36"/>
    <w:rsid w:val="002D06DE"/>
    <w:rsid w:val="002D1573"/>
    <w:rsid w:val="002D1693"/>
    <w:rsid w:val="002D1A22"/>
    <w:rsid w:val="002D1A29"/>
    <w:rsid w:val="002D36A9"/>
    <w:rsid w:val="002D3CAD"/>
    <w:rsid w:val="002D411A"/>
    <w:rsid w:val="002D426A"/>
    <w:rsid w:val="002D46D8"/>
    <w:rsid w:val="002D4901"/>
    <w:rsid w:val="002D4C1D"/>
    <w:rsid w:val="002D5384"/>
    <w:rsid w:val="002D57E3"/>
    <w:rsid w:val="002D5935"/>
    <w:rsid w:val="002D5961"/>
    <w:rsid w:val="002D5BB8"/>
    <w:rsid w:val="002D5F18"/>
    <w:rsid w:val="002D6290"/>
    <w:rsid w:val="002D62F4"/>
    <w:rsid w:val="002D6970"/>
    <w:rsid w:val="002D7282"/>
    <w:rsid w:val="002D7A2D"/>
    <w:rsid w:val="002D7B45"/>
    <w:rsid w:val="002D7CE8"/>
    <w:rsid w:val="002E0994"/>
    <w:rsid w:val="002E09F6"/>
    <w:rsid w:val="002E0ADF"/>
    <w:rsid w:val="002E0BF1"/>
    <w:rsid w:val="002E17EA"/>
    <w:rsid w:val="002E1BB6"/>
    <w:rsid w:val="002E1BDD"/>
    <w:rsid w:val="002E2093"/>
    <w:rsid w:val="002E2254"/>
    <w:rsid w:val="002E270A"/>
    <w:rsid w:val="002E27DD"/>
    <w:rsid w:val="002E289A"/>
    <w:rsid w:val="002E2B1E"/>
    <w:rsid w:val="002E3D7C"/>
    <w:rsid w:val="002E49BE"/>
    <w:rsid w:val="002E5486"/>
    <w:rsid w:val="002E5F31"/>
    <w:rsid w:val="002E5F4A"/>
    <w:rsid w:val="002E62D9"/>
    <w:rsid w:val="002E6574"/>
    <w:rsid w:val="002E6BD8"/>
    <w:rsid w:val="002E7034"/>
    <w:rsid w:val="002E759A"/>
    <w:rsid w:val="002E789D"/>
    <w:rsid w:val="002E7C61"/>
    <w:rsid w:val="002F1527"/>
    <w:rsid w:val="002F1A77"/>
    <w:rsid w:val="002F1CE0"/>
    <w:rsid w:val="002F1D22"/>
    <w:rsid w:val="002F2008"/>
    <w:rsid w:val="002F27DD"/>
    <w:rsid w:val="002F315A"/>
    <w:rsid w:val="002F3E4F"/>
    <w:rsid w:val="002F4635"/>
    <w:rsid w:val="002F4686"/>
    <w:rsid w:val="002F4C48"/>
    <w:rsid w:val="002F4FE4"/>
    <w:rsid w:val="002F5193"/>
    <w:rsid w:val="002F5EC8"/>
    <w:rsid w:val="002F642B"/>
    <w:rsid w:val="002F6ABA"/>
    <w:rsid w:val="002F6E16"/>
    <w:rsid w:val="002F6FCC"/>
    <w:rsid w:val="002F72C4"/>
    <w:rsid w:val="003001C5"/>
    <w:rsid w:val="003004CD"/>
    <w:rsid w:val="003007C5"/>
    <w:rsid w:val="00301800"/>
    <w:rsid w:val="00301E2A"/>
    <w:rsid w:val="00302743"/>
    <w:rsid w:val="00302B9B"/>
    <w:rsid w:val="00302E48"/>
    <w:rsid w:val="00302E59"/>
    <w:rsid w:val="00303175"/>
    <w:rsid w:val="003032B1"/>
    <w:rsid w:val="0030332E"/>
    <w:rsid w:val="00303614"/>
    <w:rsid w:val="0030383D"/>
    <w:rsid w:val="003039F0"/>
    <w:rsid w:val="00303A96"/>
    <w:rsid w:val="00303C25"/>
    <w:rsid w:val="0030406D"/>
    <w:rsid w:val="00304977"/>
    <w:rsid w:val="00304D00"/>
    <w:rsid w:val="003050C7"/>
    <w:rsid w:val="00305ACA"/>
    <w:rsid w:val="00305FC8"/>
    <w:rsid w:val="003064DF"/>
    <w:rsid w:val="00306AD6"/>
    <w:rsid w:val="00307170"/>
    <w:rsid w:val="00307848"/>
    <w:rsid w:val="00307D8F"/>
    <w:rsid w:val="003104BE"/>
    <w:rsid w:val="003111D3"/>
    <w:rsid w:val="003113CD"/>
    <w:rsid w:val="00311FA4"/>
    <w:rsid w:val="00312CE8"/>
    <w:rsid w:val="003133EB"/>
    <w:rsid w:val="0031388B"/>
    <w:rsid w:val="003138A1"/>
    <w:rsid w:val="00313A73"/>
    <w:rsid w:val="00313A96"/>
    <w:rsid w:val="00313CE6"/>
    <w:rsid w:val="00313CF9"/>
    <w:rsid w:val="0031459B"/>
    <w:rsid w:val="003145A1"/>
    <w:rsid w:val="00314948"/>
    <w:rsid w:val="0031497B"/>
    <w:rsid w:val="00314B5F"/>
    <w:rsid w:val="00314FF9"/>
    <w:rsid w:val="0031537B"/>
    <w:rsid w:val="003157C0"/>
    <w:rsid w:val="00315BCD"/>
    <w:rsid w:val="00315EBB"/>
    <w:rsid w:val="00316176"/>
    <w:rsid w:val="00316EC3"/>
    <w:rsid w:val="00317B01"/>
    <w:rsid w:val="00320294"/>
    <w:rsid w:val="00320A22"/>
    <w:rsid w:val="00320B28"/>
    <w:rsid w:val="0032130D"/>
    <w:rsid w:val="0032150F"/>
    <w:rsid w:val="00321A8C"/>
    <w:rsid w:val="00321BDD"/>
    <w:rsid w:val="00321D7D"/>
    <w:rsid w:val="00323393"/>
    <w:rsid w:val="00324157"/>
    <w:rsid w:val="0032479B"/>
    <w:rsid w:val="00324BED"/>
    <w:rsid w:val="003251C0"/>
    <w:rsid w:val="00325716"/>
    <w:rsid w:val="00325D9F"/>
    <w:rsid w:val="00326425"/>
    <w:rsid w:val="00326427"/>
    <w:rsid w:val="0032668A"/>
    <w:rsid w:val="00327330"/>
    <w:rsid w:val="003279EF"/>
    <w:rsid w:val="0033038F"/>
    <w:rsid w:val="0033070C"/>
    <w:rsid w:val="003307BE"/>
    <w:rsid w:val="00330905"/>
    <w:rsid w:val="00330C72"/>
    <w:rsid w:val="00330C92"/>
    <w:rsid w:val="00330FDE"/>
    <w:rsid w:val="0033169E"/>
    <w:rsid w:val="00331B4D"/>
    <w:rsid w:val="00331B86"/>
    <w:rsid w:val="00333503"/>
    <w:rsid w:val="003335BC"/>
    <w:rsid w:val="00333807"/>
    <w:rsid w:val="003338AE"/>
    <w:rsid w:val="00333B4C"/>
    <w:rsid w:val="00333EE6"/>
    <w:rsid w:val="00334401"/>
    <w:rsid w:val="00334613"/>
    <w:rsid w:val="003349B9"/>
    <w:rsid w:val="003356A9"/>
    <w:rsid w:val="00335897"/>
    <w:rsid w:val="00336184"/>
    <w:rsid w:val="00337603"/>
    <w:rsid w:val="003376B7"/>
    <w:rsid w:val="00337BFC"/>
    <w:rsid w:val="00337FF3"/>
    <w:rsid w:val="0034028D"/>
    <w:rsid w:val="00340AA3"/>
    <w:rsid w:val="00340C48"/>
    <w:rsid w:val="00340E21"/>
    <w:rsid w:val="003410B0"/>
    <w:rsid w:val="00341882"/>
    <w:rsid w:val="00341A57"/>
    <w:rsid w:val="00341F28"/>
    <w:rsid w:val="00342BDC"/>
    <w:rsid w:val="00342F71"/>
    <w:rsid w:val="00342FFE"/>
    <w:rsid w:val="0034395F"/>
    <w:rsid w:val="00343C4E"/>
    <w:rsid w:val="00343EAE"/>
    <w:rsid w:val="00344178"/>
    <w:rsid w:val="003443D3"/>
    <w:rsid w:val="003444A2"/>
    <w:rsid w:val="00345064"/>
    <w:rsid w:val="00345173"/>
    <w:rsid w:val="0034543B"/>
    <w:rsid w:val="00345516"/>
    <w:rsid w:val="00345638"/>
    <w:rsid w:val="00345C60"/>
    <w:rsid w:val="0034641A"/>
    <w:rsid w:val="00346A86"/>
    <w:rsid w:val="00346CC0"/>
    <w:rsid w:val="0034710B"/>
    <w:rsid w:val="003477C0"/>
    <w:rsid w:val="003502B8"/>
    <w:rsid w:val="0035075E"/>
    <w:rsid w:val="003511CE"/>
    <w:rsid w:val="0035177C"/>
    <w:rsid w:val="003517F0"/>
    <w:rsid w:val="00351AA3"/>
    <w:rsid w:val="00352175"/>
    <w:rsid w:val="0035232A"/>
    <w:rsid w:val="0035299E"/>
    <w:rsid w:val="00352D0A"/>
    <w:rsid w:val="00353913"/>
    <w:rsid w:val="00353C12"/>
    <w:rsid w:val="003544CD"/>
    <w:rsid w:val="00354741"/>
    <w:rsid w:val="00354A56"/>
    <w:rsid w:val="00354C25"/>
    <w:rsid w:val="00355587"/>
    <w:rsid w:val="0035575C"/>
    <w:rsid w:val="00355799"/>
    <w:rsid w:val="00355F06"/>
    <w:rsid w:val="00356093"/>
    <w:rsid w:val="00356192"/>
    <w:rsid w:val="00356B11"/>
    <w:rsid w:val="00356DB4"/>
    <w:rsid w:val="00357A4C"/>
    <w:rsid w:val="00357AC6"/>
    <w:rsid w:val="00360255"/>
    <w:rsid w:val="003607C9"/>
    <w:rsid w:val="00360CE6"/>
    <w:rsid w:val="003611E1"/>
    <w:rsid w:val="003615FB"/>
    <w:rsid w:val="00361F9F"/>
    <w:rsid w:val="003621E4"/>
    <w:rsid w:val="00362232"/>
    <w:rsid w:val="003623AF"/>
    <w:rsid w:val="0036250F"/>
    <w:rsid w:val="003626B6"/>
    <w:rsid w:val="00362700"/>
    <w:rsid w:val="00362C82"/>
    <w:rsid w:val="00362F8C"/>
    <w:rsid w:val="003632B9"/>
    <w:rsid w:val="0036350A"/>
    <w:rsid w:val="00363520"/>
    <w:rsid w:val="00363624"/>
    <w:rsid w:val="0036397E"/>
    <w:rsid w:val="00363CDE"/>
    <w:rsid w:val="00364C03"/>
    <w:rsid w:val="00364C26"/>
    <w:rsid w:val="00364C2B"/>
    <w:rsid w:val="00364D31"/>
    <w:rsid w:val="00365357"/>
    <w:rsid w:val="00365538"/>
    <w:rsid w:val="00365EBF"/>
    <w:rsid w:val="00366149"/>
    <w:rsid w:val="003661B4"/>
    <w:rsid w:val="003662A7"/>
    <w:rsid w:val="00366C11"/>
    <w:rsid w:val="00366D40"/>
    <w:rsid w:val="00366EC6"/>
    <w:rsid w:val="00366EF2"/>
    <w:rsid w:val="0036711B"/>
    <w:rsid w:val="00367207"/>
    <w:rsid w:val="00367E3C"/>
    <w:rsid w:val="00367FC4"/>
    <w:rsid w:val="003703E4"/>
    <w:rsid w:val="003704C9"/>
    <w:rsid w:val="00370923"/>
    <w:rsid w:val="00370D72"/>
    <w:rsid w:val="00370E5D"/>
    <w:rsid w:val="00370FAA"/>
    <w:rsid w:val="00371345"/>
    <w:rsid w:val="00371660"/>
    <w:rsid w:val="00371CCA"/>
    <w:rsid w:val="0037209F"/>
    <w:rsid w:val="00372626"/>
    <w:rsid w:val="00372EB0"/>
    <w:rsid w:val="00373285"/>
    <w:rsid w:val="00373B1A"/>
    <w:rsid w:val="00373B7E"/>
    <w:rsid w:val="00375173"/>
    <w:rsid w:val="00375EB8"/>
    <w:rsid w:val="00376785"/>
    <w:rsid w:val="003770A8"/>
    <w:rsid w:val="00377773"/>
    <w:rsid w:val="00377D48"/>
    <w:rsid w:val="00380221"/>
    <w:rsid w:val="00380AF8"/>
    <w:rsid w:val="00380C36"/>
    <w:rsid w:val="00381B8A"/>
    <w:rsid w:val="00382881"/>
    <w:rsid w:val="00382980"/>
    <w:rsid w:val="00382A0B"/>
    <w:rsid w:val="00383353"/>
    <w:rsid w:val="00383B83"/>
    <w:rsid w:val="00384628"/>
    <w:rsid w:val="003849AF"/>
    <w:rsid w:val="00384D96"/>
    <w:rsid w:val="00385255"/>
    <w:rsid w:val="003853E0"/>
    <w:rsid w:val="0038568C"/>
    <w:rsid w:val="0038598E"/>
    <w:rsid w:val="00385EE6"/>
    <w:rsid w:val="00385F62"/>
    <w:rsid w:val="00386C1A"/>
    <w:rsid w:val="00386DF6"/>
    <w:rsid w:val="00387138"/>
    <w:rsid w:val="00387413"/>
    <w:rsid w:val="00387414"/>
    <w:rsid w:val="00387D32"/>
    <w:rsid w:val="003905AD"/>
    <w:rsid w:val="00390A69"/>
    <w:rsid w:val="00390AAD"/>
    <w:rsid w:val="00390C88"/>
    <w:rsid w:val="00390DE6"/>
    <w:rsid w:val="0039181A"/>
    <w:rsid w:val="0039184F"/>
    <w:rsid w:val="00392380"/>
    <w:rsid w:val="00392670"/>
    <w:rsid w:val="00392F30"/>
    <w:rsid w:val="00392F56"/>
    <w:rsid w:val="00393205"/>
    <w:rsid w:val="003932BE"/>
    <w:rsid w:val="00393B16"/>
    <w:rsid w:val="00394638"/>
    <w:rsid w:val="00394930"/>
    <w:rsid w:val="00394F57"/>
    <w:rsid w:val="0039544F"/>
    <w:rsid w:val="00395A05"/>
    <w:rsid w:val="00395EFB"/>
    <w:rsid w:val="00396447"/>
    <w:rsid w:val="00396AB2"/>
    <w:rsid w:val="0039724D"/>
    <w:rsid w:val="00397A25"/>
    <w:rsid w:val="003A0027"/>
    <w:rsid w:val="003A0472"/>
    <w:rsid w:val="003A0562"/>
    <w:rsid w:val="003A08B7"/>
    <w:rsid w:val="003A0A7B"/>
    <w:rsid w:val="003A0AD8"/>
    <w:rsid w:val="003A0EAB"/>
    <w:rsid w:val="003A11E8"/>
    <w:rsid w:val="003A1C50"/>
    <w:rsid w:val="003A2058"/>
    <w:rsid w:val="003A23B0"/>
    <w:rsid w:val="003A3450"/>
    <w:rsid w:val="003A3598"/>
    <w:rsid w:val="003A43C1"/>
    <w:rsid w:val="003A43C2"/>
    <w:rsid w:val="003A44EC"/>
    <w:rsid w:val="003A4C05"/>
    <w:rsid w:val="003A4D64"/>
    <w:rsid w:val="003A4FE4"/>
    <w:rsid w:val="003A5327"/>
    <w:rsid w:val="003A5339"/>
    <w:rsid w:val="003A58F2"/>
    <w:rsid w:val="003A5A98"/>
    <w:rsid w:val="003A5AA8"/>
    <w:rsid w:val="003A5C91"/>
    <w:rsid w:val="003A6457"/>
    <w:rsid w:val="003A650A"/>
    <w:rsid w:val="003A67CE"/>
    <w:rsid w:val="003A6C7B"/>
    <w:rsid w:val="003A6C9C"/>
    <w:rsid w:val="003A6DF2"/>
    <w:rsid w:val="003A7854"/>
    <w:rsid w:val="003B01B8"/>
    <w:rsid w:val="003B0D63"/>
    <w:rsid w:val="003B1455"/>
    <w:rsid w:val="003B1550"/>
    <w:rsid w:val="003B15F6"/>
    <w:rsid w:val="003B1666"/>
    <w:rsid w:val="003B1805"/>
    <w:rsid w:val="003B1F84"/>
    <w:rsid w:val="003B32F4"/>
    <w:rsid w:val="003B36E2"/>
    <w:rsid w:val="003B38DB"/>
    <w:rsid w:val="003B44BC"/>
    <w:rsid w:val="003B4979"/>
    <w:rsid w:val="003B4AFB"/>
    <w:rsid w:val="003B5077"/>
    <w:rsid w:val="003B54A3"/>
    <w:rsid w:val="003B563A"/>
    <w:rsid w:val="003B5953"/>
    <w:rsid w:val="003B635D"/>
    <w:rsid w:val="003B649D"/>
    <w:rsid w:val="003B6D94"/>
    <w:rsid w:val="003B770A"/>
    <w:rsid w:val="003C04AA"/>
    <w:rsid w:val="003C0CF0"/>
    <w:rsid w:val="003C0E12"/>
    <w:rsid w:val="003C0F6E"/>
    <w:rsid w:val="003C0FFE"/>
    <w:rsid w:val="003C1B20"/>
    <w:rsid w:val="003C1B2A"/>
    <w:rsid w:val="003C21A4"/>
    <w:rsid w:val="003C2936"/>
    <w:rsid w:val="003C2EBC"/>
    <w:rsid w:val="003C2F25"/>
    <w:rsid w:val="003C3204"/>
    <w:rsid w:val="003C3645"/>
    <w:rsid w:val="003C3650"/>
    <w:rsid w:val="003C3F6C"/>
    <w:rsid w:val="003C4E02"/>
    <w:rsid w:val="003C548C"/>
    <w:rsid w:val="003C5B8D"/>
    <w:rsid w:val="003C623F"/>
    <w:rsid w:val="003C63D2"/>
    <w:rsid w:val="003C653E"/>
    <w:rsid w:val="003C65C1"/>
    <w:rsid w:val="003C6CEE"/>
    <w:rsid w:val="003C7AAD"/>
    <w:rsid w:val="003C7E59"/>
    <w:rsid w:val="003C7F92"/>
    <w:rsid w:val="003D0076"/>
    <w:rsid w:val="003D06CE"/>
    <w:rsid w:val="003D0CCF"/>
    <w:rsid w:val="003D0D43"/>
    <w:rsid w:val="003D0D4A"/>
    <w:rsid w:val="003D2AA1"/>
    <w:rsid w:val="003D356E"/>
    <w:rsid w:val="003D3BFF"/>
    <w:rsid w:val="003D3FA1"/>
    <w:rsid w:val="003D3FAA"/>
    <w:rsid w:val="003D440B"/>
    <w:rsid w:val="003D48AC"/>
    <w:rsid w:val="003D509A"/>
    <w:rsid w:val="003D5524"/>
    <w:rsid w:val="003D557D"/>
    <w:rsid w:val="003D55B4"/>
    <w:rsid w:val="003D5DDD"/>
    <w:rsid w:val="003D5FC9"/>
    <w:rsid w:val="003D63E9"/>
    <w:rsid w:val="003D684C"/>
    <w:rsid w:val="003D6BE7"/>
    <w:rsid w:val="003D6C1E"/>
    <w:rsid w:val="003D6E40"/>
    <w:rsid w:val="003D7010"/>
    <w:rsid w:val="003D70F1"/>
    <w:rsid w:val="003D79BE"/>
    <w:rsid w:val="003D7CE2"/>
    <w:rsid w:val="003E0393"/>
    <w:rsid w:val="003E07CB"/>
    <w:rsid w:val="003E0D8C"/>
    <w:rsid w:val="003E0EC8"/>
    <w:rsid w:val="003E12BE"/>
    <w:rsid w:val="003E15BF"/>
    <w:rsid w:val="003E16DC"/>
    <w:rsid w:val="003E1791"/>
    <w:rsid w:val="003E1B2B"/>
    <w:rsid w:val="003E1BEF"/>
    <w:rsid w:val="003E1E12"/>
    <w:rsid w:val="003E20FD"/>
    <w:rsid w:val="003E2242"/>
    <w:rsid w:val="003E229B"/>
    <w:rsid w:val="003E2836"/>
    <w:rsid w:val="003E292F"/>
    <w:rsid w:val="003E2DF3"/>
    <w:rsid w:val="003E2EE3"/>
    <w:rsid w:val="003E34F0"/>
    <w:rsid w:val="003E3561"/>
    <w:rsid w:val="003E368F"/>
    <w:rsid w:val="003E3B38"/>
    <w:rsid w:val="003E403A"/>
    <w:rsid w:val="003E42F6"/>
    <w:rsid w:val="003E4CF2"/>
    <w:rsid w:val="003E4F64"/>
    <w:rsid w:val="003E532C"/>
    <w:rsid w:val="003E55BD"/>
    <w:rsid w:val="003E55EF"/>
    <w:rsid w:val="003E56D5"/>
    <w:rsid w:val="003E5856"/>
    <w:rsid w:val="003E5A1C"/>
    <w:rsid w:val="003E5B72"/>
    <w:rsid w:val="003E5C39"/>
    <w:rsid w:val="003E629E"/>
    <w:rsid w:val="003E638A"/>
    <w:rsid w:val="003E6674"/>
    <w:rsid w:val="003E6AA8"/>
    <w:rsid w:val="003E6DCF"/>
    <w:rsid w:val="003E752B"/>
    <w:rsid w:val="003E7BD8"/>
    <w:rsid w:val="003F01F2"/>
    <w:rsid w:val="003F0829"/>
    <w:rsid w:val="003F0A86"/>
    <w:rsid w:val="003F0F06"/>
    <w:rsid w:val="003F0F30"/>
    <w:rsid w:val="003F15D1"/>
    <w:rsid w:val="003F17E8"/>
    <w:rsid w:val="003F227D"/>
    <w:rsid w:val="003F2774"/>
    <w:rsid w:val="003F2C6E"/>
    <w:rsid w:val="003F30D5"/>
    <w:rsid w:val="003F34CD"/>
    <w:rsid w:val="003F4334"/>
    <w:rsid w:val="003F4BE6"/>
    <w:rsid w:val="003F4CA2"/>
    <w:rsid w:val="003F52B6"/>
    <w:rsid w:val="003F58BC"/>
    <w:rsid w:val="003F5D69"/>
    <w:rsid w:val="003F5E49"/>
    <w:rsid w:val="003F640A"/>
    <w:rsid w:val="003F6581"/>
    <w:rsid w:val="003F693C"/>
    <w:rsid w:val="003F6ABB"/>
    <w:rsid w:val="003F6AE8"/>
    <w:rsid w:val="003F6C78"/>
    <w:rsid w:val="003F6D55"/>
    <w:rsid w:val="003F73D4"/>
    <w:rsid w:val="003F76D9"/>
    <w:rsid w:val="003F778B"/>
    <w:rsid w:val="003F7C90"/>
    <w:rsid w:val="00400B16"/>
    <w:rsid w:val="004012E4"/>
    <w:rsid w:val="00401C0D"/>
    <w:rsid w:val="00401E6E"/>
    <w:rsid w:val="004021CF"/>
    <w:rsid w:val="004028FC"/>
    <w:rsid w:val="00402B6B"/>
    <w:rsid w:val="00403545"/>
    <w:rsid w:val="0040372A"/>
    <w:rsid w:val="004037A0"/>
    <w:rsid w:val="004039DA"/>
    <w:rsid w:val="00403E8F"/>
    <w:rsid w:val="00404369"/>
    <w:rsid w:val="0040502A"/>
    <w:rsid w:val="0040513D"/>
    <w:rsid w:val="0040526E"/>
    <w:rsid w:val="00405492"/>
    <w:rsid w:val="00405C98"/>
    <w:rsid w:val="00405CC8"/>
    <w:rsid w:val="00406881"/>
    <w:rsid w:val="00406C44"/>
    <w:rsid w:val="00406E0A"/>
    <w:rsid w:val="00406EC0"/>
    <w:rsid w:val="00407551"/>
    <w:rsid w:val="00407FB2"/>
    <w:rsid w:val="004102B1"/>
    <w:rsid w:val="004104BB"/>
    <w:rsid w:val="0041072C"/>
    <w:rsid w:val="00411C9B"/>
    <w:rsid w:val="0041206F"/>
    <w:rsid w:val="00412426"/>
    <w:rsid w:val="004125B7"/>
    <w:rsid w:val="004127EF"/>
    <w:rsid w:val="00412CF5"/>
    <w:rsid w:val="004133C8"/>
    <w:rsid w:val="00413B2E"/>
    <w:rsid w:val="00413E44"/>
    <w:rsid w:val="004145E3"/>
    <w:rsid w:val="00414B30"/>
    <w:rsid w:val="0041554C"/>
    <w:rsid w:val="00415FB5"/>
    <w:rsid w:val="004165C8"/>
    <w:rsid w:val="004167FE"/>
    <w:rsid w:val="004169E7"/>
    <w:rsid w:val="00416C9D"/>
    <w:rsid w:val="0041717A"/>
    <w:rsid w:val="004175B6"/>
    <w:rsid w:val="00420445"/>
    <w:rsid w:val="004204C5"/>
    <w:rsid w:val="004225A7"/>
    <w:rsid w:val="00422767"/>
    <w:rsid w:val="00422CAC"/>
    <w:rsid w:val="00422F3A"/>
    <w:rsid w:val="00422FC5"/>
    <w:rsid w:val="00424446"/>
    <w:rsid w:val="00424C48"/>
    <w:rsid w:val="00424D95"/>
    <w:rsid w:val="004250EB"/>
    <w:rsid w:val="004253E6"/>
    <w:rsid w:val="0042541A"/>
    <w:rsid w:val="004258B3"/>
    <w:rsid w:val="00425921"/>
    <w:rsid w:val="004260EE"/>
    <w:rsid w:val="00427939"/>
    <w:rsid w:val="00427B5C"/>
    <w:rsid w:val="00427C95"/>
    <w:rsid w:val="00427D3A"/>
    <w:rsid w:val="004309DD"/>
    <w:rsid w:val="00430DF4"/>
    <w:rsid w:val="00430E7A"/>
    <w:rsid w:val="0043176D"/>
    <w:rsid w:val="004322DD"/>
    <w:rsid w:val="00432878"/>
    <w:rsid w:val="00433210"/>
    <w:rsid w:val="00433A5C"/>
    <w:rsid w:val="00433E6A"/>
    <w:rsid w:val="0043405C"/>
    <w:rsid w:val="004343AE"/>
    <w:rsid w:val="004346E6"/>
    <w:rsid w:val="00434B07"/>
    <w:rsid w:val="00434CF1"/>
    <w:rsid w:val="00435242"/>
    <w:rsid w:val="0043571A"/>
    <w:rsid w:val="00435848"/>
    <w:rsid w:val="0043695E"/>
    <w:rsid w:val="00436BBF"/>
    <w:rsid w:val="0043719C"/>
    <w:rsid w:val="00437797"/>
    <w:rsid w:val="00437A74"/>
    <w:rsid w:val="004400CE"/>
    <w:rsid w:val="00440200"/>
    <w:rsid w:val="004403FF"/>
    <w:rsid w:val="00440A02"/>
    <w:rsid w:val="00440C30"/>
    <w:rsid w:val="00440C9E"/>
    <w:rsid w:val="00440CAD"/>
    <w:rsid w:val="00440FEE"/>
    <w:rsid w:val="00441279"/>
    <w:rsid w:val="004416C4"/>
    <w:rsid w:val="0044252B"/>
    <w:rsid w:val="0044268E"/>
    <w:rsid w:val="00444632"/>
    <w:rsid w:val="00444B46"/>
    <w:rsid w:val="00444C13"/>
    <w:rsid w:val="00444FCE"/>
    <w:rsid w:val="00445EF1"/>
    <w:rsid w:val="00446161"/>
    <w:rsid w:val="004466E3"/>
    <w:rsid w:val="004466F5"/>
    <w:rsid w:val="004472DA"/>
    <w:rsid w:val="00447552"/>
    <w:rsid w:val="0044782B"/>
    <w:rsid w:val="00447C14"/>
    <w:rsid w:val="00447C51"/>
    <w:rsid w:val="004511F4"/>
    <w:rsid w:val="0045340B"/>
    <w:rsid w:val="00453BAF"/>
    <w:rsid w:val="00453CC9"/>
    <w:rsid w:val="00454714"/>
    <w:rsid w:val="00454A8D"/>
    <w:rsid w:val="00454FCC"/>
    <w:rsid w:val="00455356"/>
    <w:rsid w:val="00455749"/>
    <w:rsid w:val="0045576C"/>
    <w:rsid w:val="004565C7"/>
    <w:rsid w:val="00456A5A"/>
    <w:rsid w:val="0045737D"/>
    <w:rsid w:val="00457516"/>
    <w:rsid w:val="00457728"/>
    <w:rsid w:val="00457C3C"/>
    <w:rsid w:val="00457FCF"/>
    <w:rsid w:val="00460460"/>
    <w:rsid w:val="0046052E"/>
    <w:rsid w:val="004605F5"/>
    <w:rsid w:val="00460C7F"/>
    <w:rsid w:val="00460DEC"/>
    <w:rsid w:val="00461BA0"/>
    <w:rsid w:val="00461E67"/>
    <w:rsid w:val="004620B2"/>
    <w:rsid w:val="00462221"/>
    <w:rsid w:val="004622DF"/>
    <w:rsid w:val="004635E7"/>
    <w:rsid w:val="004635F6"/>
    <w:rsid w:val="00463A7F"/>
    <w:rsid w:val="00463C09"/>
    <w:rsid w:val="00464803"/>
    <w:rsid w:val="004657C0"/>
    <w:rsid w:val="00465821"/>
    <w:rsid w:val="00465C89"/>
    <w:rsid w:val="00465FF0"/>
    <w:rsid w:val="0046668B"/>
    <w:rsid w:val="00466CE5"/>
    <w:rsid w:val="00467045"/>
    <w:rsid w:val="00467194"/>
    <w:rsid w:val="0046735C"/>
    <w:rsid w:val="0046791D"/>
    <w:rsid w:val="00467A5F"/>
    <w:rsid w:val="00467AE2"/>
    <w:rsid w:val="00467E63"/>
    <w:rsid w:val="004711CB"/>
    <w:rsid w:val="004716A8"/>
    <w:rsid w:val="004720BA"/>
    <w:rsid w:val="0047252E"/>
    <w:rsid w:val="00472845"/>
    <w:rsid w:val="00472A65"/>
    <w:rsid w:val="00472DDF"/>
    <w:rsid w:val="00472E14"/>
    <w:rsid w:val="004731B8"/>
    <w:rsid w:val="0047354C"/>
    <w:rsid w:val="00473D9B"/>
    <w:rsid w:val="0047456A"/>
    <w:rsid w:val="0047467C"/>
    <w:rsid w:val="00474C71"/>
    <w:rsid w:val="0047508F"/>
    <w:rsid w:val="0047537B"/>
    <w:rsid w:val="00475FBA"/>
    <w:rsid w:val="004760DD"/>
    <w:rsid w:val="00476254"/>
    <w:rsid w:val="00476413"/>
    <w:rsid w:val="0047641E"/>
    <w:rsid w:val="004767E6"/>
    <w:rsid w:val="00476E78"/>
    <w:rsid w:val="004770B8"/>
    <w:rsid w:val="00477D62"/>
    <w:rsid w:val="004807E0"/>
    <w:rsid w:val="00480CC5"/>
    <w:rsid w:val="004810C1"/>
    <w:rsid w:val="004810C8"/>
    <w:rsid w:val="00481789"/>
    <w:rsid w:val="00481BFB"/>
    <w:rsid w:val="00482375"/>
    <w:rsid w:val="004827F7"/>
    <w:rsid w:val="004828F8"/>
    <w:rsid w:val="00483026"/>
    <w:rsid w:val="004831F7"/>
    <w:rsid w:val="00483495"/>
    <w:rsid w:val="004839BA"/>
    <w:rsid w:val="00483A75"/>
    <w:rsid w:val="00484099"/>
    <w:rsid w:val="00484297"/>
    <w:rsid w:val="004843BB"/>
    <w:rsid w:val="004845E3"/>
    <w:rsid w:val="00484E28"/>
    <w:rsid w:val="00485087"/>
    <w:rsid w:val="0048656B"/>
    <w:rsid w:val="00487949"/>
    <w:rsid w:val="00487A18"/>
    <w:rsid w:val="00487BFD"/>
    <w:rsid w:val="0049016D"/>
    <w:rsid w:val="00490565"/>
    <w:rsid w:val="00490AF3"/>
    <w:rsid w:val="004910C9"/>
    <w:rsid w:val="004911D4"/>
    <w:rsid w:val="00491385"/>
    <w:rsid w:val="004914CA"/>
    <w:rsid w:val="00491DE6"/>
    <w:rsid w:val="00491E67"/>
    <w:rsid w:val="00491EB9"/>
    <w:rsid w:val="004927B9"/>
    <w:rsid w:val="00492C8C"/>
    <w:rsid w:val="004932A6"/>
    <w:rsid w:val="00493C8C"/>
    <w:rsid w:val="0049410E"/>
    <w:rsid w:val="004941A9"/>
    <w:rsid w:val="004942ED"/>
    <w:rsid w:val="00494F17"/>
    <w:rsid w:val="004951B3"/>
    <w:rsid w:val="004953FA"/>
    <w:rsid w:val="004955B6"/>
    <w:rsid w:val="004956E2"/>
    <w:rsid w:val="00495AD2"/>
    <w:rsid w:val="00495E12"/>
    <w:rsid w:val="0049676F"/>
    <w:rsid w:val="00496844"/>
    <w:rsid w:val="00496B72"/>
    <w:rsid w:val="00496BC7"/>
    <w:rsid w:val="00497E3B"/>
    <w:rsid w:val="004A052B"/>
    <w:rsid w:val="004A0DB8"/>
    <w:rsid w:val="004A1DAA"/>
    <w:rsid w:val="004A1F1C"/>
    <w:rsid w:val="004A203C"/>
    <w:rsid w:val="004A2041"/>
    <w:rsid w:val="004A2132"/>
    <w:rsid w:val="004A297E"/>
    <w:rsid w:val="004A2BF0"/>
    <w:rsid w:val="004A35E5"/>
    <w:rsid w:val="004A3600"/>
    <w:rsid w:val="004A3A5A"/>
    <w:rsid w:val="004A4021"/>
    <w:rsid w:val="004A428E"/>
    <w:rsid w:val="004A4765"/>
    <w:rsid w:val="004A4EB7"/>
    <w:rsid w:val="004A5147"/>
    <w:rsid w:val="004A563F"/>
    <w:rsid w:val="004A638C"/>
    <w:rsid w:val="004A6CE0"/>
    <w:rsid w:val="004A6F58"/>
    <w:rsid w:val="004A7194"/>
    <w:rsid w:val="004A7205"/>
    <w:rsid w:val="004A7854"/>
    <w:rsid w:val="004A7AAA"/>
    <w:rsid w:val="004A7AED"/>
    <w:rsid w:val="004B02F8"/>
    <w:rsid w:val="004B094D"/>
    <w:rsid w:val="004B0D48"/>
    <w:rsid w:val="004B14EA"/>
    <w:rsid w:val="004B18A5"/>
    <w:rsid w:val="004B18CF"/>
    <w:rsid w:val="004B1D6B"/>
    <w:rsid w:val="004B26BC"/>
    <w:rsid w:val="004B28CF"/>
    <w:rsid w:val="004B2BF4"/>
    <w:rsid w:val="004B34D1"/>
    <w:rsid w:val="004B36E5"/>
    <w:rsid w:val="004B3DAB"/>
    <w:rsid w:val="004B3E81"/>
    <w:rsid w:val="004B44D3"/>
    <w:rsid w:val="004B521C"/>
    <w:rsid w:val="004B6097"/>
    <w:rsid w:val="004B60B3"/>
    <w:rsid w:val="004B60E6"/>
    <w:rsid w:val="004B6D21"/>
    <w:rsid w:val="004B701A"/>
    <w:rsid w:val="004B74B0"/>
    <w:rsid w:val="004B7B1F"/>
    <w:rsid w:val="004C07A5"/>
    <w:rsid w:val="004C0BE5"/>
    <w:rsid w:val="004C0CF6"/>
    <w:rsid w:val="004C1756"/>
    <w:rsid w:val="004C205C"/>
    <w:rsid w:val="004C24CF"/>
    <w:rsid w:val="004C2969"/>
    <w:rsid w:val="004C2F39"/>
    <w:rsid w:val="004C3CB4"/>
    <w:rsid w:val="004C4569"/>
    <w:rsid w:val="004C49F8"/>
    <w:rsid w:val="004C4BC4"/>
    <w:rsid w:val="004C549B"/>
    <w:rsid w:val="004C5C59"/>
    <w:rsid w:val="004C5EA1"/>
    <w:rsid w:val="004C66A7"/>
    <w:rsid w:val="004C7462"/>
    <w:rsid w:val="004C761A"/>
    <w:rsid w:val="004C7F5A"/>
    <w:rsid w:val="004D021D"/>
    <w:rsid w:val="004D0708"/>
    <w:rsid w:val="004D0A0A"/>
    <w:rsid w:val="004D0C4A"/>
    <w:rsid w:val="004D0F89"/>
    <w:rsid w:val="004D1F1D"/>
    <w:rsid w:val="004D20FF"/>
    <w:rsid w:val="004D2136"/>
    <w:rsid w:val="004D2652"/>
    <w:rsid w:val="004D29F7"/>
    <w:rsid w:val="004D2FFD"/>
    <w:rsid w:val="004D33AA"/>
    <w:rsid w:val="004D3597"/>
    <w:rsid w:val="004D3A62"/>
    <w:rsid w:val="004D3AD5"/>
    <w:rsid w:val="004D4185"/>
    <w:rsid w:val="004D4642"/>
    <w:rsid w:val="004D46E3"/>
    <w:rsid w:val="004D4A55"/>
    <w:rsid w:val="004D571A"/>
    <w:rsid w:val="004D576F"/>
    <w:rsid w:val="004D5A42"/>
    <w:rsid w:val="004D5ED2"/>
    <w:rsid w:val="004D6AB4"/>
    <w:rsid w:val="004D6B39"/>
    <w:rsid w:val="004D7298"/>
    <w:rsid w:val="004D7394"/>
    <w:rsid w:val="004D73C0"/>
    <w:rsid w:val="004D797D"/>
    <w:rsid w:val="004E0026"/>
    <w:rsid w:val="004E0174"/>
    <w:rsid w:val="004E0859"/>
    <w:rsid w:val="004E0F06"/>
    <w:rsid w:val="004E1439"/>
    <w:rsid w:val="004E18BB"/>
    <w:rsid w:val="004E193C"/>
    <w:rsid w:val="004E1B2D"/>
    <w:rsid w:val="004E1ECA"/>
    <w:rsid w:val="004E21AC"/>
    <w:rsid w:val="004E25B6"/>
    <w:rsid w:val="004E3011"/>
    <w:rsid w:val="004E3511"/>
    <w:rsid w:val="004E37D3"/>
    <w:rsid w:val="004E3D7F"/>
    <w:rsid w:val="004E41A7"/>
    <w:rsid w:val="004E4A2F"/>
    <w:rsid w:val="004E5FCE"/>
    <w:rsid w:val="004E6385"/>
    <w:rsid w:val="004E671F"/>
    <w:rsid w:val="004E715F"/>
    <w:rsid w:val="004E7510"/>
    <w:rsid w:val="004E7F2A"/>
    <w:rsid w:val="004F00A5"/>
    <w:rsid w:val="004F1171"/>
    <w:rsid w:val="004F188F"/>
    <w:rsid w:val="004F18F7"/>
    <w:rsid w:val="004F1E44"/>
    <w:rsid w:val="004F1EC1"/>
    <w:rsid w:val="004F1F64"/>
    <w:rsid w:val="004F21E8"/>
    <w:rsid w:val="004F2939"/>
    <w:rsid w:val="004F31C0"/>
    <w:rsid w:val="004F32E8"/>
    <w:rsid w:val="004F37F1"/>
    <w:rsid w:val="004F4B9E"/>
    <w:rsid w:val="004F597A"/>
    <w:rsid w:val="004F5C72"/>
    <w:rsid w:val="004F5CA1"/>
    <w:rsid w:val="004F5FEC"/>
    <w:rsid w:val="004F60A8"/>
    <w:rsid w:val="004F65BF"/>
    <w:rsid w:val="004F6A4C"/>
    <w:rsid w:val="004F6BBB"/>
    <w:rsid w:val="004F6E77"/>
    <w:rsid w:val="004F72F0"/>
    <w:rsid w:val="004F7FA6"/>
    <w:rsid w:val="00500951"/>
    <w:rsid w:val="00500BCC"/>
    <w:rsid w:val="00500E8D"/>
    <w:rsid w:val="00500F3D"/>
    <w:rsid w:val="0050128D"/>
    <w:rsid w:val="005014FA"/>
    <w:rsid w:val="00501D6C"/>
    <w:rsid w:val="00502161"/>
    <w:rsid w:val="005035B5"/>
    <w:rsid w:val="00503FBF"/>
    <w:rsid w:val="0050429E"/>
    <w:rsid w:val="0050478A"/>
    <w:rsid w:val="0050482D"/>
    <w:rsid w:val="005049A9"/>
    <w:rsid w:val="00504B74"/>
    <w:rsid w:val="005051A3"/>
    <w:rsid w:val="005055ED"/>
    <w:rsid w:val="00505784"/>
    <w:rsid w:val="005066DB"/>
    <w:rsid w:val="00506CA3"/>
    <w:rsid w:val="00507BA3"/>
    <w:rsid w:val="00507BF1"/>
    <w:rsid w:val="00507E57"/>
    <w:rsid w:val="0051077D"/>
    <w:rsid w:val="0051146C"/>
    <w:rsid w:val="00511A2D"/>
    <w:rsid w:val="00511A9A"/>
    <w:rsid w:val="00511C07"/>
    <w:rsid w:val="00511CBB"/>
    <w:rsid w:val="00511D76"/>
    <w:rsid w:val="00511F51"/>
    <w:rsid w:val="005123B3"/>
    <w:rsid w:val="005123E3"/>
    <w:rsid w:val="00512B05"/>
    <w:rsid w:val="00512C87"/>
    <w:rsid w:val="0051304C"/>
    <w:rsid w:val="00513091"/>
    <w:rsid w:val="00513193"/>
    <w:rsid w:val="0051326F"/>
    <w:rsid w:val="00513BD2"/>
    <w:rsid w:val="00513BFC"/>
    <w:rsid w:val="00514DAC"/>
    <w:rsid w:val="00515595"/>
    <w:rsid w:val="00515845"/>
    <w:rsid w:val="00515893"/>
    <w:rsid w:val="0051668D"/>
    <w:rsid w:val="00516B00"/>
    <w:rsid w:val="005177F7"/>
    <w:rsid w:val="0051786E"/>
    <w:rsid w:val="00517CFC"/>
    <w:rsid w:val="00517FAD"/>
    <w:rsid w:val="00520435"/>
    <w:rsid w:val="00520840"/>
    <w:rsid w:val="00520BBE"/>
    <w:rsid w:val="00520C5C"/>
    <w:rsid w:val="00520F83"/>
    <w:rsid w:val="00520FB9"/>
    <w:rsid w:val="005212C6"/>
    <w:rsid w:val="005216F6"/>
    <w:rsid w:val="0052185F"/>
    <w:rsid w:val="00522331"/>
    <w:rsid w:val="0052291F"/>
    <w:rsid w:val="00523B85"/>
    <w:rsid w:val="00523C1C"/>
    <w:rsid w:val="00523E10"/>
    <w:rsid w:val="00523E3D"/>
    <w:rsid w:val="005244B1"/>
    <w:rsid w:val="005248CC"/>
    <w:rsid w:val="005249A7"/>
    <w:rsid w:val="00525AD7"/>
    <w:rsid w:val="00525E10"/>
    <w:rsid w:val="00525FA8"/>
    <w:rsid w:val="005263CE"/>
    <w:rsid w:val="0052656B"/>
    <w:rsid w:val="00526CFA"/>
    <w:rsid w:val="005274FC"/>
    <w:rsid w:val="00527E69"/>
    <w:rsid w:val="00527E8A"/>
    <w:rsid w:val="0053014B"/>
    <w:rsid w:val="005305BB"/>
    <w:rsid w:val="005317C0"/>
    <w:rsid w:val="0053223A"/>
    <w:rsid w:val="005325AC"/>
    <w:rsid w:val="0053284C"/>
    <w:rsid w:val="00532C80"/>
    <w:rsid w:val="0053407C"/>
    <w:rsid w:val="005341C8"/>
    <w:rsid w:val="00534A38"/>
    <w:rsid w:val="00535C16"/>
    <w:rsid w:val="005360BA"/>
    <w:rsid w:val="005377E5"/>
    <w:rsid w:val="00537933"/>
    <w:rsid w:val="00537CE9"/>
    <w:rsid w:val="00537DA5"/>
    <w:rsid w:val="00537DDA"/>
    <w:rsid w:val="005400A8"/>
    <w:rsid w:val="005408A2"/>
    <w:rsid w:val="00540E2D"/>
    <w:rsid w:val="00541181"/>
    <w:rsid w:val="00541381"/>
    <w:rsid w:val="00541856"/>
    <w:rsid w:val="00541924"/>
    <w:rsid w:val="00541F1C"/>
    <w:rsid w:val="005423DE"/>
    <w:rsid w:val="00542437"/>
    <w:rsid w:val="005424D0"/>
    <w:rsid w:val="0054331C"/>
    <w:rsid w:val="00543B71"/>
    <w:rsid w:val="00543BC1"/>
    <w:rsid w:val="00543E81"/>
    <w:rsid w:val="0054411D"/>
    <w:rsid w:val="00544215"/>
    <w:rsid w:val="00544EE0"/>
    <w:rsid w:val="00545827"/>
    <w:rsid w:val="00546084"/>
    <w:rsid w:val="005460A1"/>
    <w:rsid w:val="00546729"/>
    <w:rsid w:val="00546B1D"/>
    <w:rsid w:val="00546E74"/>
    <w:rsid w:val="00547299"/>
    <w:rsid w:val="005472BA"/>
    <w:rsid w:val="0054746E"/>
    <w:rsid w:val="005476DB"/>
    <w:rsid w:val="00547761"/>
    <w:rsid w:val="005503D5"/>
    <w:rsid w:val="0055067E"/>
    <w:rsid w:val="005509B7"/>
    <w:rsid w:val="00550D53"/>
    <w:rsid w:val="00552799"/>
    <w:rsid w:val="00553B7B"/>
    <w:rsid w:val="0055469A"/>
    <w:rsid w:val="00554B7D"/>
    <w:rsid w:val="00554C91"/>
    <w:rsid w:val="00554F71"/>
    <w:rsid w:val="0055557A"/>
    <w:rsid w:val="00555772"/>
    <w:rsid w:val="00555AEC"/>
    <w:rsid w:val="00556456"/>
    <w:rsid w:val="005564FD"/>
    <w:rsid w:val="00556B58"/>
    <w:rsid w:val="00557BD6"/>
    <w:rsid w:val="00557E42"/>
    <w:rsid w:val="00557F3C"/>
    <w:rsid w:val="005601D3"/>
    <w:rsid w:val="00560295"/>
    <w:rsid w:val="005602BB"/>
    <w:rsid w:val="0056037E"/>
    <w:rsid w:val="005609C9"/>
    <w:rsid w:val="00560FB4"/>
    <w:rsid w:val="0056163C"/>
    <w:rsid w:val="0056180C"/>
    <w:rsid w:val="005618DB"/>
    <w:rsid w:val="00561D0E"/>
    <w:rsid w:val="00562299"/>
    <w:rsid w:val="00562408"/>
    <w:rsid w:val="00562590"/>
    <w:rsid w:val="00562C82"/>
    <w:rsid w:val="00562E88"/>
    <w:rsid w:val="00562E9F"/>
    <w:rsid w:val="00562F58"/>
    <w:rsid w:val="005630A1"/>
    <w:rsid w:val="005631EE"/>
    <w:rsid w:val="005634A9"/>
    <w:rsid w:val="00563562"/>
    <w:rsid w:val="00564545"/>
    <w:rsid w:val="00564703"/>
    <w:rsid w:val="0056521E"/>
    <w:rsid w:val="005658E5"/>
    <w:rsid w:val="0056646E"/>
    <w:rsid w:val="00566A97"/>
    <w:rsid w:val="00566D83"/>
    <w:rsid w:val="00566DC6"/>
    <w:rsid w:val="005671A4"/>
    <w:rsid w:val="005679A5"/>
    <w:rsid w:val="00567F2F"/>
    <w:rsid w:val="0057020D"/>
    <w:rsid w:val="00570B07"/>
    <w:rsid w:val="00570E37"/>
    <w:rsid w:val="00570E68"/>
    <w:rsid w:val="00571498"/>
    <w:rsid w:val="0057163F"/>
    <w:rsid w:val="00572200"/>
    <w:rsid w:val="005724D0"/>
    <w:rsid w:val="005727C6"/>
    <w:rsid w:val="0057386D"/>
    <w:rsid w:val="00573C6D"/>
    <w:rsid w:val="005740F5"/>
    <w:rsid w:val="005749E1"/>
    <w:rsid w:val="00574CDA"/>
    <w:rsid w:val="00574D3D"/>
    <w:rsid w:val="00574E68"/>
    <w:rsid w:val="00574EAB"/>
    <w:rsid w:val="0057524F"/>
    <w:rsid w:val="005752FE"/>
    <w:rsid w:val="0057590F"/>
    <w:rsid w:val="00575CBC"/>
    <w:rsid w:val="00575DCC"/>
    <w:rsid w:val="0057622B"/>
    <w:rsid w:val="0057667C"/>
    <w:rsid w:val="0057745C"/>
    <w:rsid w:val="005803BF"/>
    <w:rsid w:val="00580561"/>
    <w:rsid w:val="005807CB"/>
    <w:rsid w:val="00580CE7"/>
    <w:rsid w:val="0058131E"/>
    <w:rsid w:val="00581348"/>
    <w:rsid w:val="005814AE"/>
    <w:rsid w:val="00581666"/>
    <w:rsid w:val="005821BB"/>
    <w:rsid w:val="005821F5"/>
    <w:rsid w:val="00582B5A"/>
    <w:rsid w:val="00583519"/>
    <w:rsid w:val="00583E39"/>
    <w:rsid w:val="005842D2"/>
    <w:rsid w:val="00584812"/>
    <w:rsid w:val="005854D0"/>
    <w:rsid w:val="005859D6"/>
    <w:rsid w:val="00585F60"/>
    <w:rsid w:val="00585FC5"/>
    <w:rsid w:val="005861A1"/>
    <w:rsid w:val="0058688E"/>
    <w:rsid w:val="0058699F"/>
    <w:rsid w:val="00586BAC"/>
    <w:rsid w:val="0058715B"/>
    <w:rsid w:val="005871B9"/>
    <w:rsid w:val="00587663"/>
    <w:rsid w:val="0058769A"/>
    <w:rsid w:val="00587898"/>
    <w:rsid w:val="005903B3"/>
    <w:rsid w:val="0059081C"/>
    <w:rsid w:val="005917B4"/>
    <w:rsid w:val="005919C4"/>
    <w:rsid w:val="00591FBA"/>
    <w:rsid w:val="0059295C"/>
    <w:rsid w:val="00592A22"/>
    <w:rsid w:val="00592CF9"/>
    <w:rsid w:val="00592F2B"/>
    <w:rsid w:val="005930C9"/>
    <w:rsid w:val="00593141"/>
    <w:rsid w:val="00593309"/>
    <w:rsid w:val="005933B7"/>
    <w:rsid w:val="00593AF8"/>
    <w:rsid w:val="0059423A"/>
    <w:rsid w:val="0059488A"/>
    <w:rsid w:val="005949CE"/>
    <w:rsid w:val="005951CB"/>
    <w:rsid w:val="005957CB"/>
    <w:rsid w:val="005958AB"/>
    <w:rsid w:val="00595AA3"/>
    <w:rsid w:val="00595BAD"/>
    <w:rsid w:val="00595CEE"/>
    <w:rsid w:val="00595E1F"/>
    <w:rsid w:val="00596A54"/>
    <w:rsid w:val="005970CC"/>
    <w:rsid w:val="0059728F"/>
    <w:rsid w:val="00597BD5"/>
    <w:rsid w:val="00597C36"/>
    <w:rsid w:val="00597E3C"/>
    <w:rsid w:val="00597F39"/>
    <w:rsid w:val="005A01EF"/>
    <w:rsid w:val="005A0711"/>
    <w:rsid w:val="005A0727"/>
    <w:rsid w:val="005A0CC0"/>
    <w:rsid w:val="005A0E02"/>
    <w:rsid w:val="005A1435"/>
    <w:rsid w:val="005A14A4"/>
    <w:rsid w:val="005A16A6"/>
    <w:rsid w:val="005A1B7C"/>
    <w:rsid w:val="005A2212"/>
    <w:rsid w:val="005A2472"/>
    <w:rsid w:val="005A263F"/>
    <w:rsid w:val="005A2D7E"/>
    <w:rsid w:val="005A3980"/>
    <w:rsid w:val="005A3DA3"/>
    <w:rsid w:val="005A3F45"/>
    <w:rsid w:val="005A4205"/>
    <w:rsid w:val="005A445C"/>
    <w:rsid w:val="005A58D7"/>
    <w:rsid w:val="005A58E7"/>
    <w:rsid w:val="005A59B8"/>
    <w:rsid w:val="005A5C47"/>
    <w:rsid w:val="005A5D82"/>
    <w:rsid w:val="005A6347"/>
    <w:rsid w:val="005A734D"/>
    <w:rsid w:val="005A7D28"/>
    <w:rsid w:val="005B056D"/>
    <w:rsid w:val="005B0B97"/>
    <w:rsid w:val="005B1162"/>
    <w:rsid w:val="005B18A7"/>
    <w:rsid w:val="005B1CE3"/>
    <w:rsid w:val="005B1CE4"/>
    <w:rsid w:val="005B2333"/>
    <w:rsid w:val="005B2CB7"/>
    <w:rsid w:val="005B31AF"/>
    <w:rsid w:val="005B3B2A"/>
    <w:rsid w:val="005B3B8E"/>
    <w:rsid w:val="005B3D25"/>
    <w:rsid w:val="005B3D88"/>
    <w:rsid w:val="005B3EFA"/>
    <w:rsid w:val="005B3FCF"/>
    <w:rsid w:val="005B4682"/>
    <w:rsid w:val="005B530E"/>
    <w:rsid w:val="005B57C0"/>
    <w:rsid w:val="005B57E5"/>
    <w:rsid w:val="005B5F8A"/>
    <w:rsid w:val="005B5F9D"/>
    <w:rsid w:val="005B76FC"/>
    <w:rsid w:val="005B77EB"/>
    <w:rsid w:val="005B78C5"/>
    <w:rsid w:val="005C02BE"/>
    <w:rsid w:val="005C0498"/>
    <w:rsid w:val="005C0890"/>
    <w:rsid w:val="005C0BA6"/>
    <w:rsid w:val="005C11D2"/>
    <w:rsid w:val="005C1428"/>
    <w:rsid w:val="005C194C"/>
    <w:rsid w:val="005C1B18"/>
    <w:rsid w:val="005C1D5D"/>
    <w:rsid w:val="005C27C9"/>
    <w:rsid w:val="005C2C0B"/>
    <w:rsid w:val="005C4861"/>
    <w:rsid w:val="005C4DA2"/>
    <w:rsid w:val="005C5335"/>
    <w:rsid w:val="005C5419"/>
    <w:rsid w:val="005C5791"/>
    <w:rsid w:val="005C57B3"/>
    <w:rsid w:val="005C5D44"/>
    <w:rsid w:val="005C6B5C"/>
    <w:rsid w:val="005C7809"/>
    <w:rsid w:val="005D07AE"/>
    <w:rsid w:val="005D07C7"/>
    <w:rsid w:val="005D0A0B"/>
    <w:rsid w:val="005D11BC"/>
    <w:rsid w:val="005D1215"/>
    <w:rsid w:val="005D1510"/>
    <w:rsid w:val="005D1A33"/>
    <w:rsid w:val="005D1B08"/>
    <w:rsid w:val="005D217A"/>
    <w:rsid w:val="005D29E8"/>
    <w:rsid w:val="005D2BFA"/>
    <w:rsid w:val="005D307A"/>
    <w:rsid w:val="005D3181"/>
    <w:rsid w:val="005D3658"/>
    <w:rsid w:val="005D3FF8"/>
    <w:rsid w:val="005D42AA"/>
    <w:rsid w:val="005D48BB"/>
    <w:rsid w:val="005D4C4A"/>
    <w:rsid w:val="005D4ED9"/>
    <w:rsid w:val="005D5517"/>
    <w:rsid w:val="005D56CB"/>
    <w:rsid w:val="005D5C86"/>
    <w:rsid w:val="005D5CE3"/>
    <w:rsid w:val="005D5F27"/>
    <w:rsid w:val="005D605C"/>
    <w:rsid w:val="005D6BF1"/>
    <w:rsid w:val="005D6FEA"/>
    <w:rsid w:val="005D72DC"/>
    <w:rsid w:val="005D756D"/>
    <w:rsid w:val="005D7672"/>
    <w:rsid w:val="005D7B71"/>
    <w:rsid w:val="005D7E26"/>
    <w:rsid w:val="005E03B4"/>
    <w:rsid w:val="005E04C0"/>
    <w:rsid w:val="005E0573"/>
    <w:rsid w:val="005E0622"/>
    <w:rsid w:val="005E0B09"/>
    <w:rsid w:val="005E0B8E"/>
    <w:rsid w:val="005E0C9C"/>
    <w:rsid w:val="005E117A"/>
    <w:rsid w:val="005E136D"/>
    <w:rsid w:val="005E19D6"/>
    <w:rsid w:val="005E1EC2"/>
    <w:rsid w:val="005E1EC6"/>
    <w:rsid w:val="005E2297"/>
    <w:rsid w:val="005E2AD8"/>
    <w:rsid w:val="005E3B9A"/>
    <w:rsid w:val="005E3FA9"/>
    <w:rsid w:val="005E4689"/>
    <w:rsid w:val="005E4902"/>
    <w:rsid w:val="005E5042"/>
    <w:rsid w:val="005E5102"/>
    <w:rsid w:val="005E5A08"/>
    <w:rsid w:val="005E6935"/>
    <w:rsid w:val="005E695B"/>
    <w:rsid w:val="005E6A3F"/>
    <w:rsid w:val="005E70B1"/>
    <w:rsid w:val="005F00A6"/>
    <w:rsid w:val="005F0EFD"/>
    <w:rsid w:val="005F121B"/>
    <w:rsid w:val="005F185D"/>
    <w:rsid w:val="005F1B9E"/>
    <w:rsid w:val="005F1CFB"/>
    <w:rsid w:val="005F3140"/>
    <w:rsid w:val="005F3150"/>
    <w:rsid w:val="005F3971"/>
    <w:rsid w:val="005F40C4"/>
    <w:rsid w:val="005F46E0"/>
    <w:rsid w:val="005F59B3"/>
    <w:rsid w:val="005F5E0B"/>
    <w:rsid w:val="005F60D2"/>
    <w:rsid w:val="005F6119"/>
    <w:rsid w:val="005F6652"/>
    <w:rsid w:val="005F6F07"/>
    <w:rsid w:val="005F6F43"/>
    <w:rsid w:val="005F73F1"/>
    <w:rsid w:val="005F794C"/>
    <w:rsid w:val="00600C80"/>
    <w:rsid w:val="00601904"/>
    <w:rsid w:val="00602227"/>
    <w:rsid w:val="006024F4"/>
    <w:rsid w:val="00602CD3"/>
    <w:rsid w:val="00603350"/>
    <w:rsid w:val="0060372E"/>
    <w:rsid w:val="006053EC"/>
    <w:rsid w:val="00605514"/>
    <w:rsid w:val="00605529"/>
    <w:rsid w:val="0060564D"/>
    <w:rsid w:val="00605AAE"/>
    <w:rsid w:val="00605E0E"/>
    <w:rsid w:val="00606005"/>
    <w:rsid w:val="0060652A"/>
    <w:rsid w:val="00606C4B"/>
    <w:rsid w:val="00606D6C"/>
    <w:rsid w:val="00606F88"/>
    <w:rsid w:val="006078BF"/>
    <w:rsid w:val="006078E1"/>
    <w:rsid w:val="00607B7B"/>
    <w:rsid w:val="006100D2"/>
    <w:rsid w:val="006103FE"/>
    <w:rsid w:val="00610974"/>
    <w:rsid w:val="00610D5A"/>
    <w:rsid w:val="00612905"/>
    <w:rsid w:val="00612C9C"/>
    <w:rsid w:val="0061357A"/>
    <w:rsid w:val="0061373E"/>
    <w:rsid w:val="00613C39"/>
    <w:rsid w:val="00614084"/>
    <w:rsid w:val="0061468B"/>
    <w:rsid w:val="00614CA6"/>
    <w:rsid w:val="0061510B"/>
    <w:rsid w:val="0061516E"/>
    <w:rsid w:val="006155CE"/>
    <w:rsid w:val="00615A29"/>
    <w:rsid w:val="00615C28"/>
    <w:rsid w:val="00616442"/>
    <w:rsid w:val="00616EDA"/>
    <w:rsid w:val="006177C0"/>
    <w:rsid w:val="00617F31"/>
    <w:rsid w:val="006205A8"/>
    <w:rsid w:val="006209E8"/>
    <w:rsid w:val="00620CA1"/>
    <w:rsid w:val="00621540"/>
    <w:rsid w:val="00621883"/>
    <w:rsid w:val="00621D16"/>
    <w:rsid w:val="00622E27"/>
    <w:rsid w:val="006232FD"/>
    <w:rsid w:val="00623A9C"/>
    <w:rsid w:val="00623D38"/>
    <w:rsid w:val="00623E3B"/>
    <w:rsid w:val="00624494"/>
    <w:rsid w:val="006245E9"/>
    <w:rsid w:val="006245ED"/>
    <w:rsid w:val="00624A29"/>
    <w:rsid w:val="00625102"/>
    <w:rsid w:val="00625A5E"/>
    <w:rsid w:val="00625A7F"/>
    <w:rsid w:val="00625C7B"/>
    <w:rsid w:val="00625E94"/>
    <w:rsid w:val="00626783"/>
    <w:rsid w:val="0063002C"/>
    <w:rsid w:val="0063028D"/>
    <w:rsid w:val="00630783"/>
    <w:rsid w:val="00630AF3"/>
    <w:rsid w:val="00630B52"/>
    <w:rsid w:val="00630EC7"/>
    <w:rsid w:val="0063145A"/>
    <w:rsid w:val="00631552"/>
    <w:rsid w:val="006318AA"/>
    <w:rsid w:val="0063218C"/>
    <w:rsid w:val="00633472"/>
    <w:rsid w:val="00633905"/>
    <w:rsid w:val="00633DFF"/>
    <w:rsid w:val="00634960"/>
    <w:rsid w:val="00635157"/>
    <w:rsid w:val="0063534D"/>
    <w:rsid w:val="006356F8"/>
    <w:rsid w:val="00635A60"/>
    <w:rsid w:val="00635BDC"/>
    <w:rsid w:val="00635D19"/>
    <w:rsid w:val="00635D1F"/>
    <w:rsid w:val="00636508"/>
    <w:rsid w:val="006365A9"/>
    <w:rsid w:val="00636E98"/>
    <w:rsid w:val="00637624"/>
    <w:rsid w:val="006379A0"/>
    <w:rsid w:val="00637F2D"/>
    <w:rsid w:val="00640841"/>
    <w:rsid w:val="006409B1"/>
    <w:rsid w:val="00640F4C"/>
    <w:rsid w:val="0064118E"/>
    <w:rsid w:val="0064168F"/>
    <w:rsid w:val="0064280F"/>
    <w:rsid w:val="006435C0"/>
    <w:rsid w:val="00643671"/>
    <w:rsid w:val="006437DD"/>
    <w:rsid w:val="00643917"/>
    <w:rsid w:val="00643AFE"/>
    <w:rsid w:val="00644EC0"/>
    <w:rsid w:val="006456A9"/>
    <w:rsid w:val="00645894"/>
    <w:rsid w:val="00646027"/>
    <w:rsid w:val="006466D9"/>
    <w:rsid w:val="006467BF"/>
    <w:rsid w:val="00646A03"/>
    <w:rsid w:val="00646D66"/>
    <w:rsid w:val="00646E66"/>
    <w:rsid w:val="00647153"/>
    <w:rsid w:val="00647415"/>
    <w:rsid w:val="0064779E"/>
    <w:rsid w:val="00647C95"/>
    <w:rsid w:val="00650D4F"/>
    <w:rsid w:val="00651429"/>
    <w:rsid w:val="00651648"/>
    <w:rsid w:val="0065180B"/>
    <w:rsid w:val="00651820"/>
    <w:rsid w:val="006518B3"/>
    <w:rsid w:val="006523C7"/>
    <w:rsid w:val="00652899"/>
    <w:rsid w:val="00652C01"/>
    <w:rsid w:val="00652DC3"/>
    <w:rsid w:val="006532BC"/>
    <w:rsid w:val="00653A6C"/>
    <w:rsid w:val="00653FDD"/>
    <w:rsid w:val="006541E7"/>
    <w:rsid w:val="006543C9"/>
    <w:rsid w:val="00654969"/>
    <w:rsid w:val="00655409"/>
    <w:rsid w:val="0065576E"/>
    <w:rsid w:val="00656336"/>
    <w:rsid w:val="006563A9"/>
    <w:rsid w:val="00657014"/>
    <w:rsid w:val="0065790D"/>
    <w:rsid w:val="006602C3"/>
    <w:rsid w:val="0066255D"/>
    <w:rsid w:val="00662A70"/>
    <w:rsid w:val="00663259"/>
    <w:rsid w:val="006641D0"/>
    <w:rsid w:val="00664636"/>
    <w:rsid w:val="00664CC6"/>
    <w:rsid w:val="0066522C"/>
    <w:rsid w:val="00665BA7"/>
    <w:rsid w:val="006663FA"/>
    <w:rsid w:val="00666C1D"/>
    <w:rsid w:val="00666E19"/>
    <w:rsid w:val="0066767F"/>
    <w:rsid w:val="00667749"/>
    <w:rsid w:val="006678FA"/>
    <w:rsid w:val="006708B4"/>
    <w:rsid w:val="00670BAD"/>
    <w:rsid w:val="00671328"/>
    <w:rsid w:val="00671B2B"/>
    <w:rsid w:val="00671DB0"/>
    <w:rsid w:val="006731F5"/>
    <w:rsid w:val="0067335C"/>
    <w:rsid w:val="0067348C"/>
    <w:rsid w:val="0067387A"/>
    <w:rsid w:val="00673B7B"/>
    <w:rsid w:val="00673D21"/>
    <w:rsid w:val="00674911"/>
    <w:rsid w:val="00674913"/>
    <w:rsid w:val="00674D74"/>
    <w:rsid w:val="00674FF0"/>
    <w:rsid w:val="00675501"/>
    <w:rsid w:val="0067564E"/>
    <w:rsid w:val="00675E28"/>
    <w:rsid w:val="0067600A"/>
    <w:rsid w:val="00676075"/>
    <w:rsid w:val="00676159"/>
    <w:rsid w:val="00676275"/>
    <w:rsid w:val="00676644"/>
    <w:rsid w:val="006769E4"/>
    <w:rsid w:val="0067735F"/>
    <w:rsid w:val="006778E8"/>
    <w:rsid w:val="00680BE7"/>
    <w:rsid w:val="00680C2F"/>
    <w:rsid w:val="00680EF0"/>
    <w:rsid w:val="006815D1"/>
    <w:rsid w:val="00681A68"/>
    <w:rsid w:val="00681A91"/>
    <w:rsid w:val="00681EC2"/>
    <w:rsid w:val="0068211C"/>
    <w:rsid w:val="006821E7"/>
    <w:rsid w:val="00682845"/>
    <w:rsid w:val="006828D4"/>
    <w:rsid w:val="00683308"/>
    <w:rsid w:val="006835F2"/>
    <w:rsid w:val="00683767"/>
    <w:rsid w:val="00683C7A"/>
    <w:rsid w:val="00683CD2"/>
    <w:rsid w:val="00683D51"/>
    <w:rsid w:val="00684196"/>
    <w:rsid w:val="00684AC1"/>
    <w:rsid w:val="00684AD1"/>
    <w:rsid w:val="006853A8"/>
    <w:rsid w:val="0068658F"/>
    <w:rsid w:val="00687402"/>
    <w:rsid w:val="0068770E"/>
    <w:rsid w:val="006877A9"/>
    <w:rsid w:val="0068784C"/>
    <w:rsid w:val="006878D7"/>
    <w:rsid w:val="00687D2B"/>
    <w:rsid w:val="00690623"/>
    <w:rsid w:val="00690BB7"/>
    <w:rsid w:val="00690CB7"/>
    <w:rsid w:val="00690D25"/>
    <w:rsid w:val="006916D3"/>
    <w:rsid w:val="0069228A"/>
    <w:rsid w:val="00692778"/>
    <w:rsid w:val="00692D52"/>
    <w:rsid w:val="00692D8D"/>
    <w:rsid w:val="00692FA5"/>
    <w:rsid w:val="006936C6"/>
    <w:rsid w:val="006948F3"/>
    <w:rsid w:val="00694A94"/>
    <w:rsid w:val="00695671"/>
    <w:rsid w:val="00695918"/>
    <w:rsid w:val="00695BBF"/>
    <w:rsid w:val="00695CA8"/>
    <w:rsid w:val="00695FE9"/>
    <w:rsid w:val="00696549"/>
    <w:rsid w:val="0069667E"/>
    <w:rsid w:val="006968F6"/>
    <w:rsid w:val="00696E97"/>
    <w:rsid w:val="00696E9A"/>
    <w:rsid w:val="00696EFE"/>
    <w:rsid w:val="006974A2"/>
    <w:rsid w:val="00697AF9"/>
    <w:rsid w:val="006A2524"/>
    <w:rsid w:val="006A2591"/>
    <w:rsid w:val="006A2A43"/>
    <w:rsid w:val="006A301E"/>
    <w:rsid w:val="006A32CC"/>
    <w:rsid w:val="006A3962"/>
    <w:rsid w:val="006A5185"/>
    <w:rsid w:val="006A567E"/>
    <w:rsid w:val="006A6709"/>
    <w:rsid w:val="006A687F"/>
    <w:rsid w:val="006A6990"/>
    <w:rsid w:val="006A69DA"/>
    <w:rsid w:val="006A6A08"/>
    <w:rsid w:val="006A6AD9"/>
    <w:rsid w:val="006A6B87"/>
    <w:rsid w:val="006A70A1"/>
    <w:rsid w:val="006A7240"/>
    <w:rsid w:val="006A754F"/>
    <w:rsid w:val="006A7F27"/>
    <w:rsid w:val="006B0144"/>
    <w:rsid w:val="006B0169"/>
    <w:rsid w:val="006B03D9"/>
    <w:rsid w:val="006B0622"/>
    <w:rsid w:val="006B06CE"/>
    <w:rsid w:val="006B07B5"/>
    <w:rsid w:val="006B0AA3"/>
    <w:rsid w:val="006B1081"/>
    <w:rsid w:val="006B1331"/>
    <w:rsid w:val="006B1C10"/>
    <w:rsid w:val="006B260F"/>
    <w:rsid w:val="006B46A0"/>
    <w:rsid w:val="006B494A"/>
    <w:rsid w:val="006B4E51"/>
    <w:rsid w:val="006B519E"/>
    <w:rsid w:val="006B5B70"/>
    <w:rsid w:val="006B5FB0"/>
    <w:rsid w:val="006B70ED"/>
    <w:rsid w:val="006B719F"/>
    <w:rsid w:val="006B729D"/>
    <w:rsid w:val="006B74E8"/>
    <w:rsid w:val="006B7621"/>
    <w:rsid w:val="006B76AB"/>
    <w:rsid w:val="006B77B3"/>
    <w:rsid w:val="006C04FF"/>
    <w:rsid w:val="006C072B"/>
    <w:rsid w:val="006C0A1F"/>
    <w:rsid w:val="006C0C74"/>
    <w:rsid w:val="006C19FF"/>
    <w:rsid w:val="006C1F90"/>
    <w:rsid w:val="006C1FF0"/>
    <w:rsid w:val="006C2BCE"/>
    <w:rsid w:val="006C2DC5"/>
    <w:rsid w:val="006C337A"/>
    <w:rsid w:val="006C341A"/>
    <w:rsid w:val="006C3BA3"/>
    <w:rsid w:val="006C3EF1"/>
    <w:rsid w:val="006C46AA"/>
    <w:rsid w:val="006C5BBC"/>
    <w:rsid w:val="006C610D"/>
    <w:rsid w:val="006C615E"/>
    <w:rsid w:val="006C64C5"/>
    <w:rsid w:val="006C7165"/>
    <w:rsid w:val="006C71D3"/>
    <w:rsid w:val="006C7269"/>
    <w:rsid w:val="006C7DDF"/>
    <w:rsid w:val="006D01B5"/>
    <w:rsid w:val="006D081C"/>
    <w:rsid w:val="006D0864"/>
    <w:rsid w:val="006D0C77"/>
    <w:rsid w:val="006D12FC"/>
    <w:rsid w:val="006D1FBF"/>
    <w:rsid w:val="006D2DBD"/>
    <w:rsid w:val="006D3629"/>
    <w:rsid w:val="006D3FD9"/>
    <w:rsid w:val="006D489C"/>
    <w:rsid w:val="006D50CE"/>
    <w:rsid w:val="006D5514"/>
    <w:rsid w:val="006D57C7"/>
    <w:rsid w:val="006D609A"/>
    <w:rsid w:val="006D6C93"/>
    <w:rsid w:val="006D725E"/>
    <w:rsid w:val="006D73BE"/>
    <w:rsid w:val="006E0122"/>
    <w:rsid w:val="006E07E2"/>
    <w:rsid w:val="006E0C7D"/>
    <w:rsid w:val="006E1360"/>
    <w:rsid w:val="006E1475"/>
    <w:rsid w:val="006E19F0"/>
    <w:rsid w:val="006E1A5D"/>
    <w:rsid w:val="006E2920"/>
    <w:rsid w:val="006E3023"/>
    <w:rsid w:val="006E34F5"/>
    <w:rsid w:val="006E3548"/>
    <w:rsid w:val="006E39AA"/>
    <w:rsid w:val="006E3CCC"/>
    <w:rsid w:val="006E404F"/>
    <w:rsid w:val="006E405B"/>
    <w:rsid w:val="006E4269"/>
    <w:rsid w:val="006E42B7"/>
    <w:rsid w:val="006E49DA"/>
    <w:rsid w:val="006E4A2E"/>
    <w:rsid w:val="006E55D4"/>
    <w:rsid w:val="006E5888"/>
    <w:rsid w:val="006E58EA"/>
    <w:rsid w:val="006E599E"/>
    <w:rsid w:val="006E6032"/>
    <w:rsid w:val="006E6D98"/>
    <w:rsid w:val="006E6E01"/>
    <w:rsid w:val="006E6FC7"/>
    <w:rsid w:val="006E70E6"/>
    <w:rsid w:val="006E7AFC"/>
    <w:rsid w:val="006E7DBB"/>
    <w:rsid w:val="006F0192"/>
    <w:rsid w:val="006F02F5"/>
    <w:rsid w:val="006F0378"/>
    <w:rsid w:val="006F0436"/>
    <w:rsid w:val="006F0867"/>
    <w:rsid w:val="006F0C2E"/>
    <w:rsid w:val="006F0EA5"/>
    <w:rsid w:val="006F175A"/>
    <w:rsid w:val="006F1D6C"/>
    <w:rsid w:val="006F1F31"/>
    <w:rsid w:val="006F2292"/>
    <w:rsid w:val="006F22E8"/>
    <w:rsid w:val="006F2535"/>
    <w:rsid w:val="006F2740"/>
    <w:rsid w:val="006F2B14"/>
    <w:rsid w:val="006F2E2E"/>
    <w:rsid w:val="006F3432"/>
    <w:rsid w:val="006F35D3"/>
    <w:rsid w:val="006F3AD4"/>
    <w:rsid w:val="006F3B21"/>
    <w:rsid w:val="006F3D89"/>
    <w:rsid w:val="006F4623"/>
    <w:rsid w:val="006F4DE3"/>
    <w:rsid w:val="006F4F1F"/>
    <w:rsid w:val="006F5A8C"/>
    <w:rsid w:val="006F5B9C"/>
    <w:rsid w:val="006F5CF6"/>
    <w:rsid w:val="006F6815"/>
    <w:rsid w:val="006F6CED"/>
    <w:rsid w:val="006F6DF2"/>
    <w:rsid w:val="007000FC"/>
    <w:rsid w:val="00700407"/>
    <w:rsid w:val="0070146E"/>
    <w:rsid w:val="007014E2"/>
    <w:rsid w:val="007014F3"/>
    <w:rsid w:val="00701974"/>
    <w:rsid w:val="007025FB"/>
    <w:rsid w:val="00702690"/>
    <w:rsid w:val="00703162"/>
    <w:rsid w:val="0070349D"/>
    <w:rsid w:val="007037A4"/>
    <w:rsid w:val="007037BB"/>
    <w:rsid w:val="00703802"/>
    <w:rsid w:val="007039A2"/>
    <w:rsid w:val="00703BE4"/>
    <w:rsid w:val="00704041"/>
    <w:rsid w:val="0070412F"/>
    <w:rsid w:val="007044F9"/>
    <w:rsid w:val="0070472E"/>
    <w:rsid w:val="007049C2"/>
    <w:rsid w:val="00704E09"/>
    <w:rsid w:val="007053EF"/>
    <w:rsid w:val="0070584E"/>
    <w:rsid w:val="0070589D"/>
    <w:rsid w:val="00705BE1"/>
    <w:rsid w:val="007065BC"/>
    <w:rsid w:val="0070671F"/>
    <w:rsid w:val="0070678F"/>
    <w:rsid w:val="007070A7"/>
    <w:rsid w:val="00707F67"/>
    <w:rsid w:val="007103F1"/>
    <w:rsid w:val="007106C0"/>
    <w:rsid w:val="00710D37"/>
    <w:rsid w:val="00710E7F"/>
    <w:rsid w:val="007111F0"/>
    <w:rsid w:val="00711331"/>
    <w:rsid w:val="0071138B"/>
    <w:rsid w:val="00711B44"/>
    <w:rsid w:val="00712127"/>
    <w:rsid w:val="0071265A"/>
    <w:rsid w:val="007128AE"/>
    <w:rsid w:val="00712915"/>
    <w:rsid w:val="00712CB2"/>
    <w:rsid w:val="00712F98"/>
    <w:rsid w:val="00713EF1"/>
    <w:rsid w:val="007148EC"/>
    <w:rsid w:val="00714982"/>
    <w:rsid w:val="00715069"/>
    <w:rsid w:val="007156CE"/>
    <w:rsid w:val="00715778"/>
    <w:rsid w:val="00716392"/>
    <w:rsid w:val="00716482"/>
    <w:rsid w:val="007167B3"/>
    <w:rsid w:val="00716910"/>
    <w:rsid w:val="00716C06"/>
    <w:rsid w:val="00716D0E"/>
    <w:rsid w:val="0071718B"/>
    <w:rsid w:val="00717D95"/>
    <w:rsid w:val="00717DEA"/>
    <w:rsid w:val="007203D0"/>
    <w:rsid w:val="00720704"/>
    <w:rsid w:val="00720717"/>
    <w:rsid w:val="00720D56"/>
    <w:rsid w:val="00720D72"/>
    <w:rsid w:val="00720FF1"/>
    <w:rsid w:val="00722171"/>
    <w:rsid w:val="007221DB"/>
    <w:rsid w:val="00722ABF"/>
    <w:rsid w:val="00722D87"/>
    <w:rsid w:val="00722E8D"/>
    <w:rsid w:val="007239E6"/>
    <w:rsid w:val="007240AA"/>
    <w:rsid w:val="00724217"/>
    <w:rsid w:val="00724561"/>
    <w:rsid w:val="00724613"/>
    <w:rsid w:val="007252F4"/>
    <w:rsid w:val="00725899"/>
    <w:rsid w:val="00725BAC"/>
    <w:rsid w:val="00725C71"/>
    <w:rsid w:val="00726264"/>
    <w:rsid w:val="007263E3"/>
    <w:rsid w:val="0072650A"/>
    <w:rsid w:val="0072700C"/>
    <w:rsid w:val="00727961"/>
    <w:rsid w:val="00727F02"/>
    <w:rsid w:val="0073054D"/>
    <w:rsid w:val="00730BC8"/>
    <w:rsid w:val="00731368"/>
    <w:rsid w:val="0073171D"/>
    <w:rsid w:val="007320A0"/>
    <w:rsid w:val="0073239B"/>
    <w:rsid w:val="0073267B"/>
    <w:rsid w:val="00732A0F"/>
    <w:rsid w:val="00732A4F"/>
    <w:rsid w:val="00732DDD"/>
    <w:rsid w:val="00732F20"/>
    <w:rsid w:val="00733349"/>
    <w:rsid w:val="00733717"/>
    <w:rsid w:val="00733888"/>
    <w:rsid w:val="007338AB"/>
    <w:rsid w:val="00733A69"/>
    <w:rsid w:val="00733CF8"/>
    <w:rsid w:val="00733E3B"/>
    <w:rsid w:val="00733F5D"/>
    <w:rsid w:val="007341B1"/>
    <w:rsid w:val="00734408"/>
    <w:rsid w:val="0073485C"/>
    <w:rsid w:val="00735134"/>
    <w:rsid w:val="007351FB"/>
    <w:rsid w:val="0073562C"/>
    <w:rsid w:val="00735854"/>
    <w:rsid w:val="00735DFC"/>
    <w:rsid w:val="00735E8A"/>
    <w:rsid w:val="007360ED"/>
    <w:rsid w:val="00736EEB"/>
    <w:rsid w:val="00736F84"/>
    <w:rsid w:val="0073741C"/>
    <w:rsid w:val="00737479"/>
    <w:rsid w:val="0073763F"/>
    <w:rsid w:val="00737F8A"/>
    <w:rsid w:val="00740031"/>
    <w:rsid w:val="007405DE"/>
    <w:rsid w:val="00740CFC"/>
    <w:rsid w:val="007424C3"/>
    <w:rsid w:val="007429D2"/>
    <w:rsid w:val="00742A1D"/>
    <w:rsid w:val="00742E06"/>
    <w:rsid w:val="0074325A"/>
    <w:rsid w:val="00743CA8"/>
    <w:rsid w:val="00743D72"/>
    <w:rsid w:val="007441B3"/>
    <w:rsid w:val="007445EE"/>
    <w:rsid w:val="00744952"/>
    <w:rsid w:val="007453F3"/>
    <w:rsid w:val="00745F67"/>
    <w:rsid w:val="00745FE1"/>
    <w:rsid w:val="0074667A"/>
    <w:rsid w:val="00746BE2"/>
    <w:rsid w:val="00746F49"/>
    <w:rsid w:val="00750243"/>
    <w:rsid w:val="007503B1"/>
    <w:rsid w:val="007505FA"/>
    <w:rsid w:val="007507F4"/>
    <w:rsid w:val="00750ECB"/>
    <w:rsid w:val="0075229E"/>
    <w:rsid w:val="00752512"/>
    <w:rsid w:val="007525FE"/>
    <w:rsid w:val="00752717"/>
    <w:rsid w:val="007529FC"/>
    <w:rsid w:val="007533BD"/>
    <w:rsid w:val="007533C7"/>
    <w:rsid w:val="0075347A"/>
    <w:rsid w:val="007537EE"/>
    <w:rsid w:val="00754B2F"/>
    <w:rsid w:val="00754F44"/>
    <w:rsid w:val="007554DD"/>
    <w:rsid w:val="00755DE9"/>
    <w:rsid w:val="007562C3"/>
    <w:rsid w:val="00756793"/>
    <w:rsid w:val="00756EEB"/>
    <w:rsid w:val="00757DC4"/>
    <w:rsid w:val="00757F13"/>
    <w:rsid w:val="00760397"/>
    <w:rsid w:val="00760AA1"/>
    <w:rsid w:val="00761312"/>
    <w:rsid w:val="007614BB"/>
    <w:rsid w:val="0076235C"/>
    <w:rsid w:val="00762425"/>
    <w:rsid w:val="00762664"/>
    <w:rsid w:val="00762C6F"/>
    <w:rsid w:val="00762DAC"/>
    <w:rsid w:val="00764E78"/>
    <w:rsid w:val="0076564B"/>
    <w:rsid w:val="00765D77"/>
    <w:rsid w:val="00765E9F"/>
    <w:rsid w:val="007660BE"/>
    <w:rsid w:val="007662EF"/>
    <w:rsid w:val="007668BC"/>
    <w:rsid w:val="00767814"/>
    <w:rsid w:val="00767FA7"/>
    <w:rsid w:val="00767FB3"/>
    <w:rsid w:val="007700B1"/>
    <w:rsid w:val="0077071E"/>
    <w:rsid w:val="00770A4D"/>
    <w:rsid w:val="00770B8F"/>
    <w:rsid w:val="00770E5B"/>
    <w:rsid w:val="007713F1"/>
    <w:rsid w:val="00771701"/>
    <w:rsid w:val="00771996"/>
    <w:rsid w:val="00771C36"/>
    <w:rsid w:val="00772063"/>
    <w:rsid w:val="00772109"/>
    <w:rsid w:val="00772132"/>
    <w:rsid w:val="007729A3"/>
    <w:rsid w:val="00772B10"/>
    <w:rsid w:val="00772BB9"/>
    <w:rsid w:val="00773978"/>
    <w:rsid w:val="00773F33"/>
    <w:rsid w:val="0077411E"/>
    <w:rsid w:val="00774341"/>
    <w:rsid w:val="00774774"/>
    <w:rsid w:val="00774DEE"/>
    <w:rsid w:val="007758D7"/>
    <w:rsid w:val="00775B42"/>
    <w:rsid w:val="00775DA0"/>
    <w:rsid w:val="00776327"/>
    <w:rsid w:val="007764CC"/>
    <w:rsid w:val="00776657"/>
    <w:rsid w:val="00776AA1"/>
    <w:rsid w:val="00776F7D"/>
    <w:rsid w:val="007776AB"/>
    <w:rsid w:val="007802AB"/>
    <w:rsid w:val="007806EB"/>
    <w:rsid w:val="0078100A"/>
    <w:rsid w:val="007813ED"/>
    <w:rsid w:val="0078160E"/>
    <w:rsid w:val="00781A23"/>
    <w:rsid w:val="00781AA2"/>
    <w:rsid w:val="00781D16"/>
    <w:rsid w:val="00781DE6"/>
    <w:rsid w:val="00781FB4"/>
    <w:rsid w:val="007823F3"/>
    <w:rsid w:val="007830D9"/>
    <w:rsid w:val="00783CE2"/>
    <w:rsid w:val="00784028"/>
    <w:rsid w:val="00784063"/>
    <w:rsid w:val="007841CF"/>
    <w:rsid w:val="00785191"/>
    <w:rsid w:val="007853FA"/>
    <w:rsid w:val="00785871"/>
    <w:rsid w:val="007859A6"/>
    <w:rsid w:val="00785A4D"/>
    <w:rsid w:val="00786285"/>
    <w:rsid w:val="0078629C"/>
    <w:rsid w:val="0078646B"/>
    <w:rsid w:val="00786693"/>
    <w:rsid w:val="00790110"/>
    <w:rsid w:val="0079030B"/>
    <w:rsid w:val="00791245"/>
    <w:rsid w:val="007912AF"/>
    <w:rsid w:val="007917A6"/>
    <w:rsid w:val="00791A12"/>
    <w:rsid w:val="00791C1B"/>
    <w:rsid w:val="0079368C"/>
    <w:rsid w:val="00793ADE"/>
    <w:rsid w:val="00794D54"/>
    <w:rsid w:val="00795CC8"/>
    <w:rsid w:val="0079626A"/>
    <w:rsid w:val="0079680D"/>
    <w:rsid w:val="00796B8F"/>
    <w:rsid w:val="00796EA4"/>
    <w:rsid w:val="007970C8"/>
    <w:rsid w:val="007971B3"/>
    <w:rsid w:val="00797775"/>
    <w:rsid w:val="007A03B6"/>
    <w:rsid w:val="007A063F"/>
    <w:rsid w:val="007A0CC8"/>
    <w:rsid w:val="007A0D72"/>
    <w:rsid w:val="007A15CA"/>
    <w:rsid w:val="007A17B8"/>
    <w:rsid w:val="007A1F29"/>
    <w:rsid w:val="007A27A0"/>
    <w:rsid w:val="007A31A2"/>
    <w:rsid w:val="007A433F"/>
    <w:rsid w:val="007A43DF"/>
    <w:rsid w:val="007A4440"/>
    <w:rsid w:val="007A49B8"/>
    <w:rsid w:val="007A4DB9"/>
    <w:rsid w:val="007A4DF7"/>
    <w:rsid w:val="007A50A6"/>
    <w:rsid w:val="007A5149"/>
    <w:rsid w:val="007A5349"/>
    <w:rsid w:val="007A5E0D"/>
    <w:rsid w:val="007A705C"/>
    <w:rsid w:val="007A71B8"/>
    <w:rsid w:val="007A739B"/>
    <w:rsid w:val="007A73C9"/>
    <w:rsid w:val="007A75A2"/>
    <w:rsid w:val="007B0136"/>
    <w:rsid w:val="007B03E0"/>
    <w:rsid w:val="007B0874"/>
    <w:rsid w:val="007B0CFC"/>
    <w:rsid w:val="007B12E2"/>
    <w:rsid w:val="007B1519"/>
    <w:rsid w:val="007B214E"/>
    <w:rsid w:val="007B21FF"/>
    <w:rsid w:val="007B222F"/>
    <w:rsid w:val="007B29BD"/>
    <w:rsid w:val="007B2CD3"/>
    <w:rsid w:val="007B32EE"/>
    <w:rsid w:val="007B356D"/>
    <w:rsid w:val="007B3667"/>
    <w:rsid w:val="007B3A79"/>
    <w:rsid w:val="007B44C5"/>
    <w:rsid w:val="007B49EC"/>
    <w:rsid w:val="007B4B9B"/>
    <w:rsid w:val="007B5A44"/>
    <w:rsid w:val="007B5FF2"/>
    <w:rsid w:val="007B6199"/>
    <w:rsid w:val="007B655A"/>
    <w:rsid w:val="007B6FE1"/>
    <w:rsid w:val="007B7292"/>
    <w:rsid w:val="007B7777"/>
    <w:rsid w:val="007B799A"/>
    <w:rsid w:val="007B79B5"/>
    <w:rsid w:val="007B7D27"/>
    <w:rsid w:val="007C0253"/>
    <w:rsid w:val="007C08CF"/>
    <w:rsid w:val="007C096D"/>
    <w:rsid w:val="007C0EC2"/>
    <w:rsid w:val="007C1064"/>
    <w:rsid w:val="007C16C2"/>
    <w:rsid w:val="007C184D"/>
    <w:rsid w:val="007C18DD"/>
    <w:rsid w:val="007C1A56"/>
    <w:rsid w:val="007C1D91"/>
    <w:rsid w:val="007C20A4"/>
    <w:rsid w:val="007C23B8"/>
    <w:rsid w:val="007C25FF"/>
    <w:rsid w:val="007C2955"/>
    <w:rsid w:val="007C31A5"/>
    <w:rsid w:val="007C350D"/>
    <w:rsid w:val="007C365B"/>
    <w:rsid w:val="007C39A0"/>
    <w:rsid w:val="007C3A8F"/>
    <w:rsid w:val="007C4796"/>
    <w:rsid w:val="007C5033"/>
    <w:rsid w:val="007C547A"/>
    <w:rsid w:val="007C5B29"/>
    <w:rsid w:val="007C60DD"/>
    <w:rsid w:val="007C6386"/>
    <w:rsid w:val="007C6440"/>
    <w:rsid w:val="007C6495"/>
    <w:rsid w:val="007C66B3"/>
    <w:rsid w:val="007C6E2E"/>
    <w:rsid w:val="007C7859"/>
    <w:rsid w:val="007D0622"/>
    <w:rsid w:val="007D07B4"/>
    <w:rsid w:val="007D0D68"/>
    <w:rsid w:val="007D14C0"/>
    <w:rsid w:val="007D1694"/>
    <w:rsid w:val="007D23A7"/>
    <w:rsid w:val="007D2BB2"/>
    <w:rsid w:val="007D396F"/>
    <w:rsid w:val="007D3D32"/>
    <w:rsid w:val="007D3D60"/>
    <w:rsid w:val="007D3D91"/>
    <w:rsid w:val="007D3EC4"/>
    <w:rsid w:val="007D425A"/>
    <w:rsid w:val="007D49CC"/>
    <w:rsid w:val="007D51C4"/>
    <w:rsid w:val="007D57E7"/>
    <w:rsid w:val="007D61FF"/>
    <w:rsid w:val="007D647C"/>
    <w:rsid w:val="007D6649"/>
    <w:rsid w:val="007D66B2"/>
    <w:rsid w:val="007D6986"/>
    <w:rsid w:val="007D69CC"/>
    <w:rsid w:val="007D6BF1"/>
    <w:rsid w:val="007D7247"/>
    <w:rsid w:val="007D749C"/>
    <w:rsid w:val="007D7C29"/>
    <w:rsid w:val="007E0316"/>
    <w:rsid w:val="007E0FF8"/>
    <w:rsid w:val="007E1017"/>
    <w:rsid w:val="007E14FD"/>
    <w:rsid w:val="007E1656"/>
    <w:rsid w:val="007E172D"/>
    <w:rsid w:val="007E17CD"/>
    <w:rsid w:val="007E2AA4"/>
    <w:rsid w:val="007E2FC7"/>
    <w:rsid w:val="007E3599"/>
    <w:rsid w:val="007E3873"/>
    <w:rsid w:val="007E3CB0"/>
    <w:rsid w:val="007E414E"/>
    <w:rsid w:val="007E4374"/>
    <w:rsid w:val="007E48DE"/>
    <w:rsid w:val="007E4A70"/>
    <w:rsid w:val="007E4BB4"/>
    <w:rsid w:val="007E529B"/>
    <w:rsid w:val="007E5486"/>
    <w:rsid w:val="007E5569"/>
    <w:rsid w:val="007E7C32"/>
    <w:rsid w:val="007F0861"/>
    <w:rsid w:val="007F0A02"/>
    <w:rsid w:val="007F1069"/>
    <w:rsid w:val="007F1118"/>
    <w:rsid w:val="007F1605"/>
    <w:rsid w:val="007F1AF6"/>
    <w:rsid w:val="007F1C77"/>
    <w:rsid w:val="007F1E8E"/>
    <w:rsid w:val="007F1FFF"/>
    <w:rsid w:val="007F249A"/>
    <w:rsid w:val="007F25F6"/>
    <w:rsid w:val="007F260B"/>
    <w:rsid w:val="007F28EE"/>
    <w:rsid w:val="007F2CD5"/>
    <w:rsid w:val="007F2CE3"/>
    <w:rsid w:val="007F2D26"/>
    <w:rsid w:val="007F2FB8"/>
    <w:rsid w:val="007F3416"/>
    <w:rsid w:val="007F3886"/>
    <w:rsid w:val="007F3A50"/>
    <w:rsid w:val="007F3E7E"/>
    <w:rsid w:val="007F4139"/>
    <w:rsid w:val="007F4593"/>
    <w:rsid w:val="007F4691"/>
    <w:rsid w:val="007F4958"/>
    <w:rsid w:val="007F4964"/>
    <w:rsid w:val="007F4F6F"/>
    <w:rsid w:val="007F5118"/>
    <w:rsid w:val="007F5A29"/>
    <w:rsid w:val="007F5C45"/>
    <w:rsid w:val="007F6831"/>
    <w:rsid w:val="007F6955"/>
    <w:rsid w:val="007F756C"/>
    <w:rsid w:val="007F778B"/>
    <w:rsid w:val="0080044C"/>
    <w:rsid w:val="008005A6"/>
    <w:rsid w:val="00800D8D"/>
    <w:rsid w:val="00800F4F"/>
    <w:rsid w:val="0080117F"/>
    <w:rsid w:val="008011FF"/>
    <w:rsid w:val="0080122A"/>
    <w:rsid w:val="00801547"/>
    <w:rsid w:val="00801E0D"/>
    <w:rsid w:val="008021AB"/>
    <w:rsid w:val="008023BC"/>
    <w:rsid w:val="008023EA"/>
    <w:rsid w:val="008035FD"/>
    <w:rsid w:val="008036D8"/>
    <w:rsid w:val="00803C69"/>
    <w:rsid w:val="00804280"/>
    <w:rsid w:val="00804A2B"/>
    <w:rsid w:val="0080542B"/>
    <w:rsid w:val="00805492"/>
    <w:rsid w:val="008056A8"/>
    <w:rsid w:val="00805842"/>
    <w:rsid w:val="00805D90"/>
    <w:rsid w:val="00805F76"/>
    <w:rsid w:val="00806180"/>
    <w:rsid w:val="00806C13"/>
    <w:rsid w:val="00806FC2"/>
    <w:rsid w:val="00807145"/>
    <w:rsid w:val="0080714D"/>
    <w:rsid w:val="008079CD"/>
    <w:rsid w:val="00807B6E"/>
    <w:rsid w:val="00810146"/>
    <w:rsid w:val="0081063D"/>
    <w:rsid w:val="00810BC1"/>
    <w:rsid w:val="008110A6"/>
    <w:rsid w:val="008116F0"/>
    <w:rsid w:val="00811D2A"/>
    <w:rsid w:val="008127DE"/>
    <w:rsid w:val="00812DEC"/>
    <w:rsid w:val="00814026"/>
    <w:rsid w:val="008146DB"/>
    <w:rsid w:val="008149A8"/>
    <w:rsid w:val="00814B97"/>
    <w:rsid w:val="00814C06"/>
    <w:rsid w:val="00814E53"/>
    <w:rsid w:val="00815541"/>
    <w:rsid w:val="00815C02"/>
    <w:rsid w:val="00815C7A"/>
    <w:rsid w:val="008160B7"/>
    <w:rsid w:val="008166BF"/>
    <w:rsid w:val="008167A3"/>
    <w:rsid w:val="008171EE"/>
    <w:rsid w:val="008176A2"/>
    <w:rsid w:val="0081778B"/>
    <w:rsid w:val="00817D68"/>
    <w:rsid w:val="00817DD7"/>
    <w:rsid w:val="0082050A"/>
    <w:rsid w:val="008209C7"/>
    <w:rsid w:val="00820B9F"/>
    <w:rsid w:val="00821319"/>
    <w:rsid w:val="00822186"/>
    <w:rsid w:val="00822417"/>
    <w:rsid w:val="008229FA"/>
    <w:rsid w:val="00822F96"/>
    <w:rsid w:val="00823616"/>
    <w:rsid w:val="00823643"/>
    <w:rsid w:val="00823AC1"/>
    <w:rsid w:val="00823F31"/>
    <w:rsid w:val="00824296"/>
    <w:rsid w:val="0082462A"/>
    <w:rsid w:val="00824987"/>
    <w:rsid w:val="00824AA3"/>
    <w:rsid w:val="00824D6D"/>
    <w:rsid w:val="00824EB5"/>
    <w:rsid w:val="00824FD2"/>
    <w:rsid w:val="00825384"/>
    <w:rsid w:val="00825687"/>
    <w:rsid w:val="00825913"/>
    <w:rsid w:val="00825A14"/>
    <w:rsid w:val="00825A59"/>
    <w:rsid w:val="00825AC0"/>
    <w:rsid w:val="0082619A"/>
    <w:rsid w:val="008267AB"/>
    <w:rsid w:val="008276C1"/>
    <w:rsid w:val="0083018B"/>
    <w:rsid w:val="00830351"/>
    <w:rsid w:val="0083079A"/>
    <w:rsid w:val="00831D3F"/>
    <w:rsid w:val="00831EE7"/>
    <w:rsid w:val="00832256"/>
    <w:rsid w:val="008328A7"/>
    <w:rsid w:val="00832D76"/>
    <w:rsid w:val="0083320E"/>
    <w:rsid w:val="00833532"/>
    <w:rsid w:val="008335D8"/>
    <w:rsid w:val="00833D1E"/>
    <w:rsid w:val="00833D50"/>
    <w:rsid w:val="00834966"/>
    <w:rsid w:val="00834D9A"/>
    <w:rsid w:val="00834F8D"/>
    <w:rsid w:val="0083572F"/>
    <w:rsid w:val="00836473"/>
    <w:rsid w:val="0083657D"/>
    <w:rsid w:val="00836B4D"/>
    <w:rsid w:val="00836EF8"/>
    <w:rsid w:val="00837F39"/>
    <w:rsid w:val="00841307"/>
    <w:rsid w:val="00841F23"/>
    <w:rsid w:val="008424F4"/>
    <w:rsid w:val="0084289B"/>
    <w:rsid w:val="0084313B"/>
    <w:rsid w:val="00843816"/>
    <w:rsid w:val="0084463A"/>
    <w:rsid w:val="00844751"/>
    <w:rsid w:val="00844830"/>
    <w:rsid w:val="008448CB"/>
    <w:rsid w:val="0084501C"/>
    <w:rsid w:val="0084572E"/>
    <w:rsid w:val="0084639F"/>
    <w:rsid w:val="008464EF"/>
    <w:rsid w:val="00846624"/>
    <w:rsid w:val="0084689C"/>
    <w:rsid w:val="00846D4C"/>
    <w:rsid w:val="0085179A"/>
    <w:rsid w:val="00851A22"/>
    <w:rsid w:val="00851C52"/>
    <w:rsid w:val="00852903"/>
    <w:rsid w:val="00853178"/>
    <w:rsid w:val="00853C96"/>
    <w:rsid w:val="00853F30"/>
    <w:rsid w:val="00855C1B"/>
    <w:rsid w:val="00856211"/>
    <w:rsid w:val="0085648E"/>
    <w:rsid w:val="00856577"/>
    <w:rsid w:val="0085672C"/>
    <w:rsid w:val="00856CD4"/>
    <w:rsid w:val="00856E10"/>
    <w:rsid w:val="008577E2"/>
    <w:rsid w:val="0086026F"/>
    <w:rsid w:val="008602B2"/>
    <w:rsid w:val="0086033D"/>
    <w:rsid w:val="008605F8"/>
    <w:rsid w:val="008609E0"/>
    <w:rsid w:val="00860C65"/>
    <w:rsid w:val="00860F61"/>
    <w:rsid w:val="0086160C"/>
    <w:rsid w:val="00861856"/>
    <w:rsid w:val="00861931"/>
    <w:rsid w:val="00861A48"/>
    <w:rsid w:val="00862726"/>
    <w:rsid w:val="008627C4"/>
    <w:rsid w:val="008629C0"/>
    <w:rsid w:val="00862E14"/>
    <w:rsid w:val="0086382F"/>
    <w:rsid w:val="00864A30"/>
    <w:rsid w:val="00864ECB"/>
    <w:rsid w:val="008657E4"/>
    <w:rsid w:val="00865C18"/>
    <w:rsid w:val="00865E07"/>
    <w:rsid w:val="0086624B"/>
    <w:rsid w:val="0086638F"/>
    <w:rsid w:val="0086685B"/>
    <w:rsid w:val="00866B63"/>
    <w:rsid w:val="00867423"/>
    <w:rsid w:val="00867719"/>
    <w:rsid w:val="00867E8B"/>
    <w:rsid w:val="00871445"/>
    <w:rsid w:val="00871AFF"/>
    <w:rsid w:val="00871FF5"/>
    <w:rsid w:val="0087241C"/>
    <w:rsid w:val="00872901"/>
    <w:rsid w:val="00872A39"/>
    <w:rsid w:val="008730E1"/>
    <w:rsid w:val="008731D0"/>
    <w:rsid w:val="008733CC"/>
    <w:rsid w:val="00873647"/>
    <w:rsid w:val="008736A2"/>
    <w:rsid w:val="00874878"/>
    <w:rsid w:val="00875434"/>
    <w:rsid w:val="00875D87"/>
    <w:rsid w:val="00876200"/>
    <w:rsid w:val="00877C83"/>
    <w:rsid w:val="0088002A"/>
    <w:rsid w:val="00880D29"/>
    <w:rsid w:val="00880DBC"/>
    <w:rsid w:val="00880FC7"/>
    <w:rsid w:val="00881587"/>
    <w:rsid w:val="008821EC"/>
    <w:rsid w:val="0088248C"/>
    <w:rsid w:val="008828DE"/>
    <w:rsid w:val="00882CA7"/>
    <w:rsid w:val="00882E32"/>
    <w:rsid w:val="00883389"/>
    <w:rsid w:val="00883C31"/>
    <w:rsid w:val="00883E8F"/>
    <w:rsid w:val="00884663"/>
    <w:rsid w:val="00884C94"/>
    <w:rsid w:val="00884F32"/>
    <w:rsid w:val="00884FB1"/>
    <w:rsid w:val="008852B8"/>
    <w:rsid w:val="00885A72"/>
    <w:rsid w:val="00885DD7"/>
    <w:rsid w:val="0088649B"/>
    <w:rsid w:val="00886542"/>
    <w:rsid w:val="00886717"/>
    <w:rsid w:val="008867BC"/>
    <w:rsid w:val="0088680D"/>
    <w:rsid w:val="0088731D"/>
    <w:rsid w:val="00887405"/>
    <w:rsid w:val="00887716"/>
    <w:rsid w:val="008879DA"/>
    <w:rsid w:val="00887E39"/>
    <w:rsid w:val="00887EBD"/>
    <w:rsid w:val="00887FE3"/>
    <w:rsid w:val="00887FFD"/>
    <w:rsid w:val="00890C62"/>
    <w:rsid w:val="00890C63"/>
    <w:rsid w:val="00892329"/>
    <w:rsid w:val="0089265F"/>
    <w:rsid w:val="008927F4"/>
    <w:rsid w:val="00892BBA"/>
    <w:rsid w:val="00892E6D"/>
    <w:rsid w:val="0089316A"/>
    <w:rsid w:val="00893F88"/>
    <w:rsid w:val="0089431F"/>
    <w:rsid w:val="00894A81"/>
    <w:rsid w:val="00894F76"/>
    <w:rsid w:val="00894FF4"/>
    <w:rsid w:val="008957F1"/>
    <w:rsid w:val="00895C8D"/>
    <w:rsid w:val="00895EF2"/>
    <w:rsid w:val="008960E0"/>
    <w:rsid w:val="00896255"/>
    <w:rsid w:val="00896A4C"/>
    <w:rsid w:val="00896DF4"/>
    <w:rsid w:val="00897ABF"/>
    <w:rsid w:val="008A08EE"/>
    <w:rsid w:val="008A0AA8"/>
    <w:rsid w:val="008A1881"/>
    <w:rsid w:val="008A1908"/>
    <w:rsid w:val="008A1F3F"/>
    <w:rsid w:val="008A217B"/>
    <w:rsid w:val="008A2223"/>
    <w:rsid w:val="008A25DE"/>
    <w:rsid w:val="008A2C30"/>
    <w:rsid w:val="008A2CAE"/>
    <w:rsid w:val="008A2CB5"/>
    <w:rsid w:val="008A2D4C"/>
    <w:rsid w:val="008A308D"/>
    <w:rsid w:val="008A45D7"/>
    <w:rsid w:val="008A478C"/>
    <w:rsid w:val="008A61E8"/>
    <w:rsid w:val="008A67DD"/>
    <w:rsid w:val="008A7550"/>
    <w:rsid w:val="008A77D5"/>
    <w:rsid w:val="008A7C77"/>
    <w:rsid w:val="008A7E4D"/>
    <w:rsid w:val="008B0377"/>
    <w:rsid w:val="008B0489"/>
    <w:rsid w:val="008B0572"/>
    <w:rsid w:val="008B0955"/>
    <w:rsid w:val="008B0C79"/>
    <w:rsid w:val="008B11E1"/>
    <w:rsid w:val="008B1692"/>
    <w:rsid w:val="008B16F3"/>
    <w:rsid w:val="008B1951"/>
    <w:rsid w:val="008B1E43"/>
    <w:rsid w:val="008B2AB8"/>
    <w:rsid w:val="008B3246"/>
    <w:rsid w:val="008B3BFB"/>
    <w:rsid w:val="008B3DCA"/>
    <w:rsid w:val="008B3EB2"/>
    <w:rsid w:val="008B40CB"/>
    <w:rsid w:val="008B4126"/>
    <w:rsid w:val="008B4B40"/>
    <w:rsid w:val="008B4C80"/>
    <w:rsid w:val="008B4D32"/>
    <w:rsid w:val="008B533C"/>
    <w:rsid w:val="008B5834"/>
    <w:rsid w:val="008B5B48"/>
    <w:rsid w:val="008B6156"/>
    <w:rsid w:val="008B69DE"/>
    <w:rsid w:val="008B6B73"/>
    <w:rsid w:val="008B6BCE"/>
    <w:rsid w:val="008B6C38"/>
    <w:rsid w:val="008B7032"/>
    <w:rsid w:val="008B71FC"/>
    <w:rsid w:val="008B7B8B"/>
    <w:rsid w:val="008C03CE"/>
    <w:rsid w:val="008C0526"/>
    <w:rsid w:val="008C0716"/>
    <w:rsid w:val="008C0C91"/>
    <w:rsid w:val="008C1185"/>
    <w:rsid w:val="008C1A2A"/>
    <w:rsid w:val="008C1C0B"/>
    <w:rsid w:val="008C2140"/>
    <w:rsid w:val="008C2313"/>
    <w:rsid w:val="008C2679"/>
    <w:rsid w:val="008C2A96"/>
    <w:rsid w:val="008C2DA7"/>
    <w:rsid w:val="008C34ED"/>
    <w:rsid w:val="008C35FC"/>
    <w:rsid w:val="008C3E97"/>
    <w:rsid w:val="008C4281"/>
    <w:rsid w:val="008C47E8"/>
    <w:rsid w:val="008C49D7"/>
    <w:rsid w:val="008C5643"/>
    <w:rsid w:val="008C566E"/>
    <w:rsid w:val="008C5BB3"/>
    <w:rsid w:val="008C5CB5"/>
    <w:rsid w:val="008C6103"/>
    <w:rsid w:val="008C638F"/>
    <w:rsid w:val="008C6A0A"/>
    <w:rsid w:val="008C6B7D"/>
    <w:rsid w:val="008C6D6E"/>
    <w:rsid w:val="008C6DE4"/>
    <w:rsid w:val="008C71F2"/>
    <w:rsid w:val="008C7E25"/>
    <w:rsid w:val="008D0101"/>
    <w:rsid w:val="008D0B73"/>
    <w:rsid w:val="008D19A4"/>
    <w:rsid w:val="008D1CE5"/>
    <w:rsid w:val="008D2DA5"/>
    <w:rsid w:val="008D3319"/>
    <w:rsid w:val="008D38B3"/>
    <w:rsid w:val="008D419D"/>
    <w:rsid w:val="008D449C"/>
    <w:rsid w:val="008D44DE"/>
    <w:rsid w:val="008D49CF"/>
    <w:rsid w:val="008D49F8"/>
    <w:rsid w:val="008D523C"/>
    <w:rsid w:val="008D5911"/>
    <w:rsid w:val="008D5CF6"/>
    <w:rsid w:val="008D64D2"/>
    <w:rsid w:val="008D6ED7"/>
    <w:rsid w:val="008D6FB3"/>
    <w:rsid w:val="008D7034"/>
    <w:rsid w:val="008D73A8"/>
    <w:rsid w:val="008D789F"/>
    <w:rsid w:val="008D7C47"/>
    <w:rsid w:val="008E03DB"/>
    <w:rsid w:val="008E0927"/>
    <w:rsid w:val="008E0F14"/>
    <w:rsid w:val="008E1300"/>
    <w:rsid w:val="008E1445"/>
    <w:rsid w:val="008E19D2"/>
    <w:rsid w:val="008E1DA5"/>
    <w:rsid w:val="008E1F58"/>
    <w:rsid w:val="008E2070"/>
    <w:rsid w:val="008E27A9"/>
    <w:rsid w:val="008E29AE"/>
    <w:rsid w:val="008E2AC4"/>
    <w:rsid w:val="008E2FB1"/>
    <w:rsid w:val="008E2FCE"/>
    <w:rsid w:val="008E3110"/>
    <w:rsid w:val="008E3225"/>
    <w:rsid w:val="008E357B"/>
    <w:rsid w:val="008E38CA"/>
    <w:rsid w:val="008E479C"/>
    <w:rsid w:val="008E4A6F"/>
    <w:rsid w:val="008E4ADF"/>
    <w:rsid w:val="008E4F14"/>
    <w:rsid w:val="008E504B"/>
    <w:rsid w:val="008E53A9"/>
    <w:rsid w:val="008E5576"/>
    <w:rsid w:val="008E58E9"/>
    <w:rsid w:val="008E5A86"/>
    <w:rsid w:val="008E647E"/>
    <w:rsid w:val="008E6F3E"/>
    <w:rsid w:val="008E700D"/>
    <w:rsid w:val="008E76BE"/>
    <w:rsid w:val="008F03CA"/>
    <w:rsid w:val="008F0846"/>
    <w:rsid w:val="008F0A13"/>
    <w:rsid w:val="008F116B"/>
    <w:rsid w:val="008F1414"/>
    <w:rsid w:val="008F1BDD"/>
    <w:rsid w:val="008F27AC"/>
    <w:rsid w:val="008F348C"/>
    <w:rsid w:val="008F3500"/>
    <w:rsid w:val="008F35C5"/>
    <w:rsid w:val="008F3866"/>
    <w:rsid w:val="008F39D5"/>
    <w:rsid w:val="008F3EFD"/>
    <w:rsid w:val="008F423E"/>
    <w:rsid w:val="008F4DE0"/>
    <w:rsid w:val="008F4EFC"/>
    <w:rsid w:val="008F5301"/>
    <w:rsid w:val="008F5767"/>
    <w:rsid w:val="008F5862"/>
    <w:rsid w:val="008F5D25"/>
    <w:rsid w:val="008F691D"/>
    <w:rsid w:val="008F6C15"/>
    <w:rsid w:val="008F7057"/>
    <w:rsid w:val="008F7944"/>
    <w:rsid w:val="008F7F0A"/>
    <w:rsid w:val="0090016E"/>
    <w:rsid w:val="0090073D"/>
    <w:rsid w:val="00900918"/>
    <w:rsid w:val="00900FF9"/>
    <w:rsid w:val="009011AF"/>
    <w:rsid w:val="00901210"/>
    <w:rsid w:val="00901762"/>
    <w:rsid w:val="00902435"/>
    <w:rsid w:val="009024AE"/>
    <w:rsid w:val="0090294A"/>
    <w:rsid w:val="00902A14"/>
    <w:rsid w:val="00902D42"/>
    <w:rsid w:val="00903054"/>
    <w:rsid w:val="00903B9F"/>
    <w:rsid w:val="00903BF2"/>
    <w:rsid w:val="0090411C"/>
    <w:rsid w:val="0090492F"/>
    <w:rsid w:val="00904AFF"/>
    <w:rsid w:val="009050E3"/>
    <w:rsid w:val="00905396"/>
    <w:rsid w:val="00905E6C"/>
    <w:rsid w:val="00906059"/>
    <w:rsid w:val="00906231"/>
    <w:rsid w:val="009064D7"/>
    <w:rsid w:val="0090688D"/>
    <w:rsid w:val="009068D0"/>
    <w:rsid w:val="00906939"/>
    <w:rsid w:val="00906F89"/>
    <w:rsid w:val="00907067"/>
    <w:rsid w:val="00907FA3"/>
    <w:rsid w:val="009103CE"/>
    <w:rsid w:val="009104C1"/>
    <w:rsid w:val="009118E7"/>
    <w:rsid w:val="00912717"/>
    <w:rsid w:val="00912883"/>
    <w:rsid w:val="009128DC"/>
    <w:rsid w:val="00912C1A"/>
    <w:rsid w:val="00912CA1"/>
    <w:rsid w:val="00913416"/>
    <w:rsid w:val="009134D4"/>
    <w:rsid w:val="00914138"/>
    <w:rsid w:val="00914DCF"/>
    <w:rsid w:val="00915470"/>
    <w:rsid w:val="00915DB6"/>
    <w:rsid w:val="00915E9F"/>
    <w:rsid w:val="00917432"/>
    <w:rsid w:val="00920064"/>
    <w:rsid w:val="00920762"/>
    <w:rsid w:val="00920859"/>
    <w:rsid w:val="0092095A"/>
    <w:rsid w:val="0092122A"/>
    <w:rsid w:val="00921843"/>
    <w:rsid w:val="00921866"/>
    <w:rsid w:val="00921C36"/>
    <w:rsid w:val="00922349"/>
    <w:rsid w:val="009233CD"/>
    <w:rsid w:val="0092358D"/>
    <w:rsid w:val="0092398F"/>
    <w:rsid w:val="00923BA8"/>
    <w:rsid w:val="0092411D"/>
    <w:rsid w:val="009243D9"/>
    <w:rsid w:val="009244E6"/>
    <w:rsid w:val="00924F13"/>
    <w:rsid w:val="00924F6C"/>
    <w:rsid w:val="0092542A"/>
    <w:rsid w:val="00925B38"/>
    <w:rsid w:val="00926007"/>
    <w:rsid w:val="009267DE"/>
    <w:rsid w:val="00926819"/>
    <w:rsid w:val="00927B44"/>
    <w:rsid w:val="00927BC0"/>
    <w:rsid w:val="00930535"/>
    <w:rsid w:val="0093078D"/>
    <w:rsid w:val="0093078E"/>
    <w:rsid w:val="00930AF5"/>
    <w:rsid w:val="00931095"/>
    <w:rsid w:val="00932BD2"/>
    <w:rsid w:val="00933052"/>
    <w:rsid w:val="00933057"/>
    <w:rsid w:val="009333D4"/>
    <w:rsid w:val="009340D1"/>
    <w:rsid w:val="00934225"/>
    <w:rsid w:val="00934779"/>
    <w:rsid w:val="009347E1"/>
    <w:rsid w:val="009349F3"/>
    <w:rsid w:val="00935450"/>
    <w:rsid w:val="00936017"/>
    <w:rsid w:val="009366A1"/>
    <w:rsid w:val="00936762"/>
    <w:rsid w:val="00936954"/>
    <w:rsid w:val="00936995"/>
    <w:rsid w:val="00936F9A"/>
    <w:rsid w:val="00937699"/>
    <w:rsid w:val="00937C46"/>
    <w:rsid w:val="0094032F"/>
    <w:rsid w:val="00940E03"/>
    <w:rsid w:val="00940F5A"/>
    <w:rsid w:val="0094153A"/>
    <w:rsid w:val="009417DE"/>
    <w:rsid w:val="00941C09"/>
    <w:rsid w:val="00941DA2"/>
    <w:rsid w:val="00942B09"/>
    <w:rsid w:val="00942E52"/>
    <w:rsid w:val="009435E4"/>
    <w:rsid w:val="00943C21"/>
    <w:rsid w:val="0094433E"/>
    <w:rsid w:val="00944BA4"/>
    <w:rsid w:val="00944D65"/>
    <w:rsid w:val="00944FE9"/>
    <w:rsid w:val="00945391"/>
    <w:rsid w:val="00945411"/>
    <w:rsid w:val="009454AB"/>
    <w:rsid w:val="00945A03"/>
    <w:rsid w:val="00945C51"/>
    <w:rsid w:val="00945CBA"/>
    <w:rsid w:val="00946161"/>
    <w:rsid w:val="00946641"/>
    <w:rsid w:val="00946A06"/>
    <w:rsid w:val="00947223"/>
    <w:rsid w:val="00947614"/>
    <w:rsid w:val="009479FB"/>
    <w:rsid w:val="00947AB3"/>
    <w:rsid w:val="00947B09"/>
    <w:rsid w:val="00947B11"/>
    <w:rsid w:val="00947BD3"/>
    <w:rsid w:val="00950156"/>
    <w:rsid w:val="009502AB"/>
    <w:rsid w:val="00950F27"/>
    <w:rsid w:val="0095178E"/>
    <w:rsid w:val="00951792"/>
    <w:rsid w:val="00951CC7"/>
    <w:rsid w:val="00952249"/>
    <w:rsid w:val="009529AD"/>
    <w:rsid w:val="00952E66"/>
    <w:rsid w:val="009533EF"/>
    <w:rsid w:val="00953EB7"/>
    <w:rsid w:val="00953F8B"/>
    <w:rsid w:val="00953FE0"/>
    <w:rsid w:val="0095512C"/>
    <w:rsid w:val="0095516B"/>
    <w:rsid w:val="009552CC"/>
    <w:rsid w:val="0095543A"/>
    <w:rsid w:val="00955661"/>
    <w:rsid w:val="009558CC"/>
    <w:rsid w:val="00955D7D"/>
    <w:rsid w:val="00955F42"/>
    <w:rsid w:val="009560C9"/>
    <w:rsid w:val="009562DA"/>
    <w:rsid w:val="00956851"/>
    <w:rsid w:val="0095732A"/>
    <w:rsid w:val="009577F5"/>
    <w:rsid w:val="009578A7"/>
    <w:rsid w:val="0095797B"/>
    <w:rsid w:val="00957B45"/>
    <w:rsid w:val="00960416"/>
    <w:rsid w:val="009606A7"/>
    <w:rsid w:val="00960830"/>
    <w:rsid w:val="009608AB"/>
    <w:rsid w:val="0096110F"/>
    <w:rsid w:val="00961247"/>
    <w:rsid w:val="00961BD1"/>
    <w:rsid w:val="00961DD5"/>
    <w:rsid w:val="00962CB0"/>
    <w:rsid w:val="00962FC2"/>
    <w:rsid w:val="0096310B"/>
    <w:rsid w:val="0096336D"/>
    <w:rsid w:val="009633BE"/>
    <w:rsid w:val="00963502"/>
    <w:rsid w:val="00963505"/>
    <w:rsid w:val="00964212"/>
    <w:rsid w:val="00964236"/>
    <w:rsid w:val="0096527F"/>
    <w:rsid w:val="00965F10"/>
    <w:rsid w:val="0096699A"/>
    <w:rsid w:val="009675E6"/>
    <w:rsid w:val="00967684"/>
    <w:rsid w:val="00967849"/>
    <w:rsid w:val="009703D9"/>
    <w:rsid w:val="0097063F"/>
    <w:rsid w:val="00970A07"/>
    <w:rsid w:val="00970F35"/>
    <w:rsid w:val="00971552"/>
    <w:rsid w:val="00971802"/>
    <w:rsid w:val="009718F8"/>
    <w:rsid w:val="00971935"/>
    <w:rsid w:val="00972854"/>
    <w:rsid w:val="009728F8"/>
    <w:rsid w:val="00972B81"/>
    <w:rsid w:val="00972EFC"/>
    <w:rsid w:val="00973A8C"/>
    <w:rsid w:val="00973A9F"/>
    <w:rsid w:val="00973D1D"/>
    <w:rsid w:val="00973D69"/>
    <w:rsid w:val="0097406D"/>
    <w:rsid w:val="009744DB"/>
    <w:rsid w:val="0097450E"/>
    <w:rsid w:val="00975629"/>
    <w:rsid w:val="009756C0"/>
    <w:rsid w:val="00975E8E"/>
    <w:rsid w:val="009762A3"/>
    <w:rsid w:val="00976343"/>
    <w:rsid w:val="0097684C"/>
    <w:rsid w:val="00976A66"/>
    <w:rsid w:val="0097706D"/>
    <w:rsid w:val="009774EE"/>
    <w:rsid w:val="00977615"/>
    <w:rsid w:val="00977CD5"/>
    <w:rsid w:val="00977E07"/>
    <w:rsid w:val="00977E44"/>
    <w:rsid w:val="00980128"/>
    <w:rsid w:val="00980255"/>
    <w:rsid w:val="0098026A"/>
    <w:rsid w:val="00981257"/>
    <w:rsid w:val="009812EB"/>
    <w:rsid w:val="00981992"/>
    <w:rsid w:val="00981B35"/>
    <w:rsid w:val="00981F42"/>
    <w:rsid w:val="00982A18"/>
    <w:rsid w:val="00982B36"/>
    <w:rsid w:val="00982BFA"/>
    <w:rsid w:val="00982CF5"/>
    <w:rsid w:val="009830FB"/>
    <w:rsid w:val="009835D5"/>
    <w:rsid w:val="00983A37"/>
    <w:rsid w:val="00983DAE"/>
    <w:rsid w:val="00983F43"/>
    <w:rsid w:val="0098408D"/>
    <w:rsid w:val="0098434E"/>
    <w:rsid w:val="00984B47"/>
    <w:rsid w:val="0098512E"/>
    <w:rsid w:val="00985569"/>
    <w:rsid w:val="00985574"/>
    <w:rsid w:val="009856D0"/>
    <w:rsid w:val="00985CC7"/>
    <w:rsid w:val="00985D8E"/>
    <w:rsid w:val="00985EA5"/>
    <w:rsid w:val="00985FD5"/>
    <w:rsid w:val="009860B7"/>
    <w:rsid w:val="009862DD"/>
    <w:rsid w:val="00986A9C"/>
    <w:rsid w:val="00986C67"/>
    <w:rsid w:val="00986E48"/>
    <w:rsid w:val="009878B1"/>
    <w:rsid w:val="00990455"/>
    <w:rsid w:val="009905C6"/>
    <w:rsid w:val="0099086B"/>
    <w:rsid w:val="00990BB2"/>
    <w:rsid w:val="0099106D"/>
    <w:rsid w:val="00991089"/>
    <w:rsid w:val="009910C8"/>
    <w:rsid w:val="00991246"/>
    <w:rsid w:val="009912A4"/>
    <w:rsid w:val="009916A7"/>
    <w:rsid w:val="00991DF7"/>
    <w:rsid w:val="009922B3"/>
    <w:rsid w:val="009922EC"/>
    <w:rsid w:val="009924F0"/>
    <w:rsid w:val="009926F7"/>
    <w:rsid w:val="009929B6"/>
    <w:rsid w:val="00993138"/>
    <w:rsid w:val="009931A2"/>
    <w:rsid w:val="009942C6"/>
    <w:rsid w:val="00995571"/>
    <w:rsid w:val="00995887"/>
    <w:rsid w:val="009960A1"/>
    <w:rsid w:val="009965D1"/>
    <w:rsid w:val="0099685E"/>
    <w:rsid w:val="00996F3B"/>
    <w:rsid w:val="0099761C"/>
    <w:rsid w:val="00997821"/>
    <w:rsid w:val="00997ECD"/>
    <w:rsid w:val="009A0E6B"/>
    <w:rsid w:val="009A1F22"/>
    <w:rsid w:val="009A25CF"/>
    <w:rsid w:val="009A267F"/>
    <w:rsid w:val="009A272E"/>
    <w:rsid w:val="009A2855"/>
    <w:rsid w:val="009A2957"/>
    <w:rsid w:val="009A34B2"/>
    <w:rsid w:val="009A35D7"/>
    <w:rsid w:val="009A369F"/>
    <w:rsid w:val="009A40D9"/>
    <w:rsid w:val="009A4524"/>
    <w:rsid w:val="009A47FA"/>
    <w:rsid w:val="009A488A"/>
    <w:rsid w:val="009A4DB8"/>
    <w:rsid w:val="009A4FFF"/>
    <w:rsid w:val="009A50FD"/>
    <w:rsid w:val="009A557C"/>
    <w:rsid w:val="009A5968"/>
    <w:rsid w:val="009A5CA3"/>
    <w:rsid w:val="009A66D6"/>
    <w:rsid w:val="009A7425"/>
    <w:rsid w:val="009B021B"/>
    <w:rsid w:val="009B056C"/>
    <w:rsid w:val="009B0701"/>
    <w:rsid w:val="009B07BC"/>
    <w:rsid w:val="009B0F49"/>
    <w:rsid w:val="009B1692"/>
    <w:rsid w:val="009B16D4"/>
    <w:rsid w:val="009B1D5D"/>
    <w:rsid w:val="009B1EC7"/>
    <w:rsid w:val="009B23F8"/>
    <w:rsid w:val="009B2883"/>
    <w:rsid w:val="009B2A45"/>
    <w:rsid w:val="009B2E01"/>
    <w:rsid w:val="009B2FB0"/>
    <w:rsid w:val="009B3356"/>
    <w:rsid w:val="009B351F"/>
    <w:rsid w:val="009B3727"/>
    <w:rsid w:val="009B3B36"/>
    <w:rsid w:val="009B46B7"/>
    <w:rsid w:val="009B515D"/>
    <w:rsid w:val="009B625A"/>
    <w:rsid w:val="009B654B"/>
    <w:rsid w:val="009B67B2"/>
    <w:rsid w:val="009B68ED"/>
    <w:rsid w:val="009B7155"/>
    <w:rsid w:val="009B75E0"/>
    <w:rsid w:val="009B773F"/>
    <w:rsid w:val="009B79CB"/>
    <w:rsid w:val="009C02BD"/>
    <w:rsid w:val="009C07AE"/>
    <w:rsid w:val="009C081F"/>
    <w:rsid w:val="009C0E3B"/>
    <w:rsid w:val="009C12AE"/>
    <w:rsid w:val="009C1314"/>
    <w:rsid w:val="009C16E2"/>
    <w:rsid w:val="009C20AD"/>
    <w:rsid w:val="009C2816"/>
    <w:rsid w:val="009C29AB"/>
    <w:rsid w:val="009C2E23"/>
    <w:rsid w:val="009C416A"/>
    <w:rsid w:val="009C44F0"/>
    <w:rsid w:val="009C4C96"/>
    <w:rsid w:val="009C5019"/>
    <w:rsid w:val="009C5541"/>
    <w:rsid w:val="009C5AC0"/>
    <w:rsid w:val="009C5EB6"/>
    <w:rsid w:val="009C5EE7"/>
    <w:rsid w:val="009C651B"/>
    <w:rsid w:val="009C6528"/>
    <w:rsid w:val="009C6785"/>
    <w:rsid w:val="009C730D"/>
    <w:rsid w:val="009C734F"/>
    <w:rsid w:val="009C744B"/>
    <w:rsid w:val="009C7ABF"/>
    <w:rsid w:val="009C7AF3"/>
    <w:rsid w:val="009C7DBA"/>
    <w:rsid w:val="009D02F7"/>
    <w:rsid w:val="009D100E"/>
    <w:rsid w:val="009D2305"/>
    <w:rsid w:val="009D242B"/>
    <w:rsid w:val="009D24A4"/>
    <w:rsid w:val="009D2728"/>
    <w:rsid w:val="009D3115"/>
    <w:rsid w:val="009D3397"/>
    <w:rsid w:val="009D34C7"/>
    <w:rsid w:val="009D35EE"/>
    <w:rsid w:val="009D3856"/>
    <w:rsid w:val="009D445C"/>
    <w:rsid w:val="009D446C"/>
    <w:rsid w:val="009D46B7"/>
    <w:rsid w:val="009D49D1"/>
    <w:rsid w:val="009D4C57"/>
    <w:rsid w:val="009D4DF6"/>
    <w:rsid w:val="009D5206"/>
    <w:rsid w:val="009D565A"/>
    <w:rsid w:val="009D60F7"/>
    <w:rsid w:val="009D620E"/>
    <w:rsid w:val="009D62E8"/>
    <w:rsid w:val="009D6733"/>
    <w:rsid w:val="009D6B4A"/>
    <w:rsid w:val="009D71C4"/>
    <w:rsid w:val="009D78EF"/>
    <w:rsid w:val="009E016F"/>
    <w:rsid w:val="009E048A"/>
    <w:rsid w:val="009E0510"/>
    <w:rsid w:val="009E1015"/>
    <w:rsid w:val="009E1076"/>
    <w:rsid w:val="009E17AD"/>
    <w:rsid w:val="009E1CB7"/>
    <w:rsid w:val="009E1DFC"/>
    <w:rsid w:val="009E1E89"/>
    <w:rsid w:val="009E232C"/>
    <w:rsid w:val="009E2654"/>
    <w:rsid w:val="009E2D6E"/>
    <w:rsid w:val="009E2DAD"/>
    <w:rsid w:val="009E2E6E"/>
    <w:rsid w:val="009E313D"/>
    <w:rsid w:val="009E341F"/>
    <w:rsid w:val="009E36FA"/>
    <w:rsid w:val="009E4135"/>
    <w:rsid w:val="009E4234"/>
    <w:rsid w:val="009E4BC2"/>
    <w:rsid w:val="009E5B32"/>
    <w:rsid w:val="009E6259"/>
    <w:rsid w:val="009E6BE3"/>
    <w:rsid w:val="009E6E65"/>
    <w:rsid w:val="009E6F58"/>
    <w:rsid w:val="009E71ED"/>
    <w:rsid w:val="009E7589"/>
    <w:rsid w:val="009E77A8"/>
    <w:rsid w:val="009E791E"/>
    <w:rsid w:val="009F050A"/>
    <w:rsid w:val="009F05BF"/>
    <w:rsid w:val="009F0CE6"/>
    <w:rsid w:val="009F19EE"/>
    <w:rsid w:val="009F1C4C"/>
    <w:rsid w:val="009F1E86"/>
    <w:rsid w:val="009F2160"/>
    <w:rsid w:val="009F236D"/>
    <w:rsid w:val="009F29AE"/>
    <w:rsid w:val="009F3675"/>
    <w:rsid w:val="009F4834"/>
    <w:rsid w:val="009F4A89"/>
    <w:rsid w:val="009F503F"/>
    <w:rsid w:val="009F519B"/>
    <w:rsid w:val="009F55D0"/>
    <w:rsid w:val="009F570C"/>
    <w:rsid w:val="009F589A"/>
    <w:rsid w:val="009F5A77"/>
    <w:rsid w:val="009F63B7"/>
    <w:rsid w:val="009F6964"/>
    <w:rsid w:val="009F6F91"/>
    <w:rsid w:val="009F7575"/>
    <w:rsid w:val="009F76A9"/>
    <w:rsid w:val="009F784F"/>
    <w:rsid w:val="009F7C37"/>
    <w:rsid w:val="00A000A8"/>
    <w:rsid w:val="00A00195"/>
    <w:rsid w:val="00A004C9"/>
    <w:rsid w:val="00A005FF"/>
    <w:rsid w:val="00A00C21"/>
    <w:rsid w:val="00A015D2"/>
    <w:rsid w:val="00A016DB"/>
    <w:rsid w:val="00A01783"/>
    <w:rsid w:val="00A01A33"/>
    <w:rsid w:val="00A01C10"/>
    <w:rsid w:val="00A01FEC"/>
    <w:rsid w:val="00A022B8"/>
    <w:rsid w:val="00A023CA"/>
    <w:rsid w:val="00A02794"/>
    <w:rsid w:val="00A03DDE"/>
    <w:rsid w:val="00A041C0"/>
    <w:rsid w:val="00A057B1"/>
    <w:rsid w:val="00A0582B"/>
    <w:rsid w:val="00A06472"/>
    <w:rsid w:val="00A06944"/>
    <w:rsid w:val="00A0697B"/>
    <w:rsid w:val="00A07A08"/>
    <w:rsid w:val="00A07DF4"/>
    <w:rsid w:val="00A07F2D"/>
    <w:rsid w:val="00A1034D"/>
    <w:rsid w:val="00A10690"/>
    <w:rsid w:val="00A1081F"/>
    <w:rsid w:val="00A10904"/>
    <w:rsid w:val="00A10A99"/>
    <w:rsid w:val="00A10EE5"/>
    <w:rsid w:val="00A10EFF"/>
    <w:rsid w:val="00A11916"/>
    <w:rsid w:val="00A11CE6"/>
    <w:rsid w:val="00A11DF7"/>
    <w:rsid w:val="00A12314"/>
    <w:rsid w:val="00A1267E"/>
    <w:rsid w:val="00A1330C"/>
    <w:rsid w:val="00A1439D"/>
    <w:rsid w:val="00A1547C"/>
    <w:rsid w:val="00A16299"/>
    <w:rsid w:val="00A16832"/>
    <w:rsid w:val="00A16B8F"/>
    <w:rsid w:val="00A20072"/>
    <w:rsid w:val="00A2049E"/>
    <w:rsid w:val="00A20A7D"/>
    <w:rsid w:val="00A20AB2"/>
    <w:rsid w:val="00A20C31"/>
    <w:rsid w:val="00A21721"/>
    <w:rsid w:val="00A21B11"/>
    <w:rsid w:val="00A22106"/>
    <w:rsid w:val="00A231C8"/>
    <w:rsid w:val="00A231E5"/>
    <w:rsid w:val="00A24A30"/>
    <w:rsid w:val="00A24BBB"/>
    <w:rsid w:val="00A25185"/>
    <w:rsid w:val="00A2589D"/>
    <w:rsid w:val="00A26711"/>
    <w:rsid w:val="00A269D1"/>
    <w:rsid w:val="00A270DA"/>
    <w:rsid w:val="00A2750C"/>
    <w:rsid w:val="00A27D8B"/>
    <w:rsid w:val="00A302FA"/>
    <w:rsid w:val="00A303CF"/>
    <w:rsid w:val="00A30CD6"/>
    <w:rsid w:val="00A30CF2"/>
    <w:rsid w:val="00A30FCD"/>
    <w:rsid w:val="00A315F2"/>
    <w:rsid w:val="00A31E00"/>
    <w:rsid w:val="00A31F97"/>
    <w:rsid w:val="00A32007"/>
    <w:rsid w:val="00A32055"/>
    <w:rsid w:val="00A32572"/>
    <w:rsid w:val="00A3276E"/>
    <w:rsid w:val="00A32D89"/>
    <w:rsid w:val="00A32F5B"/>
    <w:rsid w:val="00A3319C"/>
    <w:rsid w:val="00A3380B"/>
    <w:rsid w:val="00A3382F"/>
    <w:rsid w:val="00A338BD"/>
    <w:rsid w:val="00A33D79"/>
    <w:rsid w:val="00A33F1C"/>
    <w:rsid w:val="00A34AB8"/>
    <w:rsid w:val="00A34D24"/>
    <w:rsid w:val="00A34F36"/>
    <w:rsid w:val="00A3543D"/>
    <w:rsid w:val="00A355CA"/>
    <w:rsid w:val="00A3587D"/>
    <w:rsid w:val="00A358D6"/>
    <w:rsid w:val="00A3644F"/>
    <w:rsid w:val="00A36624"/>
    <w:rsid w:val="00A36A08"/>
    <w:rsid w:val="00A36BB4"/>
    <w:rsid w:val="00A379B5"/>
    <w:rsid w:val="00A37E25"/>
    <w:rsid w:val="00A40434"/>
    <w:rsid w:val="00A4087C"/>
    <w:rsid w:val="00A409A8"/>
    <w:rsid w:val="00A40DAB"/>
    <w:rsid w:val="00A41343"/>
    <w:rsid w:val="00A41514"/>
    <w:rsid w:val="00A419A1"/>
    <w:rsid w:val="00A41B50"/>
    <w:rsid w:val="00A41F6E"/>
    <w:rsid w:val="00A421D3"/>
    <w:rsid w:val="00A425F5"/>
    <w:rsid w:val="00A42B5A"/>
    <w:rsid w:val="00A42DFD"/>
    <w:rsid w:val="00A43199"/>
    <w:rsid w:val="00A4319D"/>
    <w:rsid w:val="00A4339F"/>
    <w:rsid w:val="00A4349C"/>
    <w:rsid w:val="00A434F6"/>
    <w:rsid w:val="00A43920"/>
    <w:rsid w:val="00A43FF6"/>
    <w:rsid w:val="00A440F5"/>
    <w:rsid w:val="00A4438C"/>
    <w:rsid w:val="00A4475D"/>
    <w:rsid w:val="00A44B38"/>
    <w:rsid w:val="00A44BAD"/>
    <w:rsid w:val="00A4510D"/>
    <w:rsid w:val="00A45403"/>
    <w:rsid w:val="00A45DC4"/>
    <w:rsid w:val="00A46A01"/>
    <w:rsid w:val="00A46BDC"/>
    <w:rsid w:val="00A47093"/>
    <w:rsid w:val="00A470F6"/>
    <w:rsid w:val="00A47653"/>
    <w:rsid w:val="00A4766A"/>
    <w:rsid w:val="00A501E1"/>
    <w:rsid w:val="00A50DA6"/>
    <w:rsid w:val="00A50EBA"/>
    <w:rsid w:val="00A5111C"/>
    <w:rsid w:val="00A5132A"/>
    <w:rsid w:val="00A52343"/>
    <w:rsid w:val="00A5243C"/>
    <w:rsid w:val="00A52535"/>
    <w:rsid w:val="00A525C5"/>
    <w:rsid w:val="00A52894"/>
    <w:rsid w:val="00A52E80"/>
    <w:rsid w:val="00A52EDB"/>
    <w:rsid w:val="00A532DA"/>
    <w:rsid w:val="00A532ED"/>
    <w:rsid w:val="00A5501C"/>
    <w:rsid w:val="00A55317"/>
    <w:rsid w:val="00A55ACE"/>
    <w:rsid w:val="00A55BD5"/>
    <w:rsid w:val="00A55E5A"/>
    <w:rsid w:val="00A55E70"/>
    <w:rsid w:val="00A55FB2"/>
    <w:rsid w:val="00A56213"/>
    <w:rsid w:val="00A569A2"/>
    <w:rsid w:val="00A5730D"/>
    <w:rsid w:val="00A57424"/>
    <w:rsid w:val="00A57B11"/>
    <w:rsid w:val="00A60068"/>
    <w:rsid w:val="00A60135"/>
    <w:rsid w:val="00A6020C"/>
    <w:rsid w:val="00A606EF"/>
    <w:rsid w:val="00A60971"/>
    <w:rsid w:val="00A60BFE"/>
    <w:rsid w:val="00A612EB"/>
    <w:rsid w:val="00A6171A"/>
    <w:rsid w:val="00A61733"/>
    <w:rsid w:val="00A62319"/>
    <w:rsid w:val="00A623F8"/>
    <w:rsid w:val="00A625C9"/>
    <w:rsid w:val="00A62A44"/>
    <w:rsid w:val="00A63BCA"/>
    <w:rsid w:val="00A63BF2"/>
    <w:rsid w:val="00A63E76"/>
    <w:rsid w:val="00A64384"/>
    <w:rsid w:val="00A64B6D"/>
    <w:rsid w:val="00A64BFF"/>
    <w:rsid w:val="00A65364"/>
    <w:rsid w:val="00A653BD"/>
    <w:rsid w:val="00A65578"/>
    <w:rsid w:val="00A656E6"/>
    <w:rsid w:val="00A6571F"/>
    <w:rsid w:val="00A66D27"/>
    <w:rsid w:val="00A670FC"/>
    <w:rsid w:val="00A67301"/>
    <w:rsid w:val="00A67FDD"/>
    <w:rsid w:val="00A67FFD"/>
    <w:rsid w:val="00A7096C"/>
    <w:rsid w:val="00A714C6"/>
    <w:rsid w:val="00A7150F"/>
    <w:rsid w:val="00A7168E"/>
    <w:rsid w:val="00A71932"/>
    <w:rsid w:val="00A71D43"/>
    <w:rsid w:val="00A7278A"/>
    <w:rsid w:val="00A72B34"/>
    <w:rsid w:val="00A72BE5"/>
    <w:rsid w:val="00A7302A"/>
    <w:rsid w:val="00A73503"/>
    <w:rsid w:val="00A73577"/>
    <w:rsid w:val="00A7383B"/>
    <w:rsid w:val="00A7393F"/>
    <w:rsid w:val="00A739B1"/>
    <w:rsid w:val="00A73ECB"/>
    <w:rsid w:val="00A74024"/>
    <w:rsid w:val="00A74535"/>
    <w:rsid w:val="00A74B9B"/>
    <w:rsid w:val="00A7528B"/>
    <w:rsid w:val="00A7584F"/>
    <w:rsid w:val="00A764F4"/>
    <w:rsid w:val="00A7675C"/>
    <w:rsid w:val="00A767BC"/>
    <w:rsid w:val="00A76B5F"/>
    <w:rsid w:val="00A76FB6"/>
    <w:rsid w:val="00A76FE8"/>
    <w:rsid w:val="00A76FF6"/>
    <w:rsid w:val="00A77181"/>
    <w:rsid w:val="00A773B2"/>
    <w:rsid w:val="00A77B66"/>
    <w:rsid w:val="00A77EE9"/>
    <w:rsid w:val="00A77EFF"/>
    <w:rsid w:val="00A80A64"/>
    <w:rsid w:val="00A80DBF"/>
    <w:rsid w:val="00A813AE"/>
    <w:rsid w:val="00A813C7"/>
    <w:rsid w:val="00A81543"/>
    <w:rsid w:val="00A81725"/>
    <w:rsid w:val="00A81B8B"/>
    <w:rsid w:val="00A81BCF"/>
    <w:rsid w:val="00A81C80"/>
    <w:rsid w:val="00A82472"/>
    <w:rsid w:val="00A82E95"/>
    <w:rsid w:val="00A833C0"/>
    <w:rsid w:val="00A839A2"/>
    <w:rsid w:val="00A839B0"/>
    <w:rsid w:val="00A83FE8"/>
    <w:rsid w:val="00A8425B"/>
    <w:rsid w:val="00A84388"/>
    <w:rsid w:val="00A84538"/>
    <w:rsid w:val="00A84ADC"/>
    <w:rsid w:val="00A852FD"/>
    <w:rsid w:val="00A85730"/>
    <w:rsid w:val="00A862BD"/>
    <w:rsid w:val="00A867B4"/>
    <w:rsid w:val="00A87240"/>
    <w:rsid w:val="00A87281"/>
    <w:rsid w:val="00A87385"/>
    <w:rsid w:val="00A87733"/>
    <w:rsid w:val="00A87AE4"/>
    <w:rsid w:val="00A90037"/>
    <w:rsid w:val="00A90102"/>
    <w:rsid w:val="00A9025E"/>
    <w:rsid w:val="00A90555"/>
    <w:rsid w:val="00A9059B"/>
    <w:rsid w:val="00A9146B"/>
    <w:rsid w:val="00A914A8"/>
    <w:rsid w:val="00A916B8"/>
    <w:rsid w:val="00A9287D"/>
    <w:rsid w:val="00A92991"/>
    <w:rsid w:val="00A9353B"/>
    <w:rsid w:val="00A93984"/>
    <w:rsid w:val="00A939C1"/>
    <w:rsid w:val="00A93DEA"/>
    <w:rsid w:val="00A94C55"/>
    <w:rsid w:val="00A95EF6"/>
    <w:rsid w:val="00A9678C"/>
    <w:rsid w:val="00A969A3"/>
    <w:rsid w:val="00A96DC3"/>
    <w:rsid w:val="00A97000"/>
    <w:rsid w:val="00A970AD"/>
    <w:rsid w:val="00A97A3D"/>
    <w:rsid w:val="00A97A67"/>
    <w:rsid w:val="00A97E51"/>
    <w:rsid w:val="00AA018E"/>
    <w:rsid w:val="00AA01C9"/>
    <w:rsid w:val="00AA047B"/>
    <w:rsid w:val="00AA089D"/>
    <w:rsid w:val="00AA0B81"/>
    <w:rsid w:val="00AA239C"/>
    <w:rsid w:val="00AA2E3E"/>
    <w:rsid w:val="00AA3344"/>
    <w:rsid w:val="00AA34EB"/>
    <w:rsid w:val="00AA3E5D"/>
    <w:rsid w:val="00AA44F3"/>
    <w:rsid w:val="00AA462D"/>
    <w:rsid w:val="00AA4A62"/>
    <w:rsid w:val="00AA4CB2"/>
    <w:rsid w:val="00AA533C"/>
    <w:rsid w:val="00AA5622"/>
    <w:rsid w:val="00AA5A01"/>
    <w:rsid w:val="00AA647A"/>
    <w:rsid w:val="00AA67E8"/>
    <w:rsid w:val="00AA6883"/>
    <w:rsid w:val="00AA7025"/>
    <w:rsid w:val="00AA74B4"/>
    <w:rsid w:val="00AA7620"/>
    <w:rsid w:val="00AA7846"/>
    <w:rsid w:val="00AA7C67"/>
    <w:rsid w:val="00AA7E0D"/>
    <w:rsid w:val="00AB0222"/>
    <w:rsid w:val="00AB147B"/>
    <w:rsid w:val="00AB166F"/>
    <w:rsid w:val="00AB1B78"/>
    <w:rsid w:val="00AB1B93"/>
    <w:rsid w:val="00AB22B8"/>
    <w:rsid w:val="00AB2455"/>
    <w:rsid w:val="00AB2BA6"/>
    <w:rsid w:val="00AB32BB"/>
    <w:rsid w:val="00AB3882"/>
    <w:rsid w:val="00AB3A7A"/>
    <w:rsid w:val="00AB3E65"/>
    <w:rsid w:val="00AB3EC7"/>
    <w:rsid w:val="00AB41B0"/>
    <w:rsid w:val="00AB425F"/>
    <w:rsid w:val="00AB49C3"/>
    <w:rsid w:val="00AB514A"/>
    <w:rsid w:val="00AB52CB"/>
    <w:rsid w:val="00AB556F"/>
    <w:rsid w:val="00AB5FAC"/>
    <w:rsid w:val="00AB6891"/>
    <w:rsid w:val="00AB6E0F"/>
    <w:rsid w:val="00AB7A84"/>
    <w:rsid w:val="00AB7B67"/>
    <w:rsid w:val="00AC027E"/>
    <w:rsid w:val="00AC0511"/>
    <w:rsid w:val="00AC1403"/>
    <w:rsid w:val="00AC1836"/>
    <w:rsid w:val="00AC19A9"/>
    <w:rsid w:val="00AC1CDD"/>
    <w:rsid w:val="00AC26C5"/>
    <w:rsid w:val="00AC29F8"/>
    <w:rsid w:val="00AC30E2"/>
    <w:rsid w:val="00AC39F7"/>
    <w:rsid w:val="00AC3DB8"/>
    <w:rsid w:val="00AC455F"/>
    <w:rsid w:val="00AC481B"/>
    <w:rsid w:val="00AC54B3"/>
    <w:rsid w:val="00AC5655"/>
    <w:rsid w:val="00AC5A83"/>
    <w:rsid w:val="00AC5CE6"/>
    <w:rsid w:val="00AC6C43"/>
    <w:rsid w:val="00AC74D4"/>
    <w:rsid w:val="00AC79C4"/>
    <w:rsid w:val="00AD02D1"/>
    <w:rsid w:val="00AD0541"/>
    <w:rsid w:val="00AD0C94"/>
    <w:rsid w:val="00AD0E90"/>
    <w:rsid w:val="00AD1403"/>
    <w:rsid w:val="00AD1E87"/>
    <w:rsid w:val="00AD2066"/>
    <w:rsid w:val="00AD2787"/>
    <w:rsid w:val="00AD2E43"/>
    <w:rsid w:val="00AD39E7"/>
    <w:rsid w:val="00AD3A91"/>
    <w:rsid w:val="00AD42C0"/>
    <w:rsid w:val="00AD4437"/>
    <w:rsid w:val="00AD4EB3"/>
    <w:rsid w:val="00AD5138"/>
    <w:rsid w:val="00AD5883"/>
    <w:rsid w:val="00AD608B"/>
    <w:rsid w:val="00AD60D4"/>
    <w:rsid w:val="00AD6A96"/>
    <w:rsid w:val="00AD6AF2"/>
    <w:rsid w:val="00AD6C17"/>
    <w:rsid w:val="00AD6DCE"/>
    <w:rsid w:val="00AD746D"/>
    <w:rsid w:val="00AD7755"/>
    <w:rsid w:val="00AD7D1E"/>
    <w:rsid w:val="00AE0971"/>
    <w:rsid w:val="00AE0F93"/>
    <w:rsid w:val="00AE1950"/>
    <w:rsid w:val="00AE2003"/>
    <w:rsid w:val="00AE276D"/>
    <w:rsid w:val="00AE3155"/>
    <w:rsid w:val="00AE33BA"/>
    <w:rsid w:val="00AE3695"/>
    <w:rsid w:val="00AE371B"/>
    <w:rsid w:val="00AE3BC9"/>
    <w:rsid w:val="00AE3DEC"/>
    <w:rsid w:val="00AE49C2"/>
    <w:rsid w:val="00AE4B6E"/>
    <w:rsid w:val="00AE4C06"/>
    <w:rsid w:val="00AE533D"/>
    <w:rsid w:val="00AE5A5E"/>
    <w:rsid w:val="00AE5E5E"/>
    <w:rsid w:val="00AE6415"/>
    <w:rsid w:val="00AE66A0"/>
    <w:rsid w:val="00AE6EBA"/>
    <w:rsid w:val="00AE7594"/>
    <w:rsid w:val="00AE76AF"/>
    <w:rsid w:val="00AE79C8"/>
    <w:rsid w:val="00AE7B19"/>
    <w:rsid w:val="00AF0C02"/>
    <w:rsid w:val="00AF0EB4"/>
    <w:rsid w:val="00AF1B33"/>
    <w:rsid w:val="00AF2C6E"/>
    <w:rsid w:val="00AF3674"/>
    <w:rsid w:val="00AF37AA"/>
    <w:rsid w:val="00AF390B"/>
    <w:rsid w:val="00AF3ED2"/>
    <w:rsid w:val="00AF460D"/>
    <w:rsid w:val="00AF4619"/>
    <w:rsid w:val="00AF4650"/>
    <w:rsid w:val="00AF51FA"/>
    <w:rsid w:val="00AF5434"/>
    <w:rsid w:val="00AF5674"/>
    <w:rsid w:val="00AF59CA"/>
    <w:rsid w:val="00AF5A1B"/>
    <w:rsid w:val="00AF5C8F"/>
    <w:rsid w:val="00AF6261"/>
    <w:rsid w:val="00AF631D"/>
    <w:rsid w:val="00AF6445"/>
    <w:rsid w:val="00AF64DE"/>
    <w:rsid w:val="00AF68C0"/>
    <w:rsid w:val="00AF6C16"/>
    <w:rsid w:val="00AF6C2B"/>
    <w:rsid w:val="00AF6C93"/>
    <w:rsid w:val="00AF6F36"/>
    <w:rsid w:val="00AF717D"/>
    <w:rsid w:val="00AF72BE"/>
    <w:rsid w:val="00AF76F7"/>
    <w:rsid w:val="00B00754"/>
    <w:rsid w:val="00B00AE7"/>
    <w:rsid w:val="00B00D3C"/>
    <w:rsid w:val="00B00D54"/>
    <w:rsid w:val="00B0108C"/>
    <w:rsid w:val="00B010B3"/>
    <w:rsid w:val="00B01192"/>
    <w:rsid w:val="00B01BE9"/>
    <w:rsid w:val="00B01C0F"/>
    <w:rsid w:val="00B01E4A"/>
    <w:rsid w:val="00B021EB"/>
    <w:rsid w:val="00B024BD"/>
    <w:rsid w:val="00B02B8C"/>
    <w:rsid w:val="00B02CEB"/>
    <w:rsid w:val="00B0338D"/>
    <w:rsid w:val="00B0345F"/>
    <w:rsid w:val="00B03999"/>
    <w:rsid w:val="00B03C4F"/>
    <w:rsid w:val="00B03F95"/>
    <w:rsid w:val="00B043B9"/>
    <w:rsid w:val="00B04409"/>
    <w:rsid w:val="00B0475C"/>
    <w:rsid w:val="00B0495D"/>
    <w:rsid w:val="00B04AA9"/>
    <w:rsid w:val="00B054D8"/>
    <w:rsid w:val="00B0572C"/>
    <w:rsid w:val="00B06070"/>
    <w:rsid w:val="00B06273"/>
    <w:rsid w:val="00B066EE"/>
    <w:rsid w:val="00B0693C"/>
    <w:rsid w:val="00B07D8E"/>
    <w:rsid w:val="00B10584"/>
    <w:rsid w:val="00B11ADC"/>
    <w:rsid w:val="00B1217D"/>
    <w:rsid w:val="00B122DA"/>
    <w:rsid w:val="00B1245D"/>
    <w:rsid w:val="00B12A45"/>
    <w:rsid w:val="00B12D0D"/>
    <w:rsid w:val="00B13DF3"/>
    <w:rsid w:val="00B13E94"/>
    <w:rsid w:val="00B14121"/>
    <w:rsid w:val="00B14950"/>
    <w:rsid w:val="00B15046"/>
    <w:rsid w:val="00B15111"/>
    <w:rsid w:val="00B151D7"/>
    <w:rsid w:val="00B155E8"/>
    <w:rsid w:val="00B16128"/>
    <w:rsid w:val="00B1662A"/>
    <w:rsid w:val="00B166AE"/>
    <w:rsid w:val="00B16BF9"/>
    <w:rsid w:val="00B16C2E"/>
    <w:rsid w:val="00B17275"/>
    <w:rsid w:val="00B175D2"/>
    <w:rsid w:val="00B1798F"/>
    <w:rsid w:val="00B17DCE"/>
    <w:rsid w:val="00B17E13"/>
    <w:rsid w:val="00B17EB3"/>
    <w:rsid w:val="00B20301"/>
    <w:rsid w:val="00B204A7"/>
    <w:rsid w:val="00B2061A"/>
    <w:rsid w:val="00B20795"/>
    <w:rsid w:val="00B2120F"/>
    <w:rsid w:val="00B21215"/>
    <w:rsid w:val="00B213A3"/>
    <w:rsid w:val="00B21B5A"/>
    <w:rsid w:val="00B21F67"/>
    <w:rsid w:val="00B22671"/>
    <w:rsid w:val="00B2278C"/>
    <w:rsid w:val="00B22BDD"/>
    <w:rsid w:val="00B2386D"/>
    <w:rsid w:val="00B23A00"/>
    <w:rsid w:val="00B241E6"/>
    <w:rsid w:val="00B242FD"/>
    <w:rsid w:val="00B24889"/>
    <w:rsid w:val="00B24A67"/>
    <w:rsid w:val="00B24BCE"/>
    <w:rsid w:val="00B25162"/>
    <w:rsid w:val="00B254DB"/>
    <w:rsid w:val="00B2556B"/>
    <w:rsid w:val="00B256B5"/>
    <w:rsid w:val="00B262AD"/>
    <w:rsid w:val="00B264A2"/>
    <w:rsid w:val="00B26C1F"/>
    <w:rsid w:val="00B27004"/>
    <w:rsid w:val="00B27129"/>
    <w:rsid w:val="00B271B0"/>
    <w:rsid w:val="00B273F9"/>
    <w:rsid w:val="00B2761D"/>
    <w:rsid w:val="00B30414"/>
    <w:rsid w:val="00B31110"/>
    <w:rsid w:val="00B317DF"/>
    <w:rsid w:val="00B31C6A"/>
    <w:rsid w:val="00B31DE8"/>
    <w:rsid w:val="00B31EBF"/>
    <w:rsid w:val="00B32BE7"/>
    <w:rsid w:val="00B32C88"/>
    <w:rsid w:val="00B3333C"/>
    <w:rsid w:val="00B33BCC"/>
    <w:rsid w:val="00B33C3A"/>
    <w:rsid w:val="00B3420C"/>
    <w:rsid w:val="00B34B6E"/>
    <w:rsid w:val="00B34D7A"/>
    <w:rsid w:val="00B3528B"/>
    <w:rsid w:val="00B35C50"/>
    <w:rsid w:val="00B362FE"/>
    <w:rsid w:val="00B364F7"/>
    <w:rsid w:val="00B36641"/>
    <w:rsid w:val="00B36A21"/>
    <w:rsid w:val="00B36FF8"/>
    <w:rsid w:val="00B373A8"/>
    <w:rsid w:val="00B4011A"/>
    <w:rsid w:val="00B4068F"/>
    <w:rsid w:val="00B40FE1"/>
    <w:rsid w:val="00B41B9A"/>
    <w:rsid w:val="00B42380"/>
    <w:rsid w:val="00B42F80"/>
    <w:rsid w:val="00B431F1"/>
    <w:rsid w:val="00B43A90"/>
    <w:rsid w:val="00B43B59"/>
    <w:rsid w:val="00B43BFA"/>
    <w:rsid w:val="00B44BA1"/>
    <w:rsid w:val="00B44BF0"/>
    <w:rsid w:val="00B452A2"/>
    <w:rsid w:val="00B453AA"/>
    <w:rsid w:val="00B45579"/>
    <w:rsid w:val="00B45742"/>
    <w:rsid w:val="00B4577C"/>
    <w:rsid w:val="00B45911"/>
    <w:rsid w:val="00B45CD9"/>
    <w:rsid w:val="00B45ED2"/>
    <w:rsid w:val="00B45F71"/>
    <w:rsid w:val="00B46676"/>
    <w:rsid w:val="00B4670D"/>
    <w:rsid w:val="00B469AB"/>
    <w:rsid w:val="00B4720B"/>
    <w:rsid w:val="00B474B1"/>
    <w:rsid w:val="00B47735"/>
    <w:rsid w:val="00B47CE3"/>
    <w:rsid w:val="00B47D97"/>
    <w:rsid w:val="00B47E50"/>
    <w:rsid w:val="00B501B4"/>
    <w:rsid w:val="00B51287"/>
    <w:rsid w:val="00B51937"/>
    <w:rsid w:val="00B51B4A"/>
    <w:rsid w:val="00B521C2"/>
    <w:rsid w:val="00B5279E"/>
    <w:rsid w:val="00B5282A"/>
    <w:rsid w:val="00B529F0"/>
    <w:rsid w:val="00B5345F"/>
    <w:rsid w:val="00B53AEA"/>
    <w:rsid w:val="00B53D74"/>
    <w:rsid w:val="00B54593"/>
    <w:rsid w:val="00B545AD"/>
    <w:rsid w:val="00B54B20"/>
    <w:rsid w:val="00B54F29"/>
    <w:rsid w:val="00B555DC"/>
    <w:rsid w:val="00B55D6C"/>
    <w:rsid w:val="00B5606A"/>
    <w:rsid w:val="00B56173"/>
    <w:rsid w:val="00B56674"/>
    <w:rsid w:val="00B569DF"/>
    <w:rsid w:val="00B56CB8"/>
    <w:rsid w:val="00B56E39"/>
    <w:rsid w:val="00B56EE3"/>
    <w:rsid w:val="00B5777C"/>
    <w:rsid w:val="00B57C43"/>
    <w:rsid w:val="00B6013B"/>
    <w:rsid w:val="00B601FC"/>
    <w:rsid w:val="00B6070A"/>
    <w:rsid w:val="00B61895"/>
    <w:rsid w:val="00B61EBB"/>
    <w:rsid w:val="00B61EDB"/>
    <w:rsid w:val="00B6205F"/>
    <w:rsid w:val="00B628B4"/>
    <w:rsid w:val="00B628C1"/>
    <w:rsid w:val="00B6293A"/>
    <w:rsid w:val="00B62D47"/>
    <w:rsid w:val="00B62FDB"/>
    <w:rsid w:val="00B633DF"/>
    <w:rsid w:val="00B6402E"/>
    <w:rsid w:val="00B64376"/>
    <w:rsid w:val="00B64613"/>
    <w:rsid w:val="00B64A83"/>
    <w:rsid w:val="00B64F7A"/>
    <w:rsid w:val="00B6538B"/>
    <w:rsid w:val="00B65723"/>
    <w:rsid w:val="00B6587E"/>
    <w:rsid w:val="00B65901"/>
    <w:rsid w:val="00B65D19"/>
    <w:rsid w:val="00B65D36"/>
    <w:rsid w:val="00B65DAE"/>
    <w:rsid w:val="00B66284"/>
    <w:rsid w:val="00B662A7"/>
    <w:rsid w:val="00B662BF"/>
    <w:rsid w:val="00B66321"/>
    <w:rsid w:val="00B66493"/>
    <w:rsid w:val="00B66928"/>
    <w:rsid w:val="00B672DA"/>
    <w:rsid w:val="00B674F5"/>
    <w:rsid w:val="00B67673"/>
    <w:rsid w:val="00B67B81"/>
    <w:rsid w:val="00B67ED0"/>
    <w:rsid w:val="00B70433"/>
    <w:rsid w:val="00B70C85"/>
    <w:rsid w:val="00B71649"/>
    <w:rsid w:val="00B71B60"/>
    <w:rsid w:val="00B71C70"/>
    <w:rsid w:val="00B7223C"/>
    <w:rsid w:val="00B72288"/>
    <w:rsid w:val="00B72BCE"/>
    <w:rsid w:val="00B73687"/>
    <w:rsid w:val="00B73BA0"/>
    <w:rsid w:val="00B741EC"/>
    <w:rsid w:val="00B741FF"/>
    <w:rsid w:val="00B74935"/>
    <w:rsid w:val="00B749F0"/>
    <w:rsid w:val="00B74F05"/>
    <w:rsid w:val="00B75634"/>
    <w:rsid w:val="00B757D8"/>
    <w:rsid w:val="00B7584C"/>
    <w:rsid w:val="00B767BC"/>
    <w:rsid w:val="00B76B5D"/>
    <w:rsid w:val="00B76C65"/>
    <w:rsid w:val="00B7700E"/>
    <w:rsid w:val="00B77317"/>
    <w:rsid w:val="00B776F8"/>
    <w:rsid w:val="00B77A3C"/>
    <w:rsid w:val="00B77C91"/>
    <w:rsid w:val="00B77E48"/>
    <w:rsid w:val="00B77FE8"/>
    <w:rsid w:val="00B8007B"/>
    <w:rsid w:val="00B804CB"/>
    <w:rsid w:val="00B80514"/>
    <w:rsid w:val="00B80BD6"/>
    <w:rsid w:val="00B810FB"/>
    <w:rsid w:val="00B8173D"/>
    <w:rsid w:val="00B81A17"/>
    <w:rsid w:val="00B81A5A"/>
    <w:rsid w:val="00B81DDB"/>
    <w:rsid w:val="00B81DE7"/>
    <w:rsid w:val="00B81FF7"/>
    <w:rsid w:val="00B8200A"/>
    <w:rsid w:val="00B826FA"/>
    <w:rsid w:val="00B82800"/>
    <w:rsid w:val="00B83176"/>
    <w:rsid w:val="00B8319B"/>
    <w:rsid w:val="00B83E74"/>
    <w:rsid w:val="00B8418E"/>
    <w:rsid w:val="00B849B8"/>
    <w:rsid w:val="00B85395"/>
    <w:rsid w:val="00B857A3"/>
    <w:rsid w:val="00B85864"/>
    <w:rsid w:val="00B85BFD"/>
    <w:rsid w:val="00B85CF0"/>
    <w:rsid w:val="00B8657C"/>
    <w:rsid w:val="00B8730B"/>
    <w:rsid w:val="00B873B5"/>
    <w:rsid w:val="00B87904"/>
    <w:rsid w:val="00B87A01"/>
    <w:rsid w:val="00B900FC"/>
    <w:rsid w:val="00B90A6F"/>
    <w:rsid w:val="00B90C2C"/>
    <w:rsid w:val="00B912E8"/>
    <w:rsid w:val="00B9149F"/>
    <w:rsid w:val="00B916C4"/>
    <w:rsid w:val="00B918E3"/>
    <w:rsid w:val="00B91B27"/>
    <w:rsid w:val="00B91EC9"/>
    <w:rsid w:val="00B920CA"/>
    <w:rsid w:val="00B92254"/>
    <w:rsid w:val="00B925B4"/>
    <w:rsid w:val="00B92AD0"/>
    <w:rsid w:val="00B93475"/>
    <w:rsid w:val="00B93892"/>
    <w:rsid w:val="00B93E15"/>
    <w:rsid w:val="00B9417F"/>
    <w:rsid w:val="00B96596"/>
    <w:rsid w:val="00B96717"/>
    <w:rsid w:val="00B97634"/>
    <w:rsid w:val="00B97AD3"/>
    <w:rsid w:val="00B97DEC"/>
    <w:rsid w:val="00B97EBC"/>
    <w:rsid w:val="00BA07E4"/>
    <w:rsid w:val="00BA0C6A"/>
    <w:rsid w:val="00BA1639"/>
    <w:rsid w:val="00BA1D92"/>
    <w:rsid w:val="00BA27BE"/>
    <w:rsid w:val="00BA2F57"/>
    <w:rsid w:val="00BA30E5"/>
    <w:rsid w:val="00BA31FC"/>
    <w:rsid w:val="00BA34D5"/>
    <w:rsid w:val="00BA365F"/>
    <w:rsid w:val="00BA378C"/>
    <w:rsid w:val="00BA4A36"/>
    <w:rsid w:val="00BA54C3"/>
    <w:rsid w:val="00BA68AD"/>
    <w:rsid w:val="00BA6C1E"/>
    <w:rsid w:val="00BA6D27"/>
    <w:rsid w:val="00BA6FAA"/>
    <w:rsid w:val="00BA73BE"/>
    <w:rsid w:val="00BA7412"/>
    <w:rsid w:val="00BA77BA"/>
    <w:rsid w:val="00BA788C"/>
    <w:rsid w:val="00BB02B3"/>
    <w:rsid w:val="00BB112E"/>
    <w:rsid w:val="00BB1C41"/>
    <w:rsid w:val="00BB2302"/>
    <w:rsid w:val="00BB3220"/>
    <w:rsid w:val="00BB345A"/>
    <w:rsid w:val="00BB363E"/>
    <w:rsid w:val="00BB3C82"/>
    <w:rsid w:val="00BB3D22"/>
    <w:rsid w:val="00BB3F11"/>
    <w:rsid w:val="00BB4498"/>
    <w:rsid w:val="00BB45A7"/>
    <w:rsid w:val="00BB5E00"/>
    <w:rsid w:val="00BB6130"/>
    <w:rsid w:val="00BB6CFD"/>
    <w:rsid w:val="00BB75EA"/>
    <w:rsid w:val="00BB7AFB"/>
    <w:rsid w:val="00BB7E42"/>
    <w:rsid w:val="00BB7F35"/>
    <w:rsid w:val="00BC0253"/>
    <w:rsid w:val="00BC071D"/>
    <w:rsid w:val="00BC0947"/>
    <w:rsid w:val="00BC0B9E"/>
    <w:rsid w:val="00BC0CF6"/>
    <w:rsid w:val="00BC0FAF"/>
    <w:rsid w:val="00BC1387"/>
    <w:rsid w:val="00BC15B8"/>
    <w:rsid w:val="00BC1606"/>
    <w:rsid w:val="00BC1BAE"/>
    <w:rsid w:val="00BC1C3F"/>
    <w:rsid w:val="00BC2057"/>
    <w:rsid w:val="00BC2664"/>
    <w:rsid w:val="00BC279C"/>
    <w:rsid w:val="00BC2954"/>
    <w:rsid w:val="00BC2B44"/>
    <w:rsid w:val="00BC2D63"/>
    <w:rsid w:val="00BC31E3"/>
    <w:rsid w:val="00BC4390"/>
    <w:rsid w:val="00BC4409"/>
    <w:rsid w:val="00BC473B"/>
    <w:rsid w:val="00BC4841"/>
    <w:rsid w:val="00BC4A35"/>
    <w:rsid w:val="00BC4BBB"/>
    <w:rsid w:val="00BC507A"/>
    <w:rsid w:val="00BC522C"/>
    <w:rsid w:val="00BC6B93"/>
    <w:rsid w:val="00BC737E"/>
    <w:rsid w:val="00BC7809"/>
    <w:rsid w:val="00BC7CAB"/>
    <w:rsid w:val="00BC7F8F"/>
    <w:rsid w:val="00BD034D"/>
    <w:rsid w:val="00BD0362"/>
    <w:rsid w:val="00BD2219"/>
    <w:rsid w:val="00BD2296"/>
    <w:rsid w:val="00BD2351"/>
    <w:rsid w:val="00BD24D2"/>
    <w:rsid w:val="00BD2B9C"/>
    <w:rsid w:val="00BD2E4E"/>
    <w:rsid w:val="00BD3771"/>
    <w:rsid w:val="00BD3A21"/>
    <w:rsid w:val="00BD3FA9"/>
    <w:rsid w:val="00BD422A"/>
    <w:rsid w:val="00BD4B22"/>
    <w:rsid w:val="00BD4C7B"/>
    <w:rsid w:val="00BD59BB"/>
    <w:rsid w:val="00BD5AF9"/>
    <w:rsid w:val="00BD5EC8"/>
    <w:rsid w:val="00BD62CF"/>
    <w:rsid w:val="00BD6484"/>
    <w:rsid w:val="00BD6F04"/>
    <w:rsid w:val="00BD7176"/>
    <w:rsid w:val="00BD71F9"/>
    <w:rsid w:val="00BD73CC"/>
    <w:rsid w:val="00BD751B"/>
    <w:rsid w:val="00BD7A81"/>
    <w:rsid w:val="00BD7AF6"/>
    <w:rsid w:val="00BD7C55"/>
    <w:rsid w:val="00BD7CE7"/>
    <w:rsid w:val="00BE0661"/>
    <w:rsid w:val="00BE0C51"/>
    <w:rsid w:val="00BE0F6F"/>
    <w:rsid w:val="00BE15ED"/>
    <w:rsid w:val="00BE1927"/>
    <w:rsid w:val="00BE1D2E"/>
    <w:rsid w:val="00BE1E7F"/>
    <w:rsid w:val="00BE2049"/>
    <w:rsid w:val="00BE2721"/>
    <w:rsid w:val="00BE2E08"/>
    <w:rsid w:val="00BE3BE2"/>
    <w:rsid w:val="00BE3E8D"/>
    <w:rsid w:val="00BE4229"/>
    <w:rsid w:val="00BE4669"/>
    <w:rsid w:val="00BE4984"/>
    <w:rsid w:val="00BE4A30"/>
    <w:rsid w:val="00BE4BA5"/>
    <w:rsid w:val="00BE50A0"/>
    <w:rsid w:val="00BE51A4"/>
    <w:rsid w:val="00BE5214"/>
    <w:rsid w:val="00BE5EC9"/>
    <w:rsid w:val="00BE613E"/>
    <w:rsid w:val="00BE64CF"/>
    <w:rsid w:val="00BE6DBD"/>
    <w:rsid w:val="00BE7E36"/>
    <w:rsid w:val="00BE7F04"/>
    <w:rsid w:val="00BF0BC0"/>
    <w:rsid w:val="00BF121C"/>
    <w:rsid w:val="00BF12A3"/>
    <w:rsid w:val="00BF12CF"/>
    <w:rsid w:val="00BF184A"/>
    <w:rsid w:val="00BF1F3A"/>
    <w:rsid w:val="00BF204B"/>
    <w:rsid w:val="00BF22F1"/>
    <w:rsid w:val="00BF321D"/>
    <w:rsid w:val="00BF33DC"/>
    <w:rsid w:val="00BF34DB"/>
    <w:rsid w:val="00BF3783"/>
    <w:rsid w:val="00BF3786"/>
    <w:rsid w:val="00BF3828"/>
    <w:rsid w:val="00BF3D8A"/>
    <w:rsid w:val="00BF4087"/>
    <w:rsid w:val="00BF40F6"/>
    <w:rsid w:val="00BF4C4D"/>
    <w:rsid w:val="00BF4D96"/>
    <w:rsid w:val="00BF4F11"/>
    <w:rsid w:val="00BF4F1F"/>
    <w:rsid w:val="00BF5B76"/>
    <w:rsid w:val="00BF5F30"/>
    <w:rsid w:val="00BF6BDB"/>
    <w:rsid w:val="00BF6CDD"/>
    <w:rsid w:val="00BF7379"/>
    <w:rsid w:val="00BF75C8"/>
    <w:rsid w:val="00BF7856"/>
    <w:rsid w:val="00BF7FED"/>
    <w:rsid w:val="00C001E6"/>
    <w:rsid w:val="00C004F1"/>
    <w:rsid w:val="00C00CEE"/>
    <w:rsid w:val="00C0132E"/>
    <w:rsid w:val="00C0183E"/>
    <w:rsid w:val="00C019B8"/>
    <w:rsid w:val="00C01E7F"/>
    <w:rsid w:val="00C01F97"/>
    <w:rsid w:val="00C02364"/>
    <w:rsid w:val="00C02C3D"/>
    <w:rsid w:val="00C02DC9"/>
    <w:rsid w:val="00C02DD7"/>
    <w:rsid w:val="00C02ECB"/>
    <w:rsid w:val="00C02ED1"/>
    <w:rsid w:val="00C0317D"/>
    <w:rsid w:val="00C03617"/>
    <w:rsid w:val="00C03884"/>
    <w:rsid w:val="00C04B3A"/>
    <w:rsid w:val="00C04B7F"/>
    <w:rsid w:val="00C04D6C"/>
    <w:rsid w:val="00C04FAB"/>
    <w:rsid w:val="00C054C1"/>
    <w:rsid w:val="00C06406"/>
    <w:rsid w:val="00C0667F"/>
    <w:rsid w:val="00C0690A"/>
    <w:rsid w:val="00C06AC1"/>
    <w:rsid w:val="00C06E5F"/>
    <w:rsid w:val="00C0732F"/>
    <w:rsid w:val="00C073AB"/>
    <w:rsid w:val="00C07566"/>
    <w:rsid w:val="00C10C9F"/>
    <w:rsid w:val="00C110D8"/>
    <w:rsid w:val="00C124DC"/>
    <w:rsid w:val="00C129FE"/>
    <w:rsid w:val="00C13386"/>
    <w:rsid w:val="00C134D5"/>
    <w:rsid w:val="00C137DB"/>
    <w:rsid w:val="00C13CFC"/>
    <w:rsid w:val="00C13F16"/>
    <w:rsid w:val="00C1484E"/>
    <w:rsid w:val="00C14A6B"/>
    <w:rsid w:val="00C14AD7"/>
    <w:rsid w:val="00C14EF8"/>
    <w:rsid w:val="00C16159"/>
    <w:rsid w:val="00C161CA"/>
    <w:rsid w:val="00C16DD5"/>
    <w:rsid w:val="00C17EE9"/>
    <w:rsid w:val="00C2053B"/>
    <w:rsid w:val="00C21394"/>
    <w:rsid w:val="00C2142F"/>
    <w:rsid w:val="00C217CC"/>
    <w:rsid w:val="00C2215D"/>
    <w:rsid w:val="00C227E9"/>
    <w:rsid w:val="00C22920"/>
    <w:rsid w:val="00C22974"/>
    <w:rsid w:val="00C23FD4"/>
    <w:rsid w:val="00C24553"/>
    <w:rsid w:val="00C24953"/>
    <w:rsid w:val="00C249A5"/>
    <w:rsid w:val="00C24CD1"/>
    <w:rsid w:val="00C24E78"/>
    <w:rsid w:val="00C25447"/>
    <w:rsid w:val="00C25727"/>
    <w:rsid w:val="00C25A71"/>
    <w:rsid w:val="00C25EFE"/>
    <w:rsid w:val="00C26408"/>
    <w:rsid w:val="00C264F6"/>
    <w:rsid w:val="00C26682"/>
    <w:rsid w:val="00C2682E"/>
    <w:rsid w:val="00C2709A"/>
    <w:rsid w:val="00C275EF"/>
    <w:rsid w:val="00C2778D"/>
    <w:rsid w:val="00C279D5"/>
    <w:rsid w:val="00C3031A"/>
    <w:rsid w:val="00C309E5"/>
    <w:rsid w:val="00C31067"/>
    <w:rsid w:val="00C31735"/>
    <w:rsid w:val="00C31FAF"/>
    <w:rsid w:val="00C31FC5"/>
    <w:rsid w:val="00C32CA3"/>
    <w:rsid w:val="00C32CC4"/>
    <w:rsid w:val="00C32E57"/>
    <w:rsid w:val="00C33199"/>
    <w:rsid w:val="00C335D1"/>
    <w:rsid w:val="00C33CC5"/>
    <w:rsid w:val="00C34379"/>
    <w:rsid w:val="00C3454B"/>
    <w:rsid w:val="00C34CEB"/>
    <w:rsid w:val="00C34EEB"/>
    <w:rsid w:val="00C356AF"/>
    <w:rsid w:val="00C358AA"/>
    <w:rsid w:val="00C359AE"/>
    <w:rsid w:val="00C35F32"/>
    <w:rsid w:val="00C3601E"/>
    <w:rsid w:val="00C3614B"/>
    <w:rsid w:val="00C366D0"/>
    <w:rsid w:val="00C3712D"/>
    <w:rsid w:val="00C37675"/>
    <w:rsid w:val="00C3782B"/>
    <w:rsid w:val="00C402D4"/>
    <w:rsid w:val="00C40496"/>
    <w:rsid w:val="00C40E38"/>
    <w:rsid w:val="00C4113D"/>
    <w:rsid w:val="00C4156E"/>
    <w:rsid w:val="00C419FB"/>
    <w:rsid w:val="00C41C28"/>
    <w:rsid w:val="00C422F9"/>
    <w:rsid w:val="00C429D6"/>
    <w:rsid w:val="00C4371D"/>
    <w:rsid w:val="00C43F95"/>
    <w:rsid w:val="00C452FE"/>
    <w:rsid w:val="00C45532"/>
    <w:rsid w:val="00C45596"/>
    <w:rsid w:val="00C456A3"/>
    <w:rsid w:val="00C45C0A"/>
    <w:rsid w:val="00C46761"/>
    <w:rsid w:val="00C46828"/>
    <w:rsid w:val="00C4715D"/>
    <w:rsid w:val="00C47D76"/>
    <w:rsid w:val="00C5036F"/>
    <w:rsid w:val="00C5173A"/>
    <w:rsid w:val="00C5191E"/>
    <w:rsid w:val="00C51C7A"/>
    <w:rsid w:val="00C51EB7"/>
    <w:rsid w:val="00C5247B"/>
    <w:rsid w:val="00C5295C"/>
    <w:rsid w:val="00C530C8"/>
    <w:rsid w:val="00C53462"/>
    <w:rsid w:val="00C53F33"/>
    <w:rsid w:val="00C543C0"/>
    <w:rsid w:val="00C54717"/>
    <w:rsid w:val="00C54B9F"/>
    <w:rsid w:val="00C54F4C"/>
    <w:rsid w:val="00C551A9"/>
    <w:rsid w:val="00C5526D"/>
    <w:rsid w:val="00C556F5"/>
    <w:rsid w:val="00C55847"/>
    <w:rsid w:val="00C55B2B"/>
    <w:rsid w:val="00C5606A"/>
    <w:rsid w:val="00C56093"/>
    <w:rsid w:val="00C56585"/>
    <w:rsid w:val="00C56917"/>
    <w:rsid w:val="00C56AD5"/>
    <w:rsid w:val="00C56BF1"/>
    <w:rsid w:val="00C56C89"/>
    <w:rsid w:val="00C56FC4"/>
    <w:rsid w:val="00C57935"/>
    <w:rsid w:val="00C6029A"/>
    <w:rsid w:val="00C60A78"/>
    <w:rsid w:val="00C60B5E"/>
    <w:rsid w:val="00C61144"/>
    <w:rsid w:val="00C612F4"/>
    <w:rsid w:val="00C61678"/>
    <w:rsid w:val="00C61E09"/>
    <w:rsid w:val="00C62621"/>
    <w:rsid w:val="00C627FC"/>
    <w:rsid w:val="00C62927"/>
    <w:rsid w:val="00C62CEC"/>
    <w:rsid w:val="00C63057"/>
    <w:rsid w:val="00C63F95"/>
    <w:rsid w:val="00C64454"/>
    <w:rsid w:val="00C644F5"/>
    <w:rsid w:val="00C6487A"/>
    <w:rsid w:val="00C652E5"/>
    <w:rsid w:val="00C655AB"/>
    <w:rsid w:val="00C65D12"/>
    <w:rsid w:val="00C65D68"/>
    <w:rsid w:val="00C65DC7"/>
    <w:rsid w:val="00C66188"/>
    <w:rsid w:val="00C663AD"/>
    <w:rsid w:val="00C66770"/>
    <w:rsid w:val="00C66D97"/>
    <w:rsid w:val="00C676BA"/>
    <w:rsid w:val="00C67C6C"/>
    <w:rsid w:val="00C7046B"/>
    <w:rsid w:val="00C70DAE"/>
    <w:rsid w:val="00C7137F"/>
    <w:rsid w:val="00C71804"/>
    <w:rsid w:val="00C71FA9"/>
    <w:rsid w:val="00C7227E"/>
    <w:rsid w:val="00C7234B"/>
    <w:rsid w:val="00C7297D"/>
    <w:rsid w:val="00C72A3B"/>
    <w:rsid w:val="00C72BDD"/>
    <w:rsid w:val="00C7301B"/>
    <w:rsid w:val="00C743D4"/>
    <w:rsid w:val="00C7493F"/>
    <w:rsid w:val="00C74D42"/>
    <w:rsid w:val="00C74F11"/>
    <w:rsid w:val="00C74F44"/>
    <w:rsid w:val="00C75079"/>
    <w:rsid w:val="00C76D1C"/>
    <w:rsid w:val="00C76FEC"/>
    <w:rsid w:val="00C7744F"/>
    <w:rsid w:val="00C77796"/>
    <w:rsid w:val="00C77A1A"/>
    <w:rsid w:val="00C80768"/>
    <w:rsid w:val="00C807BD"/>
    <w:rsid w:val="00C808F0"/>
    <w:rsid w:val="00C80A13"/>
    <w:rsid w:val="00C8109B"/>
    <w:rsid w:val="00C81192"/>
    <w:rsid w:val="00C8121B"/>
    <w:rsid w:val="00C81735"/>
    <w:rsid w:val="00C81BBC"/>
    <w:rsid w:val="00C81D9A"/>
    <w:rsid w:val="00C81FEA"/>
    <w:rsid w:val="00C82126"/>
    <w:rsid w:val="00C82A4E"/>
    <w:rsid w:val="00C82B6D"/>
    <w:rsid w:val="00C82B80"/>
    <w:rsid w:val="00C82B92"/>
    <w:rsid w:val="00C84B3E"/>
    <w:rsid w:val="00C84C1F"/>
    <w:rsid w:val="00C84FDD"/>
    <w:rsid w:val="00C8598F"/>
    <w:rsid w:val="00C859E3"/>
    <w:rsid w:val="00C85E7C"/>
    <w:rsid w:val="00C86A75"/>
    <w:rsid w:val="00C871A7"/>
    <w:rsid w:val="00C876B7"/>
    <w:rsid w:val="00C87C08"/>
    <w:rsid w:val="00C87EEE"/>
    <w:rsid w:val="00C87F4B"/>
    <w:rsid w:val="00C90831"/>
    <w:rsid w:val="00C90B53"/>
    <w:rsid w:val="00C9122B"/>
    <w:rsid w:val="00C929D2"/>
    <w:rsid w:val="00C92FF9"/>
    <w:rsid w:val="00C93117"/>
    <w:rsid w:val="00C93605"/>
    <w:rsid w:val="00C939B7"/>
    <w:rsid w:val="00C942A9"/>
    <w:rsid w:val="00C949DE"/>
    <w:rsid w:val="00C96AED"/>
    <w:rsid w:val="00C96E79"/>
    <w:rsid w:val="00C973D9"/>
    <w:rsid w:val="00C9764F"/>
    <w:rsid w:val="00C9799C"/>
    <w:rsid w:val="00C97AF3"/>
    <w:rsid w:val="00CA0228"/>
    <w:rsid w:val="00CA05ED"/>
    <w:rsid w:val="00CA1B57"/>
    <w:rsid w:val="00CA1B9F"/>
    <w:rsid w:val="00CA1C6F"/>
    <w:rsid w:val="00CA2659"/>
    <w:rsid w:val="00CA2A60"/>
    <w:rsid w:val="00CA2B24"/>
    <w:rsid w:val="00CA2CC7"/>
    <w:rsid w:val="00CA3BAC"/>
    <w:rsid w:val="00CA423D"/>
    <w:rsid w:val="00CA4D15"/>
    <w:rsid w:val="00CA5A00"/>
    <w:rsid w:val="00CA5B4F"/>
    <w:rsid w:val="00CA5FB2"/>
    <w:rsid w:val="00CA6A56"/>
    <w:rsid w:val="00CA6A84"/>
    <w:rsid w:val="00CA6F43"/>
    <w:rsid w:val="00CA72F5"/>
    <w:rsid w:val="00CA73FF"/>
    <w:rsid w:val="00CA7493"/>
    <w:rsid w:val="00CA7508"/>
    <w:rsid w:val="00CA77F1"/>
    <w:rsid w:val="00CA7C54"/>
    <w:rsid w:val="00CB0C06"/>
    <w:rsid w:val="00CB0EA8"/>
    <w:rsid w:val="00CB1005"/>
    <w:rsid w:val="00CB14D2"/>
    <w:rsid w:val="00CB173B"/>
    <w:rsid w:val="00CB174C"/>
    <w:rsid w:val="00CB1A0A"/>
    <w:rsid w:val="00CB20D6"/>
    <w:rsid w:val="00CB24E5"/>
    <w:rsid w:val="00CB2CA0"/>
    <w:rsid w:val="00CB2CB8"/>
    <w:rsid w:val="00CB2D15"/>
    <w:rsid w:val="00CB3232"/>
    <w:rsid w:val="00CB3638"/>
    <w:rsid w:val="00CB4B12"/>
    <w:rsid w:val="00CB4CA9"/>
    <w:rsid w:val="00CB4EDC"/>
    <w:rsid w:val="00CB5FBB"/>
    <w:rsid w:val="00CB6318"/>
    <w:rsid w:val="00CB6349"/>
    <w:rsid w:val="00CB69CB"/>
    <w:rsid w:val="00CB6A2F"/>
    <w:rsid w:val="00CB724C"/>
    <w:rsid w:val="00CB75BE"/>
    <w:rsid w:val="00CB7944"/>
    <w:rsid w:val="00CB7BE7"/>
    <w:rsid w:val="00CC0042"/>
    <w:rsid w:val="00CC045B"/>
    <w:rsid w:val="00CC0579"/>
    <w:rsid w:val="00CC0E31"/>
    <w:rsid w:val="00CC0E68"/>
    <w:rsid w:val="00CC0F09"/>
    <w:rsid w:val="00CC147C"/>
    <w:rsid w:val="00CC1616"/>
    <w:rsid w:val="00CC194E"/>
    <w:rsid w:val="00CC2E08"/>
    <w:rsid w:val="00CC3201"/>
    <w:rsid w:val="00CC32F5"/>
    <w:rsid w:val="00CC3307"/>
    <w:rsid w:val="00CC35B9"/>
    <w:rsid w:val="00CC41DF"/>
    <w:rsid w:val="00CC4512"/>
    <w:rsid w:val="00CC5F9D"/>
    <w:rsid w:val="00CC616A"/>
    <w:rsid w:val="00CC6679"/>
    <w:rsid w:val="00CC6A98"/>
    <w:rsid w:val="00CC6F2A"/>
    <w:rsid w:val="00CC70BC"/>
    <w:rsid w:val="00CC773A"/>
    <w:rsid w:val="00CC78A2"/>
    <w:rsid w:val="00CC7934"/>
    <w:rsid w:val="00CD035A"/>
    <w:rsid w:val="00CD05EF"/>
    <w:rsid w:val="00CD0827"/>
    <w:rsid w:val="00CD1600"/>
    <w:rsid w:val="00CD1B92"/>
    <w:rsid w:val="00CD1B95"/>
    <w:rsid w:val="00CD2673"/>
    <w:rsid w:val="00CD2716"/>
    <w:rsid w:val="00CD2976"/>
    <w:rsid w:val="00CD2D71"/>
    <w:rsid w:val="00CD2EAA"/>
    <w:rsid w:val="00CD33BD"/>
    <w:rsid w:val="00CD377A"/>
    <w:rsid w:val="00CD385F"/>
    <w:rsid w:val="00CD3FAC"/>
    <w:rsid w:val="00CD4477"/>
    <w:rsid w:val="00CD4CA2"/>
    <w:rsid w:val="00CD4CB7"/>
    <w:rsid w:val="00CD4E6E"/>
    <w:rsid w:val="00CD50BE"/>
    <w:rsid w:val="00CD5214"/>
    <w:rsid w:val="00CD568A"/>
    <w:rsid w:val="00CD5FF3"/>
    <w:rsid w:val="00CD6789"/>
    <w:rsid w:val="00CD6E8F"/>
    <w:rsid w:val="00CD7202"/>
    <w:rsid w:val="00CE0390"/>
    <w:rsid w:val="00CE0730"/>
    <w:rsid w:val="00CE074A"/>
    <w:rsid w:val="00CE0E1C"/>
    <w:rsid w:val="00CE0F4E"/>
    <w:rsid w:val="00CE106B"/>
    <w:rsid w:val="00CE1C0D"/>
    <w:rsid w:val="00CE1C10"/>
    <w:rsid w:val="00CE1F96"/>
    <w:rsid w:val="00CE21C8"/>
    <w:rsid w:val="00CE2957"/>
    <w:rsid w:val="00CE329D"/>
    <w:rsid w:val="00CE3D06"/>
    <w:rsid w:val="00CE4151"/>
    <w:rsid w:val="00CE4648"/>
    <w:rsid w:val="00CE4DA0"/>
    <w:rsid w:val="00CE4E68"/>
    <w:rsid w:val="00CE5035"/>
    <w:rsid w:val="00CE5466"/>
    <w:rsid w:val="00CE57ED"/>
    <w:rsid w:val="00CE5876"/>
    <w:rsid w:val="00CE589A"/>
    <w:rsid w:val="00CE5E09"/>
    <w:rsid w:val="00CE694B"/>
    <w:rsid w:val="00CE6BE1"/>
    <w:rsid w:val="00CE723C"/>
    <w:rsid w:val="00CF0A62"/>
    <w:rsid w:val="00CF0E8E"/>
    <w:rsid w:val="00CF1181"/>
    <w:rsid w:val="00CF2000"/>
    <w:rsid w:val="00CF211E"/>
    <w:rsid w:val="00CF2171"/>
    <w:rsid w:val="00CF24D8"/>
    <w:rsid w:val="00CF2513"/>
    <w:rsid w:val="00CF2E18"/>
    <w:rsid w:val="00CF2FEE"/>
    <w:rsid w:val="00CF3044"/>
    <w:rsid w:val="00CF30CE"/>
    <w:rsid w:val="00CF3519"/>
    <w:rsid w:val="00CF37F6"/>
    <w:rsid w:val="00CF3855"/>
    <w:rsid w:val="00CF3863"/>
    <w:rsid w:val="00CF3B44"/>
    <w:rsid w:val="00CF3C6F"/>
    <w:rsid w:val="00CF3E02"/>
    <w:rsid w:val="00CF4032"/>
    <w:rsid w:val="00CF451B"/>
    <w:rsid w:val="00CF48CA"/>
    <w:rsid w:val="00CF49EF"/>
    <w:rsid w:val="00CF4D39"/>
    <w:rsid w:val="00CF4F3B"/>
    <w:rsid w:val="00CF51F0"/>
    <w:rsid w:val="00CF57E4"/>
    <w:rsid w:val="00CF58A1"/>
    <w:rsid w:val="00CF5A20"/>
    <w:rsid w:val="00CF6121"/>
    <w:rsid w:val="00CF6C32"/>
    <w:rsid w:val="00CF6CD6"/>
    <w:rsid w:val="00CF740B"/>
    <w:rsid w:val="00CF7881"/>
    <w:rsid w:val="00CF79CF"/>
    <w:rsid w:val="00CF7B91"/>
    <w:rsid w:val="00CF7C83"/>
    <w:rsid w:val="00D00433"/>
    <w:rsid w:val="00D0049F"/>
    <w:rsid w:val="00D01D94"/>
    <w:rsid w:val="00D01E6B"/>
    <w:rsid w:val="00D02BAE"/>
    <w:rsid w:val="00D037D0"/>
    <w:rsid w:val="00D03D79"/>
    <w:rsid w:val="00D0413F"/>
    <w:rsid w:val="00D04534"/>
    <w:rsid w:val="00D04AE0"/>
    <w:rsid w:val="00D05A91"/>
    <w:rsid w:val="00D06D88"/>
    <w:rsid w:val="00D07814"/>
    <w:rsid w:val="00D104E0"/>
    <w:rsid w:val="00D10C9C"/>
    <w:rsid w:val="00D116ED"/>
    <w:rsid w:val="00D117F3"/>
    <w:rsid w:val="00D119DF"/>
    <w:rsid w:val="00D12407"/>
    <w:rsid w:val="00D1266D"/>
    <w:rsid w:val="00D12C81"/>
    <w:rsid w:val="00D1345A"/>
    <w:rsid w:val="00D13914"/>
    <w:rsid w:val="00D1395F"/>
    <w:rsid w:val="00D13A18"/>
    <w:rsid w:val="00D13F34"/>
    <w:rsid w:val="00D13F54"/>
    <w:rsid w:val="00D13F67"/>
    <w:rsid w:val="00D1418C"/>
    <w:rsid w:val="00D14703"/>
    <w:rsid w:val="00D14E23"/>
    <w:rsid w:val="00D15537"/>
    <w:rsid w:val="00D15F21"/>
    <w:rsid w:val="00D161C7"/>
    <w:rsid w:val="00D1691E"/>
    <w:rsid w:val="00D16BBC"/>
    <w:rsid w:val="00D16C74"/>
    <w:rsid w:val="00D17038"/>
    <w:rsid w:val="00D170DC"/>
    <w:rsid w:val="00D17401"/>
    <w:rsid w:val="00D176EC"/>
    <w:rsid w:val="00D177D4"/>
    <w:rsid w:val="00D17E6D"/>
    <w:rsid w:val="00D17E9C"/>
    <w:rsid w:val="00D20559"/>
    <w:rsid w:val="00D21B6A"/>
    <w:rsid w:val="00D21D2B"/>
    <w:rsid w:val="00D220F8"/>
    <w:rsid w:val="00D22356"/>
    <w:rsid w:val="00D2260D"/>
    <w:rsid w:val="00D22BB5"/>
    <w:rsid w:val="00D22FDD"/>
    <w:rsid w:val="00D23350"/>
    <w:rsid w:val="00D23388"/>
    <w:rsid w:val="00D2393E"/>
    <w:rsid w:val="00D23C5A"/>
    <w:rsid w:val="00D23F96"/>
    <w:rsid w:val="00D2455F"/>
    <w:rsid w:val="00D245DE"/>
    <w:rsid w:val="00D24E14"/>
    <w:rsid w:val="00D24FD8"/>
    <w:rsid w:val="00D262FB"/>
    <w:rsid w:val="00D2664F"/>
    <w:rsid w:val="00D26712"/>
    <w:rsid w:val="00D26D23"/>
    <w:rsid w:val="00D26E5D"/>
    <w:rsid w:val="00D26F85"/>
    <w:rsid w:val="00D270FF"/>
    <w:rsid w:val="00D27412"/>
    <w:rsid w:val="00D274A3"/>
    <w:rsid w:val="00D27688"/>
    <w:rsid w:val="00D27873"/>
    <w:rsid w:val="00D27E4A"/>
    <w:rsid w:val="00D3088F"/>
    <w:rsid w:val="00D30E1B"/>
    <w:rsid w:val="00D311A7"/>
    <w:rsid w:val="00D31326"/>
    <w:rsid w:val="00D31519"/>
    <w:rsid w:val="00D31945"/>
    <w:rsid w:val="00D3195E"/>
    <w:rsid w:val="00D31A2D"/>
    <w:rsid w:val="00D32554"/>
    <w:rsid w:val="00D32825"/>
    <w:rsid w:val="00D334B6"/>
    <w:rsid w:val="00D3432B"/>
    <w:rsid w:val="00D344E8"/>
    <w:rsid w:val="00D34A31"/>
    <w:rsid w:val="00D34F04"/>
    <w:rsid w:val="00D355F8"/>
    <w:rsid w:val="00D3624E"/>
    <w:rsid w:val="00D365ED"/>
    <w:rsid w:val="00D36B8B"/>
    <w:rsid w:val="00D36FED"/>
    <w:rsid w:val="00D374F1"/>
    <w:rsid w:val="00D379A8"/>
    <w:rsid w:val="00D40199"/>
    <w:rsid w:val="00D405F2"/>
    <w:rsid w:val="00D406D1"/>
    <w:rsid w:val="00D408F6"/>
    <w:rsid w:val="00D40E1E"/>
    <w:rsid w:val="00D4104E"/>
    <w:rsid w:val="00D41EB6"/>
    <w:rsid w:val="00D41F4A"/>
    <w:rsid w:val="00D422FC"/>
    <w:rsid w:val="00D42895"/>
    <w:rsid w:val="00D42B4F"/>
    <w:rsid w:val="00D42EDE"/>
    <w:rsid w:val="00D42F6F"/>
    <w:rsid w:val="00D42FEA"/>
    <w:rsid w:val="00D4351F"/>
    <w:rsid w:val="00D43857"/>
    <w:rsid w:val="00D439A8"/>
    <w:rsid w:val="00D43AFC"/>
    <w:rsid w:val="00D43BA6"/>
    <w:rsid w:val="00D43F07"/>
    <w:rsid w:val="00D4430F"/>
    <w:rsid w:val="00D44571"/>
    <w:rsid w:val="00D44709"/>
    <w:rsid w:val="00D4490C"/>
    <w:rsid w:val="00D4536A"/>
    <w:rsid w:val="00D45650"/>
    <w:rsid w:val="00D457D6"/>
    <w:rsid w:val="00D45A3F"/>
    <w:rsid w:val="00D45F84"/>
    <w:rsid w:val="00D45FE1"/>
    <w:rsid w:val="00D464F5"/>
    <w:rsid w:val="00D464F6"/>
    <w:rsid w:val="00D46C1F"/>
    <w:rsid w:val="00D46EA9"/>
    <w:rsid w:val="00D47201"/>
    <w:rsid w:val="00D47741"/>
    <w:rsid w:val="00D47B66"/>
    <w:rsid w:val="00D47DD5"/>
    <w:rsid w:val="00D50FB8"/>
    <w:rsid w:val="00D51864"/>
    <w:rsid w:val="00D51B59"/>
    <w:rsid w:val="00D51DB7"/>
    <w:rsid w:val="00D523F2"/>
    <w:rsid w:val="00D528CD"/>
    <w:rsid w:val="00D52D64"/>
    <w:rsid w:val="00D53126"/>
    <w:rsid w:val="00D543A2"/>
    <w:rsid w:val="00D5441C"/>
    <w:rsid w:val="00D54E73"/>
    <w:rsid w:val="00D5524B"/>
    <w:rsid w:val="00D558B9"/>
    <w:rsid w:val="00D55BB6"/>
    <w:rsid w:val="00D55E55"/>
    <w:rsid w:val="00D560C7"/>
    <w:rsid w:val="00D567A2"/>
    <w:rsid w:val="00D573C8"/>
    <w:rsid w:val="00D57822"/>
    <w:rsid w:val="00D57BE0"/>
    <w:rsid w:val="00D57D57"/>
    <w:rsid w:val="00D60023"/>
    <w:rsid w:val="00D6019C"/>
    <w:rsid w:val="00D60D71"/>
    <w:rsid w:val="00D60E9B"/>
    <w:rsid w:val="00D6100C"/>
    <w:rsid w:val="00D6112A"/>
    <w:rsid w:val="00D6115A"/>
    <w:rsid w:val="00D61B9F"/>
    <w:rsid w:val="00D6244D"/>
    <w:rsid w:val="00D62654"/>
    <w:rsid w:val="00D626A9"/>
    <w:rsid w:val="00D6282D"/>
    <w:rsid w:val="00D62A9A"/>
    <w:rsid w:val="00D62ACA"/>
    <w:rsid w:val="00D62D2D"/>
    <w:rsid w:val="00D632C3"/>
    <w:rsid w:val="00D63347"/>
    <w:rsid w:val="00D63A49"/>
    <w:rsid w:val="00D63D89"/>
    <w:rsid w:val="00D640A4"/>
    <w:rsid w:val="00D64755"/>
    <w:rsid w:val="00D648DC"/>
    <w:rsid w:val="00D64B3A"/>
    <w:rsid w:val="00D64DF1"/>
    <w:rsid w:val="00D64FC7"/>
    <w:rsid w:val="00D65019"/>
    <w:rsid w:val="00D65567"/>
    <w:rsid w:val="00D65F14"/>
    <w:rsid w:val="00D65F4E"/>
    <w:rsid w:val="00D66062"/>
    <w:rsid w:val="00D6661A"/>
    <w:rsid w:val="00D666AD"/>
    <w:rsid w:val="00D669AB"/>
    <w:rsid w:val="00D66AB6"/>
    <w:rsid w:val="00D66F9A"/>
    <w:rsid w:val="00D67340"/>
    <w:rsid w:val="00D708D6"/>
    <w:rsid w:val="00D70982"/>
    <w:rsid w:val="00D70C98"/>
    <w:rsid w:val="00D70E3D"/>
    <w:rsid w:val="00D70EA8"/>
    <w:rsid w:val="00D71023"/>
    <w:rsid w:val="00D712E5"/>
    <w:rsid w:val="00D71F2E"/>
    <w:rsid w:val="00D7215D"/>
    <w:rsid w:val="00D722A6"/>
    <w:rsid w:val="00D733E7"/>
    <w:rsid w:val="00D740F0"/>
    <w:rsid w:val="00D750AC"/>
    <w:rsid w:val="00D7516D"/>
    <w:rsid w:val="00D754BA"/>
    <w:rsid w:val="00D7559F"/>
    <w:rsid w:val="00D756FC"/>
    <w:rsid w:val="00D757CB"/>
    <w:rsid w:val="00D75B20"/>
    <w:rsid w:val="00D75CED"/>
    <w:rsid w:val="00D7636B"/>
    <w:rsid w:val="00D7687C"/>
    <w:rsid w:val="00D77A00"/>
    <w:rsid w:val="00D77A9A"/>
    <w:rsid w:val="00D77FC5"/>
    <w:rsid w:val="00D80161"/>
    <w:rsid w:val="00D80410"/>
    <w:rsid w:val="00D804A3"/>
    <w:rsid w:val="00D804B3"/>
    <w:rsid w:val="00D80873"/>
    <w:rsid w:val="00D80A0C"/>
    <w:rsid w:val="00D80BA4"/>
    <w:rsid w:val="00D81160"/>
    <w:rsid w:val="00D8184E"/>
    <w:rsid w:val="00D81AAC"/>
    <w:rsid w:val="00D81D54"/>
    <w:rsid w:val="00D834F5"/>
    <w:rsid w:val="00D83708"/>
    <w:rsid w:val="00D83A3C"/>
    <w:rsid w:val="00D83C97"/>
    <w:rsid w:val="00D84371"/>
    <w:rsid w:val="00D84440"/>
    <w:rsid w:val="00D845E9"/>
    <w:rsid w:val="00D84808"/>
    <w:rsid w:val="00D84A9E"/>
    <w:rsid w:val="00D85E22"/>
    <w:rsid w:val="00D85F37"/>
    <w:rsid w:val="00D86BCE"/>
    <w:rsid w:val="00D86BD0"/>
    <w:rsid w:val="00D86C7D"/>
    <w:rsid w:val="00D87991"/>
    <w:rsid w:val="00D90A59"/>
    <w:rsid w:val="00D9121F"/>
    <w:rsid w:val="00D91328"/>
    <w:rsid w:val="00D9133A"/>
    <w:rsid w:val="00D913F0"/>
    <w:rsid w:val="00D91C6E"/>
    <w:rsid w:val="00D92499"/>
    <w:rsid w:val="00D92690"/>
    <w:rsid w:val="00D92850"/>
    <w:rsid w:val="00D93009"/>
    <w:rsid w:val="00D93245"/>
    <w:rsid w:val="00D9419F"/>
    <w:rsid w:val="00D94305"/>
    <w:rsid w:val="00D947AE"/>
    <w:rsid w:val="00D94A55"/>
    <w:rsid w:val="00D94B58"/>
    <w:rsid w:val="00D95CA2"/>
    <w:rsid w:val="00D95DB9"/>
    <w:rsid w:val="00D96AD1"/>
    <w:rsid w:val="00D96D9D"/>
    <w:rsid w:val="00D975AC"/>
    <w:rsid w:val="00D97C9C"/>
    <w:rsid w:val="00D97EAC"/>
    <w:rsid w:val="00D97FEA"/>
    <w:rsid w:val="00DA03AE"/>
    <w:rsid w:val="00DA0497"/>
    <w:rsid w:val="00DA06BF"/>
    <w:rsid w:val="00DA073B"/>
    <w:rsid w:val="00DA0945"/>
    <w:rsid w:val="00DA0C8F"/>
    <w:rsid w:val="00DA11C3"/>
    <w:rsid w:val="00DA1269"/>
    <w:rsid w:val="00DA13DA"/>
    <w:rsid w:val="00DA1D17"/>
    <w:rsid w:val="00DA1E03"/>
    <w:rsid w:val="00DA24A9"/>
    <w:rsid w:val="00DA25BE"/>
    <w:rsid w:val="00DA2D7D"/>
    <w:rsid w:val="00DA311A"/>
    <w:rsid w:val="00DA316C"/>
    <w:rsid w:val="00DA324C"/>
    <w:rsid w:val="00DA3343"/>
    <w:rsid w:val="00DA385F"/>
    <w:rsid w:val="00DA38C6"/>
    <w:rsid w:val="00DA3C6D"/>
    <w:rsid w:val="00DA3C7A"/>
    <w:rsid w:val="00DA441F"/>
    <w:rsid w:val="00DA44CB"/>
    <w:rsid w:val="00DA5238"/>
    <w:rsid w:val="00DA5371"/>
    <w:rsid w:val="00DA54CB"/>
    <w:rsid w:val="00DA54CF"/>
    <w:rsid w:val="00DA6270"/>
    <w:rsid w:val="00DA673E"/>
    <w:rsid w:val="00DA6AED"/>
    <w:rsid w:val="00DA6BFB"/>
    <w:rsid w:val="00DA6CEE"/>
    <w:rsid w:val="00DA6E9C"/>
    <w:rsid w:val="00DA7036"/>
    <w:rsid w:val="00DA732E"/>
    <w:rsid w:val="00DA73CF"/>
    <w:rsid w:val="00DA7A5B"/>
    <w:rsid w:val="00DB0269"/>
    <w:rsid w:val="00DB073A"/>
    <w:rsid w:val="00DB13E2"/>
    <w:rsid w:val="00DB1FB3"/>
    <w:rsid w:val="00DB1FF0"/>
    <w:rsid w:val="00DB2819"/>
    <w:rsid w:val="00DB2A3C"/>
    <w:rsid w:val="00DB2BBE"/>
    <w:rsid w:val="00DB3004"/>
    <w:rsid w:val="00DB32D1"/>
    <w:rsid w:val="00DB3BDC"/>
    <w:rsid w:val="00DB3C55"/>
    <w:rsid w:val="00DB3EA8"/>
    <w:rsid w:val="00DB4B3B"/>
    <w:rsid w:val="00DB4DAC"/>
    <w:rsid w:val="00DB591C"/>
    <w:rsid w:val="00DB5B55"/>
    <w:rsid w:val="00DB63E4"/>
    <w:rsid w:val="00DB704E"/>
    <w:rsid w:val="00DB713B"/>
    <w:rsid w:val="00DC01DE"/>
    <w:rsid w:val="00DC02CF"/>
    <w:rsid w:val="00DC0574"/>
    <w:rsid w:val="00DC080F"/>
    <w:rsid w:val="00DC0AF7"/>
    <w:rsid w:val="00DC0BE9"/>
    <w:rsid w:val="00DC1647"/>
    <w:rsid w:val="00DC19F4"/>
    <w:rsid w:val="00DC1F41"/>
    <w:rsid w:val="00DC24A5"/>
    <w:rsid w:val="00DC27B6"/>
    <w:rsid w:val="00DC28C2"/>
    <w:rsid w:val="00DC3293"/>
    <w:rsid w:val="00DC3493"/>
    <w:rsid w:val="00DC367F"/>
    <w:rsid w:val="00DC37F5"/>
    <w:rsid w:val="00DC3E82"/>
    <w:rsid w:val="00DC4271"/>
    <w:rsid w:val="00DC45B8"/>
    <w:rsid w:val="00DC50E4"/>
    <w:rsid w:val="00DC53EF"/>
    <w:rsid w:val="00DC54DB"/>
    <w:rsid w:val="00DC6730"/>
    <w:rsid w:val="00DC685E"/>
    <w:rsid w:val="00DC6D83"/>
    <w:rsid w:val="00DC6F7E"/>
    <w:rsid w:val="00DC70A6"/>
    <w:rsid w:val="00DC72BC"/>
    <w:rsid w:val="00DC78C7"/>
    <w:rsid w:val="00DC7A71"/>
    <w:rsid w:val="00DD1742"/>
    <w:rsid w:val="00DD1E3D"/>
    <w:rsid w:val="00DD2042"/>
    <w:rsid w:val="00DD262E"/>
    <w:rsid w:val="00DD2716"/>
    <w:rsid w:val="00DD288A"/>
    <w:rsid w:val="00DD2D41"/>
    <w:rsid w:val="00DD2E38"/>
    <w:rsid w:val="00DD3295"/>
    <w:rsid w:val="00DD3683"/>
    <w:rsid w:val="00DD42AB"/>
    <w:rsid w:val="00DD44A7"/>
    <w:rsid w:val="00DD4562"/>
    <w:rsid w:val="00DD48FD"/>
    <w:rsid w:val="00DD4E9C"/>
    <w:rsid w:val="00DD5756"/>
    <w:rsid w:val="00DD5EE5"/>
    <w:rsid w:val="00DD5EF6"/>
    <w:rsid w:val="00DD63C9"/>
    <w:rsid w:val="00DD655F"/>
    <w:rsid w:val="00DD6D74"/>
    <w:rsid w:val="00DD7704"/>
    <w:rsid w:val="00DD7973"/>
    <w:rsid w:val="00DD7E10"/>
    <w:rsid w:val="00DE0046"/>
    <w:rsid w:val="00DE0D13"/>
    <w:rsid w:val="00DE1215"/>
    <w:rsid w:val="00DE16E5"/>
    <w:rsid w:val="00DE1BF2"/>
    <w:rsid w:val="00DE2336"/>
    <w:rsid w:val="00DE2785"/>
    <w:rsid w:val="00DE2BAD"/>
    <w:rsid w:val="00DE2E98"/>
    <w:rsid w:val="00DE381B"/>
    <w:rsid w:val="00DE43F5"/>
    <w:rsid w:val="00DE4835"/>
    <w:rsid w:val="00DE4848"/>
    <w:rsid w:val="00DE583C"/>
    <w:rsid w:val="00DE5CD9"/>
    <w:rsid w:val="00DE5EC2"/>
    <w:rsid w:val="00DE5EFA"/>
    <w:rsid w:val="00DE5F73"/>
    <w:rsid w:val="00DE6502"/>
    <w:rsid w:val="00DE6D82"/>
    <w:rsid w:val="00DE7277"/>
    <w:rsid w:val="00DE7652"/>
    <w:rsid w:val="00DE7AA4"/>
    <w:rsid w:val="00DE7CFF"/>
    <w:rsid w:val="00DE7E44"/>
    <w:rsid w:val="00DF01D1"/>
    <w:rsid w:val="00DF02BD"/>
    <w:rsid w:val="00DF0369"/>
    <w:rsid w:val="00DF0989"/>
    <w:rsid w:val="00DF0D7B"/>
    <w:rsid w:val="00DF14C8"/>
    <w:rsid w:val="00DF18A3"/>
    <w:rsid w:val="00DF1B98"/>
    <w:rsid w:val="00DF2407"/>
    <w:rsid w:val="00DF25B1"/>
    <w:rsid w:val="00DF2B99"/>
    <w:rsid w:val="00DF3840"/>
    <w:rsid w:val="00DF387A"/>
    <w:rsid w:val="00DF3BFE"/>
    <w:rsid w:val="00DF3C53"/>
    <w:rsid w:val="00DF3DA2"/>
    <w:rsid w:val="00DF3E08"/>
    <w:rsid w:val="00DF3E9F"/>
    <w:rsid w:val="00DF4330"/>
    <w:rsid w:val="00DF5D82"/>
    <w:rsid w:val="00DF664F"/>
    <w:rsid w:val="00DF6AF1"/>
    <w:rsid w:val="00DF77BE"/>
    <w:rsid w:val="00DF7E40"/>
    <w:rsid w:val="00E00366"/>
    <w:rsid w:val="00E0067B"/>
    <w:rsid w:val="00E00B25"/>
    <w:rsid w:val="00E01170"/>
    <w:rsid w:val="00E01483"/>
    <w:rsid w:val="00E01876"/>
    <w:rsid w:val="00E01A91"/>
    <w:rsid w:val="00E021B8"/>
    <w:rsid w:val="00E022F7"/>
    <w:rsid w:val="00E0259E"/>
    <w:rsid w:val="00E02746"/>
    <w:rsid w:val="00E02881"/>
    <w:rsid w:val="00E02FC5"/>
    <w:rsid w:val="00E03400"/>
    <w:rsid w:val="00E03645"/>
    <w:rsid w:val="00E0371E"/>
    <w:rsid w:val="00E03C55"/>
    <w:rsid w:val="00E04557"/>
    <w:rsid w:val="00E049EB"/>
    <w:rsid w:val="00E054A5"/>
    <w:rsid w:val="00E05724"/>
    <w:rsid w:val="00E05D26"/>
    <w:rsid w:val="00E05D45"/>
    <w:rsid w:val="00E06B21"/>
    <w:rsid w:val="00E06C40"/>
    <w:rsid w:val="00E07397"/>
    <w:rsid w:val="00E07438"/>
    <w:rsid w:val="00E0783F"/>
    <w:rsid w:val="00E1013F"/>
    <w:rsid w:val="00E101A4"/>
    <w:rsid w:val="00E1086C"/>
    <w:rsid w:val="00E10E4E"/>
    <w:rsid w:val="00E110E2"/>
    <w:rsid w:val="00E119B9"/>
    <w:rsid w:val="00E121B4"/>
    <w:rsid w:val="00E12335"/>
    <w:rsid w:val="00E1233E"/>
    <w:rsid w:val="00E12A4F"/>
    <w:rsid w:val="00E12F6D"/>
    <w:rsid w:val="00E139CD"/>
    <w:rsid w:val="00E13E47"/>
    <w:rsid w:val="00E1434F"/>
    <w:rsid w:val="00E149B4"/>
    <w:rsid w:val="00E15904"/>
    <w:rsid w:val="00E162B6"/>
    <w:rsid w:val="00E16375"/>
    <w:rsid w:val="00E1666B"/>
    <w:rsid w:val="00E167BD"/>
    <w:rsid w:val="00E1699B"/>
    <w:rsid w:val="00E16F7B"/>
    <w:rsid w:val="00E17DD5"/>
    <w:rsid w:val="00E17DFD"/>
    <w:rsid w:val="00E20092"/>
    <w:rsid w:val="00E20C37"/>
    <w:rsid w:val="00E20C60"/>
    <w:rsid w:val="00E21237"/>
    <w:rsid w:val="00E214A3"/>
    <w:rsid w:val="00E21843"/>
    <w:rsid w:val="00E2198E"/>
    <w:rsid w:val="00E21B68"/>
    <w:rsid w:val="00E21D0D"/>
    <w:rsid w:val="00E21F21"/>
    <w:rsid w:val="00E223EB"/>
    <w:rsid w:val="00E22A7C"/>
    <w:rsid w:val="00E232C4"/>
    <w:rsid w:val="00E235F1"/>
    <w:rsid w:val="00E2387E"/>
    <w:rsid w:val="00E23D5C"/>
    <w:rsid w:val="00E23EB3"/>
    <w:rsid w:val="00E25238"/>
    <w:rsid w:val="00E257D1"/>
    <w:rsid w:val="00E25B2A"/>
    <w:rsid w:val="00E2629C"/>
    <w:rsid w:val="00E267CC"/>
    <w:rsid w:val="00E26ADA"/>
    <w:rsid w:val="00E274C5"/>
    <w:rsid w:val="00E275A4"/>
    <w:rsid w:val="00E278B0"/>
    <w:rsid w:val="00E27ED6"/>
    <w:rsid w:val="00E304A9"/>
    <w:rsid w:val="00E30BD8"/>
    <w:rsid w:val="00E30D6B"/>
    <w:rsid w:val="00E31698"/>
    <w:rsid w:val="00E316DA"/>
    <w:rsid w:val="00E317A6"/>
    <w:rsid w:val="00E317BD"/>
    <w:rsid w:val="00E3186E"/>
    <w:rsid w:val="00E31AF0"/>
    <w:rsid w:val="00E32180"/>
    <w:rsid w:val="00E32B20"/>
    <w:rsid w:val="00E32D0E"/>
    <w:rsid w:val="00E3310C"/>
    <w:rsid w:val="00E33552"/>
    <w:rsid w:val="00E33BCD"/>
    <w:rsid w:val="00E33DE8"/>
    <w:rsid w:val="00E33F4A"/>
    <w:rsid w:val="00E34626"/>
    <w:rsid w:val="00E3502F"/>
    <w:rsid w:val="00E350B0"/>
    <w:rsid w:val="00E35372"/>
    <w:rsid w:val="00E35B8F"/>
    <w:rsid w:val="00E3657D"/>
    <w:rsid w:val="00E36AC4"/>
    <w:rsid w:val="00E377F5"/>
    <w:rsid w:val="00E37D81"/>
    <w:rsid w:val="00E40340"/>
    <w:rsid w:val="00E41A33"/>
    <w:rsid w:val="00E43292"/>
    <w:rsid w:val="00E43309"/>
    <w:rsid w:val="00E43778"/>
    <w:rsid w:val="00E45468"/>
    <w:rsid w:val="00E45538"/>
    <w:rsid w:val="00E45AD3"/>
    <w:rsid w:val="00E45B4C"/>
    <w:rsid w:val="00E45B8E"/>
    <w:rsid w:val="00E45BBF"/>
    <w:rsid w:val="00E45BE4"/>
    <w:rsid w:val="00E45E2A"/>
    <w:rsid w:val="00E46164"/>
    <w:rsid w:val="00E46C40"/>
    <w:rsid w:val="00E47744"/>
    <w:rsid w:val="00E47FAF"/>
    <w:rsid w:val="00E5019E"/>
    <w:rsid w:val="00E504A1"/>
    <w:rsid w:val="00E50AD9"/>
    <w:rsid w:val="00E513DC"/>
    <w:rsid w:val="00E52489"/>
    <w:rsid w:val="00E52C75"/>
    <w:rsid w:val="00E52F00"/>
    <w:rsid w:val="00E5312F"/>
    <w:rsid w:val="00E53333"/>
    <w:rsid w:val="00E54000"/>
    <w:rsid w:val="00E54158"/>
    <w:rsid w:val="00E54411"/>
    <w:rsid w:val="00E5481B"/>
    <w:rsid w:val="00E54855"/>
    <w:rsid w:val="00E54860"/>
    <w:rsid w:val="00E552B9"/>
    <w:rsid w:val="00E55852"/>
    <w:rsid w:val="00E55C4B"/>
    <w:rsid w:val="00E55E37"/>
    <w:rsid w:val="00E563EB"/>
    <w:rsid w:val="00E565B5"/>
    <w:rsid w:val="00E568DD"/>
    <w:rsid w:val="00E56F05"/>
    <w:rsid w:val="00E6023E"/>
    <w:rsid w:val="00E612B6"/>
    <w:rsid w:val="00E619E5"/>
    <w:rsid w:val="00E61C10"/>
    <w:rsid w:val="00E61C1E"/>
    <w:rsid w:val="00E62829"/>
    <w:rsid w:val="00E628CD"/>
    <w:rsid w:val="00E62AFE"/>
    <w:rsid w:val="00E62FA4"/>
    <w:rsid w:val="00E63090"/>
    <w:rsid w:val="00E630C1"/>
    <w:rsid w:val="00E630CC"/>
    <w:rsid w:val="00E63660"/>
    <w:rsid w:val="00E6386A"/>
    <w:rsid w:val="00E63A3E"/>
    <w:rsid w:val="00E63A52"/>
    <w:rsid w:val="00E63FBC"/>
    <w:rsid w:val="00E64051"/>
    <w:rsid w:val="00E65804"/>
    <w:rsid w:val="00E66002"/>
    <w:rsid w:val="00E664D1"/>
    <w:rsid w:val="00E66756"/>
    <w:rsid w:val="00E66842"/>
    <w:rsid w:val="00E66898"/>
    <w:rsid w:val="00E66939"/>
    <w:rsid w:val="00E669E7"/>
    <w:rsid w:val="00E67031"/>
    <w:rsid w:val="00E673E9"/>
    <w:rsid w:val="00E67A7D"/>
    <w:rsid w:val="00E67E47"/>
    <w:rsid w:val="00E710BE"/>
    <w:rsid w:val="00E713F5"/>
    <w:rsid w:val="00E71518"/>
    <w:rsid w:val="00E717C7"/>
    <w:rsid w:val="00E71877"/>
    <w:rsid w:val="00E71A33"/>
    <w:rsid w:val="00E71E5B"/>
    <w:rsid w:val="00E725FE"/>
    <w:rsid w:val="00E729E2"/>
    <w:rsid w:val="00E72F85"/>
    <w:rsid w:val="00E7300B"/>
    <w:rsid w:val="00E7312C"/>
    <w:rsid w:val="00E735EB"/>
    <w:rsid w:val="00E7361D"/>
    <w:rsid w:val="00E73B50"/>
    <w:rsid w:val="00E73CE3"/>
    <w:rsid w:val="00E73DB7"/>
    <w:rsid w:val="00E740E9"/>
    <w:rsid w:val="00E7413D"/>
    <w:rsid w:val="00E743E7"/>
    <w:rsid w:val="00E746E0"/>
    <w:rsid w:val="00E74E76"/>
    <w:rsid w:val="00E75596"/>
    <w:rsid w:val="00E755ED"/>
    <w:rsid w:val="00E75739"/>
    <w:rsid w:val="00E76245"/>
    <w:rsid w:val="00E7757E"/>
    <w:rsid w:val="00E800B3"/>
    <w:rsid w:val="00E800CE"/>
    <w:rsid w:val="00E80150"/>
    <w:rsid w:val="00E803BD"/>
    <w:rsid w:val="00E80483"/>
    <w:rsid w:val="00E805F4"/>
    <w:rsid w:val="00E80BEB"/>
    <w:rsid w:val="00E8122D"/>
    <w:rsid w:val="00E813E1"/>
    <w:rsid w:val="00E81443"/>
    <w:rsid w:val="00E81F5B"/>
    <w:rsid w:val="00E820C1"/>
    <w:rsid w:val="00E82BB3"/>
    <w:rsid w:val="00E82ED0"/>
    <w:rsid w:val="00E83896"/>
    <w:rsid w:val="00E83A7D"/>
    <w:rsid w:val="00E83F12"/>
    <w:rsid w:val="00E84084"/>
    <w:rsid w:val="00E840C2"/>
    <w:rsid w:val="00E841EF"/>
    <w:rsid w:val="00E843E4"/>
    <w:rsid w:val="00E84684"/>
    <w:rsid w:val="00E85182"/>
    <w:rsid w:val="00E851FD"/>
    <w:rsid w:val="00E857E5"/>
    <w:rsid w:val="00E85AF0"/>
    <w:rsid w:val="00E86355"/>
    <w:rsid w:val="00E865CA"/>
    <w:rsid w:val="00E86735"/>
    <w:rsid w:val="00E86825"/>
    <w:rsid w:val="00E86A4C"/>
    <w:rsid w:val="00E874E5"/>
    <w:rsid w:val="00E87A0A"/>
    <w:rsid w:val="00E87ABC"/>
    <w:rsid w:val="00E87E3C"/>
    <w:rsid w:val="00E87EBB"/>
    <w:rsid w:val="00E87F23"/>
    <w:rsid w:val="00E903E9"/>
    <w:rsid w:val="00E90490"/>
    <w:rsid w:val="00E9170D"/>
    <w:rsid w:val="00E9255F"/>
    <w:rsid w:val="00E92A78"/>
    <w:rsid w:val="00E92E08"/>
    <w:rsid w:val="00E931C9"/>
    <w:rsid w:val="00E9348E"/>
    <w:rsid w:val="00E9350E"/>
    <w:rsid w:val="00E93592"/>
    <w:rsid w:val="00E93939"/>
    <w:rsid w:val="00E93A4B"/>
    <w:rsid w:val="00E93B6E"/>
    <w:rsid w:val="00E94031"/>
    <w:rsid w:val="00E94A9B"/>
    <w:rsid w:val="00E94C82"/>
    <w:rsid w:val="00E9572F"/>
    <w:rsid w:val="00E9608D"/>
    <w:rsid w:val="00E961EA"/>
    <w:rsid w:val="00E967E2"/>
    <w:rsid w:val="00E97487"/>
    <w:rsid w:val="00E9754D"/>
    <w:rsid w:val="00E97E41"/>
    <w:rsid w:val="00EA018C"/>
    <w:rsid w:val="00EA0BF0"/>
    <w:rsid w:val="00EA0F08"/>
    <w:rsid w:val="00EA144B"/>
    <w:rsid w:val="00EA1A87"/>
    <w:rsid w:val="00EA23AD"/>
    <w:rsid w:val="00EA248F"/>
    <w:rsid w:val="00EA25B2"/>
    <w:rsid w:val="00EA3011"/>
    <w:rsid w:val="00EA335A"/>
    <w:rsid w:val="00EA3534"/>
    <w:rsid w:val="00EA35B4"/>
    <w:rsid w:val="00EA37BE"/>
    <w:rsid w:val="00EA3867"/>
    <w:rsid w:val="00EA3F5C"/>
    <w:rsid w:val="00EA3F9D"/>
    <w:rsid w:val="00EA3FFD"/>
    <w:rsid w:val="00EA42A0"/>
    <w:rsid w:val="00EA48F9"/>
    <w:rsid w:val="00EA5222"/>
    <w:rsid w:val="00EA554F"/>
    <w:rsid w:val="00EA6D52"/>
    <w:rsid w:val="00EA71D4"/>
    <w:rsid w:val="00EB0137"/>
    <w:rsid w:val="00EB0475"/>
    <w:rsid w:val="00EB0495"/>
    <w:rsid w:val="00EB051C"/>
    <w:rsid w:val="00EB0624"/>
    <w:rsid w:val="00EB062E"/>
    <w:rsid w:val="00EB073B"/>
    <w:rsid w:val="00EB0AD2"/>
    <w:rsid w:val="00EB0AD9"/>
    <w:rsid w:val="00EB2A6D"/>
    <w:rsid w:val="00EB2EC2"/>
    <w:rsid w:val="00EB2EDE"/>
    <w:rsid w:val="00EB386C"/>
    <w:rsid w:val="00EB3B81"/>
    <w:rsid w:val="00EB418B"/>
    <w:rsid w:val="00EB48F4"/>
    <w:rsid w:val="00EB548E"/>
    <w:rsid w:val="00EB555F"/>
    <w:rsid w:val="00EB56F9"/>
    <w:rsid w:val="00EB5A95"/>
    <w:rsid w:val="00EB611E"/>
    <w:rsid w:val="00EB6400"/>
    <w:rsid w:val="00EB64A6"/>
    <w:rsid w:val="00EB6887"/>
    <w:rsid w:val="00EB6B4C"/>
    <w:rsid w:val="00EB6B66"/>
    <w:rsid w:val="00EB6F15"/>
    <w:rsid w:val="00EB7351"/>
    <w:rsid w:val="00EB739A"/>
    <w:rsid w:val="00EB7684"/>
    <w:rsid w:val="00EB77E2"/>
    <w:rsid w:val="00EB79DF"/>
    <w:rsid w:val="00EB7A50"/>
    <w:rsid w:val="00EC0069"/>
    <w:rsid w:val="00EC0222"/>
    <w:rsid w:val="00EC06DC"/>
    <w:rsid w:val="00EC0738"/>
    <w:rsid w:val="00EC07B5"/>
    <w:rsid w:val="00EC114E"/>
    <w:rsid w:val="00EC132D"/>
    <w:rsid w:val="00EC14DE"/>
    <w:rsid w:val="00EC1E97"/>
    <w:rsid w:val="00EC20B8"/>
    <w:rsid w:val="00EC20CF"/>
    <w:rsid w:val="00EC2123"/>
    <w:rsid w:val="00EC22D8"/>
    <w:rsid w:val="00EC2ADB"/>
    <w:rsid w:val="00EC2D98"/>
    <w:rsid w:val="00EC32D4"/>
    <w:rsid w:val="00EC378D"/>
    <w:rsid w:val="00EC3AA2"/>
    <w:rsid w:val="00EC4439"/>
    <w:rsid w:val="00EC4B20"/>
    <w:rsid w:val="00EC4D27"/>
    <w:rsid w:val="00EC5170"/>
    <w:rsid w:val="00EC57B7"/>
    <w:rsid w:val="00EC6195"/>
    <w:rsid w:val="00EC67F6"/>
    <w:rsid w:val="00EC7528"/>
    <w:rsid w:val="00EC75A4"/>
    <w:rsid w:val="00EC7E51"/>
    <w:rsid w:val="00EC7E9F"/>
    <w:rsid w:val="00EC7F40"/>
    <w:rsid w:val="00ED0144"/>
    <w:rsid w:val="00ED044F"/>
    <w:rsid w:val="00ED05B7"/>
    <w:rsid w:val="00ED0A12"/>
    <w:rsid w:val="00ED1120"/>
    <w:rsid w:val="00ED142D"/>
    <w:rsid w:val="00ED1856"/>
    <w:rsid w:val="00ED1C3D"/>
    <w:rsid w:val="00ED1DD3"/>
    <w:rsid w:val="00ED2012"/>
    <w:rsid w:val="00ED242A"/>
    <w:rsid w:val="00ED2542"/>
    <w:rsid w:val="00ED262C"/>
    <w:rsid w:val="00ED2922"/>
    <w:rsid w:val="00ED3646"/>
    <w:rsid w:val="00ED3C72"/>
    <w:rsid w:val="00ED3E29"/>
    <w:rsid w:val="00ED3E31"/>
    <w:rsid w:val="00ED40B6"/>
    <w:rsid w:val="00ED44C6"/>
    <w:rsid w:val="00ED458A"/>
    <w:rsid w:val="00ED4BDC"/>
    <w:rsid w:val="00ED4BF7"/>
    <w:rsid w:val="00ED4D88"/>
    <w:rsid w:val="00ED4D89"/>
    <w:rsid w:val="00ED5361"/>
    <w:rsid w:val="00ED5463"/>
    <w:rsid w:val="00ED56C7"/>
    <w:rsid w:val="00ED6179"/>
    <w:rsid w:val="00ED6A09"/>
    <w:rsid w:val="00ED6CC5"/>
    <w:rsid w:val="00ED6D53"/>
    <w:rsid w:val="00ED79EC"/>
    <w:rsid w:val="00EE05EA"/>
    <w:rsid w:val="00EE06A1"/>
    <w:rsid w:val="00EE191F"/>
    <w:rsid w:val="00EE1931"/>
    <w:rsid w:val="00EE19F2"/>
    <w:rsid w:val="00EE1B0B"/>
    <w:rsid w:val="00EE1B49"/>
    <w:rsid w:val="00EE21EF"/>
    <w:rsid w:val="00EE22CA"/>
    <w:rsid w:val="00EE24BE"/>
    <w:rsid w:val="00EE2DCD"/>
    <w:rsid w:val="00EE3359"/>
    <w:rsid w:val="00EE3ADC"/>
    <w:rsid w:val="00EE3EC5"/>
    <w:rsid w:val="00EE4485"/>
    <w:rsid w:val="00EE4773"/>
    <w:rsid w:val="00EE509B"/>
    <w:rsid w:val="00EE551A"/>
    <w:rsid w:val="00EE581A"/>
    <w:rsid w:val="00EE5D46"/>
    <w:rsid w:val="00EE67B2"/>
    <w:rsid w:val="00EE6B1B"/>
    <w:rsid w:val="00EE6BFB"/>
    <w:rsid w:val="00EE6C52"/>
    <w:rsid w:val="00EE723F"/>
    <w:rsid w:val="00EE769A"/>
    <w:rsid w:val="00EE7F5C"/>
    <w:rsid w:val="00EF0468"/>
    <w:rsid w:val="00EF144A"/>
    <w:rsid w:val="00EF146E"/>
    <w:rsid w:val="00EF268B"/>
    <w:rsid w:val="00EF2834"/>
    <w:rsid w:val="00EF28E1"/>
    <w:rsid w:val="00EF303E"/>
    <w:rsid w:val="00EF314D"/>
    <w:rsid w:val="00EF31F1"/>
    <w:rsid w:val="00EF487D"/>
    <w:rsid w:val="00EF5282"/>
    <w:rsid w:val="00EF53C6"/>
    <w:rsid w:val="00EF5916"/>
    <w:rsid w:val="00EF60CA"/>
    <w:rsid w:val="00EF6511"/>
    <w:rsid w:val="00EF66BA"/>
    <w:rsid w:val="00EF6995"/>
    <w:rsid w:val="00EF6E6F"/>
    <w:rsid w:val="00EF731D"/>
    <w:rsid w:val="00F006D7"/>
    <w:rsid w:val="00F00848"/>
    <w:rsid w:val="00F00A63"/>
    <w:rsid w:val="00F01797"/>
    <w:rsid w:val="00F020AC"/>
    <w:rsid w:val="00F023E8"/>
    <w:rsid w:val="00F02AAE"/>
    <w:rsid w:val="00F03250"/>
    <w:rsid w:val="00F040EA"/>
    <w:rsid w:val="00F04F86"/>
    <w:rsid w:val="00F04FF8"/>
    <w:rsid w:val="00F05201"/>
    <w:rsid w:val="00F057F5"/>
    <w:rsid w:val="00F06372"/>
    <w:rsid w:val="00F06508"/>
    <w:rsid w:val="00F06838"/>
    <w:rsid w:val="00F06911"/>
    <w:rsid w:val="00F0704B"/>
    <w:rsid w:val="00F070CA"/>
    <w:rsid w:val="00F07344"/>
    <w:rsid w:val="00F0741E"/>
    <w:rsid w:val="00F10036"/>
    <w:rsid w:val="00F101D5"/>
    <w:rsid w:val="00F1064D"/>
    <w:rsid w:val="00F10725"/>
    <w:rsid w:val="00F10976"/>
    <w:rsid w:val="00F10FFB"/>
    <w:rsid w:val="00F112F6"/>
    <w:rsid w:val="00F114D8"/>
    <w:rsid w:val="00F11582"/>
    <w:rsid w:val="00F115CB"/>
    <w:rsid w:val="00F11BD4"/>
    <w:rsid w:val="00F125FC"/>
    <w:rsid w:val="00F130B8"/>
    <w:rsid w:val="00F13BBC"/>
    <w:rsid w:val="00F13D9E"/>
    <w:rsid w:val="00F13F4C"/>
    <w:rsid w:val="00F142C1"/>
    <w:rsid w:val="00F14705"/>
    <w:rsid w:val="00F14D7F"/>
    <w:rsid w:val="00F15250"/>
    <w:rsid w:val="00F15461"/>
    <w:rsid w:val="00F15932"/>
    <w:rsid w:val="00F15964"/>
    <w:rsid w:val="00F15DB6"/>
    <w:rsid w:val="00F15E1B"/>
    <w:rsid w:val="00F15E86"/>
    <w:rsid w:val="00F16487"/>
    <w:rsid w:val="00F164F9"/>
    <w:rsid w:val="00F17704"/>
    <w:rsid w:val="00F17E86"/>
    <w:rsid w:val="00F17F46"/>
    <w:rsid w:val="00F2047A"/>
    <w:rsid w:val="00F2067D"/>
    <w:rsid w:val="00F2093B"/>
    <w:rsid w:val="00F20A1A"/>
    <w:rsid w:val="00F20D00"/>
    <w:rsid w:val="00F20F0D"/>
    <w:rsid w:val="00F2107A"/>
    <w:rsid w:val="00F21F01"/>
    <w:rsid w:val="00F221CE"/>
    <w:rsid w:val="00F226BA"/>
    <w:rsid w:val="00F22B3C"/>
    <w:rsid w:val="00F2324E"/>
    <w:rsid w:val="00F238A7"/>
    <w:rsid w:val="00F23A3D"/>
    <w:rsid w:val="00F23DA7"/>
    <w:rsid w:val="00F23DD4"/>
    <w:rsid w:val="00F25A5E"/>
    <w:rsid w:val="00F25A6B"/>
    <w:rsid w:val="00F25D7E"/>
    <w:rsid w:val="00F25ED4"/>
    <w:rsid w:val="00F26025"/>
    <w:rsid w:val="00F26177"/>
    <w:rsid w:val="00F268A8"/>
    <w:rsid w:val="00F26DA6"/>
    <w:rsid w:val="00F2745C"/>
    <w:rsid w:val="00F30874"/>
    <w:rsid w:val="00F31274"/>
    <w:rsid w:val="00F32523"/>
    <w:rsid w:val="00F326C3"/>
    <w:rsid w:val="00F329A2"/>
    <w:rsid w:val="00F32A17"/>
    <w:rsid w:val="00F32F4D"/>
    <w:rsid w:val="00F33E02"/>
    <w:rsid w:val="00F34FB2"/>
    <w:rsid w:val="00F354D7"/>
    <w:rsid w:val="00F36091"/>
    <w:rsid w:val="00F363B0"/>
    <w:rsid w:val="00F37019"/>
    <w:rsid w:val="00F37040"/>
    <w:rsid w:val="00F37085"/>
    <w:rsid w:val="00F37FA8"/>
    <w:rsid w:val="00F41439"/>
    <w:rsid w:val="00F4167B"/>
    <w:rsid w:val="00F41795"/>
    <w:rsid w:val="00F41CC3"/>
    <w:rsid w:val="00F42110"/>
    <w:rsid w:val="00F42554"/>
    <w:rsid w:val="00F43864"/>
    <w:rsid w:val="00F43B7D"/>
    <w:rsid w:val="00F44E7C"/>
    <w:rsid w:val="00F45654"/>
    <w:rsid w:val="00F459E6"/>
    <w:rsid w:val="00F461B9"/>
    <w:rsid w:val="00F466B3"/>
    <w:rsid w:val="00F46BFA"/>
    <w:rsid w:val="00F46C5F"/>
    <w:rsid w:val="00F46F71"/>
    <w:rsid w:val="00F47476"/>
    <w:rsid w:val="00F47619"/>
    <w:rsid w:val="00F47B6F"/>
    <w:rsid w:val="00F47BE3"/>
    <w:rsid w:val="00F47DE5"/>
    <w:rsid w:val="00F50BCE"/>
    <w:rsid w:val="00F51DDC"/>
    <w:rsid w:val="00F52839"/>
    <w:rsid w:val="00F528F7"/>
    <w:rsid w:val="00F52BA2"/>
    <w:rsid w:val="00F52F4A"/>
    <w:rsid w:val="00F5395F"/>
    <w:rsid w:val="00F53C2E"/>
    <w:rsid w:val="00F53F7D"/>
    <w:rsid w:val="00F55628"/>
    <w:rsid w:val="00F55685"/>
    <w:rsid w:val="00F55829"/>
    <w:rsid w:val="00F55969"/>
    <w:rsid w:val="00F55DF7"/>
    <w:rsid w:val="00F56332"/>
    <w:rsid w:val="00F567EE"/>
    <w:rsid w:val="00F57182"/>
    <w:rsid w:val="00F57866"/>
    <w:rsid w:val="00F57A80"/>
    <w:rsid w:val="00F57B68"/>
    <w:rsid w:val="00F57C55"/>
    <w:rsid w:val="00F57D35"/>
    <w:rsid w:val="00F60967"/>
    <w:rsid w:val="00F60D12"/>
    <w:rsid w:val="00F611D8"/>
    <w:rsid w:val="00F61703"/>
    <w:rsid w:val="00F6175E"/>
    <w:rsid w:val="00F61A4A"/>
    <w:rsid w:val="00F62384"/>
    <w:rsid w:val="00F625DB"/>
    <w:rsid w:val="00F62763"/>
    <w:rsid w:val="00F6278E"/>
    <w:rsid w:val="00F6288D"/>
    <w:rsid w:val="00F62896"/>
    <w:rsid w:val="00F62FCB"/>
    <w:rsid w:val="00F634C6"/>
    <w:rsid w:val="00F638CE"/>
    <w:rsid w:val="00F6399C"/>
    <w:rsid w:val="00F63B16"/>
    <w:rsid w:val="00F63CB4"/>
    <w:rsid w:val="00F64101"/>
    <w:rsid w:val="00F64CE9"/>
    <w:rsid w:val="00F64F52"/>
    <w:rsid w:val="00F65C52"/>
    <w:rsid w:val="00F660C9"/>
    <w:rsid w:val="00F66553"/>
    <w:rsid w:val="00F66675"/>
    <w:rsid w:val="00F66B4A"/>
    <w:rsid w:val="00F67784"/>
    <w:rsid w:val="00F67C5B"/>
    <w:rsid w:val="00F70565"/>
    <w:rsid w:val="00F706E9"/>
    <w:rsid w:val="00F70EA8"/>
    <w:rsid w:val="00F70EAB"/>
    <w:rsid w:val="00F71667"/>
    <w:rsid w:val="00F71BA8"/>
    <w:rsid w:val="00F72044"/>
    <w:rsid w:val="00F720C6"/>
    <w:rsid w:val="00F7274E"/>
    <w:rsid w:val="00F727D7"/>
    <w:rsid w:val="00F72803"/>
    <w:rsid w:val="00F72C26"/>
    <w:rsid w:val="00F73315"/>
    <w:rsid w:val="00F73867"/>
    <w:rsid w:val="00F73C5E"/>
    <w:rsid w:val="00F73F53"/>
    <w:rsid w:val="00F7459B"/>
    <w:rsid w:val="00F74621"/>
    <w:rsid w:val="00F74A0A"/>
    <w:rsid w:val="00F74EA6"/>
    <w:rsid w:val="00F74F92"/>
    <w:rsid w:val="00F74F9A"/>
    <w:rsid w:val="00F770F8"/>
    <w:rsid w:val="00F771FD"/>
    <w:rsid w:val="00F800A9"/>
    <w:rsid w:val="00F800AF"/>
    <w:rsid w:val="00F8031C"/>
    <w:rsid w:val="00F8096C"/>
    <w:rsid w:val="00F81639"/>
    <w:rsid w:val="00F81699"/>
    <w:rsid w:val="00F81991"/>
    <w:rsid w:val="00F819F0"/>
    <w:rsid w:val="00F82742"/>
    <w:rsid w:val="00F827E3"/>
    <w:rsid w:val="00F82E06"/>
    <w:rsid w:val="00F8315D"/>
    <w:rsid w:val="00F838C4"/>
    <w:rsid w:val="00F84BFC"/>
    <w:rsid w:val="00F85601"/>
    <w:rsid w:val="00F859D2"/>
    <w:rsid w:val="00F85A14"/>
    <w:rsid w:val="00F85DF2"/>
    <w:rsid w:val="00F86EBD"/>
    <w:rsid w:val="00F8705B"/>
    <w:rsid w:val="00F8712C"/>
    <w:rsid w:val="00F87427"/>
    <w:rsid w:val="00F87D5F"/>
    <w:rsid w:val="00F90986"/>
    <w:rsid w:val="00F90C0D"/>
    <w:rsid w:val="00F9123D"/>
    <w:rsid w:val="00F918F5"/>
    <w:rsid w:val="00F919ED"/>
    <w:rsid w:val="00F91E40"/>
    <w:rsid w:val="00F926D1"/>
    <w:rsid w:val="00F926DD"/>
    <w:rsid w:val="00F92F46"/>
    <w:rsid w:val="00F92FA1"/>
    <w:rsid w:val="00F93EFB"/>
    <w:rsid w:val="00F93FBE"/>
    <w:rsid w:val="00F952F9"/>
    <w:rsid w:val="00F95B1C"/>
    <w:rsid w:val="00F95EBF"/>
    <w:rsid w:val="00F9762F"/>
    <w:rsid w:val="00F97744"/>
    <w:rsid w:val="00F97827"/>
    <w:rsid w:val="00F978AE"/>
    <w:rsid w:val="00FA039A"/>
    <w:rsid w:val="00FA0466"/>
    <w:rsid w:val="00FA188D"/>
    <w:rsid w:val="00FA2B92"/>
    <w:rsid w:val="00FA2CE1"/>
    <w:rsid w:val="00FA3502"/>
    <w:rsid w:val="00FA3503"/>
    <w:rsid w:val="00FA384D"/>
    <w:rsid w:val="00FA395B"/>
    <w:rsid w:val="00FA3C96"/>
    <w:rsid w:val="00FA4402"/>
    <w:rsid w:val="00FA5596"/>
    <w:rsid w:val="00FA59BF"/>
    <w:rsid w:val="00FA5D5F"/>
    <w:rsid w:val="00FA648F"/>
    <w:rsid w:val="00FA6D4E"/>
    <w:rsid w:val="00FA6E8B"/>
    <w:rsid w:val="00FA6FCF"/>
    <w:rsid w:val="00FA7237"/>
    <w:rsid w:val="00FA7523"/>
    <w:rsid w:val="00FB0684"/>
    <w:rsid w:val="00FB15E0"/>
    <w:rsid w:val="00FB17AD"/>
    <w:rsid w:val="00FB2679"/>
    <w:rsid w:val="00FB2EEA"/>
    <w:rsid w:val="00FB30C7"/>
    <w:rsid w:val="00FB31DA"/>
    <w:rsid w:val="00FB337C"/>
    <w:rsid w:val="00FB345F"/>
    <w:rsid w:val="00FB36E5"/>
    <w:rsid w:val="00FB3B18"/>
    <w:rsid w:val="00FB4435"/>
    <w:rsid w:val="00FB490C"/>
    <w:rsid w:val="00FB4A03"/>
    <w:rsid w:val="00FB50E8"/>
    <w:rsid w:val="00FB51E5"/>
    <w:rsid w:val="00FB56F3"/>
    <w:rsid w:val="00FB592D"/>
    <w:rsid w:val="00FB69E5"/>
    <w:rsid w:val="00FB6B3D"/>
    <w:rsid w:val="00FB6B45"/>
    <w:rsid w:val="00FB7031"/>
    <w:rsid w:val="00FB7946"/>
    <w:rsid w:val="00FB7981"/>
    <w:rsid w:val="00FC064E"/>
    <w:rsid w:val="00FC09C8"/>
    <w:rsid w:val="00FC0BF8"/>
    <w:rsid w:val="00FC12D9"/>
    <w:rsid w:val="00FC1452"/>
    <w:rsid w:val="00FC21C9"/>
    <w:rsid w:val="00FC2E68"/>
    <w:rsid w:val="00FC34AF"/>
    <w:rsid w:val="00FC3947"/>
    <w:rsid w:val="00FC46B0"/>
    <w:rsid w:val="00FC48C6"/>
    <w:rsid w:val="00FC4987"/>
    <w:rsid w:val="00FC4A57"/>
    <w:rsid w:val="00FC59DF"/>
    <w:rsid w:val="00FC5E6C"/>
    <w:rsid w:val="00FC5FCD"/>
    <w:rsid w:val="00FC642C"/>
    <w:rsid w:val="00FC7383"/>
    <w:rsid w:val="00FC745B"/>
    <w:rsid w:val="00FC764E"/>
    <w:rsid w:val="00FC790E"/>
    <w:rsid w:val="00FD076F"/>
    <w:rsid w:val="00FD09A4"/>
    <w:rsid w:val="00FD1CE4"/>
    <w:rsid w:val="00FD2371"/>
    <w:rsid w:val="00FD28DE"/>
    <w:rsid w:val="00FD2C02"/>
    <w:rsid w:val="00FD2E32"/>
    <w:rsid w:val="00FD3007"/>
    <w:rsid w:val="00FD37CA"/>
    <w:rsid w:val="00FD3E11"/>
    <w:rsid w:val="00FD3FB0"/>
    <w:rsid w:val="00FD4CDE"/>
    <w:rsid w:val="00FD4E42"/>
    <w:rsid w:val="00FD544F"/>
    <w:rsid w:val="00FD5712"/>
    <w:rsid w:val="00FD5E02"/>
    <w:rsid w:val="00FD6136"/>
    <w:rsid w:val="00FD6485"/>
    <w:rsid w:val="00FD6542"/>
    <w:rsid w:val="00FD6886"/>
    <w:rsid w:val="00FD6C0E"/>
    <w:rsid w:val="00FD72D4"/>
    <w:rsid w:val="00FD7340"/>
    <w:rsid w:val="00FD7383"/>
    <w:rsid w:val="00FE0805"/>
    <w:rsid w:val="00FE0A36"/>
    <w:rsid w:val="00FE0B54"/>
    <w:rsid w:val="00FE0FE5"/>
    <w:rsid w:val="00FE1016"/>
    <w:rsid w:val="00FE1EE1"/>
    <w:rsid w:val="00FE2038"/>
    <w:rsid w:val="00FE270F"/>
    <w:rsid w:val="00FE2FE5"/>
    <w:rsid w:val="00FE3043"/>
    <w:rsid w:val="00FE33EE"/>
    <w:rsid w:val="00FE372B"/>
    <w:rsid w:val="00FE3A35"/>
    <w:rsid w:val="00FE3A85"/>
    <w:rsid w:val="00FE5354"/>
    <w:rsid w:val="00FE5411"/>
    <w:rsid w:val="00FE5643"/>
    <w:rsid w:val="00FE58AC"/>
    <w:rsid w:val="00FE638D"/>
    <w:rsid w:val="00FE65BF"/>
    <w:rsid w:val="00FE665A"/>
    <w:rsid w:val="00FE70A1"/>
    <w:rsid w:val="00FE738B"/>
    <w:rsid w:val="00FF0AA7"/>
    <w:rsid w:val="00FF10B9"/>
    <w:rsid w:val="00FF1446"/>
    <w:rsid w:val="00FF21AA"/>
    <w:rsid w:val="00FF221A"/>
    <w:rsid w:val="00FF2D38"/>
    <w:rsid w:val="00FF305E"/>
    <w:rsid w:val="00FF3154"/>
    <w:rsid w:val="00FF35D3"/>
    <w:rsid w:val="00FF37B7"/>
    <w:rsid w:val="00FF3971"/>
    <w:rsid w:val="00FF3A91"/>
    <w:rsid w:val="00FF3BFF"/>
    <w:rsid w:val="00FF415B"/>
    <w:rsid w:val="00FF43FF"/>
    <w:rsid w:val="00FF4988"/>
    <w:rsid w:val="00FF4BAB"/>
    <w:rsid w:val="00FF4C08"/>
    <w:rsid w:val="00FF5592"/>
    <w:rsid w:val="00FF5A76"/>
    <w:rsid w:val="00FF6643"/>
    <w:rsid w:val="00FF68C1"/>
    <w:rsid w:val="00FF690C"/>
    <w:rsid w:val="00FF6AAE"/>
    <w:rsid w:val="00FF6CDF"/>
    <w:rsid w:val="00FF6CEE"/>
    <w:rsid w:val="00FF7396"/>
    <w:rsid w:val="00FF73DC"/>
    <w:rsid w:val="00FF757E"/>
    <w:rsid w:val="00FF7F30"/>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586EC8"/>
  <w15:docId w15:val="{C87EA702-4127-4B71-BCEC-AF4080FD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44E8"/>
    <w:pPr>
      <w:spacing w:after="0" w:line="288" w:lineRule="auto"/>
    </w:pPr>
    <w:rPr>
      <w:rFonts w:ascii="Verdana" w:eastAsia="Times New Roman" w:hAnsi="Verdana" w:cs="Times New Roman"/>
      <w:sz w:val="20"/>
      <w:szCs w:val="24"/>
      <w:lang w:val="en-GB"/>
    </w:rPr>
  </w:style>
  <w:style w:type="paragraph" w:styleId="Nadpis2">
    <w:name w:val="heading 2"/>
    <w:basedOn w:val="Normlny"/>
    <w:next w:val="Normlny"/>
    <w:link w:val="Nadpis2Char"/>
    <w:uiPriority w:val="9"/>
    <w:unhideWhenUsed/>
    <w:qFormat/>
    <w:rsid w:val="00BB3C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D344E8"/>
    <w:pPr>
      <w:tabs>
        <w:tab w:val="center" w:pos="4320"/>
        <w:tab w:val="right" w:pos="8640"/>
      </w:tabs>
    </w:pPr>
  </w:style>
  <w:style w:type="character" w:customStyle="1" w:styleId="HlavikaChar">
    <w:name w:val="Hlavička Char"/>
    <w:basedOn w:val="Predvolenpsmoodseku"/>
    <w:link w:val="Hlavika"/>
    <w:semiHidden/>
    <w:rsid w:val="00D344E8"/>
    <w:rPr>
      <w:rFonts w:ascii="Verdana" w:eastAsia="Times New Roman" w:hAnsi="Verdana" w:cs="Times New Roman"/>
      <w:sz w:val="20"/>
      <w:szCs w:val="24"/>
      <w:lang w:val="en-GB"/>
    </w:rPr>
  </w:style>
  <w:style w:type="paragraph" w:styleId="Pta">
    <w:name w:val="footer"/>
    <w:basedOn w:val="Normlny"/>
    <w:link w:val="PtaChar"/>
    <w:semiHidden/>
    <w:rsid w:val="00D344E8"/>
    <w:pPr>
      <w:tabs>
        <w:tab w:val="center" w:pos="4320"/>
        <w:tab w:val="right" w:pos="8640"/>
      </w:tabs>
    </w:pPr>
  </w:style>
  <w:style w:type="character" w:customStyle="1" w:styleId="PtaChar">
    <w:name w:val="Päta Char"/>
    <w:basedOn w:val="Predvolenpsmoodseku"/>
    <w:link w:val="Pta"/>
    <w:semiHidden/>
    <w:rsid w:val="00D344E8"/>
    <w:rPr>
      <w:rFonts w:ascii="Verdana" w:eastAsia="Times New Roman" w:hAnsi="Verdana" w:cs="Times New Roman"/>
      <w:sz w:val="20"/>
      <w:szCs w:val="24"/>
      <w:lang w:val="en-GB"/>
    </w:rPr>
  </w:style>
  <w:style w:type="paragraph" w:customStyle="1" w:styleId="Noparagraphstyle">
    <w:name w:val="[No paragraph style]"/>
    <w:semiHidden/>
    <w:rsid w:val="00D344E8"/>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D344E8"/>
  </w:style>
  <w:style w:type="paragraph" w:customStyle="1" w:styleId="CEADocumentType">
    <w:name w:val="CEA Document Type"/>
    <w:basedOn w:val="Normlny"/>
    <w:semiHidden/>
    <w:qFormat/>
    <w:rsid w:val="00D344E8"/>
    <w:pPr>
      <w:jc w:val="right"/>
    </w:pPr>
    <w:rPr>
      <w:rFonts w:cs="Arial"/>
      <w:b/>
      <w:color w:val="034EA2"/>
      <w:sz w:val="40"/>
      <w:szCs w:val="40"/>
    </w:rPr>
  </w:style>
  <w:style w:type="paragraph" w:customStyle="1" w:styleId="CEALabel">
    <w:name w:val="CEA Label"/>
    <w:basedOn w:val="Normlny"/>
    <w:semiHidden/>
    <w:qFormat/>
    <w:rsid w:val="00D344E8"/>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D344E8"/>
    <w:rPr>
      <w:rFonts w:cs="Arial"/>
      <w:b/>
      <w:szCs w:val="20"/>
    </w:rPr>
  </w:style>
  <w:style w:type="paragraph" w:customStyle="1" w:styleId="CEAToLine">
    <w:name w:val="CEA To Line"/>
    <w:basedOn w:val="Noparagraphstyle"/>
    <w:semiHidden/>
    <w:qFormat/>
    <w:rsid w:val="00D344E8"/>
    <w:pPr>
      <w:spacing w:line="240" w:lineRule="auto"/>
    </w:pPr>
    <w:rPr>
      <w:rFonts w:ascii="Frutiger LT Com 45 Light" w:hAnsi="Frutiger LT Com 45 Light"/>
      <w:b/>
      <w:sz w:val="28"/>
      <w:szCs w:val="28"/>
    </w:rPr>
  </w:style>
  <w:style w:type="paragraph" w:customStyle="1" w:styleId="CEAStandardHeading">
    <w:name w:val="CEA Standard Heading"/>
    <w:basedOn w:val="Normlny"/>
    <w:qFormat/>
    <w:rsid w:val="00D344E8"/>
    <w:pPr>
      <w:autoSpaceDE w:val="0"/>
      <w:autoSpaceDN w:val="0"/>
      <w:adjustRightInd w:val="0"/>
      <w:textAlignment w:val="center"/>
    </w:pPr>
    <w:rPr>
      <w:rFonts w:cs="Arial"/>
      <w:b/>
      <w:color w:val="034EA2"/>
      <w:szCs w:val="22"/>
    </w:rPr>
  </w:style>
  <w:style w:type="paragraph" w:styleId="Textbubliny">
    <w:name w:val="Balloon Text"/>
    <w:basedOn w:val="Normlny"/>
    <w:link w:val="TextbublinyChar"/>
    <w:uiPriority w:val="99"/>
    <w:semiHidden/>
    <w:unhideWhenUsed/>
    <w:rsid w:val="00D344E8"/>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44E8"/>
    <w:rPr>
      <w:rFonts w:ascii="Tahoma" w:eastAsia="Times New Roman" w:hAnsi="Tahoma" w:cs="Tahoma"/>
      <w:sz w:val="16"/>
      <w:szCs w:val="16"/>
      <w:lang w:val="en-GB"/>
    </w:rPr>
  </w:style>
  <w:style w:type="paragraph" w:customStyle="1" w:styleId="CEABullet-Level1">
    <w:name w:val="CEA Bullet - Level 1"/>
    <w:basedOn w:val="Normlny"/>
    <w:link w:val="CEABullet-Level1Char"/>
    <w:qFormat/>
    <w:rsid w:val="00FC46B0"/>
    <w:pPr>
      <w:numPr>
        <w:numId w:val="1"/>
      </w:numPr>
      <w:autoSpaceDE w:val="0"/>
      <w:autoSpaceDN w:val="0"/>
      <w:adjustRightInd w:val="0"/>
      <w:jc w:val="both"/>
    </w:pPr>
    <w:rPr>
      <w:rFonts w:cs="Frutiger LT Std 45 Light"/>
      <w:color w:val="000000"/>
      <w:sz w:val="17"/>
      <w:szCs w:val="20"/>
    </w:rPr>
  </w:style>
  <w:style w:type="paragraph" w:customStyle="1" w:styleId="CEABullet-Level2">
    <w:name w:val="CEA Bullet - Level 2"/>
    <w:basedOn w:val="CEABullet-Level1"/>
    <w:next w:val="Normlny"/>
    <w:qFormat/>
    <w:rsid w:val="00FC46B0"/>
    <w:pPr>
      <w:numPr>
        <w:numId w:val="2"/>
      </w:numPr>
    </w:pPr>
  </w:style>
  <w:style w:type="paragraph" w:customStyle="1" w:styleId="CEABullet-Level3">
    <w:name w:val="CEA Bullet - Level 3"/>
    <w:basedOn w:val="Normlny"/>
    <w:qFormat/>
    <w:rsid w:val="00FC46B0"/>
    <w:pPr>
      <w:numPr>
        <w:numId w:val="3"/>
      </w:numPr>
      <w:autoSpaceDE w:val="0"/>
      <w:autoSpaceDN w:val="0"/>
      <w:adjustRightInd w:val="0"/>
      <w:jc w:val="both"/>
    </w:pPr>
    <w:rPr>
      <w:rFonts w:cs="Frutiger LT Std 45 Light"/>
      <w:color w:val="000000"/>
      <w:sz w:val="17"/>
      <w:szCs w:val="20"/>
    </w:rPr>
  </w:style>
  <w:style w:type="paragraph" w:customStyle="1" w:styleId="CEADirectorGeneral">
    <w:name w:val="CEA Director General"/>
    <w:basedOn w:val="Normlny"/>
    <w:semiHidden/>
    <w:qFormat/>
    <w:rsid w:val="00FC46B0"/>
    <w:pPr>
      <w:tabs>
        <w:tab w:val="right" w:pos="360"/>
        <w:tab w:val="left" w:pos="540"/>
      </w:tabs>
      <w:autoSpaceDE w:val="0"/>
      <w:autoSpaceDN w:val="0"/>
      <w:adjustRightInd w:val="0"/>
      <w:jc w:val="both"/>
      <w:textAlignment w:val="center"/>
    </w:pPr>
    <w:rPr>
      <w:sz w:val="22"/>
      <w:szCs w:val="22"/>
    </w:rPr>
  </w:style>
  <w:style w:type="paragraph" w:customStyle="1" w:styleId="CEADraft">
    <w:name w:val="CEA Draft"/>
    <w:basedOn w:val="Normlny"/>
    <w:semiHidden/>
    <w:qFormat/>
    <w:rsid w:val="00FC46B0"/>
    <w:pPr>
      <w:jc w:val="right"/>
    </w:pPr>
    <w:rPr>
      <w:rFonts w:cs="Arial"/>
      <w:b/>
      <w:i/>
      <w:color w:val="034EA2"/>
      <w:sz w:val="32"/>
      <w:szCs w:val="40"/>
    </w:rPr>
  </w:style>
  <w:style w:type="paragraph" w:customStyle="1" w:styleId="CEAFooterauthorinfo">
    <w:name w:val="CEA Footer (author info)"/>
    <w:basedOn w:val="Normlny"/>
    <w:semiHidden/>
    <w:qFormat/>
    <w:rsid w:val="00FC46B0"/>
    <w:pPr>
      <w:autoSpaceDE w:val="0"/>
      <w:autoSpaceDN w:val="0"/>
      <w:adjustRightInd w:val="0"/>
      <w:jc w:val="both"/>
      <w:textAlignment w:val="center"/>
    </w:pPr>
    <w:rPr>
      <w:rFonts w:cs="Arial"/>
      <w:b/>
      <w:color w:val="034EA2"/>
      <w:sz w:val="16"/>
      <w:szCs w:val="16"/>
    </w:rPr>
  </w:style>
  <w:style w:type="paragraph" w:customStyle="1" w:styleId="CEAFootnote">
    <w:name w:val="CEA Footnote"/>
    <w:basedOn w:val="Normlny"/>
    <w:semiHidden/>
    <w:qFormat/>
    <w:rsid w:val="00FC46B0"/>
    <w:pPr>
      <w:spacing w:line="240" w:lineRule="auto"/>
      <w:jc w:val="both"/>
    </w:pPr>
    <w:rPr>
      <w:sz w:val="16"/>
    </w:rPr>
  </w:style>
  <w:style w:type="character" w:customStyle="1" w:styleId="CEAGraphTitle">
    <w:name w:val="CEA Graph Title"/>
    <w:uiPriority w:val="1"/>
    <w:qFormat/>
    <w:rsid w:val="00FC46B0"/>
    <w:rPr>
      <w:rFonts w:ascii="Verdana" w:hAnsi="Verdana"/>
      <w:smallCaps w:val="0"/>
      <w:sz w:val="19"/>
      <w:lang w:val="en-GB"/>
    </w:rPr>
  </w:style>
  <w:style w:type="character" w:customStyle="1" w:styleId="CEAGraphX">
    <w:name w:val="CEA Graph X"/>
    <w:uiPriority w:val="1"/>
    <w:qFormat/>
    <w:rsid w:val="00FC46B0"/>
    <w:rPr>
      <w:rFonts w:ascii="Verdana" w:hAnsi="Verdana"/>
      <w:smallCaps/>
      <w:sz w:val="19"/>
      <w:lang w:val="en-GB"/>
    </w:rPr>
  </w:style>
  <w:style w:type="paragraph" w:customStyle="1" w:styleId="CEAPositionPaperTitle">
    <w:name w:val="CEA Position Paper Title"/>
    <w:basedOn w:val="Normlny"/>
    <w:semiHidden/>
    <w:qFormat/>
    <w:rsid w:val="00FC46B0"/>
    <w:pPr>
      <w:ind w:left="-27"/>
      <w:jc w:val="both"/>
    </w:pPr>
    <w:rPr>
      <w:b/>
      <w:color w:val="034EA2"/>
      <w:sz w:val="32"/>
      <w:szCs w:val="32"/>
    </w:rPr>
  </w:style>
  <w:style w:type="paragraph" w:customStyle="1" w:styleId="CEAPressReleaseSubtitle">
    <w:name w:val="CEA Press Release Subtitle"/>
    <w:basedOn w:val="Normlny"/>
    <w:semiHidden/>
    <w:qFormat/>
    <w:rsid w:val="00FC46B0"/>
    <w:pPr>
      <w:jc w:val="both"/>
    </w:pPr>
    <w:rPr>
      <w:sz w:val="22"/>
      <w:szCs w:val="22"/>
    </w:rPr>
  </w:style>
  <w:style w:type="paragraph" w:customStyle="1" w:styleId="CEAPressReleaseTitle">
    <w:name w:val="CEA Press Release Title"/>
    <w:basedOn w:val="Normlny"/>
    <w:semiHidden/>
    <w:qFormat/>
    <w:rsid w:val="00FC46B0"/>
    <w:pPr>
      <w:autoSpaceDE w:val="0"/>
      <w:autoSpaceDN w:val="0"/>
      <w:adjustRightInd w:val="0"/>
      <w:spacing w:line="240" w:lineRule="auto"/>
      <w:jc w:val="both"/>
    </w:pPr>
    <w:rPr>
      <w:rFonts w:ascii="Frutiger LT Com 45 Light" w:hAnsi="Frutiger LT Com 45 Light"/>
      <w:b/>
      <w:color w:val="034EA2"/>
      <w:sz w:val="36"/>
      <w:szCs w:val="36"/>
    </w:rPr>
  </w:style>
  <w:style w:type="character" w:styleId="Zstupntext">
    <w:name w:val="Placeholder Text"/>
    <w:basedOn w:val="Predvolenpsmoodseku"/>
    <w:uiPriority w:val="99"/>
    <w:semiHidden/>
    <w:rsid w:val="00720D56"/>
    <w:rPr>
      <w:color w:val="808080"/>
    </w:rPr>
  </w:style>
  <w:style w:type="character" w:customStyle="1" w:styleId="CEABullet-Level1Char">
    <w:name w:val="CEA Bullet - Level 1 Char"/>
    <w:link w:val="CEABullet-Level1"/>
    <w:rsid w:val="001C05AE"/>
    <w:rPr>
      <w:rFonts w:ascii="Verdana" w:eastAsia="Times New Roman" w:hAnsi="Verdana" w:cs="Frutiger LT Std 45 Light"/>
      <w:color w:val="000000"/>
      <w:sz w:val="17"/>
      <w:szCs w:val="20"/>
      <w:lang w:val="en-GB"/>
    </w:rPr>
  </w:style>
  <w:style w:type="character" w:styleId="Hypertextovprepojenie">
    <w:name w:val="Hyperlink"/>
    <w:basedOn w:val="Predvolenpsmoodseku"/>
    <w:uiPriority w:val="99"/>
    <w:unhideWhenUsed/>
    <w:rsid w:val="00762664"/>
    <w:rPr>
      <w:color w:val="0000FF" w:themeColor="hyperlink"/>
      <w:u w:val="single"/>
    </w:rPr>
  </w:style>
  <w:style w:type="character" w:styleId="Nevyrieenzmienka">
    <w:name w:val="Unresolved Mention"/>
    <w:basedOn w:val="Predvolenpsmoodseku"/>
    <w:uiPriority w:val="99"/>
    <w:unhideWhenUsed/>
    <w:rsid w:val="00762664"/>
    <w:rPr>
      <w:color w:val="605E5C"/>
      <w:shd w:val="clear" w:color="auto" w:fill="E1DFDD"/>
    </w:rPr>
  </w:style>
  <w:style w:type="character" w:styleId="PouitHypertextovPrepojenie">
    <w:name w:val="FollowedHyperlink"/>
    <w:basedOn w:val="Predvolenpsmoodseku"/>
    <w:uiPriority w:val="99"/>
    <w:semiHidden/>
    <w:unhideWhenUsed/>
    <w:rsid w:val="007F249A"/>
    <w:rPr>
      <w:color w:val="800080" w:themeColor="followedHyperlink"/>
      <w:u w:val="single"/>
    </w:rPr>
  </w:style>
  <w:style w:type="table" w:styleId="Mriekatabuky">
    <w:name w:val="Table Grid"/>
    <w:basedOn w:val="Normlnatabuka"/>
    <w:uiPriority w:val="59"/>
    <w:rsid w:val="00427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E74"/>
    <w:pPr>
      <w:autoSpaceDE w:val="0"/>
      <w:autoSpaceDN w:val="0"/>
      <w:adjustRightInd w:val="0"/>
      <w:spacing w:after="0" w:line="240" w:lineRule="auto"/>
    </w:pPr>
    <w:rPr>
      <w:rFonts w:ascii="Verdana" w:hAnsi="Verdana" w:cs="Verdana"/>
      <w:color w:val="000000"/>
      <w:sz w:val="24"/>
      <w:szCs w:val="24"/>
      <w:lang w:val="en-GB"/>
    </w:rPr>
  </w:style>
  <w:style w:type="paragraph" w:styleId="Odsekzoznamu">
    <w:name w:val="List Paragraph"/>
    <w:basedOn w:val="Normlny"/>
    <w:uiPriority w:val="34"/>
    <w:qFormat/>
    <w:rsid w:val="00AF3674"/>
    <w:pPr>
      <w:ind w:left="720"/>
      <w:contextualSpacing/>
    </w:pPr>
  </w:style>
  <w:style w:type="character" w:customStyle="1" w:styleId="normaltextrun">
    <w:name w:val="normaltextrun"/>
    <w:basedOn w:val="Predvolenpsmoodseku"/>
    <w:rsid w:val="0004412E"/>
  </w:style>
  <w:style w:type="character" w:styleId="Odkaznakomentr">
    <w:name w:val="annotation reference"/>
    <w:basedOn w:val="Predvolenpsmoodseku"/>
    <w:uiPriority w:val="99"/>
    <w:semiHidden/>
    <w:unhideWhenUsed/>
    <w:rsid w:val="00EC14DE"/>
    <w:rPr>
      <w:sz w:val="16"/>
      <w:szCs w:val="16"/>
    </w:rPr>
  </w:style>
  <w:style w:type="paragraph" w:styleId="Textkomentra">
    <w:name w:val="annotation text"/>
    <w:basedOn w:val="Normlny"/>
    <w:link w:val="TextkomentraChar"/>
    <w:uiPriority w:val="99"/>
    <w:unhideWhenUsed/>
    <w:rsid w:val="00EC14DE"/>
    <w:pPr>
      <w:spacing w:line="240" w:lineRule="auto"/>
    </w:pPr>
    <w:rPr>
      <w:szCs w:val="20"/>
    </w:rPr>
  </w:style>
  <w:style w:type="character" w:customStyle="1" w:styleId="TextkomentraChar">
    <w:name w:val="Text komentára Char"/>
    <w:basedOn w:val="Predvolenpsmoodseku"/>
    <w:link w:val="Textkomentra"/>
    <w:uiPriority w:val="99"/>
    <w:rsid w:val="00EC14DE"/>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EC14DE"/>
    <w:rPr>
      <w:b/>
      <w:bCs/>
    </w:rPr>
  </w:style>
  <w:style w:type="character" w:customStyle="1" w:styleId="PredmetkomentraChar">
    <w:name w:val="Predmet komentára Char"/>
    <w:basedOn w:val="TextkomentraChar"/>
    <w:link w:val="Predmetkomentra"/>
    <w:uiPriority w:val="99"/>
    <w:semiHidden/>
    <w:rsid w:val="00EC14DE"/>
    <w:rPr>
      <w:rFonts w:ascii="Verdana" w:eastAsia="Times New Roman" w:hAnsi="Verdana" w:cs="Times New Roman"/>
      <w:b/>
      <w:bCs/>
      <w:sz w:val="20"/>
      <w:szCs w:val="20"/>
      <w:lang w:val="en-GB"/>
    </w:rPr>
  </w:style>
  <w:style w:type="paragraph" w:customStyle="1" w:styleId="BodyText-CEA">
    <w:name w:val="Body Text - CEA"/>
    <w:basedOn w:val="Normlny"/>
    <w:semiHidden/>
    <w:rsid w:val="00976343"/>
    <w:pPr>
      <w:autoSpaceDE w:val="0"/>
      <w:autoSpaceDN w:val="0"/>
      <w:adjustRightInd w:val="0"/>
      <w:spacing w:line="24" w:lineRule="atLeast"/>
      <w:jc w:val="right"/>
      <w:textAlignment w:val="center"/>
    </w:pPr>
    <w:rPr>
      <w:rFonts w:cs="Arial"/>
      <w:b/>
      <w:color w:val="034EA2"/>
      <w:w w:val="90"/>
      <w:sz w:val="16"/>
      <w:szCs w:val="16"/>
    </w:rPr>
  </w:style>
  <w:style w:type="paragraph" w:customStyle="1" w:styleId="CEADocumentTitle">
    <w:name w:val="CEA Document Title"/>
    <w:basedOn w:val="Hlavika"/>
    <w:semiHidden/>
    <w:qFormat/>
    <w:rsid w:val="00976343"/>
    <w:pPr>
      <w:tabs>
        <w:tab w:val="clear" w:pos="4320"/>
        <w:tab w:val="clear" w:pos="8640"/>
        <w:tab w:val="center" w:pos="0"/>
        <w:tab w:val="right" w:pos="10440"/>
      </w:tabs>
      <w:jc w:val="right"/>
    </w:pPr>
    <w:rPr>
      <w:b/>
      <w:noProof/>
      <w:color w:val="034EA2"/>
      <w:sz w:val="40"/>
      <w:szCs w:val="40"/>
      <w:lang w:eastAsia="nl-NL"/>
    </w:rPr>
  </w:style>
  <w:style w:type="character" w:styleId="Zmienka">
    <w:name w:val="Mention"/>
    <w:basedOn w:val="Predvolenpsmoodseku"/>
    <w:uiPriority w:val="99"/>
    <w:unhideWhenUsed/>
    <w:rsid w:val="00A656E6"/>
    <w:rPr>
      <w:color w:val="2B579A"/>
      <w:shd w:val="clear" w:color="auto" w:fill="E1DFDD"/>
    </w:rPr>
  </w:style>
  <w:style w:type="paragraph" w:styleId="Revzia">
    <w:name w:val="Revision"/>
    <w:hidden/>
    <w:uiPriority w:val="99"/>
    <w:semiHidden/>
    <w:rsid w:val="009D49D1"/>
    <w:pPr>
      <w:spacing w:after="0" w:line="240" w:lineRule="auto"/>
    </w:pPr>
    <w:rPr>
      <w:rFonts w:ascii="Verdana" w:eastAsia="Times New Roman" w:hAnsi="Verdana" w:cs="Times New Roman"/>
      <w:sz w:val="20"/>
      <w:szCs w:val="24"/>
      <w:lang w:val="en-GB"/>
    </w:rPr>
  </w:style>
  <w:style w:type="paragraph" w:customStyle="1" w:styleId="AmJustText">
    <w:name w:val="AmJustText"/>
    <w:basedOn w:val="Normlny"/>
    <w:rsid w:val="001A7F90"/>
    <w:pPr>
      <w:widowControl w:val="0"/>
      <w:spacing w:after="240" w:line="240" w:lineRule="auto"/>
    </w:pPr>
    <w:rPr>
      <w:rFonts w:ascii="Times New Roman" w:hAnsi="Times New Roman"/>
      <w:i/>
      <w:sz w:val="24"/>
      <w:szCs w:val="20"/>
      <w:lang w:eastAsia="en-GB"/>
    </w:rPr>
  </w:style>
  <w:style w:type="character" w:customStyle="1" w:styleId="Nadpis2Char">
    <w:name w:val="Nadpis 2 Char"/>
    <w:basedOn w:val="Predvolenpsmoodseku"/>
    <w:link w:val="Nadpis2"/>
    <w:uiPriority w:val="9"/>
    <w:rsid w:val="00BB3C82"/>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3009">
      <w:bodyDiv w:val="1"/>
      <w:marLeft w:val="0"/>
      <w:marRight w:val="0"/>
      <w:marTop w:val="0"/>
      <w:marBottom w:val="0"/>
      <w:divBdr>
        <w:top w:val="none" w:sz="0" w:space="0" w:color="auto"/>
        <w:left w:val="none" w:sz="0" w:space="0" w:color="auto"/>
        <w:bottom w:val="none" w:sz="0" w:space="0" w:color="auto"/>
        <w:right w:val="none" w:sz="0" w:space="0" w:color="auto"/>
      </w:divBdr>
    </w:div>
    <w:div w:id="239491337">
      <w:bodyDiv w:val="1"/>
      <w:marLeft w:val="0"/>
      <w:marRight w:val="0"/>
      <w:marTop w:val="0"/>
      <w:marBottom w:val="0"/>
      <w:divBdr>
        <w:top w:val="none" w:sz="0" w:space="0" w:color="auto"/>
        <w:left w:val="none" w:sz="0" w:space="0" w:color="auto"/>
        <w:bottom w:val="none" w:sz="0" w:space="0" w:color="auto"/>
        <w:right w:val="none" w:sz="0" w:space="0" w:color="auto"/>
      </w:divBdr>
    </w:div>
    <w:div w:id="672998344">
      <w:bodyDiv w:val="1"/>
      <w:marLeft w:val="0"/>
      <w:marRight w:val="0"/>
      <w:marTop w:val="0"/>
      <w:marBottom w:val="0"/>
      <w:divBdr>
        <w:top w:val="none" w:sz="0" w:space="0" w:color="auto"/>
        <w:left w:val="none" w:sz="0" w:space="0" w:color="auto"/>
        <w:bottom w:val="none" w:sz="0" w:space="0" w:color="auto"/>
        <w:right w:val="none" w:sz="0" w:space="0" w:color="auto"/>
      </w:divBdr>
    </w:div>
    <w:div w:id="682703944">
      <w:bodyDiv w:val="1"/>
      <w:marLeft w:val="0"/>
      <w:marRight w:val="0"/>
      <w:marTop w:val="0"/>
      <w:marBottom w:val="0"/>
      <w:divBdr>
        <w:top w:val="none" w:sz="0" w:space="0" w:color="auto"/>
        <w:left w:val="none" w:sz="0" w:space="0" w:color="auto"/>
        <w:bottom w:val="none" w:sz="0" w:space="0" w:color="auto"/>
        <w:right w:val="none" w:sz="0" w:space="0" w:color="auto"/>
      </w:divBdr>
    </w:div>
    <w:div w:id="1144352678">
      <w:bodyDiv w:val="1"/>
      <w:marLeft w:val="0"/>
      <w:marRight w:val="0"/>
      <w:marTop w:val="0"/>
      <w:marBottom w:val="0"/>
      <w:divBdr>
        <w:top w:val="none" w:sz="0" w:space="0" w:color="auto"/>
        <w:left w:val="none" w:sz="0" w:space="0" w:color="auto"/>
        <w:bottom w:val="none" w:sz="0" w:space="0" w:color="auto"/>
        <w:right w:val="none" w:sz="0" w:space="0" w:color="auto"/>
      </w:divBdr>
    </w:div>
    <w:div w:id="1249190341">
      <w:bodyDiv w:val="1"/>
      <w:marLeft w:val="0"/>
      <w:marRight w:val="0"/>
      <w:marTop w:val="0"/>
      <w:marBottom w:val="0"/>
      <w:divBdr>
        <w:top w:val="none" w:sz="0" w:space="0" w:color="auto"/>
        <w:left w:val="none" w:sz="0" w:space="0" w:color="auto"/>
        <w:bottom w:val="none" w:sz="0" w:space="0" w:color="auto"/>
        <w:right w:val="none" w:sz="0" w:space="0" w:color="auto"/>
      </w:divBdr>
    </w:div>
    <w:div w:id="1412922150">
      <w:bodyDiv w:val="1"/>
      <w:marLeft w:val="0"/>
      <w:marRight w:val="0"/>
      <w:marTop w:val="0"/>
      <w:marBottom w:val="0"/>
      <w:divBdr>
        <w:top w:val="none" w:sz="0" w:space="0" w:color="auto"/>
        <w:left w:val="none" w:sz="0" w:space="0" w:color="auto"/>
        <w:bottom w:val="none" w:sz="0" w:space="0" w:color="auto"/>
        <w:right w:val="none" w:sz="0" w:space="0" w:color="auto"/>
      </w:divBdr>
    </w:div>
    <w:div w:id="1561669134">
      <w:bodyDiv w:val="1"/>
      <w:marLeft w:val="0"/>
      <w:marRight w:val="0"/>
      <w:marTop w:val="0"/>
      <w:marBottom w:val="0"/>
      <w:divBdr>
        <w:top w:val="none" w:sz="0" w:space="0" w:color="auto"/>
        <w:left w:val="none" w:sz="0" w:space="0" w:color="auto"/>
        <w:bottom w:val="none" w:sz="0" w:space="0" w:color="auto"/>
        <w:right w:val="none" w:sz="0" w:space="0" w:color="auto"/>
      </w:divBdr>
    </w:div>
    <w:div w:id="1574464182">
      <w:bodyDiv w:val="1"/>
      <w:marLeft w:val="0"/>
      <w:marRight w:val="0"/>
      <w:marTop w:val="0"/>
      <w:marBottom w:val="0"/>
      <w:divBdr>
        <w:top w:val="none" w:sz="0" w:space="0" w:color="auto"/>
        <w:left w:val="none" w:sz="0" w:space="0" w:color="auto"/>
        <w:bottom w:val="none" w:sz="0" w:space="0" w:color="auto"/>
        <w:right w:val="none" w:sz="0" w:space="0" w:color="auto"/>
      </w:divBdr>
    </w:div>
    <w:div w:id="206093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rl.europa.eu/doceo/document/A-9-2020-0155_EN.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2" ma:contentTypeDescription="Published Documents Content types for Insurance Europe" ma:contentTypeScope="" ma:versionID="684735056240bbc18f54e74bba908b1f">
  <xsd:schema xmlns:xsd="http://www.w3.org/2001/XMLSchema" xmlns:xs="http://www.w3.org/2001/XMLSchema" xmlns:p="http://schemas.microsoft.com/office/2006/metadata/properties" xmlns:ns2="d352728d-c7aa-455d-bd83-40fe44122be8" targetNamespace="http://schemas.microsoft.com/office/2006/metadata/properties" ma:root="true" ma:fieldsID="7318338eec0ffa23ad0f6e13c74328bf"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Deadline xmlns="d352728d-c7aa-455d-bd83-40fe44122be8" xsi:nil="true"/>
    <isAnnex xmlns="d352728d-c7aa-455d-bd83-40fe44122be8" xsi:nil="true"/>
    <ValidationComment xmlns="d352728d-c7aa-455d-bd83-40fe44122be8" xsi:nil="true"/>
    <Allow_x0020_comments xmlns="d352728d-c7aa-455d-bd83-40fe44122be8" xsi:nil="true"/>
    <Type_x0020_of_x0020_document xmlns="d352728d-c7aa-455d-bd83-40fe44122be8" xsi:nil="true"/>
    <Type_x0020_of_x0020_memo xmlns="d352728d-c7aa-455d-bd83-40fe44122b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BD751-7983-4D95-A4CA-1F6684E248CE}">
  <ds:schemaRefs>
    <ds:schemaRef ds:uri="http://schemas.microsoft.com/sharepoint/v3/contenttype/forms"/>
  </ds:schemaRefs>
</ds:datastoreItem>
</file>

<file path=customXml/itemProps2.xml><?xml version="1.0" encoding="utf-8"?>
<ds:datastoreItem xmlns:ds="http://schemas.openxmlformats.org/officeDocument/2006/customXml" ds:itemID="{A0FEAFC2-3300-4101-AE03-46FC62607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B90E7-092C-4A7B-849D-3A39D285B5D8}">
  <ds:schemaRefs>
    <ds:schemaRef ds:uri="http://schemas.microsoft.com/office/2006/metadata/properties"/>
    <ds:schemaRef ds:uri="http://purl.org/dc/terms/"/>
    <ds:schemaRef ds:uri="http://purl.org/dc/dcmitype/"/>
    <ds:schemaRef ds:uri="http://schemas.openxmlformats.org/package/2006/metadata/core-properties"/>
    <ds:schemaRef ds:uri="d352728d-c7aa-455d-bd83-40fe44122be8"/>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C8EF31C4-CD6C-44E8-BA38-760BA0A7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6598</Words>
  <Characters>37613</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V4_Insurance Europe status update on Solvency II review</vt:lpstr>
    </vt:vector>
  </TitlesOfParts>
  <Company>Insurance Europe</Company>
  <LinksUpToDate>false</LinksUpToDate>
  <CharactersWithSpaces>44123</CharactersWithSpaces>
  <SharedDoc>false</SharedDoc>
  <HLinks>
    <vt:vector size="6" baseType="variant">
      <vt:variant>
        <vt:i4>1114154</vt:i4>
      </vt:variant>
      <vt:variant>
        <vt:i4>0</vt:i4>
      </vt:variant>
      <vt:variant>
        <vt:i4>0</vt:i4>
      </vt:variant>
      <vt:variant>
        <vt:i4>5</vt:i4>
      </vt:variant>
      <vt:variant>
        <vt:lpwstr>https://www.europarl.europa.eu/doceo/document/A-9-2020-0155_EN.html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version_Insurance Europe status update on Solvency II review</dc:title>
  <dc:subject/>
  <dc:creator>Insurance Europe</dc:creator>
  <cp:keywords/>
  <cp:lastModifiedBy>jozef.bachnicek</cp:lastModifiedBy>
  <cp:revision>2</cp:revision>
  <cp:lastPrinted>2022-05-18T00:59:00Z</cp:lastPrinted>
  <dcterms:created xsi:type="dcterms:W3CDTF">2022-06-24T07:59:00Z</dcterms:created>
  <dcterms:modified xsi:type="dcterms:W3CDTF">2022-06-24T07:59:00Z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_dlc_DocIdItemGuid">
    <vt:lpwstr>cb741cf8-1ba4-4e8c-ae3f-16e3797c6430</vt:lpwstr>
  </property>
</Properties>
</file>