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AB398" w14:textId="77777777" w:rsidR="00B555D0" w:rsidRPr="008838CC" w:rsidRDefault="00B555D0">
      <w:pPr>
        <w:pStyle w:val="Hlavikaobsahu"/>
        <w:rPr>
          <w:rFonts w:ascii="Verdana" w:hAnsi="Verdana"/>
          <w:color w:val="auto"/>
          <w:sz w:val="17"/>
          <w:szCs w:val="17"/>
        </w:rPr>
      </w:pPr>
      <w:bookmarkStart w:id="0" w:name="_Hlk497900488"/>
      <w:bookmarkStart w:id="1" w:name="_GoBack"/>
      <w:bookmarkEnd w:id="1"/>
      <w:r w:rsidRPr="008838CC">
        <w:rPr>
          <w:rFonts w:ascii="Verdana" w:hAnsi="Verdana"/>
          <w:color w:val="auto"/>
          <w:sz w:val="17"/>
          <w:szCs w:val="17"/>
        </w:rPr>
        <w:t>Contents</w:t>
      </w:r>
    </w:p>
    <w:p w14:paraId="43E89866" w14:textId="241D3906" w:rsidR="0069412E" w:rsidRPr="008838CC" w:rsidRDefault="00B555D0">
      <w:pPr>
        <w:pStyle w:val="Obsah1"/>
        <w:tabs>
          <w:tab w:val="right" w:leader="dot" w:pos="14276"/>
        </w:tabs>
        <w:rPr>
          <w:rFonts w:ascii="Verdana" w:hAnsi="Verdana"/>
          <w:noProof/>
          <w:sz w:val="17"/>
          <w:szCs w:val="17"/>
          <w:lang w:eastAsia="en-GB"/>
        </w:rPr>
      </w:pPr>
      <w:r w:rsidRPr="008838CC">
        <w:rPr>
          <w:rFonts w:ascii="Verdana" w:hAnsi="Verdana"/>
          <w:sz w:val="17"/>
          <w:szCs w:val="17"/>
        </w:rPr>
        <w:fldChar w:fldCharType="begin"/>
      </w:r>
      <w:r w:rsidRPr="008838CC">
        <w:rPr>
          <w:rFonts w:ascii="Verdana" w:hAnsi="Verdana"/>
          <w:sz w:val="17"/>
          <w:szCs w:val="17"/>
        </w:rPr>
        <w:instrText xml:space="preserve"> TOC \o "1-3" \h \z \u </w:instrText>
      </w:r>
      <w:r w:rsidRPr="008838CC">
        <w:rPr>
          <w:rFonts w:ascii="Verdana" w:hAnsi="Verdana"/>
          <w:sz w:val="17"/>
          <w:szCs w:val="17"/>
        </w:rPr>
        <w:fldChar w:fldCharType="separate"/>
      </w:r>
      <w:hyperlink w:anchor="_Toc497908638" w:history="1">
        <w:r w:rsidR="0069412E" w:rsidRPr="008838CC">
          <w:rPr>
            <w:rStyle w:val="Hypertextovprepojenie"/>
            <w:rFonts w:ascii="Verdana" w:hAnsi="Verdana"/>
            <w:noProof/>
            <w:sz w:val="17"/>
            <w:szCs w:val="17"/>
          </w:rPr>
          <w:t>General Comment</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_Toc497908638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2</w:t>
        </w:r>
        <w:r w:rsidR="0069412E" w:rsidRPr="008838CC">
          <w:rPr>
            <w:rFonts w:ascii="Verdana" w:hAnsi="Verdana"/>
            <w:noProof/>
            <w:webHidden/>
            <w:sz w:val="17"/>
            <w:szCs w:val="17"/>
          </w:rPr>
          <w:fldChar w:fldCharType="end"/>
        </w:r>
      </w:hyperlink>
    </w:p>
    <w:p w14:paraId="4D2B5426" w14:textId="10217240" w:rsidR="0069412E" w:rsidRPr="008838CC" w:rsidRDefault="00D10DE2">
      <w:pPr>
        <w:pStyle w:val="Obsah1"/>
        <w:tabs>
          <w:tab w:val="right" w:leader="dot" w:pos="14276"/>
        </w:tabs>
        <w:rPr>
          <w:rFonts w:ascii="Verdana" w:hAnsi="Verdana"/>
          <w:noProof/>
          <w:sz w:val="17"/>
          <w:szCs w:val="17"/>
          <w:lang w:eastAsia="en-GB"/>
        </w:rPr>
      </w:pPr>
      <w:hyperlink w:anchor="_Toc497908639" w:history="1">
        <w:r w:rsidR="0069412E" w:rsidRPr="008838CC">
          <w:rPr>
            <w:rStyle w:val="Hypertextovprepojenie"/>
            <w:rFonts w:ascii="Verdana" w:hAnsi="Verdana"/>
            <w:noProof/>
            <w:sz w:val="17"/>
            <w:szCs w:val="17"/>
          </w:rPr>
          <w:t>Introduction</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_Toc497908639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2</w:t>
        </w:r>
        <w:r w:rsidR="0069412E" w:rsidRPr="008838CC">
          <w:rPr>
            <w:rFonts w:ascii="Verdana" w:hAnsi="Verdana"/>
            <w:noProof/>
            <w:webHidden/>
            <w:sz w:val="17"/>
            <w:szCs w:val="17"/>
          </w:rPr>
          <w:fldChar w:fldCharType="end"/>
        </w:r>
      </w:hyperlink>
    </w:p>
    <w:p w14:paraId="12482081" w14:textId="6E28B745" w:rsidR="0069412E" w:rsidRPr="008838CC" w:rsidRDefault="00D10DE2">
      <w:pPr>
        <w:pStyle w:val="Obsah1"/>
        <w:tabs>
          <w:tab w:val="right" w:leader="dot" w:pos="14276"/>
        </w:tabs>
        <w:rPr>
          <w:rFonts w:ascii="Verdana" w:hAnsi="Verdana"/>
          <w:noProof/>
          <w:sz w:val="17"/>
          <w:szCs w:val="17"/>
          <w:lang w:eastAsia="en-GB"/>
        </w:rPr>
      </w:pPr>
      <w:hyperlink w:anchor="_Toc497908640" w:history="1">
        <w:r w:rsidR="0069412E" w:rsidRPr="008838CC">
          <w:rPr>
            <w:rStyle w:val="Hypertextovprepojenie"/>
            <w:rFonts w:ascii="Verdana" w:hAnsi="Verdana"/>
            <w:noProof/>
            <w:sz w:val="17"/>
            <w:szCs w:val="17"/>
          </w:rPr>
          <w:t>1. Recalibration of standard parameters of premium and reserve risks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_Toc497908640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3</w:t>
        </w:r>
        <w:r w:rsidR="0069412E" w:rsidRPr="008838CC">
          <w:rPr>
            <w:rFonts w:ascii="Verdana" w:hAnsi="Verdana"/>
            <w:noProof/>
            <w:webHidden/>
            <w:sz w:val="17"/>
            <w:szCs w:val="17"/>
          </w:rPr>
          <w:fldChar w:fldCharType="end"/>
        </w:r>
      </w:hyperlink>
    </w:p>
    <w:p w14:paraId="7413C183" w14:textId="2B0BD0D9" w:rsidR="0069412E" w:rsidRPr="008838CC" w:rsidRDefault="00D10DE2">
      <w:pPr>
        <w:pStyle w:val="Obsah1"/>
        <w:tabs>
          <w:tab w:val="right" w:leader="dot" w:pos="14276"/>
        </w:tabs>
        <w:rPr>
          <w:rFonts w:ascii="Verdana" w:hAnsi="Verdana"/>
          <w:noProof/>
          <w:sz w:val="17"/>
          <w:szCs w:val="17"/>
          <w:lang w:eastAsia="en-GB"/>
        </w:rPr>
      </w:pPr>
      <w:hyperlink w:anchor="_Toc497908641" w:history="1">
        <w:r w:rsidR="0069412E" w:rsidRPr="008838CC">
          <w:rPr>
            <w:rStyle w:val="Hypertextovprepojenie"/>
            <w:rFonts w:ascii="Verdana" w:hAnsi="Verdana"/>
            <w:noProof/>
            <w:sz w:val="17"/>
            <w:szCs w:val="17"/>
          </w:rPr>
          <w:t>2. Volume measure for premium risk</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_Toc497908641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4</w:t>
        </w:r>
        <w:r w:rsidR="0069412E" w:rsidRPr="008838CC">
          <w:rPr>
            <w:rFonts w:ascii="Verdana" w:hAnsi="Verdana"/>
            <w:noProof/>
            <w:webHidden/>
            <w:sz w:val="17"/>
            <w:szCs w:val="17"/>
          </w:rPr>
          <w:fldChar w:fldCharType="end"/>
        </w:r>
      </w:hyperlink>
    </w:p>
    <w:p w14:paraId="34F3B7D3" w14:textId="7F57D531" w:rsidR="0069412E" w:rsidRPr="008838CC" w:rsidRDefault="00D10DE2">
      <w:pPr>
        <w:pStyle w:val="Obsah1"/>
        <w:tabs>
          <w:tab w:val="right" w:leader="dot" w:pos="14276"/>
        </w:tabs>
        <w:rPr>
          <w:rFonts w:ascii="Verdana" w:hAnsi="Verdana"/>
          <w:noProof/>
          <w:sz w:val="17"/>
          <w:szCs w:val="17"/>
          <w:lang w:eastAsia="en-GB"/>
        </w:rPr>
      </w:pPr>
      <w:hyperlink w:anchor="_Toc497908642" w:history="1">
        <w:r w:rsidR="0069412E" w:rsidRPr="008838CC">
          <w:rPr>
            <w:rStyle w:val="Hypertextovprepojenie"/>
            <w:rFonts w:ascii="Verdana" w:hAnsi="Verdana"/>
            <w:noProof/>
            <w:sz w:val="17"/>
            <w:szCs w:val="17"/>
            <w:lang w:eastAsia="fr-FR"/>
          </w:rPr>
          <w:t>3. Recalibration of mortality and longevity risks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_Toc497908642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6</w:t>
        </w:r>
        <w:r w:rsidR="0069412E" w:rsidRPr="008838CC">
          <w:rPr>
            <w:rFonts w:ascii="Verdana" w:hAnsi="Verdana"/>
            <w:noProof/>
            <w:webHidden/>
            <w:sz w:val="17"/>
            <w:szCs w:val="17"/>
          </w:rPr>
          <w:fldChar w:fldCharType="end"/>
        </w:r>
      </w:hyperlink>
    </w:p>
    <w:p w14:paraId="04DFEF99" w14:textId="679ABA20" w:rsidR="0069412E" w:rsidRPr="008838CC" w:rsidRDefault="00D10DE2">
      <w:pPr>
        <w:pStyle w:val="Obsah1"/>
        <w:tabs>
          <w:tab w:val="right" w:leader="dot" w:pos="14276"/>
        </w:tabs>
        <w:rPr>
          <w:rFonts w:ascii="Verdana" w:hAnsi="Verdana"/>
          <w:noProof/>
          <w:sz w:val="17"/>
          <w:szCs w:val="17"/>
          <w:lang w:eastAsia="en-GB"/>
        </w:rPr>
      </w:pPr>
      <w:hyperlink w:anchor="_Toc497908643" w:history="1">
        <w:r w:rsidR="0069412E" w:rsidRPr="008838CC">
          <w:rPr>
            <w:rStyle w:val="Hypertextovprepojenie"/>
            <w:rFonts w:ascii="Verdana" w:hAnsi="Verdana"/>
            <w:noProof/>
            <w:sz w:val="17"/>
            <w:szCs w:val="17"/>
            <w:lang w:eastAsia="fr-FR"/>
          </w:rPr>
          <w:t>4. Health catastrophe risk</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_Toc497908643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7</w:t>
        </w:r>
        <w:r w:rsidR="0069412E" w:rsidRPr="008838CC">
          <w:rPr>
            <w:rFonts w:ascii="Verdana" w:hAnsi="Verdana"/>
            <w:noProof/>
            <w:webHidden/>
            <w:sz w:val="17"/>
            <w:szCs w:val="17"/>
          </w:rPr>
          <w:fldChar w:fldCharType="end"/>
        </w:r>
      </w:hyperlink>
    </w:p>
    <w:p w14:paraId="1DF7812C" w14:textId="3B0729B9" w:rsidR="0069412E" w:rsidRPr="008838CC" w:rsidRDefault="00D10DE2">
      <w:pPr>
        <w:pStyle w:val="Obsah1"/>
        <w:tabs>
          <w:tab w:val="right" w:leader="dot" w:pos="14276"/>
        </w:tabs>
        <w:rPr>
          <w:rFonts w:ascii="Verdana" w:hAnsi="Verdana"/>
          <w:noProof/>
          <w:sz w:val="17"/>
          <w:szCs w:val="17"/>
          <w:lang w:eastAsia="en-GB"/>
        </w:rPr>
      </w:pPr>
      <w:hyperlink w:anchor="_Toc497908644" w:history="1">
        <w:r w:rsidR="0069412E" w:rsidRPr="008838CC">
          <w:rPr>
            <w:rStyle w:val="Hypertextovprepojenie"/>
            <w:rFonts w:ascii="Verdana" w:hAnsi="Verdana"/>
            <w:noProof/>
            <w:sz w:val="17"/>
            <w:szCs w:val="17"/>
            <w:lang w:eastAsia="fr-FR"/>
          </w:rPr>
          <w:t>5. Man-made catastrophe risk</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_Toc497908644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9</w:t>
        </w:r>
        <w:r w:rsidR="0069412E" w:rsidRPr="008838CC">
          <w:rPr>
            <w:rFonts w:ascii="Verdana" w:hAnsi="Verdana"/>
            <w:noProof/>
            <w:webHidden/>
            <w:sz w:val="17"/>
            <w:szCs w:val="17"/>
          </w:rPr>
          <w:fldChar w:fldCharType="end"/>
        </w:r>
      </w:hyperlink>
    </w:p>
    <w:p w14:paraId="3B233E7D" w14:textId="35E34B3F" w:rsidR="0069412E" w:rsidRPr="008838CC" w:rsidRDefault="00D10DE2">
      <w:pPr>
        <w:pStyle w:val="Obsah1"/>
        <w:tabs>
          <w:tab w:val="right" w:leader="dot" w:pos="14276"/>
        </w:tabs>
        <w:rPr>
          <w:rFonts w:ascii="Verdana" w:hAnsi="Verdana"/>
          <w:noProof/>
          <w:sz w:val="17"/>
          <w:szCs w:val="17"/>
          <w:lang w:eastAsia="en-GB"/>
        </w:rPr>
      </w:pPr>
      <w:hyperlink w:anchor="_Toc497908645" w:history="1">
        <w:r w:rsidR="0069412E" w:rsidRPr="008838CC">
          <w:rPr>
            <w:rStyle w:val="Hypertextovprepojenie"/>
            <w:rFonts w:ascii="Verdana" w:hAnsi="Verdana"/>
            <w:noProof/>
            <w:sz w:val="17"/>
            <w:szCs w:val="17"/>
          </w:rPr>
          <w:t>6. Natural catastrophe risk</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_Toc497908645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12</w:t>
        </w:r>
        <w:r w:rsidR="0069412E" w:rsidRPr="008838CC">
          <w:rPr>
            <w:rFonts w:ascii="Verdana" w:hAnsi="Verdana"/>
            <w:noProof/>
            <w:webHidden/>
            <w:sz w:val="17"/>
            <w:szCs w:val="17"/>
          </w:rPr>
          <w:fldChar w:fldCharType="end"/>
        </w:r>
      </w:hyperlink>
    </w:p>
    <w:p w14:paraId="52212284" w14:textId="6BCA7FC2" w:rsidR="0069412E" w:rsidRPr="008838CC" w:rsidRDefault="00D10DE2">
      <w:pPr>
        <w:pStyle w:val="Obsah1"/>
        <w:tabs>
          <w:tab w:val="right" w:leader="dot" w:pos="14276"/>
        </w:tabs>
        <w:rPr>
          <w:rFonts w:ascii="Verdana" w:hAnsi="Verdana"/>
          <w:noProof/>
          <w:sz w:val="17"/>
          <w:szCs w:val="17"/>
          <w:lang w:eastAsia="en-GB"/>
        </w:rPr>
      </w:pPr>
      <w:hyperlink w:anchor="_Toc497908646" w:history="1">
        <w:r w:rsidR="0069412E" w:rsidRPr="008838CC">
          <w:rPr>
            <w:rStyle w:val="Hypertextovprepojenie"/>
            <w:rFonts w:ascii="Verdana" w:hAnsi="Verdana"/>
            <w:noProof/>
            <w:sz w:val="17"/>
            <w:szCs w:val="17"/>
          </w:rPr>
          <w:t>7. Interest rate risk</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_Toc497908646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15</w:t>
        </w:r>
        <w:r w:rsidR="0069412E" w:rsidRPr="008838CC">
          <w:rPr>
            <w:rFonts w:ascii="Verdana" w:hAnsi="Verdana"/>
            <w:noProof/>
            <w:webHidden/>
            <w:sz w:val="17"/>
            <w:szCs w:val="17"/>
          </w:rPr>
          <w:fldChar w:fldCharType="end"/>
        </w:r>
      </w:hyperlink>
    </w:p>
    <w:p w14:paraId="5C360B60" w14:textId="52942771" w:rsidR="0069412E" w:rsidRPr="008838CC" w:rsidRDefault="00D10DE2">
      <w:pPr>
        <w:pStyle w:val="Obsah1"/>
        <w:tabs>
          <w:tab w:val="right" w:leader="dot" w:pos="14276"/>
        </w:tabs>
        <w:rPr>
          <w:rFonts w:ascii="Verdana" w:hAnsi="Verdana"/>
          <w:noProof/>
          <w:sz w:val="17"/>
          <w:szCs w:val="17"/>
          <w:lang w:eastAsia="en-GB"/>
        </w:rPr>
      </w:pPr>
      <w:hyperlink w:anchor="_Toc497908647" w:history="1">
        <w:r w:rsidR="0069412E" w:rsidRPr="008838CC">
          <w:rPr>
            <w:rStyle w:val="Hypertextovprepojenie"/>
            <w:rFonts w:ascii="Verdana" w:hAnsi="Verdana"/>
            <w:noProof/>
            <w:sz w:val="17"/>
            <w:szCs w:val="17"/>
          </w:rPr>
          <w:t>8. Market risk concentration</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_Toc497908647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20</w:t>
        </w:r>
        <w:r w:rsidR="0069412E" w:rsidRPr="008838CC">
          <w:rPr>
            <w:rFonts w:ascii="Verdana" w:hAnsi="Verdana"/>
            <w:noProof/>
            <w:webHidden/>
            <w:sz w:val="17"/>
            <w:szCs w:val="17"/>
          </w:rPr>
          <w:fldChar w:fldCharType="end"/>
        </w:r>
      </w:hyperlink>
    </w:p>
    <w:p w14:paraId="205F5185" w14:textId="18B9FE88" w:rsidR="0069412E" w:rsidRPr="008838CC" w:rsidRDefault="00D10DE2">
      <w:pPr>
        <w:pStyle w:val="Obsah1"/>
        <w:tabs>
          <w:tab w:val="right" w:leader="dot" w:pos="14276"/>
        </w:tabs>
        <w:rPr>
          <w:rFonts w:ascii="Verdana" w:hAnsi="Verdana"/>
          <w:noProof/>
          <w:sz w:val="17"/>
          <w:szCs w:val="17"/>
          <w:lang w:eastAsia="en-GB"/>
        </w:rPr>
      </w:pPr>
      <w:hyperlink w:anchor="_Toc497908648" w:history="1">
        <w:r w:rsidR="0069412E" w:rsidRPr="008838CC">
          <w:rPr>
            <w:rStyle w:val="Hypertextovprepojenie"/>
            <w:rFonts w:ascii="Verdana" w:hAnsi="Verdana"/>
            <w:noProof/>
            <w:sz w:val="17"/>
            <w:szCs w:val="17"/>
          </w:rPr>
          <w:t>9. Currency risk at group level</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_Toc497908648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21</w:t>
        </w:r>
        <w:r w:rsidR="0069412E" w:rsidRPr="008838CC">
          <w:rPr>
            <w:rFonts w:ascii="Verdana" w:hAnsi="Verdana"/>
            <w:noProof/>
            <w:webHidden/>
            <w:sz w:val="17"/>
            <w:szCs w:val="17"/>
          </w:rPr>
          <w:fldChar w:fldCharType="end"/>
        </w:r>
      </w:hyperlink>
    </w:p>
    <w:p w14:paraId="03C72786" w14:textId="32667123" w:rsidR="0069412E" w:rsidRPr="008838CC" w:rsidRDefault="00D10DE2">
      <w:pPr>
        <w:pStyle w:val="Obsah1"/>
        <w:tabs>
          <w:tab w:val="right" w:leader="dot" w:pos="14276"/>
        </w:tabs>
        <w:rPr>
          <w:rFonts w:ascii="Verdana" w:hAnsi="Verdana"/>
          <w:noProof/>
          <w:sz w:val="17"/>
          <w:szCs w:val="17"/>
          <w:lang w:eastAsia="en-GB"/>
        </w:rPr>
      </w:pPr>
      <w:hyperlink w:anchor="_Toc497908649" w:history="1">
        <w:r w:rsidR="0069412E" w:rsidRPr="008838CC">
          <w:rPr>
            <w:rStyle w:val="Hypertextovprepojenie"/>
            <w:rFonts w:ascii="Verdana" w:hAnsi="Verdana"/>
            <w:noProof/>
            <w:sz w:val="17"/>
            <w:szCs w:val="17"/>
          </w:rPr>
          <w:t>10. Unrated debts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_Toc497908649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24</w:t>
        </w:r>
        <w:r w:rsidR="0069412E" w:rsidRPr="008838CC">
          <w:rPr>
            <w:rFonts w:ascii="Verdana" w:hAnsi="Verdana"/>
            <w:noProof/>
            <w:webHidden/>
            <w:sz w:val="17"/>
            <w:szCs w:val="17"/>
          </w:rPr>
          <w:fldChar w:fldCharType="end"/>
        </w:r>
      </w:hyperlink>
    </w:p>
    <w:p w14:paraId="0A43E8BE" w14:textId="1F0F1B5E" w:rsidR="0069412E" w:rsidRPr="008838CC" w:rsidRDefault="00D10DE2">
      <w:pPr>
        <w:pStyle w:val="Obsah1"/>
        <w:tabs>
          <w:tab w:val="right" w:leader="dot" w:pos="14276"/>
        </w:tabs>
        <w:rPr>
          <w:rFonts w:ascii="Verdana" w:hAnsi="Verdana"/>
          <w:noProof/>
          <w:sz w:val="17"/>
          <w:szCs w:val="17"/>
          <w:lang w:eastAsia="en-GB"/>
        </w:rPr>
      </w:pPr>
      <w:hyperlink w:anchor="_Toc497908650" w:history="1">
        <w:r w:rsidR="0069412E" w:rsidRPr="008838CC">
          <w:rPr>
            <w:rStyle w:val="Hypertextovprepojenie"/>
            <w:rFonts w:ascii="Verdana" w:hAnsi="Verdana"/>
            <w:noProof/>
            <w:sz w:val="17"/>
            <w:szCs w:val="17"/>
          </w:rPr>
          <w:t>11. Unlisted equity</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_Toc497908650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25</w:t>
        </w:r>
        <w:r w:rsidR="0069412E" w:rsidRPr="008838CC">
          <w:rPr>
            <w:rFonts w:ascii="Verdana" w:hAnsi="Verdana"/>
            <w:noProof/>
            <w:webHidden/>
            <w:sz w:val="17"/>
            <w:szCs w:val="17"/>
          </w:rPr>
          <w:fldChar w:fldCharType="end"/>
        </w:r>
      </w:hyperlink>
    </w:p>
    <w:p w14:paraId="6A44892D" w14:textId="21999BD9" w:rsidR="0069412E" w:rsidRPr="008838CC" w:rsidRDefault="00D10DE2">
      <w:pPr>
        <w:pStyle w:val="Obsah1"/>
        <w:tabs>
          <w:tab w:val="right" w:leader="dot" w:pos="14276"/>
        </w:tabs>
        <w:rPr>
          <w:rFonts w:ascii="Verdana" w:hAnsi="Verdana"/>
          <w:noProof/>
          <w:sz w:val="17"/>
          <w:szCs w:val="17"/>
          <w:lang w:eastAsia="en-GB"/>
        </w:rPr>
      </w:pPr>
      <w:hyperlink w:anchor="_Toc497908651" w:history="1">
        <w:r w:rsidR="0069412E" w:rsidRPr="008838CC">
          <w:rPr>
            <w:rStyle w:val="Hypertextovprepojenie"/>
            <w:rFonts w:ascii="Verdana" w:hAnsi="Verdana"/>
            <w:noProof/>
            <w:sz w:val="17"/>
            <w:szCs w:val="17"/>
          </w:rPr>
          <w:t>12. Strategic equity investments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_Toc497908651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26</w:t>
        </w:r>
        <w:r w:rsidR="0069412E" w:rsidRPr="008838CC">
          <w:rPr>
            <w:rFonts w:ascii="Verdana" w:hAnsi="Verdana"/>
            <w:noProof/>
            <w:webHidden/>
            <w:sz w:val="17"/>
            <w:szCs w:val="17"/>
          </w:rPr>
          <w:fldChar w:fldCharType="end"/>
        </w:r>
      </w:hyperlink>
    </w:p>
    <w:p w14:paraId="624F807A" w14:textId="1CFC9E3D" w:rsidR="0069412E" w:rsidRPr="008838CC" w:rsidRDefault="00D10DE2">
      <w:pPr>
        <w:pStyle w:val="Obsah1"/>
        <w:tabs>
          <w:tab w:val="right" w:leader="dot" w:pos="14276"/>
        </w:tabs>
        <w:rPr>
          <w:rFonts w:ascii="Verdana" w:hAnsi="Verdana"/>
          <w:noProof/>
          <w:sz w:val="17"/>
          <w:szCs w:val="17"/>
          <w:lang w:eastAsia="en-GB"/>
        </w:rPr>
      </w:pPr>
      <w:hyperlink w:anchor="_Toc497908652" w:history="1">
        <w:r w:rsidR="0069412E" w:rsidRPr="008838CC">
          <w:rPr>
            <w:rStyle w:val="Hypertextovprepojenie"/>
            <w:rFonts w:ascii="Verdana" w:hAnsi="Verdana"/>
            <w:noProof/>
            <w:sz w:val="17"/>
            <w:szCs w:val="17"/>
          </w:rPr>
          <w:t>13. Simplification of counterparty default risk</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_Toc497908652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29</w:t>
        </w:r>
        <w:r w:rsidR="0069412E" w:rsidRPr="008838CC">
          <w:rPr>
            <w:rFonts w:ascii="Verdana" w:hAnsi="Verdana"/>
            <w:noProof/>
            <w:webHidden/>
            <w:sz w:val="17"/>
            <w:szCs w:val="17"/>
          </w:rPr>
          <w:fldChar w:fldCharType="end"/>
        </w:r>
      </w:hyperlink>
    </w:p>
    <w:p w14:paraId="1F00AF33" w14:textId="224F4BCD" w:rsidR="0069412E" w:rsidRPr="008838CC" w:rsidRDefault="00D10DE2">
      <w:pPr>
        <w:pStyle w:val="Obsah1"/>
        <w:tabs>
          <w:tab w:val="right" w:leader="dot" w:pos="14276"/>
        </w:tabs>
        <w:rPr>
          <w:rFonts w:ascii="Verdana" w:hAnsi="Verdana"/>
          <w:noProof/>
          <w:sz w:val="17"/>
          <w:szCs w:val="17"/>
          <w:lang w:eastAsia="en-GB"/>
        </w:rPr>
      </w:pPr>
      <w:hyperlink w:anchor="_Toc497908653" w:history="1">
        <w:r w:rsidR="0069412E" w:rsidRPr="008838CC">
          <w:rPr>
            <w:rStyle w:val="Hypertextovprepojenie"/>
            <w:rFonts w:ascii="Verdana" w:hAnsi="Verdana"/>
            <w:noProof/>
            <w:sz w:val="17"/>
            <w:szCs w:val="17"/>
          </w:rPr>
          <w:t>14. Treatment of exposures to CCPs and changes resulting from EMIR</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_Toc497908653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32</w:t>
        </w:r>
        <w:r w:rsidR="0069412E" w:rsidRPr="008838CC">
          <w:rPr>
            <w:rFonts w:ascii="Verdana" w:hAnsi="Verdana"/>
            <w:noProof/>
            <w:webHidden/>
            <w:sz w:val="17"/>
            <w:szCs w:val="17"/>
          </w:rPr>
          <w:fldChar w:fldCharType="end"/>
        </w:r>
      </w:hyperlink>
    </w:p>
    <w:p w14:paraId="784DFA10" w14:textId="571BAF71" w:rsidR="0069412E" w:rsidRPr="008838CC" w:rsidRDefault="00D10DE2">
      <w:pPr>
        <w:pStyle w:val="Obsah1"/>
        <w:tabs>
          <w:tab w:val="right" w:leader="dot" w:pos="14276"/>
        </w:tabs>
        <w:rPr>
          <w:rFonts w:ascii="Verdana" w:hAnsi="Verdana"/>
          <w:noProof/>
          <w:sz w:val="17"/>
          <w:szCs w:val="17"/>
          <w:lang w:eastAsia="en-GB"/>
        </w:rPr>
      </w:pPr>
      <w:hyperlink w:anchor="_Toc497908654" w:history="1">
        <w:r w:rsidR="0069412E" w:rsidRPr="008838CC">
          <w:rPr>
            <w:rStyle w:val="Hypertextovprepojenie"/>
            <w:rFonts w:ascii="Verdana" w:hAnsi="Verdana"/>
            <w:noProof/>
            <w:sz w:val="17"/>
            <w:szCs w:val="17"/>
          </w:rPr>
          <w:t>15. Simplification of the look-through approach</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_Toc497908654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34</w:t>
        </w:r>
        <w:r w:rsidR="0069412E" w:rsidRPr="008838CC">
          <w:rPr>
            <w:rFonts w:ascii="Verdana" w:hAnsi="Verdana"/>
            <w:noProof/>
            <w:webHidden/>
            <w:sz w:val="17"/>
            <w:szCs w:val="17"/>
          </w:rPr>
          <w:fldChar w:fldCharType="end"/>
        </w:r>
      </w:hyperlink>
    </w:p>
    <w:p w14:paraId="627F1D0A" w14:textId="5C267630" w:rsidR="0069412E" w:rsidRPr="008838CC" w:rsidRDefault="00D10DE2">
      <w:pPr>
        <w:pStyle w:val="Obsah1"/>
        <w:tabs>
          <w:tab w:val="right" w:leader="dot" w:pos="14276"/>
        </w:tabs>
        <w:rPr>
          <w:rFonts w:ascii="Verdana" w:hAnsi="Verdana"/>
          <w:noProof/>
          <w:sz w:val="17"/>
          <w:szCs w:val="17"/>
          <w:lang w:eastAsia="en-GB"/>
        </w:rPr>
      </w:pPr>
      <w:hyperlink w:anchor="_Toc497908655" w:history="1">
        <w:r w:rsidR="0069412E" w:rsidRPr="008838CC">
          <w:rPr>
            <w:rStyle w:val="Hypertextovprepojenie"/>
            <w:rFonts w:ascii="Verdana" w:hAnsi="Verdana"/>
            <w:noProof/>
            <w:sz w:val="17"/>
            <w:szCs w:val="17"/>
          </w:rPr>
          <w:t>16. Look-through approach at group level</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_Toc497908655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35</w:t>
        </w:r>
        <w:r w:rsidR="0069412E" w:rsidRPr="008838CC">
          <w:rPr>
            <w:rFonts w:ascii="Verdana" w:hAnsi="Verdana"/>
            <w:noProof/>
            <w:webHidden/>
            <w:sz w:val="17"/>
            <w:szCs w:val="17"/>
          </w:rPr>
          <w:fldChar w:fldCharType="end"/>
        </w:r>
      </w:hyperlink>
    </w:p>
    <w:p w14:paraId="4189F1C2" w14:textId="4A90FE1B" w:rsidR="0069412E" w:rsidRPr="008838CC" w:rsidRDefault="00D10DE2">
      <w:pPr>
        <w:pStyle w:val="Obsah1"/>
        <w:tabs>
          <w:tab w:val="right" w:leader="dot" w:pos="14276"/>
        </w:tabs>
        <w:rPr>
          <w:rFonts w:ascii="Verdana" w:hAnsi="Verdana"/>
          <w:noProof/>
          <w:sz w:val="17"/>
          <w:szCs w:val="17"/>
          <w:lang w:eastAsia="en-GB"/>
        </w:rPr>
      </w:pPr>
      <w:hyperlink w:anchor="_Toc497908656" w:history="1">
        <w:r w:rsidR="0069412E" w:rsidRPr="008838CC">
          <w:rPr>
            <w:rStyle w:val="Hypertextovprepojenie"/>
            <w:rFonts w:ascii="Verdana" w:hAnsi="Verdana"/>
            <w:noProof/>
            <w:sz w:val="17"/>
            <w:szCs w:val="17"/>
          </w:rPr>
          <w:t>17. Loss-absorbing capacity of deferred taxes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_Toc497908656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36</w:t>
        </w:r>
        <w:r w:rsidR="0069412E" w:rsidRPr="008838CC">
          <w:rPr>
            <w:rFonts w:ascii="Verdana" w:hAnsi="Verdana"/>
            <w:noProof/>
            <w:webHidden/>
            <w:sz w:val="17"/>
            <w:szCs w:val="17"/>
          </w:rPr>
          <w:fldChar w:fldCharType="end"/>
        </w:r>
      </w:hyperlink>
    </w:p>
    <w:p w14:paraId="640C733F" w14:textId="37713683" w:rsidR="0069412E" w:rsidRPr="008838CC" w:rsidRDefault="00D10DE2">
      <w:pPr>
        <w:pStyle w:val="Obsah1"/>
        <w:tabs>
          <w:tab w:val="right" w:leader="dot" w:pos="14276"/>
        </w:tabs>
        <w:rPr>
          <w:rFonts w:ascii="Verdana" w:hAnsi="Verdana"/>
          <w:noProof/>
          <w:sz w:val="17"/>
          <w:szCs w:val="17"/>
          <w:lang w:eastAsia="en-GB"/>
        </w:rPr>
      </w:pPr>
      <w:hyperlink w:anchor="_Toc497908657" w:history="1">
        <w:r w:rsidR="0069412E" w:rsidRPr="008838CC">
          <w:rPr>
            <w:rStyle w:val="Hypertextovprepojenie"/>
            <w:rFonts w:ascii="Verdana" w:hAnsi="Verdana"/>
            <w:noProof/>
            <w:sz w:val="17"/>
            <w:szCs w:val="17"/>
          </w:rPr>
          <w:t>18. Risk margin</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_Toc497908657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39</w:t>
        </w:r>
        <w:r w:rsidR="0069412E" w:rsidRPr="008838CC">
          <w:rPr>
            <w:rFonts w:ascii="Verdana" w:hAnsi="Verdana"/>
            <w:noProof/>
            <w:webHidden/>
            <w:sz w:val="17"/>
            <w:szCs w:val="17"/>
          </w:rPr>
          <w:fldChar w:fldCharType="end"/>
        </w:r>
      </w:hyperlink>
    </w:p>
    <w:p w14:paraId="4CAE1493" w14:textId="0D451E3A" w:rsidR="0069412E" w:rsidRPr="008838CC" w:rsidRDefault="00D10DE2">
      <w:pPr>
        <w:pStyle w:val="Obsah1"/>
        <w:tabs>
          <w:tab w:val="right" w:leader="dot" w:pos="14276"/>
        </w:tabs>
        <w:rPr>
          <w:rFonts w:ascii="Verdana" w:hAnsi="Verdana"/>
          <w:noProof/>
          <w:sz w:val="17"/>
          <w:szCs w:val="17"/>
          <w:lang w:eastAsia="en-GB"/>
        </w:rPr>
      </w:pPr>
      <w:hyperlink w:anchor="_Toc497908658" w:history="1">
        <w:r w:rsidR="0069412E" w:rsidRPr="008838CC">
          <w:rPr>
            <w:rStyle w:val="Hypertextovprepojenie"/>
            <w:rFonts w:ascii="Verdana" w:hAnsi="Verdana"/>
            <w:noProof/>
            <w:sz w:val="17"/>
            <w:szCs w:val="17"/>
          </w:rPr>
          <w:t>19. Comparison of own funds in insurance and banking sectors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_Toc497908658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44</w:t>
        </w:r>
        <w:r w:rsidR="0069412E" w:rsidRPr="008838CC">
          <w:rPr>
            <w:rFonts w:ascii="Verdana" w:hAnsi="Verdana"/>
            <w:noProof/>
            <w:webHidden/>
            <w:sz w:val="17"/>
            <w:szCs w:val="17"/>
          </w:rPr>
          <w:fldChar w:fldCharType="end"/>
        </w:r>
      </w:hyperlink>
    </w:p>
    <w:p w14:paraId="4D581954" w14:textId="2FA55A5B" w:rsidR="0069412E" w:rsidRPr="008838CC" w:rsidRDefault="00D10DE2">
      <w:pPr>
        <w:pStyle w:val="Obsah1"/>
        <w:tabs>
          <w:tab w:val="right" w:leader="dot" w:pos="14276"/>
        </w:tabs>
        <w:rPr>
          <w:rFonts w:ascii="Verdana" w:hAnsi="Verdana"/>
          <w:noProof/>
          <w:sz w:val="17"/>
          <w:szCs w:val="17"/>
          <w:lang w:eastAsia="en-GB"/>
        </w:rPr>
      </w:pPr>
      <w:hyperlink w:anchor="_Toc497908659" w:history="1">
        <w:r w:rsidR="0069412E" w:rsidRPr="008838CC">
          <w:rPr>
            <w:rStyle w:val="Hypertextovprepojenie"/>
            <w:rFonts w:ascii="Verdana" w:hAnsi="Verdana"/>
            <w:noProof/>
            <w:sz w:val="17"/>
            <w:szCs w:val="17"/>
          </w:rPr>
          <w:t>20. Capital instruments only eligible as tier 1 up to 20% of total tier 1</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_Toc497908659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47</w:t>
        </w:r>
        <w:r w:rsidR="0069412E" w:rsidRPr="008838CC">
          <w:rPr>
            <w:rFonts w:ascii="Verdana" w:hAnsi="Verdana"/>
            <w:noProof/>
            <w:webHidden/>
            <w:sz w:val="17"/>
            <w:szCs w:val="17"/>
          </w:rPr>
          <w:fldChar w:fldCharType="end"/>
        </w:r>
      </w:hyperlink>
    </w:p>
    <w:p w14:paraId="47D081C2" w14:textId="7588333E" w:rsidR="0069412E" w:rsidRPr="008838CC" w:rsidRDefault="00D10DE2">
      <w:pPr>
        <w:pStyle w:val="Obsah1"/>
        <w:tabs>
          <w:tab w:val="right" w:leader="dot" w:pos="14276"/>
        </w:tabs>
        <w:rPr>
          <w:rFonts w:ascii="Verdana" w:hAnsi="Verdana"/>
          <w:noProof/>
          <w:sz w:val="17"/>
          <w:szCs w:val="17"/>
          <w:lang w:eastAsia="en-GB"/>
        </w:rPr>
      </w:pPr>
      <w:hyperlink w:anchor="_Toc497908660" w:history="1">
        <w:r w:rsidR="0069412E" w:rsidRPr="008838CC">
          <w:rPr>
            <w:rStyle w:val="Hypertextovprepojenie"/>
            <w:rFonts w:ascii="Verdana" w:hAnsi="Verdana"/>
            <w:noProof/>
            <w:sz w:val="17"/>
            <w:szCs w:val="17"/>
          </w:rPr>
          <w:t>21. Draft Impact Assessment</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_Toc497908660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49</w:t>
        </w:r>
        <w:r w:rsidR="0069412E" w:rsidRPr="008838CC">
          <w:rPr>
            <w:rFonts w:ascii="Verdana" w:hAnsi="Verdana"/>
            <w:noProof/>
            <w:webHidden/>
            <w:sz w:val="17"/>
            <w:szCs w:val="17"/>
          </w:rPr>
          <w:fldChar w:fldCharType="end"/>
        </w:r>
      </w:hyperlink>
    </w:p>
    <w:p w14:paraId="250ECBF1" w14:textId="0522B7BB" w:rsidR="0069412E" w:rsidRPr="008838CC" w:rsidRDefault="00D10DE2">
      <w:pPr>
        <w:pStyle w:val="Obsah1"/>
        <w:tabs>
          <w:tab w:val="right" w:leader="dot" w:pos="14276"/>
        </w:tabs>
        <w:rPr>
          <w:rFonts w:ascii="Verdana" w:hAnsi="Verdana"/>
          <w:noProof/>
          <w:sz w:val="17"/>
          <w:szCs w:val="17"/>
          <w:lang w:eastAsia="en-GB"/>
        </w:rPr>
      </w:pPr>
      <w:hyperlink w:anchor="_Toc497908661" w:history="1">
        <w:r w:rsidR="0069412E" w:rsidRPr="008838CC">
          <w:rPr>
            <w:rStyle w:val="Hypertextovprepojenie"/>
            <w:rFonts w:ascii="Verdana" w:hAnsi="Verdana"/>
            <w:noProof/>
            <w:sz w:val="17"/>
            <w:szCs w:val="17"/>
          </w:rPr>
          <w:t>22. Annex to chapter 1 – USP calibration</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_Toc497908661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43B29592" w14:textId="1FEF2B1F" w:rsidR="0069412E" w:rsidRPr="008838CC" w:rsidRDefault="00D10DE2">
      <w:pPr>
        <w:pStyle w:val="Obsah1"/>
        <w:tabs>
          <w:tab w:val="right" w:leader="dot" w:pos="14276"/>
        </w:tabs>
        <w:rPr>
          <w:rFonts w:ascii="Verdana" w:hAnsi="Verdana"/>
          <w:noProof/>
          <w:sz w:val="17"/>
          <w:szCs w:val="17"/>
          <w:lang w:eastAsia="en-GB"/>
        </w:rPr>
      </w:pPr>
      <w:hyperlink w:anchor="_Toc497908662" w:history="1">
        <w:r w:rsidR="0069412E" w:rsidRPr="008838CC">
          <w:rPr>
            <w:rStyle w:val="Hypertextovprepojenie"/>
            <w:rFonts w:ascii="Verdana" w:hAnsi="Verdana"/>
            <w:noProof/>
            <w:sz w:val="17"/>
            <w:szCs w:val="17"/>
          </w:rPr>
          <w:t>23. Annex to chapter 1 – Results of the calibration for premium risks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_Toc497908662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3520E4A5" w14:textId="355601DB" w:rsidR="0069412E" w:rsidRPr="008838CC" w:rsidRDefault="00D10DE2">
      <w:pPr>
        <w:pStyle w:val="Obsah1"/>
        <w:tabs>
          <w:tab w:val="right" w:leader="dot" w:pos="14276"/>
        </w:tabs>
        <w:rPr>
          <w:rFonts w:ascii="Verdana" w:hAnsi="Verdana"/>
          <w:noProof/>
          <w:sz w:val="17"/>
          <w:szCs w:val="17"/>
          <w:lang w:eastAsia="en-GB"/>
        </w:rPr>
      </w:pPr>
      <w:hyperlink w:anchor="_Toc497908663" w:history="1">
        <w:r w:rsidR="0069412E" w:rsidRPr="008838CC">
          <w:rPr>
            <w:rStyle w:val="Hypertextovprepojenie"/>
            <w:rFonts w:ascii="Verdana" w:hAnsi="Verdana"/>
            <w:noProof/>
            <w:sz w:val="17"/>
            <w:szCs w:val="17"/>
          </w:rPr>
          <w:t>24. Annex to chapter 1 – Results of the calibration for reserve risks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_Toc497908663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49F06947" w14:textId="3F91EDE0" w:rsidR="0069412E" w:rsidRPr="008838CC" w:rsidRDefault="00D10DE2">
      <w:pPr>
        <w:pStyle w:val="Obsah1"/>
        <w:tabs>
          <w:tab w:val="right" w:leader="dot" w:pos="14276"/>
        </w:tabs>
        <w:rPr>
          <w:rFonts w:ascii="Verdana" w:hAnsi="Verdana"/>
          <w:noProof/>
          <w:sz w:val="17"/>
          <w:szCs w:val="17"/>
          <w:lang w:eastAsia="en-GB"/>
        </w:rPr>
      </w:pPr>
      <w:hyperlink w:anchor="_Toc497908664" w:history="1">
        <w:r w:rsidR="0069412E" w:rsidRPr="008838CC">
          <w:rPr>
            <w:rStyle w:val="Hypertextovprepojenie"/>
            <w:rFonts w:ascii="Verdana" w:hAnsi="Verdana"/>
            <w:noProof/>
            <w:sz w:val="17"/>
            <w:szCs w:val="17"/>
          </w:rPr>
          <w:t>25. Annex to chapter 1 – Weights used in the method 2</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_Toc497908664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2703B2BE" w14:textId="5C5F7082" w:rsidR="0069412E" w:rsidRPr="008838CC" w:rsidRDefault="00D10DE2">
      <w:pPr>
        <w:pStyle w:val="Obsah1"/>
        <w:tabs>
          <w:tab w:val="right" w:leader="dot" w:pos="14276"/>
        </w:tabs>
        <w:rPr>
          <w:rFonts w:ascii="Verdana" w:hAnsi="Verdana"/>
          <w:noProof/>
          <w:sz w:val="17"/>
          <w:szCs w:val="17"/>
          <w:lang w:eastAsia="en-GB"/>
        </w:rPr>
      </w:pPr>
      <w:hyperlink w:anchor="_Toc497908665" w:history="1">
        <w:r w:rsidR="0069412E" w:rsidRPr="008838CC">
          <w:rPr>
            <w:rStyle w:val="Hypertextovprepojenie"/>
            <w:rFonts w:ascii="Verdana" w:hAnsi="Verdana"/>
            <w:noProof/>
            <w:sz w:val="17"/>
            <w:szCs w:val="17"/>
          </w:rPr>
          <w:t>26. Annex to chapter 5 – Identification of largest man-made catastrophe exposures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_Toc497908665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53ECF6B8" w14:textId="546C05AA" w:rsidR="0069412E" w:rsidRPr="008838CC" w:rsidRDefault="00D10DE2">
      <w:pPr>
        <w:pStyle w:val="Obsah1"/>
        <w:tabs>
          <w:tab w:val="right" w:leader="dot" w:pos="14276"/>
        </w:tabs>
        <w:rPr>
          <w:rFonts w:ascii="Verdana" w:hAnsi="Verdana"/>
          <w:noProof/>
          <w:sz w:val="17"/>
          <w:szCs w:val="17"/>
          <w:lang w:eastAsia="en-GB"/>
        </w:rPr>
      </w:pPr>
      <w:hyperlink w:anchor="_Toc497908666" w:history="1">
        <w:r w:rsidR="0069412E" w:rsidRPr="008838CC">
          <w:rPr>
            <w:rStyle w:val="Hypertextovprepojenie"/>
            <w:rFonts w:ascii="Verdana" w:hAnsi="Verdana"/>
            <w:noProof/>
            <w:sz w:val="17"/>
            <w:szCs w:val="17"/>
          </w:rPr>
          <w:t>27. Annex to chapter 5 – Fire risk simplification</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_Toc497908666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44C1C690" w14:textId="4F222DD0" w:rsidR="0069412E" w:rsidRPr="008838CC" w:rsidRDefault="00D10DE2">
      <w:pPr>
        <w:pStyle w:val="Obsah1"/>
        <w:tabs>
          <w:tab w:val="right" w:leader="dot" w:pos="14276"/>
        </w:tabs>
        <w:rPr>
          <w:rFonts w:ascii="Verdana" w:hAnsi="Verdana"/>
          <w:noProof/>
          <w:sz w:val="17"/>
          <w:szCs w:val="17"/>
          <w:lang w:eastAsia="en-GB"/>
        </w:rPr>
      </w:pPr>
      <w:hyperlink w:anchor="_Toc497908667" w:history="1">
        <w:r w:rsidR="0069412E" w:rsidRPr="008838CC">
          <w:rPr>
            <w:rStyle w:val="Hypertextovprepojenie"/>
            <w:rFonts w:ascii="Verdana" w:hAnsi="Verdana"/>
            <w:noProof/>
            <w:sz w:val="17"/>
            <w:szCs w:val="17"/>
          </w:rPr>
          <w:t>28. Annex to chapter 6 – Natural Catastrophe risk simplification: mathematical formation and quantitative results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_Toc497908667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58EB545C" w14:textId="6D446358" w:rsidR="0069412E" w:rsidRPr="008838CC" w:rsidRDefault="00D10DE2">
      <w:pPr>
        <w:pStyle w:val="Obsah1"/>
        <w:tabs>
          <w:tab w:val="right" w:leader="dot" w:pos="14276"/>
        </w:tabs>
        <w:rPr>
          <w:rFonts w:ascii="Verdana" w:hAnsi="Verdana"/>
          <w:noProof/>
          <w:sz w:val="17"/>
          <w:szCs w:val="17"/>
          <w:lang w:eastAsia="en-GB"/>
        </w:rPr>
      </w:pPr>
      <w:hyperlink w:anchor="_Toc497908668" w:history="1">
        <w:r w:rsidR="0069412E" w:rsidRPr="008838CC">
          <w:rPr>
            <w:rStyle w:val="Hypertextovprepojenie"/>
            <w:rFonts w:ascii="Verdana" w:hAnsi="Verdana"/>
            <w:noProof/>
            <w:sz w:val="17"/>
            <w:szCs w:val="17"/>
          </w:rPr>
          <w:t>29. Annex to chapter 6 – Description of recalibration process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_Toc497908668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5710234A" w14:textId="73A41E8D" w:rsidR="0069412E" w:rsidRPr="008838CC" w:rsidRDefault="00D10DE2">
      <w:pPr>
        <w:pStyle w:val="Obsah1"/>
        <w:tabs>
          <w:tab w:val="right" w:leader="dot" w:pos="14276"/>
        </w:tabs>
        <w:rPr>
          <w:rFonts w:ascii="Verdana" w:hAnsi="Verdana"/>
          <w:noProof/>
          <w:sz w:val="17"/>
          <w:szCs w:val="17"/>
          <w:lang w:eastAsia="en-GB"/>
        </w:rPr>
      </w:pPr>
      <w:hyperlink w:anchor="_Toc497908669" w:history="1">
        <w:r w:rsidR="0069412E" w:rsidRPr="008838CC">
          <w:rPr>
            <w:rStyle w:val="Hypertextovprepojenie"/>
            <w:rFonts w:ascii="Verdana" w:hAnsi="Verdana"/>
            <w:noProof/>
            <w:sz w:val="17"/>
            <w:szCs w:val="17"/>
          </w:rPr>
          <w:t>30. Annex to chapter 6 – Spanish Windstorm country factor recalibration</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_Toc497908669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2126ADDE" w14:textId="7A350387" w:rsidR="0069412E" w:rsidRPr="008838CC" w:rsidRDefault="00D10DE2">
      <w:pPr>
        <w:pStyle w:val="Obsah1"/>
        <w:tabs>
          <w:tab w:val="right" w:leader="dot" w:pos="14276"/>
        </w:tabs>
        <w:rPr>
          <w:rFonts w:ascii="Verdana" w:hAnsi="Verdana"/>
          <w:noProof/>
          <w:sz w:val="17"/>
          <w:szCs w:val="17"/>
          <w:lang w:eastAsia="en-GB"/>
        </w:rPr>
      </w:pPr>
      <w:hyperlink w:anchor="_Toc497908670" w:history="1">
        <w:r w:rsidR="0069412E" w:rsidRPr="008838CC">
          <w:rPr>
            <w:rStyle w:val="Hypertextovprepojenie"/>
            <w:rFonts w:ascii="Verdana" w:hAnsi="Verdana"/>
            <w:noProof/>
            <w:sz w:val="17"/>
            <w:szCs w:val="17"/>
          </w:rPr>
          <w:t>31. Annex to chapter 6 – Example of model information</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_Toc497908670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63E8EB46" w14:textId="5ED53911" w:rsidR="0069412E" w:rsidRPr="008838CC" w:rsidRDefault="00D10DE2">
      <w:pPr>
        <w:pStyle w:val="Obsah1"/>
        <w:tabs>
          <w:tab w:val="right" w:leader="dot" w:pos="14276"/>
        </w:tabs>
        <w:rPr>
          <w:rFonts w:ascii="Verdana" w:hAnsi="Verdana"/>
          <w:noProof/>
          <w:sz w:val="17"/>
          <w:szCs w:val="17"/>
          <w:lang w:eastAsia="en-GB"/>
        </w:rPr>
      </w:pPr>
      <w:hyperlink w:anchor="_Toc497908671" w:history="1">
        <w:r w:rsidR="0069412E" w:rsidRPr="008838CC">
          <w:rPr>
            <w:rStyle w:val="Hypertextovprepojenie"/>
            <w:rFonts w:ascii="Verdana" w:hAnsi="Verdana"/>
            <w:noProof/>
            <w:sz w:val="17"/>
            <w:szCs w:val="17"/>
          </w:rPr>
          <w:t>32. Annex to chapter 7 – Statistical estimation of the affine model</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_Toc497908671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7996BD29" w14:textId="34FB3817" w:rsidR="0069412E" w:rsidRPr="008838CC" w:rsidRDefault="00D10DE2">
      <w:pPr>
        <w:pStyle w:val="Obsah1"/>
        <w:tabs>
          <w:tab w:val="right" w:leader="dot" w:pos="14276"/>
        </w:tabs>
        <w:rPr>
          <w:rFonts w:ascii="Verdana" w:hAnsi="Verdana"/>
          <w:noProof/>
          <w:sz w:val="17"/>
          <w:szCs w:val="17"/>
          <w:lang w:eastAsia="en-GB"/>
        </w:rPr>
      </w:pPr>
      <w:hyperlink w:anchor="_Toc497908672" w:history="1">
        <w:r w:rsidR="0069412E" w:rsidRPr="008838CC">
          <w:rPr>
            <w:rStyle w:val="Hypertextovprepojenie"/>
            <w:rFonts w:ascii="Verdana" w:hAnsi="Verdana"/>
            <w:noProof/>
            <w:sz w:val="17"/>
            <w:szCs w:val="17"/>
          </w:rPr>
          <w:t>33. Annex to chapter 10 – Possible financial ratios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_Toc497908672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26E3BAD8" w14:textId="24A387F3" w:rsidR="0069412E" w:rsidRPr="008838CC" w:rsidRDefault="00D10DE2">
      <w:pPr>
        <w:pStyle w:val="Obsah1"/>
        <w:tabs>
          <w:tab w:val="right" w:leader="dot" w:pos="14276"/>
        </w:tabs>
        <w:rPr>
          <w:rFonts w:ascii="Verdana" w:hAnsi="Verdana"/>
          <w:noProof/>
          <w:sz w:val="17"/>
          <w:szCs w:val="17"/>
          <w:lang w:eastAsia="en-GB"/>
        </w:rPr>
      </w:pPr>
      <w:hyperlink w:anchor="_Toc497908673" w:history="1">
        <w:r w:rsidR="0069412E" w:rsidRPr="008838CC">
          <w:rPr>
            <w:rStyle w:val="Hypertextovprepojenie"/>
            <w:rFonts w:ascii="Verdana" w:hAnsi="Verdana"/>
            <w:noProof/>
            <w:sz w:val="17"/>
            <w:szCs w:val="17"/>
          </w:rPr>
          <w:t>34. Annex to chapter 13 – Derivation of a simplification for the risk-mitigating effect of reinsurance arrangements</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_Toc497908673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0983A825" w14:textId="30A33498" w:rsidR="0069412E" w:rsidRPr="008838CC" w:rsidRDefault="00D10DE2">
      <w:pPr>
        <w:pStyle w:val="Obsah1"/>
        <w:tabs>
          <w:tab w:val="right" w:leader="dot" w:pos="14276"/>
        </w:tabs>
        <w:rPr>
          <w:rFonts w:ascii="Verdana" w:hAnsi="Verdana"/>
          <w:noProof/>
          <w:sz w:val="17"/>
          <w:szCs w:val="17"/>
          <w:lang w:eastAsia="en-GB"/>
        </w:rPr>
      </w:pPr>
      <w:hyperlink w:anchor="_Toc497908674" w:history="1">
        <w:r w:rsidR="0069412E" w:rsidRPr="008838CC">
          <w:rPr>
            <w:rStyle w:val="Hypertextovprepojenie"/>
            <w:rFonts w:ascii="Verdana" w:hAnsi="Verdana"/>
            <w:noProof/>
            <w:sz w:val="17"/>
            <w:szCs w:val="17"/>
          </w:rPr>
          <w:t>35. Annex to chapter 18 – Relative size of the risk margin</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_Toc497908674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1AD64559" w14:textId="0025715B" w:rsidR="0069412E" w:rsidRPr="008838CC" w:rsidRDefault="00D10DE2">
      <w:pPr>
        <w:pStyle w:val="Obsah1"/>
        <w:tabs>
          <w:tab w:val="right" w:leader="dot" w:pos="14276"/>
        </w:tabs>
        <w:rPr>
          <w:rFonts w:ascii="Verdana" w:hAnsi="Verdana"/>
          <w:noProof/>
          <w:sz w:val="17"/>
          <w:szCs w:val="17"/>
          <w:lang w:eastAsia="en-GB"/>
        </w:rPr>
      </w:pPr>
      <w:hyperlink w:anchor="_Toc497908675" w:history="1">
        <w:r w:rsidR="0069412E" w:rsidRPr="008838CC">
          <w:rPr>
            <w:rStyle w:val="Hypertextovprepojenie"/>
            <w:rFonts w:ascii="Verdana" w:hAnsi="Verdana"/>
            <w:noProof/>
            <w:sz w:val="17"/>
            <w:szCs w:val="17"/>
          </w:rPr>
          <w:t>36. Annex to chapter 18 – EEA (re)insurance undertakings used to derive beta factor</w:t>
        </w:r>
        <w:r w:rsidR="0069412E" w:rsidRPr="008838CC">
          <w:rPr>
            <w:rFonts w:ascii="Verdana" w:hAnsi="Verdana"/>
            <w:noProof/>
            <w:webHidden/>
            <w:sz w:val="17"/>
            <w:szCs w:val="17"/>
          </w:rPr>
          <w:tab/>
        </w:r>
        <w:r w:rsidR="0069412E" w:rsidRPr="008838CC">
          <w:rPr>
            <w:rFonts w:ascii="Verdana" w:hAnsi="Verdana"/>
            <w:noProof/>
            <w:webHidden/>
            <w:sz w:val="17"/>
            <w:szCs w:val="17"/>
          </w:rPr>
          <w:fldChar w:fldCharType="begin"/>
        </w:r>
        <w:r w:rsidR="0069412E" w:rsidRPr="008838CC">
          <w:rPr>
            <w:rFonts w:ascii="Verdana" w:hAnsi="Verdana"/>
            <w:noProof/>
            <w:webHidden/>
            <w:sz w:val="17"/>
            <w:szCs w:val="17"/>
          </w:rPr>
          <w:instrText xml:space="preserve"> PAGEREF _Toc497908675 \h </w:instrText>
        </w:r>
        <w:r w:rsidR="0069412E" w:rsidRPr="008838CC">
          <w:rPr>
            <w:rFonts w:ascii="Verdana" w:hAnsi="Verdana"/>
            <w:noProof/>
            <w:webHidden/>
            <w:sz w:val="17"/>
            <w:szCs w:val="17"/>
          </w:rPr>
        </w:r>
        <w:r w:rsidR="0069412E" w:rsidRPr="008838CC">
          <w:rPr>
            <w:rFonts w:ascii="Verdana" w:hAnsi="Verdana"/>
            <w:noProof/>
            <w:webHidden/>
            <w:sz w:val="17"/>
            <w:szCs w:val="17"/>
          </w:rPr>
          <w:fldChar w:fldCharType="separate"/>
        </w:r>
        <w:r w:rsidR="002609E3">
          <w:rPr>
            <w:rFonts w:ascii="Verdana" w:hAnsi="Verdana"/>
            <w:noProof/>
            <w:webHidden/>
            <w:sz w:val="17"/>
            <w:szCs w:val="17"/>
          </w:rPr>
          <w:t>50</w:t>
        </w:r>
        <w:r w:rsidR="0069412E" w:rsidRPr="008838CC">
          <w:rPr>
            <w:rFonts w:ascii="Verdana" w:hAnsi="Verdana"/>
            <w:noProof/>
            <w:webHidden/>
            <w:sz w:val="17"/>
            <w:szCs w:val="17"/>
          </w:rPr>
          <w:fldChar w:fldCharType="end"/>
        </w:r>
      </w:hyperlink>
    </w:p>
    <w:p w14:paraId="292F19C3" w14:textId="77777777" w:rsidR="00B555D0" w:rsidRPr="008838CC" w:rsidRDefault="00B555D0">
      <w:pPr>
        <w:rPr>
          <w:rFonts w:ascii="Verdana" w:hAnsi="Verdana"/>
          <w:sz w:val="17"/>
          <w:szCs w:val="17"/>
        </w:rPr>
      </w:pPr>
      <w:r w:rsidRPr="008838CC">
        <w:rPr>
          <w:rFonts w:ascii="Verdana" w:hAnsi="Verdana"/>
          <w:b/>
          <w:sz w:val="17"/>
          <w:szCs w:val="17"/>
        </w:rPr>
        <w:lastRenderedPageBreak/>
        <w:fldChar w:fldCharType="end"/>
      </w:r>
    </w:p>
    <w:p w14:paraId="0EFC0AAF" w14:textId="625149F9" w:rsidR="00644F0A" w:rsidRPr="008838CC" w:rsidRDefault="00644F0A" w:rsidP="00B555D0">
      <w:pPr>
        <w:pStyle w:val="Nadpis1"/>
        <w:rPr>
          <w:sz w:val="17"/>
          <w:szCs w:val="17"/>
        </w:rPr>
      </w:pPr>
      <w:bookmarkStart w:id="2" w:name="_Toc497908638"/>
      <w:r w:rsidRPr="008838CC">
        <w:rPr>
          <w:sz w:val="17"/>
          <w:szCs w:val="17"/>
        </w:rPr>
        <w:t>General Comment</w:t>
      </w:r>
      <w:bookmarkEnd w:id="0"/>
      <w:bookmarkEnd w:id="2"/>
    </w:p>
    <w:p w14:paraId="14F21571" w14:textId="12C6F2AD" w:rsidR="005C00CD" w:rsidRPr="008838CC" w:rsidRDefault="006F0AC8" w:rsidP="005C00CD">
      <w:pPr>
        <w:spacing w:before="120" w:line="276" w:lineRule="auto"/>
        <w:ind w:right="72"/>
        <w:rPr>
          <w:rFonts w:ascii="Verdana" w:hAnsi="Verdana"/>
          <w:color w:val="000000"/>
          <w:sz w:val="17"/>
          <w:szCs w:val="17"/>
        </w:rPr>
      </w:pPr>
      <w:r>
        <w:rPr>
          <w:rFonts w:ascii="Verdana" w:hAnsi="Verdana"/>
          <w:color w:val="000000"/>
          <w:sz w:val="17"/>
          <w:szCs w:val="17"/>
          <w:highlight w:val="yellow"/>
        </w:rPr>
        <w:t>T</w:t>
      </w:r>
      <w:r w:rsidR="005C00CD" w:rsidRPr="008838CC">
        <w:rPr>
          <w:rFonts w:ascii="Verdana" w:hAnsi="Verdana"/>
          <w:color w:val="000000"/>
          <w:sz w:val="17"/>
          <w:szCs w:val="17"/>
          <w:highlight w:val="yellow"/>
        </w:rPr>
        <w:t>he secretariat will draft an executive summary highlighting the Insurance Europe position for each topic.</w:t>
      </w:r>
    </w:p>
    <w:p w14:paraId="3A657BAB" w14:textId="77777777" w:rsidR="005C00CD" w:rsidRPr="008838CC" w:rsidRDefault="005C00CD" w:rsidP="005C00CD">
      <w:pPr>
        <w:spacing w:before="120" w:line="276" w:lineRule="auto"/>
        <w:ind w:right="72"/>
        <w:rPr>
          <w:rFonts w:ascii="Verdana" w:hAnsi="Verdana"/>
          <w:b/>
          <w:color w:val="000000"/>
          <w:sz w:val="17"/>
          <w:szCs w:val="17"/>
          <w:u w:val="single"/>
        </w:rPr>
      </w:pPr>
    </w:p>
    <w:p w14:paraId="0F7B16CF" w14:textId="0BAB0181" w:rsidR="00644F0A" w:rsidRPr="008838CC" w:rsidRDefault="00644F0A" w:rsidP="005C00CD">
      <w:pPr>
        <w:spacing w:before="120" w:line="276" w:lineRule="auto"/>
        <w:ind w:right="72"/>
        <w:rPr>
          <w:rFonts w:ascii="Verdana" w:hAnsi="Verdana"/>
          <w:b/>
          <w:sz w:val="17"/>
          <w:szCs w:val="17"/>
          <w:u w:val="single"/>
        </w:rPr>
      </w:pPr>
      <w:bookmarkStart w:id="3" w:name="_Toc497908639"/>
      <w:bookmarkStart w:id="4" w:name="_Hlk497900497"/>
      <w:r w:rsidRPr="008838CC">
        <w:rPr>
          <w:rFonts w:ascii="Verdana" w:hAnsi="Verdana"/>
          <w:b/>
          <w:sz w:val="17"/>
          <w:szCs w:val="17"/>
          <w:u w:val="single"/>
        </w:rPr>
        <w:t>Introduction</w:t>
      </w:r>
      <w:bookmarkEnd w:id="3"/>
    </w:p>
    <w:p w14:paraId="0026B3AF" w14:textId="77777777" w:rsidR="00644F0A" w:rsidRPr="008838CC" w:rsidRDefault="00644F0A" w:rsidP="00B555D0">
      <w:pPr>
        <w:pStyle w:val="Nadpis1"/>
        <w:rPr>
          <w:sz w:val="17"/>
          <w:szCs w:val="17"/>
          <w:lang w:eastAsia="en-GB"/>
        </w:rPr>
      </w:pPr>
      <w:r w:rsidRPr="008838CC">
        <w:rPr>
          <w:sz w:val="17"/>
          <w:szCs w:val="17"/>
        </w:rPr>
        <w:br w:type="page"/>
      </w:r>
      <w:bookmarkStart w:id="5" w:name="_Toc497908640"/>
      <w:r w:rsidRPr="008838CC">
        <w:rPr>
          <w:sz w:val="17"/>
          <w:szCs w:val="17"/>
        </w:rPr>
        <w:lastRenderedPageBreak/>
        <w:t>1. Recalibration of standard parameters of premium and reserve risks</w:t>
      </w:r>
      <w:bookmarkEnd w:id="5"/>
    </w:p>
    <w:p w14:paraId="67C7E1B1" w14:textId="4331DDB1" w:rsidR="00644F0A" w:rsidRPr="008838CC" w:rsidRDefault="00644F0A" w:rsidP="00644F0A">
      <w:pPr>
        <w:spacing w:before="120" w:line="276" w:lineRule="auto"/>
        <w:ind w:right="72"/>
        <w:jc w:val="both"/>
        <w:rPr>
          <w:rFonts w:ascii="Verdana" w:hAnsi="Verdana"/>
          <w:b/>
          <w:color w:val="000000"/>
          <w:sz w:val="17"/>
          <w:szCs w:val="17"/>
          <w:u w:val="single"/>
        </w:rPr>
      </w:pPr>
      <w:bookmarkStart w:id="6" w:name="_Hlk497900506"/>
      <w:bookmarkEnd w:id="4"/>
      <w:r w:rsidRPr="008838CC">
        <w:rPr>
          <w:rFonts w:ascii="Verdana" w:hAnsi="Verdana"/>
          <w:b/>
          <w:color w:val="000000"/>
          <w:sz w:val="17"/>
          <w:szCs w:val="17"/>
          <w:u w:val="single"/>
        </w:rPr>
        <w:t>1.1</w:t>
      </w:r>
    </w:p>
    <w:p w14:paraId="6B12AC36" w14:textId="4A84A971" w:rsidR="003F4613" w:rsidRPr="008838CC" w:rsidRDefault="003F4613" w:rsidP="00644F0A">
      <w:pPr>
        <w:spacing w:before="120" w:line="276" w:lineRule="auto"/>
        <w:ind w:right="72"/>
        <w:jc w:val="both"/>
        <w:rPr>
          <w:rFonts w:ascii="Verdana" w:hAnsi="Verdana"/>
          <w:b/>
          <w:color w:val="000000"/>
          <w:sz w:val="17"/>
          <w:szCs w:val="17"/>
          <w:u w:val="single"/>
        </w:rPr>
      </w:pPr>
      <w:r w:rsidRPr="008838CC">
        <w:rPr>
          <w:rFonts w:ascii="Verdana" w:hAnsi="Verdana"/>
          <w:color w:val="000000"/>
          <w:sz w:val="17"/>
          <w:szCs w:val="17"/>
        </w:rPr>
        <w:t xml:space="preserve">Insurance Europe welcomes the request in the call for advice from the </w:t>
      </w:r>
      <w:r w:rsidR="00553170" w:rsidRPr="008838CC">
        <w:rPr>
          <w:rFonts w:ascii="Verdana" w:hAnsi="Verdana"/>
          <w:color w:val="000000"/>
          <w:sz w:val="17"/>
          <w:szCs w:val="17"/>
        </w:rPr>
        <w:t>C</w:t>
      </w:r>
      <w:r w:rsidRPr="008838CC">
        <w:rPr>
          <w:rFonts w:ascii="Verdana" w:hAnsi="Verdana"/>
          <w:color w:val="000000"/>
          <w:sz w:val="17"/>
          <w:szCs w:val="17"/>
        </w:rPr>
        <w:t xml:space="preserve">ommission to </w:t>
      </w:r>
      <w:r w:rsidR="00122420" w:rsidRPr="008838CC">
        <w:rPr>
          <w:rFonts w:ascii="Verdana" w:hAnsi="Verdana"/>
          <w:color w:val="000000"/>
          <w:sz w:val="17"/>
          <w:szCs w:val="17"/>
        </w:rPr>
        <w:t xml:space="preserve">assess which standard parameters for non-life premium and reserve risk need to be changed, and to update the standard parameters for medical expense risk. Insurance Europe supports the recalibrations for premium and reserve risks put forward by EIOPA for the selected lines of business. </w:t>
      </w:r>
    </w:p>
    <w:p w14:paraId="7A2A2814" w14:textId="77777777" w:rsidR="00644F0A" w:rsidRPr="008838CC" w:rsidRDefault="00644F0A" w:rsidP="00644F0A">
      <w:pPr>
        <w:spacing w:before="120" w:line="276" w:lineRule="auto"/>
        <w:ind w:right="72"/>
        <w:jc w:val="both"/>
        <w:rPr>
          <w:rFonts w:ascii="Verdana" w:hAnsi="Verdana"/>
          <w:b/>
          <w:color w:val="000000"/>
          <w:sz w:val="17"/>
          <w:szCs w:val="17"/>
          <w:u w:val="single"/>
        </w:rPr>
      </w:pPr>
      <w:r w:rsidRPr="008838CC">
        <w:rPr>
          <w:rFonts w:ascii="Verdana" w:hAnsi="Verdana"/>
          <w:b/>
          <w:color w:val="000000"/>
          <w:sz w:val="17"/>
          <w:szCs w:val="17"/>
          <w:u w:val="single"/>
        </w:rPr>
        <w:t>1.1.1</w:t>
      </w:r>
    </w:p>
    <w:p w14:paraId="3E507B41" w14:textId="77777777" w:rsidR="00644F0A" w:rsidRPr="008838CC" w:rsidRDefault="00644F0A" w:rsidP="00644F0A">
      <w:pPr>
        <w:spacing w:before="120" w:line="276" w:lineRule="auto"/>
        <w:ind w:right="72"/>
        <w:jc w:val="both"/>
        <w:rPr>
          <w:rFonts w:ascii="Verdana" w:hAnsi="Verdana"/>
          <w:b/>
          <w:color w:val="000000"/>
          <w:sz w:val="17"/>
          <w:szCs w:val="17"/>
          <w:u w:val="single"/>
        </w:rPr>
      </w:pPr>
      <w:r w:rsidRPr="008838CC">
        <w:rPr>
          <w:rFonts w:ascii="Verdana" w:hAnsi="Verdana"/>
          <w:b/>
          <w:color w:val="000000"/>
          <w:sz w:val="17"/>
          <w:szCs w:val="17"/>
          <w:u w:val="single"/>
        </w:rPr>
        <w:t>1.2.1</w:t>
      </w:r>
    </w:p>
    <w:p w14:paraId="30954D59" w14:textId="77777777" w:rsidR="00644F0A" w:rsidRPr="008838CC" w:rsidRDefault="00644F0A" w:rsidP="00644F0A">
      <w:pPr>
        <w:spacing w:before="120" w:line="276" w:lineRule="auto"/>
        <w:ind w:right="72"/>
        <w:jc w:val="both"/>
        <w:rPr>
          <w:rFonts w:ascii="Verdana" w:hAnsi="Verdana"/>
          <w:b/>
          <w:color w:val="000000"/>
          <w:sz w:val="17"/>
          <w:szCs w:val="17"/>
          <w:u w:val="single"/>
        </w:rPr>
      </w:pPr>
      <w:r w:rsidRPr="008838CC">
        <w:rPr>
          <w:rFonts w:ascii="Verdana" w:hAnsi="Verdana"/>
          <w:b/>
          <w:color w:val="000000"/>
          <w:sz w:val="17"/>
          <w:szCs w:val="17"/>
          <w:u w:val="single"/>
        </w:rPr>
        <w:t>1.2.2</w:t>
      </w:r>
    </w:p>
    <w:p w14:paraId="6AC515EA" w14:textId="77777777" w:rsidR="00644F0A" w:rsidRPr="008838CC" w:rsidRDefault="00644F0A" w:rsidP="00644F0A">
      <w:pPr>
        <w:spacing w:before="120" w:line="276" w:lineRule="auto"/>
        <w:ind w:right="72"/>
        <w:jc w:val="both"/>
        <w:rPr>
          <w:rFonts w:ascii="Verdana" w:hAnsi="Verdana"/>
          <w:b/>
          <w:color w:val="000000"/>
          <w:sz w:val="17"/>
          <w:szCs w:val="17"/>
          <w:u w:val="single"/>
        </w:rPr>
      </w:pPr>
      <w:r w:rsidRPr="008838CC">
        <w:rPr>
          <w:rFonts w:ascii="Verdana" w:hAnsi="Verdana"/>
          <w:b/>
          <w:color w:val="000000"/>
          <w:sz w:val="17"/>
          <w:szCs w:val="17"/>
          <w:u w:val="single"/>
        </w:rPr>
        <w:t>1.2.3</w:t>
      </w:r>
    </w:p>
    <w:p w14:paraId="25E68FE5" w14:textId="77777777" w:rsidR="00644F0A" w:rsidRPr="008838CC" w:rsidRDefault="00644F0A" w:rsidP="00644F0A">
      <w:pPr>
        <w:spacing w:before="120" w:line="276" w:lineRule="auto"/>
        <w:ind w:right="72"/>
        <w:jc w:val="both"/>
        <w:rPr>
          <w:rFonts w:ascii="Verdana" w:hAnsi="Verdana"/>
          <w:b/>
          <w:color w:val="000000"/>
          <w:sz w:val="17"/>
          <w:szCs w:val="17"/>
          <w:u w:val="single"/>
        </w:rPr>
      </w:pPr>
      <w:r w:rsidRPr="008838CC">
        <w:rPr>
          <w:rFonts w:ascii="Verdana" w:hAnsi="Verdana"/>
          <w:b/>
          <w:color w:val="000000"/>
          <w:sz w:val="17"/>
          <w:szCs w:val="17"/>
          <w:u w:val="single"/>
        </w:rPr>
        <w:t>1.2.4</w:t>
      </w:r>
    </w:p>
    <w:p w14:paraId="192B0E99" w14:textId="77777777" w:rsidR="00644F0A" w:rsidRPr="008838CC" w:rsidRDefault="00644F0A" w:rsidP="00644F0A">
      <w:pPr>
        <w:spacing w:before="120" w:line="276" w:lineRule="auto"/>
        <w:ind w:right="72"/>
        <w:jc w:val="both"/>
        <w:rPr>
          <w:rFonts w:ascii="Verdana" w:hAnsi="Verdana"/>
          <w:b/>
          <w:color w:val="000000"/>
          <w:sz w:val="17"/>
          <w:szCs w:val="17"/>
          <w:u w:val="single"/>
        </w:rPr>
      </w:pPr>
      <w:r w:rsidRPr="008838CC">
        <w:rPr>
          <w:rFonts w:ascii="Verdana" w:hAnsi="Verdana"/>
          <w:b/>
          <w:color w:val="000000"/>
          <w:sz w:val="17"/>
          <w:szCs w:val="17"/>
          <w:u w:val="single"/>
        </w:rPr>
        <w:t>1.3</w:t>
      </w:r>
    </w:p>
    <w:p w14:paraId="23DBC539" w14:textId="77777777" w:rsidR="00644F0A" w:rsidRPr="008838CC" w:rsidRDefault="00644F0A" w:rsidP="00644F0A">
      <w:pPr>
        <w:spacing w:before="120" w:line="276" w:lineRule="auto"/>
        <w:ind w:right="72"/>
        <w:jc w:val="both"/>
        <w:rPr>
          <w:rFonts w:ascii="Verdana" w:hAnsi="Verdana"/>
          <w:b/>
          <w:color w:val="000000"/>
          <w:sz w:val="17"/>
          <w:szCs w:val="17"/>
          <w:u w:val="single"/>
        </w:rPr>
      </w:pPr>
      <w:r w:rsidRPr="008838CC">
        <w:rPr>
          <w:rFonts w:ascii="Verdana" w:hAnsi="Verdana"/>
          <w:b/>
          <w:color w:val="000000"/>
          <w:sz w:val="17"/>
          <w:szCs w:val="17"/>
          <w:u w:val="single"/>
        </w:rPr>
        <w:t>1.3.1</w:t>
      </w:r>
    </w:p>
    <w:p w14:paraId="4129D3AE" w14:textId="77777777" w:rsidR="00644F0A" w:rsidRPr="008838CC" w:rsidRDefault="00644F0A" w:rsidP="00644F0A">
      <w:pPr>
        <w:spacing w:before="120" w:line="276" w:lineRule="auto"/>
        <w:ind w:right="72"/>
        <w:jc w:val="both"/>
        <w:rPr>
          <w:rFonts w:ascii="Verdana" w:hAnsi="Verdana"/>
          <w:b/>
          <w:color w:val="000000"/>
          <w:sz w:val="17"/>
          <w:szCs w:val="17"/>
          <w:u w:val="single"/>
        </w:rPr>
      </w:pPr>
      <w:r w:rsidRPr="008838CC">
        <w:rPr>
          <w:rFonts w:ascii="Verdana" w:hAnsi="Verdana"/>
          <w:b/>
          <w:color w:val="000000"/>
          <w:sz w:val="17"/>
          <w:szCs w:val="17"/>
          <w:u w:val="single"/>
        </w:rPr>
        <w:t>1.3.2</w:t>
      </w:r>
    </w:p>
    <w:p w14:paraId="7CAA87FC" w14:textId="77777777"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1.3.3</w:t>
      </w:r>
    </w:p>
    <w:p w14:paraId="352FBD38" w14:textId="77777777"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1.3.4</w:t>
      </w:r>
    </w:p>
    <w:p w14:paraId="037ACBC3" w14:textId="77777777"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1.3.5</w:t>
      </w:r>
    </w:p>
    <w:p w14:paraId="18E7B715" w14:textId="7F89F6C8"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1.4</w:t>
      </w:r>
      <w:r w:rsidR="00557FED" w:rsidRPr="008838CC">
        <w:rPr>
          <w:rFonts w:ascii="Verdana" w:hAnsi="Verdana"/>
          <w:b/>
          <w:color w:val="000000"/>
          <w:sz w:val="17"/>
          <w:szCs w:val="17"/>
          <w:u w:val="single"/>
        </w:rPr>
        <w:t xml:space="preserve"> Final Recommendation</w:t>
      </w:r>
    </w:p>
    <w:p w14:paraId="0C675FCC" w14:textId="66B133F0"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1.4.1</w:t>
      </w:r>
      <w:r w:rsidR="00557FED" w:rsidRPr="008838CC">
        <w:rPr>
          <w:rFonts w:ascii="Verdana" w:hAnsi="Verdana"/>
          <w:b/>
          <w:color w:val="000000"/>
          <w:sz w:val="17"/>
          <w:szCs w:val="17"/>
          <w:u w:val="single"/>
        </w:rPr>
        <w:t xml:space="preserve"> Premium</w:t>
      </w:r>
    </w:p>
    <w:p w14:paraId="2AF993FF" w14:textId="6AE3DED4" w:rsidR="004C7A25" w:rsidRPr="008838CC" w:rsidRDefault="006D17E7" w:rsidP="00644F0A">
      <w:pPr>
        <w:spacing w:before="120" w:line="276" w:lineRule="auto"/>
        <w:ind w:right="72"/>
        <w:rPr>
          <w:rFonts w:ascii="Verdana" w:hAnsi="Verdana"/>
          <w:color w:val="000000"/>
          <w:sz w:val="17"/>
          <w:szCs w:val="17"/>
        </w:rPr>
      </w:pPr>
      <w:commentRangeStart w:id="7"/>
      <w:r w:rsidRPr="008838CC">
        <w:rPr>
          <w:rFonts w:ascii="Verdana" w:hAnsi="Verdana"/>
          <w:color w:val="000000"/>
          <w:sz w:val="17"/>
          <w:szCs w:val="17"/>
        </w:rPr>
        <w:t xml:space="preserve">Insurance Europe </w:t>
      </w:r>
      <w:r w:rsidR="007E489D" w:rsidRPr="008838CC">
        <w:rPr>
          <w:rFonts w:ascii="Verdana" w:hAnsi="Verdana"/>
          <w:color w:val="000000"/>
          <w:sz w:val="17"/>
          <w:szCs w:val="17"/>
        </w:rPr>
        <w:t>supports</w:t>
      </w:r>
      <w:r w:rsidRPr="008838CC">
        <w:rPr>
          <w:rFonts w:ascii="Verdana" w:hAnsi="Verdana"/>
          <w:color w:val="000000"/>
          <w:sz w:val="17"/>
          <w:szCs w:val="17"/>
        </w:rPr>
        <w:t xml:space="preserve"> the updated calibrations for premium risk put forward by EIOPA</w:t>
      </w:r>
      <w:commentRangeEnd w:id="7"/>
      <w:r w:rsidRPr="008838CC">
        <w:rPr>
          <w:rStyle w:val="Odkaznakomentr"/>
          <w:rFonts w:ascii="Verdana" w:hAnsi="Verdana"/>
          <w:sz w:val="17"/>
          <w:szCs w:val="17"/>
        </w:rPr>
        <w:commentReference w:id="7"/>
      </w:r>
      <w:r w:rsidR="004C7A25" w:rsidRPr="008838CC">
        <w:rPr>
          <w:rFonts w:ascii="Verdana" w:hAnsi="Verdana"/>
          <w:color w:val="000000"/>
          <w:sz w:val="17"/>
          <w:szCs w:val="17"/>
        </w:rPr>
        <w:t>.</w:t>
      </w:r>
      <w:r w:rsidR="007E489D" w:rsidRPr="008838CC">
        <w:rPr>
          <w:rFonts w:ascii="Verdana" w:hAnsi="Verdana"/>
          <w:color w:val="000000"/>
          <w:sz w:val="17"/>
          <w:szCs w:val="17"/>
        </w:rPr>
        <w:t xml:space="preserve"> </w:t>
      </w:r>
    </w:p>
    <w:p w14:paraId="37226571" w14:textId="3562D106" w:rsidR="006D17E7" w:rsidRPr="008838CC" w:rsidRDefault="004C7A25" w:rsidP="00644F0A">
      <w:pPr>
        <w:spacing w:before="120" w:line="276" w:lineRule="auto"/>
        <w:ind w:right="72"/>
        <w:rPr>
          <w:rFonts w:ascii="Verdana" w:hAnsi="Verdana"/>
          <w:color w:val="000000"/>
          <w:sz w:val="17"/>
          <w:szCs w:val="17"/>
        </w:rPr>
      </w:pPr>
      <w:r w:rsidRPr="008838CC">
        <w:rPr>
          <w:rFonts w:ascii="Verdana" w:hAnsi="Verdana"/>
          <w:color w:val="000000"/>
          <w:sz w:val="17"/>
          <w:szCs w:val="17"/>
        </w:rPr>
        <w:t xml:space="preserve"> </w:t>
      </w:r>
      <w:r w:rsidR="007E489D" w:rsidRPr="008838CC">
        <w:rPr>
          <w:rFonts w:ascii="Verdana" w:hAnsi="Verdana"/>
          <w:color w:val="000000"/>
          <w:sz w:val="17"/>
          <w:szCs w:val="17"/>
        </w:rPr>
        <w:t xml:space="preserve"> </w:t>
      </w:r>
    </w:p>
    <w:p w14:paraId="74D2CD4D" w14:textId="51D06C23"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1.4.2</w:t>
      </w:r>
      <w:r w:rsidR="00557FED" w:rsidRPr="008838CC">
        <w:rPr>
          <w:rFonts w:ascii="Verdana" w:hAnsi="Verdana"/>
          <w:b/>
          <w:color w:val="000000"/>
          <w:sz w:val="17"/>
          <w:szCs w:val="17"/>
          <w:u w:val="single"/>
        </w:rPr>
        <w:t xml:space="preserve"> Reserve</w:t>
      </w:r>
    </w:p>
    <w:p w14:paraId="5AFF5DFA" w14:textId="479387E2" w:rsidR="006D17E7" w:rsidRPr="008838CC" w:rsidRDefault="006D17E7" w:rsidP="006D17E7">
      <w:pPr>
        <w:spacing w:before="120" w:line="276" w:lineRule="auto"/>
        <w:ind w:right="72"/>
        <w:rPr>
          <w:rFonts w:ascii="Verdana" w:hAnsi="Verdana"/>
          <w:color w:val="000000"/>
          <w:sz w:val="17"/>
          <w:szCs w:val="17"/>
        </w:rPr>
      </w:pPr>
      <w:commentRangeStart w:id="8"/>
      <w:r w:rsidRPr="008838CC">
        <w:rPr>
          <w:rFonts w:ascii="Verdana" w:hAnsi="Verdana"/>
          <w:color w:val="000000"/>
          <w:sz w:val="17"/>
          <w:szCs w:val="17"/>
        </w:rPr>
        <w:t xml:space="preserve">Insurance Europe </w:t>
      </w:r>
      <w:r w:rsidR="007E489D" w:rsidRPr="008838CC">
        <w:rPr>
          <w:rFonts w:ascii="Verdana" w:hAnsi="Verdana"/>
          <w:color w:val="000000"/>
          <w:sz w:val="17"/>
          <w:szCs w:val="17"/>
        </w:rPr>
        <w:t>supports</w:t>
      </w:r>
      <w:r w:rsidRPr="008838CC">
        <w:rPr>
          <w:rFonts w:ascii="Verdana" w:hAnsi="Verdana"/>
          <w:color w:val="000000"/>
          <w:sz w:val="17"/>
          <w:szCs w:val="17"/>
        </w:rPr>
        <w:t xml:space="preserve"> the updated calibrations for reserve risk put forward by EIOPA</w:t>
      </w:r>
      <w:commentRangeEnd w:id="8"/>
      <w:r w:rsidRPr="008838CC">
        <w:rPr>
          <w:rStyle w:val="Odkaznakomentr"/>
          <w:rFonts w:ascii="Verdana" w:hAnsi="Verdana"/>
          <w:sz w:val="17"/>
          <w:szCs w:val="17"/>
        </w:rPr>
        <w:commentReference w:id="8"/>
      </w:r>
      <w:r w:rsidR="004C7A25" w:rsidRPr="008838CC">
        <w:rPr>
          <w:rFonts w:ascii="Verdana" w:hAnsi="Verdana"/>
          <w:color w:val="000000"/>
          <w:sz w:val="17"/>
          <w:szCs w:val="17"/>
        </w:rPr>
        <w:t>.</w:t>
      </w:r>
    </w:p>
    <w:p w14:paraId="561B0C04" w14:textId="11C5298C" w:rsidR="00644F0A" w:rsidRPr="008838CC" w:rsidRDefault="006D17E7" w:rsidP="006D17E7">
      <w:pPr>
        <w:pStyle w:val="Nadpis1"/>
        <w:rPr>
          <w:color w:val="auto"/>
          <w:sz w:val="17"/>
          <w:szCs w:val="17"/>
          <w:u w:val="none"/>
          <w:lang w:eastAsia="en-GB"/>
        </w:rPr>
      </w:pPr>
      <w:r w:rsidRPr="008838CC">
        <w:rPr>
          <w:sz w:val="17"/>
          <w:szCs w:val="17"/>
        </w:rPr>
        <w:t xml:space="preserve"> </w:t>
      </w:r>
      <w:r w:rsidR="00644F0A" w:rsidRPr="008838CC">
        <w:rPr>
          <w:sz w:val="17"/>
          <w:szCs w:val="17"/>
        </w:rPr>
        <w:br w:type="page"/>
      </w:r>
      <w:bookmarkStart w:id="9" w:name="_Toc497908641"/>
      <w:r w:rsidR="00644F0A" w:rsidRPr="008838CC">
        <w:rPr>
          <w:sz w:val="17"/>
          <w:szCs w:val="17"/>
        </w:rPr>
        <w:lastRenderedPageBreak/>
        <w:t>2. Volume measure for premium risk</w:t>
      </w:r>
      <w:bookmarkEnd w:id="9"/>
    </w:p>
    <w:p w14:paraId="66A8D7D5" w14:textId="77777777"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2.1</w:t>
      </w:r>
    </w:p>
    <w:p w14:paraId="38222F94" w14:textId="77777777" w:rsidR="00B569FE" w:rsidRPr="008838CC" w:rsidRDefault="00B876AD" w:rsidP="00644F0A">
      <w:pPr>
        <w:spacing w:before="120" w:line="276" w:lineRule="auto"/>
        <w:ind w:right="72"/>
        <w:rPr>
          <w:rFonts w:ascii="Verdana" w:hAnsi="Verdana"/>
          <w:color w:val="000000"/>
          <w:sz w:val="17"/>
          <w:szCs w:val="17"/>
        </w:rPr>
      </w:pPr>
      <w:r w:rsidRPr="008838CC">
        <w:rPr>
          <w:rFonts w:ascii="Verdana" w:hAnsi="Verdana"/>
          <w:color w:val="000000"/>
          <w:sz w:val="17"/>
          <w:szCs w:val="17"/>
        </w:rPr>
        <w:t xml:space="preserve">Insurance Europe welcomes the request to reassess the definition of the volume measure for premium risk for continued appropriateness in the </w:t>
      </w:r>
      <w:r w:rsidR="00B569FE" w:rsidRPr="008838CC">
        <w:rPr>
          <w:rFonts w:ascii="Verdana" w:hAnsi="Verdana"/>
          <w:color w:val="000000"/>
          <w:sz w:val="17"/>
          <w:szCs w:val="17"/>
        </w:rPr>
        <w:t xml:space="preserve">EC </w:t>
      </w:r>
      <w:r w:rsidRPr="008838CC">
        <w:rPr>
          <w:rFonts w:ascii="Verdana" w:hAnsi="Verdana"/>
          <w:color w:val="000000"/>
          <w:sz w:val="17"/>
          <w:szCs w:val="17"/>
        </w:rPr>
        <w:t xml:space="preserve">call for advice. </w:t>
      </w:r>
    </w:p>
    <w:p w14:paraId="0DF90071" w14:textId="43575A7E" w:rsidR="00756885" w:rsidRPr="008838CC" w:rsidRDefault="004A70C4" w:rsidP="00644F0A">
      <w:pPr>
        <w:spacing w:before="120" w:line="276" w:lineRule="auto"/>
        <w:ind w:right="72"/>
        <w:rPr>
          <w:rFonts w:ascii="Verdana" w:hAnsi="Verdana"/>
          <w:color w:val="000000"/>
          <w:sz w:val="17"/>
          <w:szCs w:val="17"/>
        </w:rPr>
      </w:pPr>
      <w:r w:rsidRPr="008838CC">
        <w:rPr>
          <w:rFonts w:ascii="Verdana" w:hAnsi="Verdana"/>
          <w:color w:val="000000"/>
          <w:sz w:val="17"/>
          <w:szCs w:val="17"/>
        </w:rPr>
        <w:t xml:space="preserve">From the two options put forward by EIOPA </w:t>
      </w:r>
      <w:r w:rsidR="00B876AD" w:rsidRPr="008838CC">
        <w:rPr>
          <w:rFonts w:ascii="Verdana" w:hAnsi="Verdana"/>
          <w:color w:val="000000"/>
          <w:sz w:val="17"/>
          <w:szCs w:val="17"/>
        </w:rPr>
        <w:t xml:space="preserve">Insurance Europe </w:t>
      </w:r>
      <w:r w:rsidRPr="008838CC">
        <w:rPr>
          <w:rFonts w:ascii="Verdana" w:hAnsi="Verdana"/>
          <w:color w:val="000000"/>
          <w:sz w:val="17"/>
          <w:szCs w:val="17"/>
        </w:rPr>
        <w:t xml:space="preserve">believes the </w:t>
      </w:r>
      <w:r w:rsidR="00126079" w:rsidRPr="008838CC">
        <w:rPr>
          <w:rFonts w:ascii="Verdana" w:hAnsi="Verdana"/>
          <w:color w:val="000000"/>
          <w:sz w:val="17"/>
          <w:szCs w:val="17"/>
        </w:rPr>
        <w:t>first</w:t>
      </w:r>
      <w:r w:rsidRPr="008838CC">
        <w:rPr>
          <w:rFonts w:ascii="Verdana" w:hAnsi="Verdana"/>
          <w:color w:val="000000"/>
          <w:sz w:val="17"/>
          <w:szCs w:val="17"/>
        </w:rPr>
        <w:t xml:space="preserve"> option is the most appropriate, ie to </w:t>
      </w:r>
      <w:r w:rsidR="00756885" w:rsidRPr="008838CC">
        <w:rPr>
          <w:rFonts w:ascii="Verdana" w:hAnsi="Verdana"/>
          <w:color w:val="000000"/>
          <w:sz w:val="17"/>
          <w:szCs w:val="17"/>
        </w:rPr>
        <w:t xml:space="preserve">keep the </w:t>
      </w:r>
      <w:r w:rsidR="00E872AF" w:rsidRPr="008838CC">
        <w:rPr>
          <w:rFonts w:ascii="Verdana" w:hAnsi="Verdana"/>
          <w:bCs/>
          <w:color w:val="000000"/>
          <w:sz w:val="17"/>
          <w:szCs w:val="17"/>
        </w:rPr>
        <w:t>existing</w:t>
      </w:r>
      <w:r w:rsidR="00756885" w:rsidRPr="008838CC">
        <w:rPr>
          <w:rFonts w:ascii="Verdana" w:hAnsi="Verdana"/>
          <w:color w:val="000000"/>
          <w:sz w:val="17"/>
          <w:szCs w:val="17"/>
        </w:rPr>
        <w:t xml:space="preserve"> formula to determine premium volume measure</w:t>
      </w:r>
      <w:r w:rsidRPr="008838CC">
        <w:rPr>
          <w:rFonts w:ascii="Verdana" w:hAnsi="Verdana"/>
          <w:color w:val="000000"/>
          <w:sz w:val="17"/>
          <w:szCs w:val="17"/>
        </w:rPr>
        <w:t xml:space="preserve">. </w:t>
      </w:r>
    </w:p>
    <w:p w14:paraId="7DAD0592" w14:textId="30B24687" w:rsidR="00B876AD" w:rsidRPr="008838CC" w:rsidRDefault="00756885" w:rsidP="00644F0A">
      <w:pPr>
        <w:spacing w:before="120" w:line="276" w:lineRule="auto"/>
        <w:ind w:right="72"/>
        <w:rPr>
          <w:rFonts w:ascii="Verdana" w:hAnsi="Verdana"/>
          <w:b/>
          <w:color w:val="000000"/>
          <w:sz w:val="17"/>
          <w:szCs w:val="17"/>
          <w:u w:val="single"/>
        </w:rPr>
      </w:pPr>
      <w:r w:rsidRPr="008838CC">
        <w:rPr>
          <w:rFonts w:ascii="Verdana" w:hAnsi="Verdana"/>
          <w:color w:val="000000"/>
          <w:sz w:val="17"/>
          <w:szCs w:val="17"/>
        </w:rPr>
        <w:t>Insurance Europe suggests to further analyse the impact on the premium volume measure for option two, ie to change the definition of FP</w:t>
      </w:r>
      <w:r w:rsidRPr="008838CC">
        <w:rPr>
          <w:rFonts w:ascii="Verdana" w:hAnsi="Verdana"/>
          <w:color w:val="000000"/>
          <w:sz w:val="17"/>
          <w:szCs w:val="17"/>
          <w:vertAlign w:val="subscript"/>
        </w:rPr>
        <w:t>future</w:t>
      </w:r>
      <w:r w:rsidRPr="008838CC">
        <w:rPr>
          <w:rFonts w:ascii="Verdana" w:hAnsi="Verdana"/>
          <w:color w:val="000000"/>
          <w:sz w:val="17"/>
          <w:szCs w:val="17"/>
        </w:rPr>
        <w:t xml:space="preserve"> in line with EIOPA’s suggestion and to apply an adjustment factor to FP</w:t>
      </w:r>
      <w:r w:rsidRPr="008838CC">
        <w:rPr>
          <w:rFonts w:ascii="Verdana" w:hAnsi="Verdana"/>
          <w:color w:val="000000"/>
          <w:sz w:val="17"/>
          <w:szCs w:val="17"/>
          <w:vertAlign w:val="subscript"/>
        </w:rPr>
        <w:t xml:space="preserve">future. </w:t>
      </w:r>
      <w:r w:rsidR="004A70C4" w:rsidRPr="008838CC">
        <w:rPr>
          <w:rFonts w:ascii="Verdana" w:hAnsi="Verdana"/>
          <w:color w:val="000000"/>
          <w:sz w:val="17"/>
          <w:szCs w:val="17"/>
        </w:rPr>
        <w:t xml:space="preserve">However, Insurance Europe believes </w:t>
      </w:r>
      <w:r w:rsidR="004C6E51" w:rsidRPr="008838CC">
        <w:rPr>
          <w:rFonts w:ascii="Verdana" w:hAnsi="Verdana"/>
          <w:bCs/>
          <w:color w:val="000000"/>
          <w:sz w:val="17"/>
          <w:szCs w:val="17"/>
        </w:rPr>
        <w:t xml:space="preserve">that option two should be modified so that </w:t>
      </w:r>
      <w:r w:rsidR="004A70C4" w:rsidRPr="008838CC">
        <w:rPr>
          <w:rFonts w:ascii="Verdana" w:hAnsi="Verdana"/>
          <w:color w:val="000000"/>
          <w:sz w:val="17"/>
          <w:szCs w:val="17"/>
        </w:rPr>
        <w:t xml:space="preserve">the adjustment factor also </w:t>
      </w:r>
      <w:r w:rsidR="004C6E51" w:rsidRPr="008838CC">
        <w:rPr>
          <w:rFonts w:ascii="Verdana" w:hAnsi="Verdana"/>
          <w:bCs/>
          <w:color w:val="000000"/>
          <w:sz w:val="17"/>
          <w:szCs w:val="17"/>
        </w:rPr>
        <w:t>applies to</w:t>
      </w:r>
      <w:r w:rsidR="004A70C4" w:rsidRPr="008838CC">
        <w:rPr>
          <w:rFonts w:ascii="Verdana" w:hAnsi="Verdana"/>
          <w:bCs/>
          <w:color w:val="000000"/>
          <w:sz w:val="17"/>
          <w:szCs w:val="17"/>
        </w:rPr>
        <w:t xml:space="preserve"> </w:t>
      </w:r>
      <w:r w:rsidR="004A70C4" w:rsidRPr="008838CC">
        <w:rPr>
          <w:rFonts w:ascii="Verdana" w:hAnsi="Verdana"/>
          <w:color w:val="000000"/>
          <w:sz w:val="17"/>
          <w:szCs w:val="17"/>
        </w:rPr>
        <w:t>FP</w:t>
      </w:r>
      <w:r w:rsidR="004A70C4" w:rsidRPr="008838CC">
        <w:rPr>
          <w:rFonts w:ascii="Verdana" w:hAnsi="Verdana"/>
          <w:color w:val="000000"/>
          <w:sz w:val="17"/>
          <w:szCs w:val="17"/>
          <w:vertAlign w:val="subscript"/>
        </w:rPr>
        <w:t>existing</w:t>
      </w:r>
      <w:r w:rsidR="00C70656" w:rsidRPr="008838CC">
        <w:rPr>
          <w:rFonts w:ascii="Verdana" w:hAnsi="Verdana"/>
          <w:bCs/>
          <w:color w:val="000000"/>
          <w:sz w:val="17"/>
          <w:szCs w:val="17"/>
          <w:vertAlign w:val="subscript"/>
        </w:rPr>
        <w:t xml:space="preserve">. </w:t>
      </w:r>
      <w:r w:rsidR="004A70C4" w:rsidRPr="008838CC">
        <w:rPr>
          <w:rFonts w:ascii="Verdana" w:hAnsi="Verdana"/>
          <w:bCs/>
          <w:color w:val="000000"/>
          <w:sz w:val="17"/>
          <w:szCs w:val="17"/>
        </w:rPr>
        <w:t xml:space="preserve"> </w:t>
      </w:r>
      <w:r w:rsidR="00C70656" w:rsidRPr="008838CC">
        <w:rPr>
          <w:rFonts w:ascii="Verdana" w:hAnsi="Verdana"/>
          <w:bCs/>
          <w:color w:val="000000"/>
          <w:sz w:val="17"/>
          <w:szCs w:val="17"/>
        </w:rPr>
        <w:t xml:space="preserve">Insurance Europe </w:t>
      </w:r>
      <w:r w:rsidR="002B0939">
        <w:rPr>
          <w:rFonts w:ascii="Verdana" w:hAnsi="Verdana"/>
          <w:bCs/>
          <w:color w:val="000000"/>
          <w:sz w:val="17"/>
          <w:szCs w:val="17"/>
        </w:rPr>
        <w:t xml:space="preserve">notes </w:t>
      </w:r>
      <w:r w:rsidR="00C70656" w:rsidRPr="008838CC">
        <w:rPr>
          <w:rFonts w:ascii="Verdana" w:hAnsi="Verdana"/>
          <w:bCs/>
          <w:color w:val="000000"/>
          <w:sz w:val="17"/>
          <w:szCs w:val="17"/>
        </w:rPr>
        <w:t>that</w:t>
      </w:r>
      <w:r w:rsidR="004A70C4" w:rsidRPr="008838CC">
        <w:rPr>
          <w:rFonts w:ascii="Verdana" w:hAnsi="Verdana"/>
          <w:bCs/>
          <w:color w:val="000000"/>
          <w:sz w:val="17"/>
          <w:szCs w:val="17"/>
        </w:rPr>
        <w:t xml:space="preserve"> </w:t>
      </w:r>
      <w:r w:rsidR="002B0939">
        <w:rPr>
          <w:rFonts w:ascii="Verdana" w:hAnsi="Verdana"/>
          <w:color w:val="000000"/>
          <w:sz w:val="17"/>
          <w:szCs w:val="17"/>
        </w:rPr>
        <w:t>further analysis on the</w:t>
      </w:r>
      <w:r w:rsidR="002B0939" w:rsidRPr="008838CC">
        <w:rPr>
          <w:rFonts w:ascii="Verdana" w:hAnsi="Verdana"/>
          <w:color w:val="000000"/>
          <w:sz w:val="17"/>
          <w:szCs w:val="17"/>
        </w:rPr>
        <w:t xml:space="preserve"> </w:t>
      </w:r>
      <w:r w:rsidR="004A70C4" w:rsidRPr="008838CC">
        <w:rPr>
          <w:rFonts w:ascii="Verdana" w:hAnsi="Verdana"/>
          <w:color w:val="000000"/>
          <w:sz w:val="17"/>
          <w:szCs w:val="17"/>
        </w:rPr>
        <w:t xml:space="preserve">appropriate level for </w:t>
      </w:r>
      <w:r w:rsidR="00C70656" w:rsidRPr="008838CC">
        <w:rPr>
          <w:rFonts w:ascii="Verdana" w:hAnsi="Verdana"/>
          <w:bCs/>
          <w:color w:val="000000"/>
          <w:sz w:val="17"/>
          <w:szCs w:val="17"/>
        </w:rPr>
        <w:t>both</w:t>
      </w:r>
      <w:r w:rsidR="004A70C4" w:rsidRPr="008838CC">
        <w:rPr>
          <w:rFonts w:ascii="Verdana" w:hAnsi="Verdana"/>
          <w:color w:val="000000"/>
          <w:sz w:val="17"/>
          <w:szCs w:val="17"/>
        </w:rPr>
        <w:t xml:space="preserve"> adjustment </w:t>
      </w:r>
      <w:r w:rsidR="004A70C4" w:rsidRPr="008838CC">
        <w:rPr>
          <w:rFonts w:ascii="Verdana" w:hAnsi="Verdana"/>
          <w:bCs/>
          <w:color w:val="000000"/>
          <w:sz w:val="17"/>
          <w:szCs w:val="17"/>
        </w:rPr>
        <w:t>factor</w:t>
      </w:r>
      <w:r w:rsidR="00C70656" w:rsidRPr="008838CC">
        <w:rPr>
          <w:rFonts w:ascii="Verdana" w:hAnsi="Verdana"/>
          <w:bCs/>
          <w:color w:val="000000"/>
          <w:sz w:val="17"/>
          <w:szCs w:val="17"/>
        </w:rPr>
        <w:t>s</w:t>
      </w:r>
      <w:r w:rsidR="004A70C4" w:rsidRPr="008838CC">
        <w:rPr>
          <w:rFonts w:ascii="Verdana" w:hAnsi="Verdana"/>
          <w:bCs/>
          <w:color w:val="000000"/>
          <w:sz w:val="17"/>
          <w:szCs w:val="17"/>
        </w:rPr>
        <w:t xml:space="preserve"> </w:t>
      </w:r>
      <w:r w:rsidR="004C6E51" w:rsidRPr="008838CC">
        <w:rPr>
          <w:rFonts w:ascii="Verdana" w:hAnsi="Verdana"/>
          <w:bCs/>
          <w:color w:val="000000"/>
          <w:sz w:val="17"/>
          <w:szCs w:val="17"/>
        </w:rPr>
        <w:t>applied to FP</w:t>
      </w:r>
      <w:r w:rsidR="004C6E51" w:rsidRPr="008838CC">
        <w:rPr>
          <w:rFonts w:ascii="Verdana" w:hAnsi="Verdana"/>
          <w:bCs/>
          <w:color w:val="000000"/>
          <w:sz w:val="17"/>
          <w:szCs w:val="17"/>
          <w:vertAlign w:val="subscript"/>
        </w:rPr>
        <w:t>future</w:t>
      </w:r>
      <w:r w:rsidR="004C6E51" w:rsidRPr="008838CC">
        <w:rPr>
          <w:rFonts w:ascii="Verdana" w:hAnsi="Verdana"/>
          <w:bCs/>
          <w:color w:val="000000"/>
          <w:sz w:val="17"/>
          <w:szCs w:val="17"/>
        </w:rPr>
        <w:t xml:space="preserve"> and FP</w:t>
      </w:r>
      <w:r w:rsidR="004C6E51" w:rsidRPr="008838CC">
        <w:rPr>
          <w:rFonts w:ascii="Verdana" w:hAnsi="Verdana"/>
          <w:bCs/>
          <w:color w:val="000000"/>
          <w:sz w:val="17"/>
          <w:szCs w:val="17"/>
          <w:vertAlign w:val="subscript"/>
        </w:rPr>
        <w:t>existing</w:t>
      </w:r>
      <w:r w:rsidR="004C6E51" w:rsidRPr="008838CC">
        <w:rPr>
          <w:rFonts w:ascii="Verdana" w:hAnsi="Verdana"/>
          <w:bCs/>
          <w:color w:val="000000"/>
          <w:sz w:val="17"/>
          <w:szCs w:val="17"/>
        </w:rPr>
        <w:t xml:space="preserve"> </w:t>
      </w:r>
      <w:r w:rsidR="00C70656" w:rsidRPr="008838CC">
        <w:rPr>
          <w:rFonts w:ascii="Verdana" w:hAnsi="Verdana"/>
          <w:bCs/>
          <w:color w:val="000000"/>
          <w:sz w:val="17"/>
          <w:szCs w:val="17"/>
        </w:rPr>
        <w:t>is</w:t>
      </w:r>
      <w:r w:rsidR="004A70C4" w:rsidRPr="008838CC">
        <w:rPr>
          <w:rFonts w:ascii="Verdana" w:hAnsi="Verdana"/>
          <w:color w:val="000000"/>
          <w:sz w:val="17"/>
          <w:szCs w:val="17"/>
        </w:rPr>
        <w:t xml:space="preserve"> </w:t>
      </w:r>
      <w:r w:rsidR="002B0939">
        <w:rPr>
          <w:rFonts w:ascii="Verdana" w:hAnsi="Verdana"/>
          <w:color w:val="000000"/>
          <w:sz w:val="17"/>
          <w:szCs w:val="17"/>
        </w:rPr>
        <w:t>necessary</w:t>
      </w:r>
      <w:r w:rsidR="004A70C4" w:rsidRPr="008838CC">
        <w:rPr>
          <w:rFonts w:ascii="Verdana" w:hAnsi="Verdana"/>
          <w:color w:val="000000"/>
          <w:sz w:val="17"/>
          <w:szCs w:val="17"/>
        </w:rPr>
        <w:t xml:space="preserve">. </w:t>
      </w:r>
    </w:p>
    <w:p w14:paraId="766CF32C" w14:textId="77777777" w:rsidR="00644F0A"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2.2</w:t>
      </w:r>
    </w:p>
    <w:p w14:paraId="4CB9D54C" w14:textId="54F8B8ED"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2.3</w:t>
      </w:r>
      <w:r w:rsidR="008F2D1B" w:rsidRPr="008838CC">
        <w:rPr>
          <w:rFonts w:ascii="Verdana" w:hAnsi="Verdana"/>
          <w:b/>
          <w:color w:val="000000"/>
          <w:sz w:val="17"/>
          <w:szCs w:val="17"/>
          <w:u w:val="single"/>
        </w:rPr>
        <w:t xml:space="preserve"> Feedback statement on the main comments received to the discussion paper</w:t>
      </w:r>
    </w:p>
    <w:p w14:paraId="6D8078C3" w14:textId="6087A052" w:rsidR="008F2D1B" w:rsidRPr="008838CC" w:rsidRDefault="008F2D1B" w:rsidP="008F2D1B">
      <w:pPr>
        <w:spacing w:before="120" w:line="276" w:lineRule="auto"/>
        <w:ind w:right="72"/>
        <w:rPr>
          <w:rFonts w:ascii="Verdana" w:hAnsi="Verdana"/>
          <w:b/>
          <w:i/>
          <w:color w:val="000000"/>
          <w:sz w:val="17"/>
          <w:szCs w:val="17"/>
        </w:rPr>
      </w:pPr>
      <w:r w:rsidRPr="008838CC">
        <w:rPr>
          <w:rFonts w:ascii="Verdana" w:hAnsi="Verdana"/>
          <w:b/>
          <w:i/>
          <w:color w:val="000000"/>
          <w:sz w:val="17"/>
          <w:szCs w:val="17"/>
        </w:rPr>
        <w:t xml:space="preserve">Paragraph </w:t>
      </w:r>
      <w:r w:rsidRPr="008838CC">
        <w:rPr>
          <w:rFonts w:ascii="Verdana" w:hAnsi="Verdana"/>
          <w:b/>
          <w:bCs/>
          <w:i/>
          <w:color w:val="000000"/>
          <w:sz w:val="17"/>
          <w:szCs w:val="17"/>
        </w:rPr>
        <w:t>11</w:t>
      </w:r>
      <w:r w:rsidR="004C6E51" w:rsidRPr="008838CC">
        <w:rPr>
          <w:rFonts w:ascii="Verdana" w:hAnsi="Verdana"/>
          <w:b/>
          <w:bCs/>
          <w:i/>
          <w:color w:val="000000"/>
          <w:sz w:val="17"/>
          <w:szCs w:val="17"/>
        </w:rPr>
        <w:t>3</w:t>
      </w:r>
    </w:p>
    <w:p w14:paraId="64DB3556" w14:textId="611A9BDC" w:rsidR="008F2D1B" w:rsidRPr="008838CC" w:rsidRDefault="008F2D1B" w:rsidP="00644F0A">
      <w:pPr>
        <w:spacing w:before="120" w:line="276" w:lineRule="auto"/>
        <w:ind w:right="72"/>
        <w:rPr>
          <w:rFonts w:ascii="Verdana" w:hAnsi="Verdana"/>
          <w:b/>
          <w:color w:val="000000"/>
          <w:sz w:val="17"/>
          <w:szCs w:val="17"/>
          <w:u w:val="single"/>
        </w:rPr>
      </w:pPr>
      <w:r w:rsidRPr="008838CC">
        <w:rPr>
          <w:rFonts w:ascii="Verdana" w:hAnsi="Verdana"/>
          <w:color w:val="000000"/>
          <w:sz w:val="17"/>
          <w:szCs w:val="17"/>
        </w:rPr>
        <w:t xml:space="preserve">Note to EIOPA: There seems to be a mistake in the following sentence, minimum should be replaced by maximum: </w:t>
      </w:r>
      <w:r w:rsidRPr="008838CC">
        <w:rPr>
          <w:rFonts w:ascii="Verdana" w:hAnsi="Verdana"/>
          <w:i/>
          <w:color w:val="000000"/>
          <w:sz w:val="17"/>
          <w:szCs w:val="17"/>
        </w:rPr>
        <w:t>“</w:t>
      </w:r>
      <w:r w:rsidRPr="008838CC">
        <w:rPr>
          <w:rFonts w:ascii="Verdana" w:hAnsi="Verdana"/>
          <w:i/>
          <w:sz w:val="17"/>
          <w:szCs w:val="17"/>
        </w:rPr>
        <w:t>to be earned by the undertaking during the following 12 months (P</w:t>
      </w:r>
      <w:r w:rsidRPr="008838CC">
        <w:rPr>
          <w:rFonts w:ascii="Verdana" w:hAnsi="Verdana"/>
          <w:i/>
          <w:sz w:val="17"/>
          <w:szCs w:val="17"/>
          <w:vertAlign w:val="subscript"/>
        </w:rPr>
        <w:t>s</w:t>
      </w:r>
      <w:r w:rsidRPr="008838CC">
        <w:rPr>
          <w:rFonts w:ascii="Verdana" w:hAnsi="Verdana"/>
          <w:i/>
          <w:sz w:val="17"/>
          <w:szCs w:val="17"/>
        </w:rPr>
        <w:t xml:space="preserve">) instead of the maximum </w:t>
      </w:r>
      <w:r w:rsidRPr="008838CC">
        <w:rPr>
          <w:rFonts w:ascii="Verdana" w:hAnsi="Verdana"/>
          <w:i/>
          <w:strike/>
          <w:sz w:val="17"/>
          <w:szCs w:val="17"/>
        </w:rPr>
        <w:t>minimum</w:t>
      </w:r>
      <w:r w:rsidRPr="008838CC">
        <w:rPr>
          <w:rFonts w:ascii="Verdana" w:hAnsi="Verdana"/>
          <w:i/>
          <w:sz w:val="17"/>
          <w:szCs w:val="17"/>
        </w:rPr>
        <w:t xml:space="preserve"> of the estimate of the premiums to be earned by the undertaking during the following 12 months</w:t>
      </w:r>
      <w:r w:rsidR="00833FEF" w:rsidRPr="008838CC">
        <w:rPr>
          <w:rFonts w:ascii="Verdana" w:hAnsi="Verdana"/>
          <w:i/>
          <w:sz w:val="17"/>
          <w:szCs w:val="17"/>
        </w:rPr>
        <w:t xml:space="preserve"> (P</w:t>
      </w:r>
      <w:r w:rsidR="00833FEF" w:rsidRPr="008838CC">
        <w:rPr>
          <w:rFonts w:ascii="Verdana" w:hAnsi="Verdana"/>
          <w:i/>
          <w:sz w:val="17"/>
          <w:szCs w:val="17"/>
          <w:vertAlign w:val="subscript"/>
        </w:rPr>
        <w:t>s</w:t>
      </w:r>
      <w:r w:rsidR="00833FEF" w:rsidRPr="008838CC">
        <w:rPr>
          <w:rFonts w:ascii="Verdana" w:hAnsi="Verdana"/>
          <w:i/>
          <w:sz w:val="17"/>
          <w:szCs w:val="17"/>
        </w:rPr>
        <w:t>) and the earned premiums during the last 12 months (P</w:t>
      </w:r>
      <w:r w:rsidR="00833FEF" w:rsidRPr="008838CC">
        <w:rPr>
          <w:rFonts w:ascii="Verdana" w:hAnsi="Verdana"/>
          <w:i/>
          <w:sz w:val="17"/>
          <w:szCs w:val="17"/>
          <w:vertAlign w:val="subscript"/>
        </w:rPr>
        <w:t>last,s</w:t>
      </w:r>
      <w:r w:rsidR="00833FEF" w:rsidRPr="008838CC">
        <w:rPr>
          <w:rFonts w:ascii="Verdana" w:hAnsi="Verdana"/>
          <w:i/>
          <w:sz w:val="17"/>
          <w:szCs w:val="17"/>
        </w:rPr>
        <w:t xml:space="preserve">)  </w:t>
      </w:r>
      <w:r w:rsidRPr="008838CC">
        <w:rPr>
          <w:rFonts w:ascii="Verdana" w:hAnsi="Verdana"/>
          <w:i/>
          <w:sz w:val="17"/>
          <w:szCs w:val="17"/>
        </w:rPr>
        <w:t>”</w:t>
      </w:r>
    </w:p>
    <w:p w14:paraId="10389742" w14:textId="77777777"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2.4.1</w:t>
      </w:r>
    </w:p>
    <w:p w14:paraId="660F7FDD" w14:textId="20DCB84F"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t>2.4.2</w:t>
      </w:r>
      <w:r w:rsidR="00035B70" w:rsidRPr="008838CC">
        <w:rPr>
          <w:rFonts w:ascii="Verdana" w:hAnsi="Verdana"/>
          <w:b/>
          <w:color w:val="000000"/>
          <w:sz w:val="17"/>
          <w:szCs w:val="17"/>
          <w:u w:val="single"/>
        </w:rPr>
        <w:t xml:space="preserve"> Analysis</w:t>
      </w:r>
    </w:p>
    <w:p w14:paraId="4F5D9324" w14:textId="09F05317" w:rsidR="00CA0977" w:rsidRPr="008838CC" w:rsidRDefault="00CA0977" w:rsidP="00CA0977">
      <w:pPr>
        <w:spacing w:before="120" w:line="276" w:lineRule="auto"/>
        <w:ind w:right="72"/>
        <w:rPr>
          <w:rFonts w:ascii="Verdana" w:hAnsi="Verdana"/>
          <w:b/>
          <w:i/>
          <w:color w:val="000000"/>
          <w:sz w:val="17"/>
          <w:szCs w:val="17"/>
        </w:rPr>
      </w:pPr>
      <w:r w:rsidRPr="008838CC">
        <w:rPr>
          <w:rFonts w:ascii="Verdana" w:hAnsi="Verdana"/>
          <w:b/>
          <w:i/>
          <w:color w:val="000000"/>
          <w:sz w:val="17"/>
          <w:szCs w:val="17"/>
        </w:rPr>
        <w:t>Paragraph 137</w:t>
      </w:r>
    </w:p>
    <w:p w14:paraId="5C104E49" w14:textId="2D2B56B5" w:rsidR="00CA0977" w:rsidRPr="008838CC" w:rsidRDefault="00CA0977" w:rsidP="00035B70">
      <w:pPr>
        <w:spacing w:before="120" w:line="276" w:lineRule="auto"/>
        <w:ind w:right="72"/>
        <w:rPr>
          <w:rFonts w:ascii="Verdana" w:hAnsi="Verdana"/>
          <w:b/>
          <w:i/>
          <w:color w:val="000000"/>
          <w:sz w:val="17"/>
          <w:szCs w:val="17"/>
        </w:rPr>
      </w:pPr>
      <w:r w:rsidRPr="008838CC">
        <w:rPr>
          <w:rFonts w:ascii="Verdana" w:hAnsi="Verdana"/>
          <w:color w:val="000000"/>
          <w:sz w:val="17"/>
          <w:szCs w:val="17"/>
        </w:rPr>
        <w:t xml:space="preserve">Insurance Europe believes that </w:t>
      </w:r>
      <w:r w:rsidR="00675F90" w:rsidRPr="008838CC">
        <w:rPr>
          <w:rFonts w:ascii="Verdana" w:hAnsi="Verdana"/>
          <w:color w:val="000000"/>
          <w:sz w:val="17"/>
          <w:szCs w:val="17"/>
        </w:rPr>
        <w:t xml:space="preserve">when option 2 would be </w:t>
      </w:r>
      <w:r w:rsidR="00553170" w:rsidRPr="008838CC">
        <w:rPr>
          <w:rFonts w:ascii="Verdana" w:hAnsi="Verdana"/>
          <w:bCs/>
          <w:color w:val="000000"/>
          <w:sz w:val="17"/>
          <w:szCs w:val="17"/>
        </w:rPr>
        <w:t>selected</w:t>
      </w:r>
      <w:r w:rsidR="00675F90" w:rsidRPr="008838CC">
        <w:rPr>
          <w:rFonts w:ascii="Verdana" w:hAnsi="Verdana"/>
          <w:bCs/>
          <w:color w:val="000000"/>
          <w:sz w:val="17"/>
          <w:szCs w:val="17"/>
        </w:rPr>
        <w:t>,</w:t>
      </w:r>
      <w:r w:rsidR="00675F90" w:rsidRPr="008838CC">
        <w:rPr>
          <w:rFonts w:ascii="Verdana" w:hAnsi="Verdana"/>
          <w:color w:val="000000"/>
          <w:sz w:val="17"/>
          <w:szCs w:val="17"/>
        </w:rPr>
        <w:t xml:space="preserve"> </w:t>
      </w:r>
      <w:r w:rsidRPr="008838CC">
        <w:rPr>
          <w:rFonts w:ascii="Verdana" w:hAnsi="Verdana"/>
          <w:color w:val="000000"/>
          <w:sz w:val="17"/>
          <w:szCs w:val="17"/>
        </w:rPr>
        <w:t xml:space="preserve">an adjustment factor should </w:t>
      </w:r>
      <w:r w:rsidR="00675F90" w:rsidRPr="008838CC">
        <w:rPr>
          <w:rFonts w:ascii="Verdana" w:hAnsi="Verdana"/>
          <w:color w:val="000000"/>
          <w:sz w:val="17"/>
          <w:szCs w:val="17"/>
        </w:rPr>
        <w:t xml:space="preserve">also </w:t>
      </w:r>
      <w:r w:rsidRPr="008838CC">
        <w:rPr>
          <w:rFonts w:ascii="Verdana" w:hAnsi="Verdana"/>
          <w:color w:val="000000"/>
          <w:sz w:val="17"/>
          <w:szCs w:val="17"/>
        </w:rPr>
        <w:t>be applied to FP</w:t>
      </w:r>
      <w:r w:rsidRPr="008838CC">
        <w:rPr>
          <w:rFonts w:ascii="Verdana" w:hAnsi="Verdana"/>
          <w:color w:val="000000"/>
          <w:sz w:val="17"/>
          <w:szCs w:val="17"/>
          <w:vertAlign w:val="subscript"/>
        </w:rPr>
        <w:t>existing</w:t>
      </w:r>
      <w:r w:rsidRPr="008838CC">
        <w:rPr>
          <w:rFonts w:ascii="Verdana" w:hAnsi="Verdana"/>
          <w:color w:val="000000"/>
          <w:sz w:val="17"/>
          <w:szCs w:val="17"/>
        </w:rPr>
        <w:t xml:space="preserve"> in order to obtain an appropriate premium volume measure. </w:t>
      </w:r>
    </w:p>
    <w:p w14:paraId="2DE845FB" w14:textId="7F2225C7" w:rsidR="00C044B4" w:rsidRPr="008838CC" w:rsidRDefault="00035B70" w:rsidP="00035B70">
      <w:pPr>
        <w:spacing w:before="120" w:line="276" w:lineRule="auto"/>
        <w:ind w:right="72"/>
        <w:rPr>
          <w:rFonts w:ascii="Verdana" w:hAnsi="Verdana"/>
          <w:b/>
          <w:i/>
          <w:color w:val="000000"/>
          <w:sz w:val="17"/>
          <w:szCs w:val="17"/>
        </w:rPr>
      </w:pPr>
      <w:r w:rsidRPr="008838CC">
        <w:rPr>
          <w:rFonts w:ascii="Verdana" w:hAnsi="Verdana"/>
          <w:b/>
          <w:i/>
          <w:color w:val="000000"/>
          <w:sz w:val="17"/>
          <w:szCs w:val="17"/>
        </w:rPr>
        <w:t>Paragraph 1</w:t>
      </w:r>
      <w:r w:rsidR="00C044B4" w:rsidRPr="008838CC">
        <w:rPr>
          <w:rFonts w:ascii="Verdana" w:hAnsi="Verdana"/>
          <w:b/>
          <w:i/>
          <w:color w:val="000000"/>
          <w:sz w:val="17"/>
          <w:szCs w:val="17"/>
        </w:rPr>
        <w:t>51</w:t>
      </w:r>
    </w:p>
    <w:p w14:paraId="08F454D8" w14:textId="225A1DD3" w:rsidR="00035B70" w:rsidRPr="008838CC" w:rsidRDefault="00C044B4" w:rsidP="00035B70">
      <w:pPr>
        <w:spacing w:before="120" w:line="276" w:lineRule="auto"/>
        <w:ind w:right="72"/>
        <w:rPr>
          <w:rFonts w:ascii="Verdana" w:hAnsi="Verdana"/>
          <w:b/>
          <w:i/>
          <w:color w:val="000000"/>
          <w:sz w:val="17"/>
          <w:szCs w:val="17"/>
        </w:rPr>
      </w:pPr>
      <w:r w:rsidRPr="008838CC">
        <w:rPr>
          <w:rFonts w:ascii="Verdana" w:hAnsi="Verdana"/>
          <w:color w:val="000000"/>
          <w:sz w:val="17"/>
          <w:szCs w:val="17"/>
        </w:rPr>
        <w:t xml:space="preserve">Insurance Europe notes that for an adjustment factor of 30%, on average the </w:t>
      </w:r>
      <w:r w:rsidR="004C7A25" w:rsidRPr="008838CC">
        <w:rPr>
          <w:rFonts w:ascii="Verdana" w:hAnsi="Verdana"/>
          <w:color w:val="000000"/>
          <w:sz w:val="17"/>
          <w:szCs w:val="17"/>
        </w:rPr>
        <w:t>volume</w:t>
      </w:r>
      <w:r w:rsidRPr="008838CC">
        <w:rPr>
          <w:rFonts w:ascii="Verdana" w:hAnsi="Verdana"/>
          <w:color w:val="000000"/>
          <w:sz w:val="17"/>
          <w:szCs w:val="17"/>
        </w:rPr>
        <w:t xml:space="preserve"> measure seems to decrease, however, when considering the impact per line of business, there is an increase in volume measure for 12 out of 15 lines of business. </w:t>
      </w:r>
    </w:p>
    <w:p w14:paraId="70BEC7B5" w14:textId="77777777" w:rsidR="008006F2" w:rsidRPr="008838CC" w:rsidRDefault="008006F2" w:rsidP="008006F2">
      <w:pPr>
        <w:spacing w:before="120" w:line="276" w:lineRule="auto"/>
        <w:ind w:right="72"/>
        <w:rPr>
          <w:rFonts w:ascii="Verdana" w:hAnsi="Verdana"/>
          <w:b/>
          <w:i/>
          <w:color w:val="000000"/>
          <w:sz w:val="17"/>
          <w:szCs w:val="17"/>
        </w:rPr>
      </w:pPr>
      <w:r w:rsidRPr="008838CC">
        <w:rPr>
          <w:rFonts w:ascii="Verdana" w:hAnsi="Verdana"/>
          <w:b/>
          <w:i/>
          <w:color w:val="000000"/>
          <w:sz w:val="17"/>
          <w:szCs w:val="17"/>
        </w:rPr>
        <w:t>Paragraph 158-164</w:t>
      </w:r>
    </w:p>
    <w:p w14:paraId="5C48DE72" w14:textId="4753DFE3" w:rsidR="008006F2" w:rsidRPr="008838CC" w:rsidRDefault="008006F2" w:rsidP="008006F2">
      <w:pPr>
        <w:spacing w:before="120" w:line="276" w:lineRule="auto"/>
        <w:ind w:right="72"/>
        <w:rPr>
          <w:rFonts w:ascii="Verdana" w:hAnsi="Verdana"/>
          <w:color w:val="000000"/>
          <w:sz w:val="17"/>
          <w:szCs w:val="17"/>
        </w:rPr>
      </w:pPr>
      <w:r w:rsidRPr="008838CC">
        <w:rPr>
          <w:rFonts w:ascii="Verdana" w:hAnsi="Verdana"/>
          <w:color w:val="000000"/>
          <w:sz w:val="17"/>
          <w:szCs w:val="17"/>
        </w:rPr>
        <w:t xml:space="preserve">Insurance Europe </w:t>
      </w:r>
      <w:r w:rsidR="000452D0" w:rsidRPr="008838CC">
        <w:rPr>
          <w:rFonts w:ascii="Verdana" w:hAnsi="Verdana"/>
          <w:color w:val="000000"/>
          <w:sz w:val="17"/>
          <w:szCs w:val="17"/>
        </w:rPr>
        <w:t>reiterate</w:t>
      </w:r>
      <w:r w:rsidR="00D91949" w:rsidRPr="008838CC">
        <w:rPr>
          <w:rFonts w:ascii="Verdana" w:hAnsi="Verdana"/>
          <w:color w:val="000000"/>
          <w:sz w:val="17"/>
          <w:szCs w:val="17"/>
        </w:rPr>
        <w:t>s</w:t>
      </w:r>
      <w:r w:rsidR="000452D0" w:rsidRPr="008838CC">
        <w:rPr>
          <w:rFonts w:ascii="Verdana" w:hAnsi="Verdana"/>
          <w:color w:val="000000"/>
          <w:sz w:val="17"/>
          <w:szCs w:val="17"/>
        </w:rPr>
        <w:t xml:space="preserve"> </w:t>
      </w:r>
      <w:r w:rsidRPr="008838CC">
        <w:rPr>
          <w:rFonts w:ascii="Verdana" w:hAnsi="Verdana"/>
          <w:color w:val="000000"/>
          <w:sz w:val="17"/>
          <w:szCs w:val="17"/>
        </w:rPr>
        <w:t>that for</w:t>
      </w:r>
      <w:r w:rsidR="000452D0" w:rsidRPr="008838CC">
        <w:rPr>
          <w:rFonts w:ascii="Verdana" w:hAnsi="Verdana"/>
          <w:color w:val="000000"/>
          <w:sz w:val="17"/>
          <w:szCs w:val="17"/>
        </w:rPr>
        <w:t xml:space="preserve"> most insurance undertakings it is very difficult or even impossible to </w:t>
      </w:r>
      <w:r w:rsidR="00213650" w:rsidRPr="008838CC">
        <w:rPr>
          <w:rFonts w:ascii="Verdana" w:hAnsi="Verdana"/>
          <w:color w:val="000000"/>
          <w:sz w:val="17"/>
          <w:szCs w:val="17"/>
        </w:rPr>
        <w:t xml:space="preserve">select the </w:t>
      </w:r>
      <w:r w:rsidR="000452D0" w:rsidRPr="008838CC">
        <w:rPr>
          <w:rFonts w:ascii="Verdana" w:hAnsi="Verdana"/>
          <w:color w:val="000000"/>
          <w:sz w:val="17"/>
          <w:szCs w:val="17"/>
        </w:rPr>
        <w:t>initial recognition date from the</w:t>
      </w:r>
      <w:r w:rsidR="00213650" w:rsidRPr="008838CC">
        <w:rPr>
          <w:rFonts w:ascii="Verdana" w:hAnsi="Verdana"/>
          <w:color w:val="000000"/>
          <w:sz w:val="17"/>
          <w:szCs w:val="17"/>
        </w:rPr>
        <w:t>ir data systems. (See also response to EIOPA-CP-16-008).</w:t>
      </w:r>
    </w:p>
    <w:p w14:paraId="4E977F79" w14:textId="77777777" w:rsidR="00035B70" w:rsidRPr="008838CC" w:rsidRDefault="00035B70" w:rsidP="00644F0A">
      <w:pPr>
        <w:spacing w:before="120" w:line="276" w:lineRule="auto"/>
        <w:ind w:right="72"/>
        <w:rPr>
          <w:rFonts w:ascii="Verdana" w:hAnsi="Verdana"/>
          <w:b/>
          <w:color w:val="000000"/>
          <w:sz w:val="17"/>
          <w:szCs w:val="17"/>
          <w:u w:val="single"/>
        </w:rPr>
      </w:pPr>
    </w:p>
    <w:p w14:paraId="7BA926A9" w14:textId="2FDB0E43" w:rsidR="00644F0A" w:rsidRPr="008838CC" w:rsidRDefault="00644F0A" w:rsidP="00644F0A">
      <w:pPr>
        <w:spacing w:before="120" w:line="276" w:lineRule="auto"/>
        <w:ind w:right="72"/>
        <w:rPr>
          <w:rFonts w:ascii="Verdana" w:hAnsi="Verdana"/>
          <w:b/>
          <w:color w:val="000000"/>
          <w:sz w:val="17"/>
          <w:szCs w:val="17"/>
          <w:u w:val="single"/>
        </w:rPr>
      </w:pPr>
      <w:r w:rsidRPr="008838CC">
        <w:rPr>
          <w:rFonts w:ascii="Verdana" w:hAnsi="Verdana"/>
          <w:b/>
          <w:color w:val="000000"/>
          <w:sz w:val="17"/>
          <w:szCs w:val="17"/>
          <w:u w:val="single"/>
        </w:rPr>
        <w:lastRenderedPageBreak/>
        <w:t>2.4.3</w:t>
      </w:r>
      <w:r w:rsidR="007E1BA6" w:rsidRPr="008838CC">
        <w:rPr>
          <w:rFonts w:ascii="Verdana" w:hAnsi="Verdana"/>
          <w:b/>
          <w:color w:val="000000"/>
          <w:sz w:val="17"/>
          <w:szCs w:val="17"/>
          <w:u w:val="single"/>
        </w:rPr>
        <w:t xml:space="preserve"> EIOPA’s advice</w:t>
      </w:r>
    </w:p>
    <w:p w14:paraId="01BEDD30" w14:textId="7955B565" w:rsidR="007E1BA6" w:rsidRPr="008838CC" w:rsidRDefault="00BF065B" w:rsidP="00644F0A">
      <w:pPr>
        <w:spacing w:before="120" w:line="276" w:lineRule="auto"/>
        <w:ind w:right="72"/>
        <w:rPr>
          <w:rFonts w:ascii="Verdana" w:hAnsi="Verdana"/>
          <w:b/>
          <w:i/>
          <w:color w:val="000000"/>
          <w:sz w:val="17"/>
          <w:szCs w:val="17"/>
        </w:rPr>
      </w:pPr>
      <w:r w:rsidRPr="008838CC">
        <w:rPr>
          <w:rFonts w:ascii="Verdana" w:hAnsi="Verdana"/>
          <w:b/>
          <w:i/>
          <w:color w:val="000000"/>
          <w:sz w:val="17"/>
          <w:szCs w:val="17"/>
        </w:rPr>
        <w:t xml:space="preserve">Paragraph 176 </w:t>
      </w:r>
    </w:p>
    <w:p w14:paraId="6F04B634" w14:textId="4094D972" w:rsidR="00C70656" w:rsidRPr="008838CC" w:rsidRDefault="00035B70" w:rsidP="00C70656">
      <w:pPr>
        <w:spacing w:before="120" w:line="276" w:lineRule="auto"/>
        <w:ind w:right="72"/>
        <w:rPr>
          <w:rFonts w:ascii="Verdana" w:hAnsi="Verdana"/>
          <w:bCs/>
          <w:color w:val="000000"/>
          <w:sz w:val="17"/>
          <w:szCs w:val="17"/>
        </w:rPr>
      </w:pPr>
      <w:r w:rsidRPr="008838CC">
        <w:rPr>
          <w:rFonts w:ascii="Verdana" w:hAnsi="Verdana"/>
          <w:color w:val="000000"/>
          <w:sz w:val="17"/>
          <w:szCs w:val="17"/>
        </w:rPr>
        <w:t xml:space="preserve">Insurance Europe believes the </w:t>
      </w:r>
      <w:r w:rsidR="00756885" w:rsidRPr="008838CC">
        <w:rPr>
          <w:rFonts w:ascii="Verdana" w:hAnsi="Verdana"/>
          <w:color w:val="000000"/>
          <w:sz w:val="17"/>
          <w:szCs w:val="17"/>
        </w:rPr>
        <w:t>first</w:t>
      </w:r>
      <w:r w:rsidRPr="008838CC">
        <w:rPr>
          <w:rFonts w:ascii="Verdana" w:hAnsi="Verdana"/>
          <w:color w:val="000000"/>
          <w:sz w:val="17"/>
          <w:szCs w:val="17"/>
        </w:rPr>
        <w:t xml:space="preserve"> option is </w:t>
      </w:r>
      <w:r w:rsidR="007054AB" w:rsidRPr="008838CC">
        <w:rPr>
          <w:rFonts w:ascii="Verdana" w:hAnsi="Verdana"/>
          <w:color w:val="000000"/>
          <w:sz w:val="17"/>
          <w:szCs w:val="17"/>
        </w:rPr>
        <w:t>most appropriately reflecting the p</w:t>
      </w:r>
      <w:r w:rsidR="00DC6C04" w:rsidRPr="008838CC">
        <w:rPr>
          <w:rFonts w:ascii="Verdana" w:hAnsi="Verdana"/>
          <w:color w:val="000000"/>
          <w:sz w:val="17"/>
          <w:szCs w:val="17"/>
        </w:rPr>
        <w:t>remium volume measure</w:t>
      </w:r>
      <w:r w:rsidR="00CA1237">
        <w:rPr>
          <w:rFonts w:ascii="Verdana" w:hAnsi="Verdana"/>
          <w:color w:val="000000"/>
          <w:sz w:val="17"/>
          <w:szCs w:val="17"/>
        </w:rPr>
        <w:t>, w</w:t>
      </w:r>
      <w:r w:rsidR="00FF0EB3" w:rsidRPr="008838CC">
        <w:rPr>
          <w:rFonts w:ascii="Verdana" w:hAnsi="Verdana"/>
          <w:bCs/>
          <w:color w:val="000000"/>
          <w:sz w:val="17"/>
          <w:szCs w:val="17"/>
        </w:rPr>
        <w:t xml:space="preserve">hile impact on the premium volume measure for option two should be analysed. </w:t>
      </w:r>
      <w:r w:rsidR="00524AB2" w:rsidRPr="008838CC">
        <w:rPr>
          <w:rFonts w:ascii="Verdana" w:hAnsi="Verdana"/>
          <w:bCs/>
          <w:color w:val="000000"/>
          <w:sz w:val="17"/>
          <w:szCs w:val="17"/>
        </w:rPr>
        <w:t>In any case,</w:t>
      </w:r>
      <w:r w:rsidR="00C70656" w:rsidRPr="008838CC">
        <w:rPr>
          <w:rFonts w:ascii="Verdana" w:hAnsi="Verdana"/>
          <w:bCs/>
          <w:color w:val="000000"/>
          <w:sz w:val="17"/>
          <w:szCs w:val="17"/>
        </w:rPr>
        <w:t xml:space="preserve"> Insurance Europe believes</w:t>
      </w:r>
      <w:r w:rsidR="00FF0EB3" w:rsidRPr="008838CC">
        <w:rPr>
          <w:rFonts w:ascii="Verdana" w:hAnsi="Verdana"/>
          <w:bCs/>
          <w:color w:val="000000"/>
          <w:sz w:val="17"/>
          <w:szCs w:val="17"/>
        </w:rPr>
        <w:t xml:space="preserve"> that option two</w:t>
      </w:r>
      <w:r w:rsidR="00C70656" w:rsidRPr="008838CC">
        <w:rPr>
          <w:rFonts w:ascii="Verdana" w:hAnsi="Verdana"/>
          <w:bCs/>
          <w:color w:val="000000"/>
          <w:sz w:val="17"/>
          <w:szCs w:val="17"/>
        </w:rPr>
        <w:t xml:space="preserve"> </w:t>
      </w:r>
      <w:r w:rsidR="00524AB2" w:rsidRPr="008838CC">
        <w:rPr>
          <w:rFonts w:ascii="Verdana" w:hAnsi="Verdana"/>
          <w:bCs/>
          <w:color w:val="000000"/>
          <w:sz w:val="17"/>
          <w:szCs w:val="17"/>
        </w:rPr>
        <w:t>should be modified, so that the</w:t>
      </w:r>
      <w:r w:rsidR="00C70656" w:rsidRPr="008838CC">
        <w:rPr>
          <w:rFonts w:ascii="Verdana" w:hAnsi="Verdana"/>
          <w:bCs/>
          <w:color w:val="000000"/>
          <w:sz w:val="17"/>
          <w:szCs w:val="17"/>
        </w:rPr>
        <w:t xml:space="preserve"> adjustment factor </w:t>
      </w:r>
      <w:r w:rsidR="00524AB2" w:rsidRPr="008838CC">
        <w:rPr>
          <w:rFonts w:ascii="Verdana" w:hAnsi="Verdana"/>
          <w:bCs/>
          <w:color w:val="000000"/>
          <w:sz w:val="17"/>
          <w:szCs w:val="17"/>
        </w:rPr>
        <w:t xml:space="preserve">would </w:t>
      </w:r>
      <w:r w:rsidR="00C70656" w:rsidRPr="008838CC">
        <w:rPr>
          <w:rFonts w:ascii="Verdana" w:hAnsi="Verdana"/>
          <w:bCs/>
          <w:color w:val="000000"/>
          <w:sz w:val="17"/>
          <w:szCs w:val="17"/>
        </w:rPr>
        <w:t xml:space="preserve">also </w:t>
      </w:r>
      <w:r w:rsidR="00524AB2" w:rsidRPr="008838CC">
        <w:rPr>
          <w:rFonts w:ascii="Verdana" w:hAnsi="Verdana"/>
          <w:bCs/>
          <w:color w:val="000000"/>
          <w:sz w:val="17"/>
          <w:szCs w:val="17"/>
        </w:rPr>
        <w:t>apply</w:t>
      </w:r>
      <w:r w:rsidR="00C70656" w:rsidRPr="008838CC">
        <w:rPr>
          <w:rFonts w:ascii="Verdana" w:hAnsi="Verdana"/>
          <w:bCs/>
          <w:color w:val="000000"/>
          <w:sz w:val="17"/>
          <w:szCs w:val="17"/>
        </w:rPr>
        <w:t xml:space="preserve"> to FP</w:t>
      </w:r>
      <w:r w:rsidR="00C70656" w:rsidRPr="008838CC">
        <w:rPr>
          <w:rFonts w:ascii="Verdana" w:hAnsi="Verdana"/>
          <w:bCs/>
          <w:color w:val="000000"/>
          <w:sz w:val="17"/>
          <w:szCs w:val="17"/>
          <w:vertAlign w:val="subscript"/>
        </w:rPr>
        <w:t>existing</w:t>
      </w:r>
      <w:r w:rsidR="00C70656" w:rsidRPr="008838CC">
        <w:rPr>
          <w:rFonts w:ascii="Verdana" w:hAnsi="Verdana"/>
          <w:bCs/>
          <w:color w:val="000000"/>
          <w:sz w:val="17"/>
          <w:szCs w:val="17"/>
        </w:rPr>
        <w:t xml:space="preserve">. </w:t>
      </w:r>
    </w:p>
    <w:p w14:paraId="5162E5FC" w14:textId="67E8333F" w:rsidR="00756885" w:rsidRPr="008838CC" w:rsidRDefault="00C70656" w:rsidP="00644F0A">
      <w:pPr>
        <w:spacing w:before="120" w:line="276" w:lineRule="auto"/>
        <w:ind w:right="72"/>
        <w:rPr>
          <w:rFonts w:ascii="Verdana" w:hAnsi="Verdana"/>
          <w:color w:val="000000"/>
          <w:sz w:val="17"/>
          <w:szCs w:val="17"/>
        </w:rPr>
      </w:pPr>
      <w:r w:rsidRPr="008838CC">
        <w:rPr>
          <w:rFonts w:ascii="Verdana" w:hAnsi="Verdana"/>
          <w:bCs/>
          <w:color w:val="000000"/>
          <w:sz w:val="17"/>
          <w:szCs w:val="17"/>
        </w:rPr>
        <w:t>Insurance Europe highlights that</w:t>
      </w:r>
      <w:r w:rsidR="00756885" w:rsidRPr="008838CC">
        <w:rPr>
          <w:rFonts w:ascii="Verdana" w:hAnsi="Verdana"/>
          <w:color w:val="000000"/>
          <w:sz w:val="17"/>
          <w:szCs w:val="17"/>
        </w:rPr>
        <w:t xml:space="preserve"> option 2 could lead to variation in the volume measure calculation </w:t>
      </w:r>
      <w:r w:rsidR="00CA1237">
        <w:rPr>
          <w:rFonts w:ascii="Verdana" w:hAnsi="Verdana"/>
          <w:color w:val="000000"/>
          <w:sz w:val="17"/>
          <w:szCs w:val="17"/>
        </w:rPr>
        <w:t>during a</w:t>
      </w:r>
      <w:r w:rsidR="00756885" w:rsidRPr="008838CC">
        <w:rPr>
          <w:rFonts w:ascii="Verdana" w:hAnsi="Verdana"/>
          <w:color w:val="000000"/>
          <w:sz w:val="17"/>
          <w:szCs w:val="17"/>
        </w:rPr>
        <w:t xml:space="preserve"> year, and the impact could be very significant for insurance undertakings or lines of business</w:t>
      </w:r>
      <w:r w:rsidR="00CA1237">
        <w:rPr>
          <w:rFonts w:ascii="Verdana" w:hAnsi="Verdana"/>
          <w:color w:val="000000"/>
          <w:sz w:val="17"/>
          <w:szCs w:val="17"/>
        </w:rPr>
        <w:t>; f</w:t>
      </w:r>
      <w:r w:rsidR="00756885" w:rsidRPr="008838CC">
        <w:rPr>
          <w:rFonts w:ascii="Verdana" w:hAnsi="Verdana"/>
          <w:color w:val="000000"/>
          <w:sz w:val="17"/>
          <w:szCs w:val="17"/>
        </w:rPr>
        <w:t xml:space="preserve">or example for health insurance in the Netherlands, for which the renewal date of all contracts </w:t>
      </w:r>
      <w:r w:rsidR="00CA1237">
        <w:rPr>
          <w:rFonts w:ascii="Verdana" w:hAnsi="Verdana"/>
          <w:color w:val="000000"/>
          <w:sz w:val="17"/>
          <w:szCs w:val="17"/>
        </w:rPr>
        <w:t xml:space="preserve">is </w:t>
      </w:r>
      <w:r w:rsidR="00756885" w:rsidRPr="008838CC">
        <w:rPr>
          <w:rFonts w:ascii="Verdana" w:hAnsi="Verdana"/>
          <w:color w:val="000000"/>
          <w:sz w:val="17"/>
          <w:szCs w:val="17"/>
        </w:rPr>
        <w:t xml:space="preserve">1 January (compulsory for all residents). </w:t>
      </w:r>
    </w:p>
    <w:p w14:paraId="2FB94851" w14:textId="08968AF5" w:rsidR="00035B70" w:rsidRPr="008838CC" w:rsidRDefault="00035B70" w:rsidP="00644F0A">
      <w:pPr>
        <w:spacing w:before="120" w:line="276" w:lineRule="auto"/>
        <w:ind w:right="72"/>
        <w:rPr>
          <w:rFonts w:ascii="Verdana" w:hAnsi="Verdana"/>
          <w:color w:val="000000"/>
          <w:sz w:val="17"/>
          <w:szCs w:val="17"/>
        </w:rPr>
      </w:pPr>
      <w:r w:rsidRPr="008838CC">
        <w:rPr>
          <w:rFonts w:ascii="Verdana" w:hAnsi="Verdana"/>
          <w:color w:val="000000"/>
          <w:sz w:val="17"/>
          <w:szCs w:val="17"/>
        </w:rPr>
        <w:t xml:space="preserve">Additionally, </w:t>
      </w:r>
      <w:r w:rsidR="00C044B4" w:rsidRPr="008838CC">
        <w:rPr>
          <w:rFonts w:ascii="Verdana" w:hAnsi="Verdana"/>
          <w:color w:val="000000"/>
          <w:sz w:val="17"/>
          <w:szCs w:val="17"/>
        </w:rPr>
        <w:t>Insurance Europe notes that more analysis on the appropriate level of the adjustment factor</w:t>
      </w:r>
      <w:r w:rsidR="00213650" w:rsidRPr="008838CC">
        <w:rPr>
          <w:rFonts w:ascii="Verdana" w:hAnsi="Verdana"/>
          <w:color w:val="000000"/>
          <w:sz w:val="17"/>
          <w:szCs w:val="17"/>
        </w:rPr>
        <w:t xml:space="preserve"> </w:t>
      </w:r>
      <w:r w:rsidR="00C044B4" w:rsidRPr="008838CC">
        <w:rPr>
          <w:rFonts w:ascii="Verdana" w:hAnsi="Verdana"/>
          <w:color w:val="000000"/>
          <w:sz w:val="17"/>
          <w:szCs w:val="17"/>
        </w:rPr>
        <w:t>is necessary</w:t>
      </w:r>
      <w:r w:rsidR="00CB3A5D">
        <w:rPr>
          <w:rFonts w:ascii="Verdana" w:hAnsi="Verdana"/>
          <w:color w:val="000000"/>
          <w:sz w:val="17"/>
          <w:szCs w:val="17"/>
        </w:rPr>
        <w:t>.</w:t>
      </w:r>
    </w:p>
    <w:p w14:paraId="67714B93" w14:textId="77777777" w:rsidR="00035B70" w:rsidRPr="008838CC" w:rsidRDefault="00035B70" w:rsidP="00644F0A">
      <w:pPr>
        <w:spacing w:before="120" w:line="276" w:lineRule="auto"/>
        <w:ind w:right="72"/>
        <w:rPr>
          <w:rFonts w:ascii="Verdana" w:hAnsi="Verdana"/>
          <w:b/>
          <w:color w:val="000000"/>
          <w:sz w:val="17"/>
          <w:szCs w:val="17"/>
          <w:u w:val="single"/>
        </w:rPr>
      </w:pPr>
    </w:p>
    <w:bookmarkEnd w:id="6"/>
    <w:p w14:paraId="233D1862" w14:textId="77777777" w:rsidR="00644F0A" w:rsidRPr="008838CC" w:rsidRDefault="00644F0A" w:rsidP="00B555D0">
      <w:pPr>
        <w:pStyle w:val="Nadpis1"/>
        <w:rPr>
          <w:sz w:val="17"/>
          <w:szCs w:val="17"/>
          <w:lang w:eastAsia="en-GB"/>
        </w:rPr>
      </w:pPr>
      <w:r w:rsidRPr="008838CC">
        <w:rPr>
          <w:sz w:val="17"/>
          <w:szCs w:val="17"/>
          <w:lang w:eastAsia="fr-FR"/>
        </w:rPr>
        <w:br w:type="page"/>
      </w:r>
      <w:bookmarkStart w:id="10" w:name="_Toc497908642"/>
      <w:r w:rsidRPr="008838CC">
        <w:rPr>
          <w:sz w:val="17"/>
          <w:szCs w:val="17"/>
          <w:lang w:eastAsia="fr-FR"/>
        </w:rPr>
        <w:t xml:space="preserve">3. </w:t>
      </w:r>
      <w:commentRangeStart w:id="11"/>
      <w:r w:rsidRPr="008838CC">
        <w:rPr>
          <w:sz w:val="17"/>
          <w:szCs w:val="17"/>
          <w:lang w:eastAsia="fr-FR"/>
        </w:rPr>
        <w:t>Recalibration of mortality and longevity risks</w:t>
      </w:r>
      <w:bookmarkEnd w:id="10"/>
      <w:commentRangeEnd w:id="11"/>
      <w:r w:rsidR="00D04285" w:rsidRPr="008838CC">
        <w:rPr>
          <w:rStyle w:val="Odkaznakomentr"/>
          <w:b w:val="0"/>
          <w:color w:val="auto"/>
          <w:sz w:val="17"/>
          <w:szCs w:val="17"/>
          <w:u w:val="none"/>
          <w:lang w:val="de-DE"/>
        </w:rPr>
        <w:commentReference w:id="11"/>
      </w:r>
    </w:p>
    <w:p w14:paraId="79DD2C28" w14:textId="082319F2"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3.1</w:t>
      </w:r>
      <w:r w:rsidR="00533DA7">
        <w:rPr>
          <w:rFonts w:ascii="Verdana" w:hAnsi="Verdana"/>
          <w:b/>
          <w:color w:val="000000"/>
          <w:sz w:val="17"/>
          <w:szCs w:val="17"/>
          <w:u w:val="single"/>
          <w:lang w:eastAsia="fr-FR"/>
        </w:rPr>
        <w:t>. Call for advice</w:t>
      </w:r>
    </w:p>
    <w:p w14:paraId="330643E4" w14:textId="06B59157" w:rsidR="00700D1C" w:rsidRDefault="00700D1C" w:rsidP="00810954">
      <w:pPr>
        <w:spacing w:line="276" w:lineRule="auto"/>
        <w:rPr>
          <w:rFonts w:ascii="Verdana" w:hAnsi="Verdana"/>
          <w:color w:val="000000"/>
          <w:sz w:val="17"/>
          <w:szCs w:val="17"/>
        </w:rPr>
      </w:pPr>
      <w:r w:rsidRPr="008838CC">
        <w:rPr>
          <w:rFonts w:ascii="Verdana" w:hAnsi="Verdana"/>
          <w:color w:val="000000"/>
          <w:sz w:val="17"/>
          <w:szCs w:val="17"/>
        </w:rPr>
        <w:t xml:space="preserve">Insurance Europe welcomes the Commission’s request for EIOPA to investigate </w:t>
      </w:r>
      <w:r w:rsidR="00CA1237">
        <w:rPr>
          <w:rFonts w:ascii="Verdana" w:hAnsi="Verdana"/>
          <w:color w:val="000000"/>
          <w:sz w:val="17"/>
          <w:szCs w:val="17"/>
        </w:rPr>
        <w:t>the appropriateness of the</w:t>
      </w:r>
      <w:r w:rsidR="00CA1237" w:rsidRPr="008838CC">
        <w:rPr>
          <w:rFonts w:ascii="Verdana" w:hAnsi="Verdana"/>
          <w:color w:val="000000"/>
          <w:sz w:val="17"/>
          <w:szCs w:val="17"/>
        </w:rPr>
        <w:t xml:space="preserve"> </w:t>
      </w:r>
      <w:r w:rsidR="00810954" w:rsidRPr="008838CC">
        <w:rPr>
          <w:rFonts w:ascii="Verdana" w:hAnsi="Verdana"/>
          <w:color w:val="000000"/>
          <w:sz w:val="17"/>
          <w:szCs w:val="17"/>
        </w:rPr>
        <w:t xml:space="preserve">standard parameters </w:t>
      </w:r>
      <w:r w:rsidR="00CA1237">
        <w:rPr>
          <w:rFonts w:ascii="Verdana" w:hAnsi="Verdana"/>
          <w:color w:val="000000"/>
          <w:sz w:val="17"/>
          <w:szCs w:val="17"/>
        </w:rPr>
        <w:t>for</w:t>
      </w:r>
      <w:r w:rsidR="00810954" w:rsidRPr="008838CC">
        <w:rPr>
          <w:rFonts w:ascii="Verdana" w:hAnsi="Verdana"/>
          <w:color w:val="000000"/>
          <w:sz w:val="17"/>
          <w:szCs w:val="17"/>
        </w:rPr>
        <w:t xml:space="preserve"> mortality and longevity risks in the life and health underwriting risk modules. </w:t>
      </w:r>
    </w:p>
    <w:p w14:paraId="1F492562" w14:textId="77777777" w:rsidR="00681F47" w:rsidRPr="008838CC" w:rsidRDefault="00681F47" w:rsidP="00810954">
      <w:pPr>
        <w:spacing w:line="276" w:lineRule="auto"/>
        <w:rPr>
          <w:rFonts w:ascii="Verdana" w:hAnsi="Verdana" w:cstheme="minorHAnsi"/>
          <w:sz w:val="17"/>
          <w:szCs w:val="17"/>
        </w:rPr>
      </w:pPr>
    </w:p>
    <w:p w14:paraId="4FFE24EA" w14:textId="0548A526" w:rsidR="00D0610F" w:rsidRDefault="00D0610F" w:rsidP="002F0ECA">
      <w:pPr>
        <w:spacing w:line="276" w:lineRule="auto"/>
        <w:ind w:right="72"/>
        <w:rPr>
          <w:rFonts w:ascii="Verdana" w:hAnsi="Verdana" w:cstheme="minorHAnsi"/>
          <w:sz w:val="17"/>
          <w:szCs w:val="17"/>
        </w:rPr>
      </w:pPr>
      <w:r w:rsidRPr="008838CC">
        <w:rPr>
          <w:rFonts w:ascii="Verdana" w:hAnsi="Verdana" w:cstheme="minorHAnsi"/>
          <w:sz w:val="17"/>
          <w:szCs w:val="17"/>
        </w:rPr>
        <w:t xml:space="preserve">As EIOPA highlights in paragraph 235, there are numerous limitations to the methodology it followed for the recalibration exercise on longevity and mortality risks. </w:t>
      </w:r>
      <w:r w:rsidR="00681F47">
        <w:rPr>
          <w:rFonts w:ascii="Verdana" w:hAnsi="Verdana" w:cstheme="minorHAnsi"/>
          <w:sz w:val="17"/>
          <w:szCs w:val="17"/>
        </w:rPr>
        <w:t xml:space="preserve">Given the limitations of the recalibration methodologies, </w:t>
      </w:r>
      <w:r w:rsidRPr="008838CC">
        <w:rPr>
          <w:rFonts w:ascii="Verdana" w:hAnsi="Verdana" w:cstheme="minorHAnsi"/>
          <w:sz w:val="17"/>
          <w:szCs w:val="17"/>
        </w:rPr>
        <w:t xml:space="preserve">Insurance Europe </w:t>
      </w:r>
      <w:r w:rsidR="00681F47">
        <w:rPr>
          <w:rFonts w:ascii="Verdana" w:hAnsi="Verdana" w:cstheme="minorHAnsi"/>
          <w:sz w:val="17"/>
          <w:szCs w:val="17"/>
        </w:rPr>
        <w:t>believes that no changes are justified for either longevity or mortality risk factors</w:t>
      </w:r>
      <w:r w:rsidRPr="008838CC">
        <w:rPr>
          <w:rFonts w:ascii="Verdana" w:hAnsi="Verdana" w:cstheme="minorHAnsi"/>
          <w:sz w:val="17"/>
          <w:szCs w:val="17"/>
        </w:rPr>
        <w:t xml:space="preserve">. </w:t>
      </w:r>
    </w:p>
    <w:p w14:paraId="0C58B0DF" w14:textId="77777777" w:rsidR="00681F47" w:rsidRPr="008838CC" w:rsidRDefault="00681F47" w:rsidP="002F0ECA">
      <w:pPr>
        <w:spacing w:line="276" w:lineRule="auto"/>
        <w:ind w:right="72"/>
        <w:rPr>
          <w:rFonts w:ascii="Verdana" w:hAnsi="Verdana" w:cstheme="minorHAnsi"/>
          <w:sz w:val="17"/>
          <w:szCs w:val="17"/>
        </w:rPr>
      </w:pPr>
    </w:p>
    <w:p w14:paraId="18F0622E" w14:textId="1095E333" w:rsidR="000867A5" w:rsidRPr="008838CC" w:rsidRDefault="00D0610F" w:rsidP="000867A5">
      <w:pPr>
        <w:spacing w:line="276" w:lineRule="auto"/>
        <w:ind w:right="72"/>
        <w:rPr>
          <w:rFonts w:ascii="Verdana" w:hAnsi="Verdana" w:cstheme="minorHAnsi"/>
          <w:sz w:val="17"/>
          <w:szCs w:val="17"/>
        </w:rPr>
      </w:pPr>
      <w:r w:rsidRPr="008838CC">
        <w:rPr>
          <w:rFonts w:ascii="Verdana" w:hAnsi="Verdana" w:cstheme="minorHAnsi"/>
          <w:sz w:val="17"/>
          <w:szCs w:val="17"/>
        </w:rPr>
        <w:t>In addition</w:t>
      </w:r>
      <w:r w:rsidR="000867A5" w:rsidRPr="008838CC">
        <w:rPr>
          <w:rFonts w:ascii="Verdana" w:hAnsi="Verdana" w:cstheme="minorHAnsi"/>
          <w:sz w:val="17"/>
          <w:szCs w:val="17"/>
        </w:rPr>
        <w:t xml:space="preserve">, as pointed out by EIOPA in paragraph 193, Insurance Europe agrees that </w:t>
      </w:r>
      <w:r w:rsidR="00810954" w:rsidRPr="008838CC">
        <w:rPr>
          <w:rFonts w:ascii="Verdana" w:hAnsi="Verdana" w:cstheme="minorHAnsi"/>
          <w:sz w:val="17"/>
          <w:szCs w:val="17"/>
        </w:rPr>
        <w:t>l</w:t>
      </w:r>
      <w:r w:rsidR="000867A5" w:rsidRPr="008838CC">
        <w:rPr>
          <w:rFonts w:ascii="Verdana" w:hAnsi="Verdana" w:cstheme="minorHAnsi"/>
          <w:sz w:val="17"/>
          <w:szCs w:val="17"/>
        </w:rPr>
        <w:t xml:space="preserve">ife insurance portfolios are in general undertaking specific. Insurance Europe is therefore surprised that EIOPA has </w:t>
      </w:r>
      <w:r w:rsidR="009005D5" w:rsidRPr="008838CC">
        <w:rPr>
          <w:rFonts w:ascii="Verdana" w:hAnsi="Verdana" w:cstheme="minorHAnsi"/>
          <w:sz w:val="17"/>
          <w:szCs w:val="17"/>
        </w:rPr>
        <w:t xml:space="preserve">remained silent </w:t>
      </w:r>
      <w:r w:rsidR="00681F47" w:rsidRPr="008838CC">
        <w:rPr>
          <w:rFonts w:ascii="Verdana" w:hAnsi="Verdana" w:cstheme="minorHAnsi"/>
          <w:sz w:val="17"/>
          <w:szCs w:val="17"/>
        </w:rPr>
        <w:t xml:space="preserve">in its first set of advice </w:t>
      </w:r>
      <w:r w:rsidR="009005D5" w:rsidRPr="008838CC">
        <w:rPr>
          <w:rFonts w:ascii="Verdana" w:hAnsi="Verdana" w:cstheme="minorHAnsi"/>
          <w:sz w:val="17"/>
          <w:szCs w:val="17"/>
        </w:rPr>
        <w:t xml:space="preserve">in its recommendation </w:t>
      </w:r>
      <w:r w:rsidR="00700D1C" w:rsidRPr="008838CC">
        <w:rPr>
          <w:rFonts w:ascii="Verdana" w:hAnsi="Verdana" w:cstheme="minorHAnsi"/>
          <w:sz w:val="17"/>
          <w:szCs w:val="17"/>
        </w:rPr>
        <w:t>about</w:t>
      </w:r>
      <w:r w:rsidR="009005D5" w:rsidRPr="008838CC">
        <w:rPr>
          <w:rFonts w:ascii="Verdana" w:hAnsi="Verdana" w:cstheme="minorHAnsi"/>
          <w:sz w:val="17"/>
          <w:szCs w:val="17"/>
        </w:rPr>
        <w:t xml:space="preserve"> </w:t>
      </w:r>
      <w:r w:rsidR="000867A5" w:rsidRPr="008838CC">
        <w:rPr>
          <w:rFonts w:ascii="Verdana" w:hAnsi="Verdana" w:cstheme="minorHAnsi"/>
          <w:sz w:val="17"/>
          <w:szCs w:val="17"/>
        </w:rPr>
        <w:t>the use of USPs for longevity and mortality</w:t>
      </w:r>
      <w:r w:rsidRPr="008838CC">
        <w:rPr>
          <w:rFonts w:ascii="Verdana" w:hAnsi="Verdana" w:cstheme="minorHAnsi"/>
          <w:sz w:val="17"/>
          <w:szCs w:val="17"/>
        </w:rPr>
        <w:t xml:space="preserve"> risks</w:t>
      </w:r>
      <w:r w:rsidR="000867A5" w:rsidRPr="008838CC">
        <w:rPr>
          <w:rFonts w:ascii="Verdana" w:hAnsi="Verdana" w:cstheme="minorHAnsi"/>
          <w:sz w:val="17"/>
          <w:szCs w:val="17"/>
        </w:rPr>
        <w:t xml:space="preserve">. In Insurance Europe’s opinion, EIOPA should use the time allotted to the EC advice to work on issues that are related to this advice. Therefore, Insurance Europe strongly believes that EIOPA should prioritise the work on USPs versus </w:t>
      </w:r>
      <w:r w:rsidR="006316D0" w:rsidRPr="008838CC">
        <w:rPr>
          <w:rFonts w:ascii="Verdana" w:hAnsi="Verdana" w:cstheme="minorHAnsi"/>
          <w:sz w:val="17"/>
          <w:szCs w:val="17"/>
        </w:rPr>
        <w:t xml:space="preserve">other work not requested by the EC advice such as </w:t>
      </w:r>
      <w:r w:rsidR="000867A5" w:rsidRPr="008838CC">
        <w:rPr>
          <w:rFonts w:ascii="Verdana" w:hAnsi="Verdana" w:cstheme="minorHAnsi"/>
          <w:sz w:val="17"/>
          <w:szCs w:val="17"/>
        </w:rPr>
        <w:t>the Interest rate risk.</w:t>
      </w:r>
    </w:p>
    <w:p w14:paraId="169DB20C" w14:textId="77777777" w:rsidR="000867A5" w:rsidRPr="008838CC" w:rsidRDefault="000867A5" w:rsidP="002F0ECA">
      <w:pPr>
        <w:spacing w:line="276" w:lineRule="auto"/>
        <w:ind w:right="72"/>
        <w:rPr>
          <w:rFonts w:ascii="Verdana" w:hAnsi="Verdana"/>
          <w:b/>
          <w:color w:val="000000"/>
          <w:sz w:val="17"/>
          <w:szCs w:val="17"/>
          <w:u w:val="single"/>
          <w:lang w:eastAsia="fr-FR"/>
        </w:rPr>
      </w:pPr>
    </w:p>
    <w:p w14:paraId="04F8EDEF" w14:textId="77777777" w:rsidR="002F0ECA" w:rsidRPr="008838CC" w:rsidRDefault="002F0ECA" w:rsidP="00644F0A">
      <w:pPr>
        <w:spacing w:line="276" w:lineRule="auto"/>
        <w:ind w:right="72"/>
        <w:rPr>
          <w:rFonts w:ascii="Verdana" w:hAnsi="Verdana"/>
          <w:b/>
          <w:color w:val="000000"/>
          <w:sz w:val="17"/>
          <w:szCs w:val="17"/>
          <w:u w:val="single"/>
          <w:lang w:eastAsia="fr-FR"/>
        </w:rPr>
      </w:pPr>
    </w:p>
    <w:p w14:paraId="34F40274" w14:textId="77777777"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3.2</w:t>
      </w:r>
    </w:p>
    <w:p w14:paraId="100EE2CD" w14:textId="62801C18" w:rsidR="00644F0A" w:rsidRPr="008838CC" w:rsidRDefault="00644F0A" w:rsidP="00644F0A">
      <w:pPr>
        <w:spacing w:line="276" w:lineRule="auto"/>
        <w:ind w:right="72"/>
        <w:rPr>
          <w:rFonts w:ascii="Verdana" w:hAnsi="Verdana" w:cstheme="minorHAnsi"/>
          <w:sz w:val="17"/>
          <w:szCs w:val="17"/>
        </w:rPr>
      </w:pPr>
      <w:r w:rsidRPr="008838CC">
        <w:rPr>
          <w:rFonts w:ascii="Verdana" w:hAnsi="Verdana"/>
          <w:b/>
          <w:color w:val="000000"/>
          <w:sz w:val="17"/>
          <w:szCs w:val="17"/>
          <w:u w:val="single"/>
          <w:lang w:eastAsia="fr-FR"/>
        </w:rPr>
        <w:t>3.3</w:t>
      </w:r>
      <w:r w:rsidR="00102289" w:rsidRPr="008838CC">
        <w:rPr>
          <w:rFonts w:ascii="Verdana" w:hAnsi="Verdana"/>
          <w:b/>
          <w:color w:val="000000"/>
          <w:sz w:val="17"/>
          <w:szCs w:val="17"/>
          <w:u w:val="single"/>
          <w:lang w:eastAsia="fr-FR"/>
        </w:rPr>
        <w:t>.</w:t>
      </w:r>
    </w:p>
    <w:p w14:paraId="261F90F7" w14:textId="77777777"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3.4.1</w:t>
      </w:r>
    </w:p>
    <w:p w14:paraId="14F517E9" w14:textId="35AD8C9F" w:rsidR="003D6DB4"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3.4.2</w:t>
      </w:r>
      <w:r w:rsidR="003D6DB4" w:rsidRPr="008838CC">
        <w:rPr>
          <w:rFonts w:ascii="Verdana" w:hAnsi="Verdana"/>
          <w:b/>
          <w:color w:val="000000"/>
          <w:sz w:val="17"/>
          <w:szCs w:val="17"/>
          <w:u w:val="single"/>
          <w:lang w:eastAsia="fr-FR"/>
        </w:rPr>
        <w:t xml:space="preserve">. </w:t>
      </w:r>
    </w:p>
    <w:p w14:paraId="0C34ED99" w14:textId="77777777"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3.4.3</w:t>
      </w:r>
    </w:p>
    <w:p w14:paraId="658BBF27" w14:textId="77777777" w:rsidR="00A441FC" w:rsidRPr="008838CC" w:rsidRDefault="00644F0A" w:rsidP="00A441FC">
      <w:pPr>
        <w:pStyle w:val="Nadpis1"/>
        <w:rPr>
          <w:sz w:val="17"/>
          <w:szCs w:val="17"/>
          <w:lang w:eastAsia="en-GB"/>
        </w:rPr>
      </w:pPr>
      <w:r w:rsidRPr="008838CC">
        <w:rPr>
          <w:sz w:val="17"/>
          <w:szCs w:val="17"/>
          <w:lang w:eastAsia="fr-FR"/>
        </w:rPr>
        <w:br w:type="page"/>
      </w:r>
      <w:bookmarkStart w:id="12" w:name="_Toc497908643"/>
      <w:r w:rsidR="00A441FC" w:rsidRPr="008838CC">
        <w:rPr>
          <w:sz w:val="17"/>
          <w:szCs w:val="17"/>
          <w:lang w:eastAsia="fr-FR"/>
        </w:rPr>
        <w:t xml:space="preserve">4. </w:t>
      </w:r>
      <w:r w:rsidR="0018577F" w:rsidRPr="008838CC">
        <w:rPr>
          <w:sz w:val="17"/>
          <w:szCs w:val="17"/>
          <w:lang w:eastAsia="fr-FR"/>
        </w:rPr>
        <w:t>Health catastrophe risk</w:t>
      </w:r>
      <w:bookmarkEnd w:id="12"/>
    </w:p>
    <w:p w14:paraId="69FC0C5B" w14:textId="345AF9B5" w:rsidR="00015414" w:rsidRPr="008838CC" w:rsidRDefault="00644F0A" w:rsidP="00015414">
      <w:pPr>
        <w:spacing w:line="276" w:lineRule="auto"/>
        <w:ind w:right="72"/>
        <w:jc w:val="both"/>
        <w:rPr>
          <w:rFonts w:ascii="Verdana" w:hAnsi="Verdana"/>
          <w:b/>
          <w:color w:val="000000"/>
          <w:sz w:val="17"/>
          <w:szCs w:val="17"/>
          <w:u w:val="single"/>
          <w:lang w:eastAsia="fr-FR"/>
        </w:rPr>
      </w:pPr>
      <w:r w:rsidRPr="008838CC">
        <w:rPr>
          <w:rFonts w:ascii="Verdana" w:hAnsi="Verdana"/>
          <w:b/>
          <w:color w:val="000000"/>
          <w:sz w:val="17"/>
          <w:szCs w:val="17"/>
          <w:u w:val="single"/>
          <w:lang w:eastAsia="fr-FR"/>
        </w:rPr>
        <w:t>4.1</w:t>
      </w:r>
      <w:r w:rsidR="00D04C52" w:rsidRPr="008838CC">
        <w:rPr>
          <w:rFonts w:ascii="Verdana" w:hAnsi="Verdana"/>
          <w:b/>
          <w:color w:val="000000"/>
          <w:sz w:val="17"/>
          <w:szCs w:val="17"/>
          <w:u w:val="single"/>
          <w:lang w:eastAsia="fr-FR"/>
        </w:rPr>
        <w:t xml:space="preserve"> </w:t>
      </w:r>
      <w:r w:rsidR="005C00CD" w:rsidRPr="008838CC">
        <w:rPr>
          <w:rFonts w:ascii="Verdana" w:hAnsi="Verdana"/>
          <w:b/>
          <w:color w:val="000000"/>
          <w:sz w:val="17"/>
          <w:szCs w:val="17"/>
          <w:u w:val="single"/>
          <w:lang w:eastAsia="fr-FR"/>
        </w:rPr>
        <w:t>Call for advice</w:t>
      </w:r>
    </w:p>
    <w:p w14:paraId="2DBE359E" w14:textId="15C2399F" w:rsidR="00DB0B03" w:rsidRPr="008838CC" w:rsidRDefault="00DB0B03" w:rsidP="00DB0B03">
      <w:pPr>
        <w:spacing w:line="276" w:lineRule="auto"/>
        <w:jc w:val="both"/>
        <w:rPr>
          <w:rFonts w:ascii="Verdana" w:hAnsi="Verdana"/>
          <w:color w:val="000000"/>
          <w:sz w:val="17"/>
          <w:szCs w:val="17"/>
        </w:rPr>
      </w:pPr>
      <w:r w:rsidRPr="008838CC">
        <w:rPr>
          <w:rFonts w:ascii="Verdana" w:hAnsi="Verdana"/>
          <w:color w:val="000000"/>
          <w:sz w:val="17"/>
          <w:szCs w:val="17"/>
        </w:rPr>
        <w:t>Insurance Europe welcomes the Commission’s request for EIOPA to propose methods and criteria for simplfications for the Health Catastrophe risk submodule and, where appropriate</w:t>
      </w:r>
      <w:r w:rsidR="00F777B8" w:rsidRPr="008838CC">
        <w:rPr>
          <w:rFonts w:ascii="Verdana" w:hAnsi="Verdana"/>
          <w:color w:val="000000"/>
          <w:sz w:val="17"/>
          <w:szCs w:val="17"/>
        </w:rPr>
        <w:t>,</w:t>
      </w:r>
      <w:r w:rsidRPr="008838CC">
        <w:rPr>
          <w:rFonts w:ascii="Verdana" w:hAnsi="Verdana"/>
          <w:color w:val="000000"/>
          <w:sz w:val="17"/>
          <w:szCs w:val="17"/>
        </w:rPr>
        <w:t xml:space="preserve"> to develop a simpler structure for this this submodule. It also appreciates the work done by the CAT WS to investigate and develop simplifications for the Health Catastrophe risk submodule.</w:t>
      </w:r>
    </w:p>
    <w:p w14:paraId="3266C498" w14:textId="77777777" w:rsidR="00015414" w:rsidRPr="008838CC" w:rsidRDefault="00015414" w:rsidP="00015414">
      <w:pPr>
        <w:spacing w:line="276" w:lineRule="auto"/>
        <w:ind w:right="72"/>
        <w:jc w:val="both"/>
        <w:rPr>
          <w:rFonts w:ascii="Verdana" w:hAnsi="Verdana"/>
          <w:color w:val="000000"/>
          <w:sz w:val="17"/>
          <w:szCs w:val="17"/>
          <w:lang w:eastAsia="fr-FR"/>
        </w:rPr>
      </w:pPr>
    </w:p>
    <w:p w14:paraId="2B90B6B7" w14:textId="09245EBE" w:rsidR="00015414" w:rsidRPr="008838CC" w:rsidRDefault="00015414" w:rsidP="00015414">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 xml:space="preserve">Insurance Europe welcomes the proposal to remove the “Disability that lasts 10 years caused by an accident” scenario from the list of events which </w:t>
      </w:r>
      <w:r w:rsidR="005C00CD" w:rsidRPr="008838CC">
        <w:rPr>
          <w:rFonts w:ascii="Verdana" w:hAnsi="Verdana"/>
          <w:color w:val="000000"/>
          <w:sz w:val="17"/>
          <w:szCs w:val="17"/>
          <w:lang w:eastAsia="fr-FR"/>
        </w:rPr>
        <w:t>are parameters in</w:t>
      </w:r>
      <w:r w:rsidRPr="008838CC">
        <w:rPr>
          <w:rFonts w:ascii="Verdana" w:hAnsi="Verdana"/>
          <w:color w:val="000000"/>
          <w:sz w:val="17"/>
          <w:szCs w:val="17"/>
          <w:lang w:eastAsia="fr-FR"/>
        </w:rPr>
        <w:t xml:space="preserve"> the Mass Accident risk and Accident Concentration risk submodules. This was an unrealisitic parameter within the standard formula. </w:t>
      </w:r>
    </w:p>
    <w:p w14:paraId="69BE467F" w14:textId="77777777" w:rsidR="00015414" w:rsidRPr="008838CC" w:rsidRDefault="00015414" w:rsidP="00015414">
      <w:pPr>
        <w:spacing w:line="276" w:lineRule="auto"/>
        <w:ind w:right="72"/>
        <w:jc w:val="both"/>
        <w:rPr>
          <w:rFonts w:ascii="Verdana" w:hAnsi="Verdana"/>
          <w:color w:val="000000"/>
          <w:sz w:val="17"/>
          <w:szCs w:val="17"/>
          <w:lang w:eastAsia="fr-FR"/>
        </w:rPr>
      </w:pPr>
    </w:p>
    <w:p w14:paraId="0710C7E7" w14:textId="77777777" w:rsidR="00015414" w:rsidRPr="008838CC" w:rsidRDefault="00015414" w:rsidP="00015414">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Further comment on the advice is provided in the following sections.</w:t>
      </w:r>
    </w:p>
    <w:p w14:paraId="4ED74790" w14:textId="77777777" w:rsidR="000E08E4" w:rsidRPr="008838CC" w:rsidRDefault="000E08E4" w:rsidP="00644F0A">
      <w:pPr>
        <w:spacing w:line="276" w:lineRule="auto"/>
        <w:ind w:right="72"/>
        <w:rPr>
          <w:rFonts w:ascii="Verdana" w:hAnsi="Verdana"/>
          <w:color w:val="000000"/>
          <w:sz w:val="17"/>
          <w:szCs w:val="17"/>
          <w:lang w:eastAsia="fr-FR"/>
        </w:rPr>
      </w:pPr>
    </w:p>
    <w:p w14:paraId="1FCBD638" w14:textId="1A65FC88"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4.2</w:t>
      </w:r>
      <w:r w:rsidR="005C00CD" w:rsidRPr="008838CC">
        <w:rPr>
          <w:rFonts w:ascii="Verdana" w:hAnsi="Verdana"/>
          <w:b/>
          <w:color w:val="000000"/>
          <w:sz w:val="17"/>
          <w:szCs w:val="17"/>
          <w:u w:val="single"/>
          <w:lang w:eastAsia="fr-FR"/>
        </w:rPr>
        <w:t xml:space="preserve"> Composition of CAT WS</w:t>
      </w:r>
    </w:p>
    <w:p w14:paraId="69E5E3AE" w14:textId="0F234501"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4.3</w:t>
      </w:r>
      <w:r w:rsidR="005C00CD" w:rsidRPr="008838CC">
        <w:rPr>
          <w:rFonts w:ascii="Verdana" w:hAnsi="Verdana"/>
          <w:b/>
          <w:color w:val="000000"/>
          <w:sz w:val="17"/>
          <w:szCs w:val="17"/>
          <w:u w:val="single"/>
          <w:lang w:eastAsia="fr-FR"/>
        </w:rPr>
        <w:t xml:space="preserve"> Legal basis</w:t>
      </w:r>
    </w:p>
    <w:p w14:paraId="335C7309" w14:textId="682DC44F"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4.4</w:t>
      </w:r>
      <w:r w:rsidR="005C00CD" w:rsidRPr="008838CC">
        <w:rPr>
          <w:rFonts w:ascii="Verdana" w:hAnsi="Verdana"/>
          <w:b/>
          <w:color w:val="000000"/>
          <w:sz w:val="17"/>
          <w:szCs w:val="17"/>
          <w:u w:val="single"/>
          <w:lang w:eastAsia="fr-FR"/>
        </w:rPr>
        <w:t xml:space="preserve"> Feedback statement on the main comments received to the discussion paper</w:t>
      </w:r>
    </w:p>
    <w:p w14:paraId="7CB5FE87" w14:textId="73402714"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4.5.1</w:t>
      </w:r>
      <w:r w:rsidR="005C00CD" w:rsidRPr="008838CC">
        <w:rPr>
          <w:rFonts w:ascii="Verdana" w:hAnsi="Verdana"/>
          <w:b/>
          <w:color w:val="000000"/>
          <w:sz w:val="17"/>
          <w:szCs w:val="17"/>
          <w:u w:val="single"/>
          <w:lang w:eastAsia="fr-FR"/>
        </w:rPr>
        <w:t xml:space="preserve"> Previous advice</w:t>
      </w:r>
    </w:p>
    <w:p w14:paraId="6CF26E36" w14:textId="777647EB"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4.5.2</w:t>
      </w:r>
      <w:r w:rsidR="005C00CD" w:rsidRPr="008838CC">
        <w:rPr>
          <w:rFonts w:ascii="Verdana" w:hAnsi="Verdana"/>
          <w:b/>
          <w:color w:val="000000"/>
          <w:sz w:val="17"/>
          <w:szCs w:val="17"/>
          <w:u w:val="single"/>
          <w:lang w:eastAsia="fr-FR"/>
        </w:rPr>
        <w:t xml:space="preserve"> Analysis</w:t>
      </w:r>
    </w:p>
    <w:p w14:paraId="4ED6FCF0" w14:textId="77777777" w:rsidR="00015414" w:rsidRPr="008838CC" w:rsidRDefault="00015414" w:rsidP="00015414">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 xml:space="preserve">Mass accident risk </w:t>
      </w:r>
    </w:p>
    <w:p w14:paraId="5F1A7688" w14:textId="38E64653" w:rsidR="00015414" w:rsidRPr="008838CC" w:rsidRDefault="00015414" w:rsidP="005C7A2E">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Insurance Europe supports the removal of the 10 year scenario and the recalibration of the remaining scenarios (1 year temporary disability and permanent disability).</w:t>
      </w:r>
      <w:r w:rsidR="005C00CD" w:rsidRPr="008838CC">
        <w:rPr>
          <w:rFonts w:ascii="Verdana" w:hAnsi="Verdana"/>
          <w:color w:val="000000"/>
          <w:sz w:val="17"/>
          <w:szCs w:val="17"/>
          <w:lang w:eastAsia="fr-FR"/>
        </w:rPr>
        <w:t xml:space="preserve"> </w:t>
      </w:r>
      <w:r w:rsidRPr="008838CC">
        <w:rPr>
          <w:rFonts w:ascii="Verdana" w:hAnsi="Verdana"/>
          <w:color w:val="000000"/>
          <w:sz w:val="17"/>
          <w:szCs w:val="17"/>
          <w:lang w:eastAsia="fr-FR"/>
        </w:rPr>
        <w:t>This will reduce complexity of the calculation and non-uniformity of assumptions across the industry without the loss of risk sensitivity.</w:t>
      </w:r>
    </w:p>
    <w:p w14:paraId="15421E45" w14:textId="77777777" w:rsidR="00015414" w:rsidRPr="008838CC" w:rsidRDefault="00015414" w:rsidP="00015414">
      <w:pPr>
        <w:spacing w:line="276" w:lineRule="auto"/>
        <w:ind w:right="72"/>
        <w:rPr>
          <w:rFonts w:ascii="Verdana" w:hAnsi="Verdana"/>
          <w:color w:val="000000"/>
          <w:sz w:val="17"/>
          <w:szCs w:val="17"/>
          <w:lang w:eastAsia="fr-FR"/>
        </w:rPr>
      </w:pPr>
    </w:p>
    <w:p w14:paraId="248FEEE5" w14:textId="77777777" w:rsidR="00015414" w:rsidRPr="008838CC" w:rsidRDefault="00015414" w:rsidP="00015414">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Accident concentration risk</w:t>
      </w:r>
    </w:p>
    <w:p w14:paraId="40CC9903" w14:textId="77777777" w:rsidR="00015414" w:rsidRPr="008838CC" w:rsidRDefault="00015414" w:rsidP="00015414">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Insurance Europe acknowledges the counterexamples put forward by EIOPA in response to the two proposed simplifications for the Accident concentration risk submodule. However, it highlights the continued difficulty for undertakings to identify their largest concentration risk, as defined in Article 162.</w:t>
      </w:r>
    </w:p>
    <w:p w14:paraId="0416EF6C" w14:textId="77777777" w:rsidR="00015414" w:rsidRPr="008838CC" w:rsidRDefault="00015414" w:rsidP="00015414">
      <w:pPr>
        <w:spacing w:line="276" w:lineRule="auto"/>
        <w:ind w:right="72"/>
        <w:jc w:val="both"/>
        <w:rPr>
          <w:rFonts w:ascii="Verdana" w:hAnsi="Verdana"/>
          <w:color w:val="000000"/>
          <w:sz w:val="17"/>
          <w:szCs w:val="17"/>
          <w:lang w:eastAsia="fr-FR"/>
        </w:rPr>
      </w:pPr>
    </w:p>
    <w:p w14:paraId="7EEBA1DA" w14:textId="2C8DCFE6" w:rsidR="00015414" w:rsidRPr="008838CC" w:rsidRDefault="00015414" w:rsidP="00015414">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Insurance Europe believes that both simplifications discussed will be an appropriate simplification in many cases. Undertakings should, therefore, be able to use these approaches when determining their largest concentration risk, subject to appropriate assessment and documentation. Insurance Europe believes that NSAs should recognise the challenges inherent in this submodule and should provide sufficient flexibility for undertakings to make an appropriate judg</w:t>
      </w:r>
      <w:r w:rsidR="005C00CD" w:rsidRPr="008838CC">
        <w:rPr>
          <w:rFonts w:ascii="Verdana" w:hAnsi="Verdana"/>
          <w:color w:val="000000"/>
          <w:sz w:val="17"/>
          <w:szCs w:val="17"/>
          <w:lang w:eastAsia="fr-FR"/>
        </w:rPr>
        <w:t>e</w:t>
      </w:r>
      <w:r w:rsidRPr="008838CC">
        <w:rPr>
          <w:rFonts w:ascii="Verdana" w:hAnsi="Verdana"/>
          <w:color w:val="000000"/>
          <w:sz w:val="17"/>
          <w:szCs w:val="17"/>
          <w:lang w:eastAsia="fr-FR"/>
        </w:rPr>
        <w:t xml:space="preserve">ment </w:t>
      </w:r>
      <w:r w:rsidR="005C00CD" w:rsidRPr="008838CC">
        <w:rPr>
          <w:rFonts w:ascii="Verdana" w:hAnsi="Verdana"/>
          <w:color w:val="000000"/>
          <w:sz w:val="17"/>
          <w:szCs w:val="17"/>
          <w:lang w:eastAsia="fr-FR"/>
        </w:rPr>
        <w:t>of</w:t>
      </w:r>
      <w:r w:rsidRPr="008838CC">
        <w:rPr>
          <w:rFonts w:ascii="Verdana" w:hAnsi="Verdana"/>
          <w:color w:val="000000"/>
          <w:sz w:val="17"/>
          <w:szCs w:val="17"/>
          <w:lang w:eastAsia="fr-FR"/>
        </w:rPr>
        <w:t xml:space="preserve"> what </w:t>
      </w:r>
      <w:r w:rsidR="005C00CD" w:rsidRPr="008838CC">
        <w:rPr>
          <w:rFonts w:ascii="Verdana" w:hAnsi="Verdana"/>
          <w:color w:val="000000"/>
          <w:sz w:val="17"/>
          <w:szCs w:val="17"/>
          <w:lang w:eastAsia="fr-FR"/>
        </w:rPr>
        <w:t>a suitable proxy</w:t>
      </w:r>
      <w:r w:rsidRPr="008838CC">
        <w:rPr>
          <w:rFonts w:ascii="Verdana" w:hAnsi="Verdana"/>
          <w:color w:val="000000"/>
          <w:sz w:val="17"/>
          <w:szCs w:val="17"/>
          <w:lang w:eastAsia="fr-FR"/>
        </w:rPr>
        <w:t xml:space="preserve"> exposure is.</w:t>
      </w:r>
    </w:p>
    <w:p w14:paraId="30AD1B10" w14:textId="77777777" w:rsidR="00015414" w:rsidRPr="008838CC" w:rsidRDefault="00015414" w:rsidP="00015414">
      <w:pPr>
        <w:spacing w:line="276" w:lineRule="auto"/>
        <w:ind w:right="72"/>
        <w:jc w:val="both"/>
        <w:rPr>
          <w:rFonts w:ascii="Verdana" w:hAnsi="Verdana"/>
          <w:color w:val="000000"/>
          <w:sz w:val="17"/>
          <w:szCs w:val="17"/>
          <w:lang w:eastAsia="fr-FR"/>
        </w:rPr>
      </w:pPr>
    </w:p>
    <w:p w14:paraId="7BF3F9D1" w14:textId="77777777" w:rsidR="00015414" w:rsidRPr="008838CC" w:rsidRDefault="00015414" w:rsidP="00015414">
      <w:pPr>
        <w:spacing w:line="276" w:lineRule="auto"/>
        <w:ind w:right="72"/>
        <w:jc w:val="both"/>
        <w:rPr>
          <w:rFonts w:ascii="Verdana" w:hAnsi="Verdana"/>
          <w:b/>
          <w:color w:val="000000"/>
          <w:sz w:val="17"/>
          <w:szCs w:val="17"/>
          <w:u w:val="single"/>
          <w:lang w:eastAsia="fr-FR"/>
        </w:rPr>
      </w:pPr>
      <w:r w:rsidRPr="008838CC">
        <w:rPr>
          <w:rFonts w:ascii="Verdana" w:hAnsi="Verdana"/>
          <w:b/>
          <w:color w:val="000000"/>
          <w:sz w:val="17"/>
          <w:szCs w:val="17"/>
          <w:u w:val="single"/>
          <w:lang w:eastAsia="fr-FR"/>
        </w:rPr>
        <w:t>Pandemic risk</w:t>
      </w:r>
    </w:p>
    <w:p w14:paraId="59C3D24B" w14:textId="4201B8DA" w:rsidR="00015414" w:rsidRPr="008838CC" w:rsidRDefault="00015414" w:rsidP="00015414">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Insurance Europe recognises and agrees that a pan-European assessment of drivers of maximal unit claim costs is n</w:t>
      </w:r>
      <w:r w:rsidR="005C00CD" w:rsidRPr="008838CC">
        <w:rPr>
          <w:rFonts w:ascii="Verdana" w:hAnsi="Verdana"/>
          <w:color w:val="000000"/>
          <w:sz w:val="17"/>
          <w:szCs w:val="17"/>
          <w:lang w:eastAsia="fr-FR"/>
        </w:rPr>
        <w:t>either</w:t>
      </w:r>
      <w:r w:rsidRPr="008838CC">
        <w:rPr>
          <w:rFonts w:ascii="Verdana" w:hAnsi="Verdana"/>
          <w:color w:val="000000"/>
          <w:sz w:val="17"/>
          <w:szCs w:val="17"/>
          <w:lang w:eastAsia="fr-FR"/>
        </w:rPr>
        <w:t xml:space="preserve"> appropriate, nor risk sensitive. It welcomes the proposal for NSAs to provide this information at a national level on a non-obligatory basis. Insurance Europe expects the provision of this information to be especially useful for smaller and medium sized undertakings. However, undertakings who are able to make a tailored assessment of their claim costs should not be obliged to use any industry-wide averages.</w:t>
      </w:r>
    </w:p>
    <w:p w14:paraId="3B16EF6D" w14:textId="77777777" w:rsidR="00015414" w:rsidRPr="008838CC" w:rsidRDefault="00015414" w:rsidP="00644F0A">
      <w:pPr>
        <w:spacing w:line="276" w:lineRule="auto"/>
        <w:ind w:right="72"/>
        <w:rPr>
          <w:rFonts w:ascii="Verdana" w:hAnsi="Verdana"/>
          <w:b/>
          <w:color w:val="000000"/>
          <w:sz w:val="17"/>
          <w:szCs w:val="17"/>
          <w:u w:val="single"/>
          <w:lang w:eastAsia="fr-FR"/>
        </w:rPr>
      </w:pPr>
    </w:p>
    <w:p w14:paraId="2B7B007C" w14:textId="5ED01119"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4.5.3</w:t>
      </w:r>
      <w:r w:rsidR="005C00CD" w:rsidRPr="008838CC">
        <w:rPr>
          <w:rFonts w:ascii="Verdana" w:hAnsi="Verdana"/>
          <w:b/>
          <w:color w:val="000000"/>
          <w:sz w:val="17"/>
          <w:szCs w:val="17"/>
          <w:u w:val="single"/>
          <w:lang w:eastAsia="fr-FR"/>
        </w:rPr>
        <w:t xml:space="preserve"> Advice</w:t>
      </w:r>
    </w:p>
    <w:p w14:paraId="28CE5A0F" w14:textId="0B9D50AB" w:rsidR="00A441FC" w:rsidRPr="008838CC" w:rsidRDefault="00015414" w:rsidP="00A441FC">
      <w:pPr>
        <w:pStyle w:val="Nadpis1"/>
        <w:rPr>
          <w:sz w:val="17"/>
          <w:szCs w:val="17"/>
          <w:lang w:eastAsia="en-GB"/>
        </w:rPr>
      </w:pPr>
      <w:commentRangeStart w:id="13"/>
      <w:r w:rsidRPr="008838CC">
        <w:rPr>
          <w:b w:val="0"/>
          <w:sz w:val="17"/>
          <w:szCs w:val="17"/>
          <w:u w:val="none"/>
          <w:lang w:eastAsia="fr-FR"/>
        </w:rPr>
        <w:t>Insurance Europe welcome</w:t>
      </w:r>
      <w:r w:rsidR="008724B9" w:rsidRPr="008838CC">
        <w:rPr>
          <w:b w:val="0"/>
          <w:sz w:val="17"/>
          <w:szCs w:val="17"/>
          <w:u w:val="none"/>
          <w:lang w:eastAsia="fr-FR"/>
        </w:rPr>
        <w:t>s</w:t>
      </w:r>
      <w:r w:rsidRPr="008838CC">
        <w:rPr>
          <w:b w:val="0"/>
          <w:sz w:val="17"/>
          <w:szCs w:val="17"/>
          <w:u w:val="none"/>
          <w:lang w:eastAsia="fr-FR"/>
        </w:rPr>
        <w:t xml:space="preserve"> EIOPA’s advice with regard to the Mass Accident risk submodule.</w:t>
      </w:r>
      <w:commentRangeEnd w:id="13"/>
      <w:r w:rsidRPr="008838CC">
        <w:rPr>
          <w:rStyle w:val="Odkaznakomentr"/>
          <w:b w:val="0"/>
          <w:color w:val="auto"/>
          <w:sz w:val="17"/>
          <w:szCs w:val="17"/>
          <w:u w:val="none"/>
          <w:lang w:val="de-DE"/>
        </w:rPr>
        <w:commentReference w:id="13"/>
      </w:r>
      <w:r w:rsidR="00A441FC" w:rsidRPr="008838CC">
        <w:rPr>
          <w:sz w:val="17"/>
          <w:szCs w:val="17"/>
          <w:lang w:eastAsia="fr-FR"/>
        </w:rPr>
        <w:br w:type="page"/>
      </w:r>
      <w:bookmarkStart w:id="14" w:name="_Toc497908644"/>
      <w:r w:rsidR="00A441FC" w:rsidRPr="008838CC">
        <w:rPr>
          <w:sz w:val="17"/>
          <w:szCs w:val="17"/>
          <w:lang w:eastAsia="fr-FR"/>
        </w:rPr>
        <w:t xml:space="preserve">5. </w:t>
      </w:r>
      <w:r w:rsidR="0018577F" w:rsidRPr="008838CC">
        <w:rPr>
          <w:sz w:val="17"/>
          <w:szCs w:val="17"/>
          <w:lang w:eastAsia="fr-FR"/>
        </w:rPr>
        <w:t>Man-made catastrophe risk</w:t>
      </w:r>
      <w:bookmarkEnd w:id="14"/>
    </w:p>
    <w:p w14:paraId="0F61B018" w14:textId="0131432F"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5.1</w:t>
      </w:r>
      <w:r w:rsidR="005C00CD" w:rsidRPr="008838CC">
        <w:rPr>
          <w:rFonts w:ascii="Verdana" w:hAnsi="Verdana"/>
          <w:b/>
          <w:color w:val="000000"/>
          <w:sz w:val="17"/>
          <w:szCs w:val="17"/>
          <w:u w:val="single"/>
          <w:lang w:eastAsia="fr-FR"/>
        </w:rPr>
        <w:t xml:space="preserve"> Call for advice</w:t>
      </w:r>
    </w:p>
    <w:p w14:paraId="1FC908F1" w14:textId="22ED3730" w:rsidR="00DB0B03" w:rsidRPr="008838CC" w:rsidRDefault="00DB0B03" w:rsidP="00DB0B03">
      <w:pPr>
        <w:spacing w:line="276" w:lineRule="auto"/>
        <w:jc w:val="both"/>
        <w:rPr>
          <w:rFonts w:ascii="Verdana" w:hAnsi="Verdana"/>
          <w:color w:val="000000"/>
          <w:sz w:val="17"/>
          <w:szCs w:val="17"/>
        </w:rPr>
      </w:pPr>
      <w:r w:rsidRPr="008838CC">
        <w:rPr>
          <w:rFonts w:ascii="Verdana" w:hAnsi="Verdana"/>
          <w:color w:val="000000"/>
          <w:sz w:val="17"/>
          <w:szCs w:val="17"/>
        </w:rPr>
        <w:t>Insurance Europe welcomes the Commission’s request for EIOPA to propose methods and criteria for simplfications for the Man-made Catastrophe risk submodule and, where appropriate</w:t>
      </w:r>
      <w:r w:rsidR="00F777B8" w:rsidRPr="008838CC">
        <w:rPr>
          <w:rFonts w:ascii="Verdana" w:hAnsi="Verdana"/>
          <w:color w:val="000000"/>
          <w:sz w:val="17"/>
          <w:szCs w:val="17"/>
        </w:rPr>
        <w:t>,</w:t>
      </w:r>
      <w:r w:rsidRPr="008838CC">
        <w:rPr>
          <w:rFonts w:ascii="Verdana" w:hAnsi="Verdana"/>
          <w:color w:val="000000"/>
          <w:sz w:val="17"/>
          <w:szCs w:val="17"/>
        </w:rPr>
        <w:t xml:space="preserve"> to develop a simpler structure for this this submodule. It also appreciates the work done by the CAT WS to investigate and develop simplifications for the Man-made Catastrophe risk submodule.</w:t>
      </w:r>
    </w:p>
    <w:p w14:paraId="73E83384" w14:textId="77777777" w:rsidR="00015414" w:rsidRPr="008838CC" w:rsidRDefault="00015414" w:rsidP="00542E09">
      <w:pPr>
        <w:spacing w:line="276" w:lineRule="auto"/>
        <w:ind w:right="72"/>
        <w:jc w:val="both"/>
        <w:rPr>
          <w:rFonts w:ascii="Verdana" w:hAnsi="Verdana"/>
          <w:color w:val="000000"/>
          <w:sz w:val="17"/>
          <w:szCs w:val="17"/>
          <w:lang w:eastAsia="fr-FR"/>
        </w:rPr>
      </w:pPr>
    </w:p>
    <w:p w14:paraId="2E0D518E" w14:textId="178AF103" w:rsidR="00015414" w:rsidRPr="008838CC" w:rsidRDefault="00015414" w:rsidP="00542E09">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 xml:space="preserve">Insurance Europe welcomes EIOPA’s advice </w:t>
      </w:r>
      <w:r w:rsidR="00A262E4" w:rsidRPr="008838CC">
        <w:rPr>
          <w:rFonts w:ascii="Verdana" w:hAnsi="Verdana"/>
          <w:color w:val="000000"/>
          <w:sz w:val="17"/>
          <w:szCs w:val="17"/>
          <w:lang w:eastAsia="fr-FR"/>
        </w:rPr>
        <w:t>in a number of areas. It</w:t>
      </w:r>
      <w:r w:rsidRPr="008838CC">
        <w:rPr>
          <w:rFonts w:ascii="Verdana" w:hAnsi="Verdana"/>
          <w:color w:val="000000"/>
          <w:sz w:val="17"/>
          <w:szCs w:val="17"/>
          <w:lang w:eastAsia="fr-FR"/>
        </w:rPr>
        <w:t xml:space="preserve"> believes </w:t>
      </w:r>
      <w:r w:rsidR="00A262E4" w:rsidRPr="008838CC">
        <w:rPr>
          <w:rFonts w:ascii="Verdana" w:hAnsi="Verdana"/>
          <w:color w:val="000000"/>
          <w:sz w:val="17"/>
          <w:szCs w:val="17"/>
          <w:lang w:eastAsia="fr-FR"/>
        </w:rPr>
        <w:t>the proposals</w:t>
      </w:r>
      <w:r w:rsidRPr="008838CC">
        <w:rPr>
          <w:rFonts w:ascii="Verdana" w:hAnsi="Verdana"/>
          <w:color w:val="000000"/>
          <w:sz w:val="17"/>
          <w:szCs w:val="17"/>
          <w:lang w:eastAsia="fr-FR"/>
        </w:rPr>
        <w:t xml:space="preserve"> will alleviate calculation burden </w:t>
      </w:r>
      <w:r w:rsidR="00A262E4" w:rsidRPr="008838CC">
        <w:rPr>
          <w:rFonts w:ascii="Verdana" w:hAnsi="Verdana"/>
          <w:color w:val="000000"/>
          <w:sz w:val="17"/>
          <w:szCs w:val="17"/>
          <w:lang w:eastAsia="fr-FR"/>
        </w:rPr>
        <w:t>arising from some submodules</w:t>
      </w:r>
      <w:r w:rsidRPr="008838CC">
        <w:rPr>
          <w:rFonts w:ascii="Verdana" w:hAnsi="Verdana"/>
          <w:color w:val="000000"/>
          <w:sz w:val="17"/>
          <w:szCs w:val="17"/>
          <w:lang w:eastAsia="fr-FR"/>
        </w:rPr>
        <w:t xml:space="preserve">, eg </w:t>
      </w:r>
      <w:r w:rsidR="007655CD" w:rsidRPr="008838CC">
        <w:rPr>
          <w:rFonts w:ascii="Verdana" w:hAnsi="Verdana"/>
          <w:color w:val="000000"/>
          <w:sz w:val="17"/>
          <w:szCs w:val="17"/>
          <w:lang w:eastAsia="fr-FR"/>
        </w:rPr>
        <w:t>F</w:t>
      </w:r>
      <w:r w:rsidRPr="008838CC">
        <w:rPr>
          <w:rFonts w:ascii="Verdana" w:hAnsi="Verdana"/>
          <w:color w:val="000000"/>
          <w:sz w:val="17"/>
          <w:szCs w:val="17"/>
          <w:lang w:eastAsia="fr-FR"/>
        </w:rPr>
        <w:t>ire risk  while imp</w:t>
      </w:r>
      <w:r w:rsidR="00E82457" w:rsidRPr="008838CC">
        <w:rPr>
          <w:rFonts w:ascii="Verdana" w:hAnsi="Verdana"/>
          <w:color w:val="000000"/>
          <w:sz w:val="17"/>
          <w:szCs w:val="17"/>
          <w:lang w:eastAsia="fr-FR"/>
        </w:rPr>
        <w:t>ro</w:t>
      </w:r>
      <w:r w:rsidRPr="008838CC">
        <w:rPr>
          <w:rFonts w:ascii="Verdana" w:hAnsi="Verdana"/>
          <w:color w:val="000000"/>
          <w:sz w:val="17"/>
          <w:szCs w:val="17"/>
          <w:lang w:eastAsia="fr-FR"/>
        </w:rPr>
        <w:t>ving risk sensitivity in other areas eg Marine risk submodule.</w:t>
      </w:r>
    </w:p>
    <w:p w14:paraId="4FFE8D86" w14:textId="77777777" w:rsidR="00015414" w:rsidRPr="008838CC" w:rsidRDefault="00015414" w:rsidP="00542E09">
      <w:pPr>
        <w:spacing w:line="276" w:lineRule="auto"/>
        <w:ind w:right="72"/>
        <w:jc w:val="both"/>
        <w:rPr>
          <w:rFonts w:ascii="Verdana" w:hAnsi="Verdana"/>
          <w:color w:val="000000"/>
          <w:sz w:val="17"/>
          <w:szCs w:val="17"/>
          <w:lang w:eastAsia="fr-FR"/>
        </w:rPr>
      </w:pPr>
    </w:p>
    <w:p w14:paraId="73883ED2" w14:textId="77777777" w:rsidR="00015414" w:rsidRPr="008838CC" w:rsidRDefault="00015414" w:rsidP="00542E09">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 xml:space="preserve">However, Insurance Europe would like to highlight there will be limitations to any standard formula and that a balance must be struck between risk sensitivity and complexity. A standard formula will not, and should not strive to, be able to account for every conceivable scenario and risk. </w:t>
      </w:r>
    </w:p>
    <w:p w14:paraId="46B5798E" w14:textId="7096F0A6" w:rsidR="00015414" w:rsidRPr="008838CC" w:rsidRDefault="00015414" w:rsidP="00542E09">
      <w:pPr>
        <w:spacing w:line="276" w:lineRule="auto"/>
        <w:ind w:right="72"/>
        <w:jc w:val="both"/>
        <w:rPr>
          <w:rFonts w:ascii="Verdana" w:hAnsi="Verdana"/>
          <w:b/>
          <w:color w:val="000000"/>
          <w:sz w:val="17"/>
          <w:szCs w:val="17"/>
          <w:u w:val="single"/>
          <w:lang w:eastAsia="fr-FR"/>
        </w:rPr>
      </w:pPr>
    </w:p>
    <w:p w14:paraId="23D09837" w14:textId="77777777" w:rsidR="00015414" w:rsidRPr="008838CC" w:rsidRDefault="00015414" w:rsidP="00542E09">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Further comment on the advice is provided in the following sections.</w:t>
      </w:r>
    </w:p>
    <w:p w14:paraId="457D99E2" w14:textId="77777777" w:rsidR="00015414" w:rsidRPr="008838CC" w:rsidRDefault="00015414" w:rsidP="00644F0A">
      <w:pPr>
        <w:spacing w:line="276" w:lineRule="auto"/>
        <w:ind w:right="72"/>
        <w:rPr>
          <w:rFonts w:ascii="Verdana" w:hAnsi="Verdana"/>
          <w:b/>
          <w:color w:val="000000"/>
          <w:sz w:val="17"/>
          <w:szCs w:val="17"/>
          <w:u w:val="single"/>
          <w:lang w:eastAsia="fr-FR"/>
        </w:rPr>
      </w:pPr>
    </w:p>
    <w:p w14:paraId="31AD3680" w14:textId="0E0F9D53"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5.2</w:t>
      </w:r>
      <w:r w:rsidR="005C00CD" w:rsidRPr="008838CC">
        <w:rPr>
          <w:rFonts w:ascii="Verdana" w:hAnsi="Verdana"/>
          <w:b/>
          <w:color w:val="000000"/>
          <w:sz w:val="17"/>
          <w:szCs w:val="17"/>
          <w:u w:val="single"/>
          <w:lang w:eastAsia="fr-FR"/>
        </w:rPr>
        <w:t xml:space="preserve"> Composition of CAT WS</w:t>
      </w:r>
    </w:p>
    <w:p w14:paraId="5D10A5AA" w14:textId="7308A830"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5.3</w:t>
      </w:r>
      <w:r w:rsidR="005C00CD" w:rsidRPr="008838CC">
        <w:rPr>
          <w:rFonts w:ascii="Verdana" w:hAnsi="Verdana"/>
          <w:b/>
          <w:color w:val="000000"/>
          <w:sz w:val="17"/>
          <w:szCs w:val="17"/>
          <w:u w:val="single"/>
          <w:lang w:eastAsia="fr-FR"/>
        </w:rPr>
        <w:t xml:space="preserve"> Legal basis</w:t>
      </w:r>
    </w:p>
    <w:p w14:paraId="62B04A70" w14:textId="236A5BCB"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5.4.1</w:t>
      </w:r>
      <w:r w:rsidR="005C00CD" w:rsidRPr="008838CC">
        <w:rPr>
          <w:rFonts w:ascii="Verdana" w:hAnsi="Verdana"/>
          <w:b/>
          <w:color w:val="000000"/>
          <w:sz w:val="17"/>
          <w:szCs w:val="17"/>
          <w:u w:val="single"/>
          <w:lang w:eastAsia="fr-FR"/>
        </w:rPr>
        <w:t xml:space="preserve"> Feedback statement on the main comments received to the discussion paper</w:t>
      </w:r>
    </w:p>
    <w:p w14:paraId="2024A92B" w14:textId="24145DD6"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5.4.2</w:t>
      </w:r>
      <w:r w:rsidR="005C00CD" w:rsidRPr="008838CC">
        <w:rPr>
          <w:rFonts w:ascii="Verdana" w:hAnsi="Verdana"/>
          <w:b/>
          <w:color w:val="000000"/>
          <w:sz w:val="17"/>
          <w:szCs w:val="17"/>
          <w:u w:val="single"/>
          <w:lang w:eastAsia="fr-FR"/>
        </w:rPr>
        <w:t xml:space="preserve"> </w:t>
      </w:r>
    </w:p>
    <w:p w14:paraId="397AA17A" w14:textId="1972356E"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5.4.2.1</w:t>
      </w:r>
      <w:r w:rsidR="005C00CD" w:rsidRPr="008838CC">
        <w:rPr>
          <w:rFonts w:ascii="Verdana" w:hAnsi="Verdana"/>
          <w:b/>
          <w:color w:val="000000"/>
          <w:sz w:val="17"/>
          <w:szCs w:val="17"/>
          <w:u w:val="single"/>
          <w:lang w:eastAsia="fr-FR"/>
        </w:rPr>
        <w:t xml:space="preserve"> </w:t>
      </w:r>
      <w:r w:rsidR="00112AEB" w:rsidRPr="008838CC">
        <w:rPr>
          <w:rFonts w:ascii="Verdana" w:hAnsi="Verdana"/>
          <w:b/>
          <w:color w:val="000000"/>
          <w:sz w:val="17"/>
          <w:szCs w:val="17"/>
          <w:u w:val="single"/>
          <w:lang w:eastAsia="fr-FR"/>
        </w:rPr>
        <w:t>Previous a</w:t>
      </w:r>
      <w:r w:rsidR="005C00CD" w:rsidRPr="008838CC">
        <w:rPr>
          <w:rFonts w:ascii="Verdana" w:hAnsi="Verdana"/>
          <w:b/>
          <w:color w:val="000000"/>
          <w:sz w:val="17"/>
          <w:szCs w:val="17"/>
          <w:u w:val="single"/>
          <w:lang w:eastAsia="fr-FR"/>
        </w:rPr>
        <w:t>dvice</w:t>
      </w:r>
    </w:p>
    <w:p w14:paraId="30918A68" w14:textId="05DBB21A"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5.4.2.2</w:t>
      </w:r>
      <w:r w:rsidR="005C00CD" w:rsidRPr="008838CC">
        <w:rPr>
          <w:rFonts w:ascii="Verdana" w:hAnsi="Verdana"/>
          <w:b/>
          <w:color w:val="000000"/>
          <w:sz w:val="17"/>
          <w:szCs w:val="17"/>
          <w:u w:val="single"/>
          <w:lang w:eastAsia="fr-FR"/>
        </w:rPr>
        <w:t xml:space="preserve"> </w:t>
      </w:r>
      <w:r w:rsidR="00112AEB" w:rsidRPr="008838CC">
        <w:rPr>
          <w:rFonts w:ascii="Verdana" w:hAnsi="Verdana"/>
          <w:b/>
          <w:color w:val="000000"/>
          <w:sz w:val="17"/>
          <w:szCs w:val="17"/>
          <w:u w:val="single"/>
          <w:lang w:eastAsia="fr-FR"/>
        </w:rPr>
        <w:t>Analysis</w:t>
      </w:r>
    </w:p>
    <w:p w14:paraId="78AE801E" w14:textId="20E9AA0E" w:rsidR="00A531AD" w:rsidRPr="008838CC" w:rsidRDefault="006619C2" w:rsidP="00A531AD">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 xml:space="preserve">Insurance Europe </w:t>
      </w:r>
      <w:r w:rsidR="00112AEB" w:rsidRPr="008838CC">
        <w:rPr>
          <w:rFonts w:ascii="Verdana" w:hAnsi="Verdana"/>
          <w:color w:val="000000"/>
          <w:sz w:val="17"/>
          <w:szCs w:val="17"/>
          <w:lang w:eastAsia="fr-FR"/>
        </w:rPr>
        <w:t>agrees with EIOPA</w:t>
      </w:r>
      <w:r w:rsidRPr="008838CC">
        <w:rPr>
          <w:rFonts w:ascii="Verdana" w:hAnsi="Verdana"/>
          <w:color w:val="000000"/>
          <w:sz w:val="17"/>
          <w:szCs w:val="17"/>
          <w:lang w:eastAsia="fr-FR"/>
        </w:rPr>
        <w:t xml:space="preserve"> that the </w:t>
      </w:r>
      <w:r w:rsidR="00A531AD" w:rsidRPr="008838CC">
        <w:rPr>
          <w:rFonts w:ascii="Verdana" w:hAnsi="Verdana"/>
          <w:color w:val="000000"/>
          <w:sz w:val="17"/>
          <w:szCs w:val="17"/>
          <w:lang w:eastAsia="fr-FR"/>
        </w:rPr>
        <w:t xml:space="preserve">calibration of the fire risk submodule remains appropriate ie 100% </w:t>
      </w:r>
      <w:r w:rsidR="00112AEB" w:rsidRPr="008838CC">
        <w:rPr>
          <w:rFonts w:ascii="Verdana" w:hAnsi="Verdana"/>
          <w:color w:val="000000"/>
          <w:sz w:val="17"/>
          <w:szCs w:val="17"/>
          <w:lang w:eastAsia="fr-FR"/>
        </w:rPr>
        <w:t xml:space="preserve">total </w:t>
      </w:r>
      <w:r w:rsidR="00A531AD" w:rsidRPr="008838CC">
        <w:rPr>
          <w:rFonts w:ascii="Verdana" w:hAnsi="Verdana"/>
          <w:color w:val="000000"/>
          <w:sz w:val="17"/>
          <w:szCs w:val="17"/>
          <w:lang w:eastAsia="fr-FR"/>
        </w:rPr>
        <w:t>loss within a</w:t>
      </w:r>
      <w:r w:rsidRPr="008838CC">
        <w:rPr>
          <w:rFonts w:ascii="Verdana" w:hAnsi="Verdana"/>
          <w:color w:val="000000"/>
          <w:sz w:val="17"/>
          <w:szCs w:val="17"/>
          <w:lang w:eastAsia="fr-FR"/>
        </w:rPr>
        <w:t xml:space="preserve"> 200m radius </w:t>
      </w:r>
      <w:r w:rsidR="00A531AD" w:rsidRPr="008838CC">
        <w:rPr>
          <w:rFonts w:ascii="Verdana" w:hAnsi="Verdana"/>
          <w:color w:val="000000"/>
          <w:sz w:val="17"/>
          <w:szCs w:val="17"/>
          <w:lang w:eastAsia="fr-FR"/>
        </w:rPr>
        <w:t>circle. Increased risk sensitivity could arguably be achieved through the introduction of multi-level damage zones (eg 100% loss within 100m, 50% loss between 100m and 200m, 25% loss between 200m and 300m) but this would increase complexity significantly</w:t>
      </w:r>
      <w:r w:rsidR="00112AEB" w:rsidRPr="008838CC">
        <w:rPr>
          <w:rFonts w:ascii="Verdana" w:hAnsi="Verdana"/>
          <w:color w:val="000000"/>
          <w:sz w:val="17"/>
          <w:szCs w:val="17"/>
          <w:lang w:eastAsia="fr-FR"/>
        </w:rPr>
        <w:t xml:space="preserve"> which would result in unjustified complexity in the standard formula.</w:t>
      </w:r>
    </w:p>
    <w:p w14:paraId="7C7341F9" w14:textId="77777777" w:rsidR="006619C2" w:rsidRPr="008838CC" w:rsidRDefault="006619C2" w:rsidP="00644F0A">
      <w:pPr>
        <w:spacing w:line="276" w:lineRule="auto"/>
        <w:ind w:right="72"/>
        <w:rPr>
          <w:rFonts w:ascii="Verdana" w:hAnsi="Verdana"/>
          <w:color w:val="000000"/>
          <w:sz w:val="17"/>
          <w:szCs w:val="17"/>
          <w:lang w:eastAsia="fr-FR"/>
        </w:rPr>
      </w:pPr>
    </w:p>
    <w:p w14:paraId="5A777D63" w14:textId="6E9DF7DE"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5.4.2.3</w:t>
      </w:r>
      <w:r w:rsidR="005C00CD" w:rsidRPr="008838CC">
        <w:rPr>
          <w:rFonts w:ascii="Verdana" w:hAnsi="Verdana"/>
          <w:b/>
          <w:color w:val="000000"/>
          <w:sz w:val="17"/>
          <w:szCs w:val="17"/>
          <w:u w:val="single"/>
          <w:lang w:eastAsia="fr-FR"/>
        </w:rPr>
        <w:t xml:space="preserve"> EIOPA’s advice</w:t>
      </w:r>
    </w:p>
    <w:p w14:paraId="1BA9963B" w14:textId="77777777" w:rsidR="006619C2" w:rsidRPr="008838CC" w:rsidRDefault="00542E09" w:rsidP="00542E09">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 xml:space="preserve">Insurance Europe welcomes EIOPA’s proposal to introduce a simplification for the Fire risk submodule. </w:t>
      </w:r>
    </w:p>
    <w:p w14:paraId="221A186F" w14:textId="75813504" w:rsidR="006619C2" w:rsidRPr="008838CC" w:rsidRDefault="006619C2" w:rsidP="00542E09">
      <w:pPr>
        <w:spacing w:line="276" w:lineRule="auto"/>
        <w:ind w:right="72"/>
        <w:jc w:val="both"/>
        <w:rPr>
          <w:rFonts w:ascii="Verdana" w:hAnsi="Verdana"/>
          <w:color w:val="000000"/>
          <w:sz w:val="17"/>
          <w:szCs w:val="17"/>
          <w:lang w:eastAsia="fr-FR"/>
        </w:rPr>
      </w:pPr>
    </w:p>
    <w:p w14:paraId="73E34610" w14:textId="77777777" w:rsidR="006619C2" w:rsidRPr="008838CC" w:rsidRDefault="006619C2" w:rsidP="00542E09">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It agrees that the existing approach is optimal from a risk-sensitivity perspective and welcomes a simplification which fits within the existing structure of the submodule but which will reduce the calculation burden for undertakings.</w:t>
      </w:r>
    </w:p>
    <w:p w14:paraId="51F6CBF2" w14:textId="77777777" w:rsidR="006619C2" w:rsidRPr="008838CC" w:rsidRDefault="006619C2" w:rsidP="00542E09">
      <w:pPr>
        <w:spacing w:line="276" w:lineRule="auto"/>
        <w:ind w:right="72"/>
        <w:jc w:val="both"/>
        <w:rPr>
          <w:rFonts w:ascii="Verdana" w:hAnsi="Verdana"/>
          <w:color w:val="000000"/>
          <w:sz w:val="17"/>
          <w:szCs w:val="17"/>
          <w:lang w:eastAsia="fr-FR"/>
        </w:rPr>
      </w:pPr>
    </w:p>
    <w:p w14:paraId="77D5EC6D" w14:textId="62D3D2D5" w:rsidR="006619C2" w:rsidRPr="008838CC" w:rsidRDefault="006619C2" w:rsidP="00542E09">
      <w:pPr>
        <w:spacing w:line="276" w:lineRule="auto"/>
        <w:ind w:right="72"/>
        <w:jc w:val="both"/>
        <w:rPr>
          <w:rFonts w:ascii="Verdana" w:hAnsi="Verdana"/>
          <w:color w:val="000000"/>
          <w:sz w:val="17"/>
          <w:szCs w:val="17"/>
          <w:lang w:eastAsia="fr-FR"/>
        </w:rPr>
      </w:pPr>
      <w:commentRangeStart w:id="15"/>
      <w:r w:rsidRPr="008838CC">
        <w:rPr>
          <w:rFonts w:ascii="Verdana" w:hAnsi="Verdana"/>
          <w:color w:val="000000"/>
          <w:sz w:val="17"/>
          <w:szCs w:val="17"/>
          <w:lang w:eastAsia="fr-FR"/>
        </w:rPr>
        <w:t>Insurance Europe expects the simplification to broadly maintain the current level of risk-sensitivity. It believes that requiring the assessment of the largest exposures per risk type and the introduction of an underpin for residential-only portfolios strikes an appropriate balance between complexity and risk-sensitivity.</w:t>
      </w:r>
      <w:commentRangeEnd w:id="15"/>
      <w:r w:rsidRPr="008838CC">
        <w:rPr>
          <w:rStyle w:val="Odkaznakomentr"/>
          <w:rFonts w:ascii="Verdana" w:hAnsi="Verdana"/>
          <w:sz w:val="17"/>
          <w:szCs w:val="17"/>
        </w:rPr>
        <w:commentReference w:id="15"/>
      </w:r>
      <w:r w:rsidRPr="008838CC">
        <w:rPr>
          <w:rFonts w:ascii="Verdana" w:hAnsi="Verdana"/>
          <w:color w:val="000000"/>
          <w:sz w:val="17"/>
          <w:szCs w:val="17"/>
          <w:lang w:eastAsia="fr-FR"/>
        </w:rPr>
        <w:t xml:space="preserve"> </w:t>
      </w:r>
    </w:p>
    <w:p w14:paraId="734C2F82" w14:textId="77777777" w:rsidR="006619C2" w:rsidRPr="008838CC" w:rsidRDefault="006619C2" w:rsidP="00542E09">
      <w:pPr>
        <w:spacing w:line="276" w:lineRule="auto"/>
        <w:ind w:right="72"/>
        <w:jc w:val="both"/>
        <w:rPr>
          <w:rFonts w:ascii="Verdana" w:hAnsi="Verdana"/>
          <w:color w:val="000000"/>
          <w:sz w:val="17"/>
          <w:szCs w:val="17"/>
          <w:lang w:eastAsia="fr-FR"/>
        </w:rPr>
      </w:pPr>
    </w:p>
    <w:p w14:paraId="3512355A" w14:textId="70EDECF2"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5.5.1</w:t>
      </w:r>
      <w:r w:rsidR="007C5390" w:rsidRPr="008838CC">
        <w:rPr>
          <w:rFonts w:ascii="Verdana" w:hAnsi="Verdana"/>
          <w:b/>
          <w:color w:val="000000"/>
          <w:sz w:val="17"/>
          <w:szCs w:val="17"/>
          <w:u w:val="single"/>
          <w:lang w:eastAsia="fr-FR"/>
        </w:rPr>
        <w:t xml:space="preserve"> Feedback statement on the main comments received to the discussion paper</w:t>
      </w:r>
    </w:p>
    <w:p w14:paraId="1695973D" w14:textId="60E52A24" w:rsidR="00644F0A" w:rsidRPr="008838CC" w:rsidRDefault="00644F0A" w:rsidP="00644F0A">
      <w:pPr>
        <w:spacing w:line="276" w:lineRule="auto"/>
        <w:ind w:right="72"/>
        <w:rPr>
          <w:rFonts w:ascii="Verdana" w:hAnsi="Verdana"/>
          <w:b/>
          <w:color w:val="000000"/>
          <w:sz w:val="17"/>
          <w:szCs w:val="17"/>
          <w:u w:val="single"/>
          <w:lang w:eastAsia="fr-FR"/>
        </w:rPr>
      </w:pPr>
      <w:r w:rsidRPr="008838CC">
        <w:rPr>
          <w:rFonts w:ascii="Verdana" w:hAnsi="Verdana"/>
          <w:b/>
          <w:color w:val="000000"/>
          <w:sz w:val="17"/>
          <w:szCs w:val="17"/>
          <w:u w:val="single"/>
          <w:lang w:eastAsia="fr-FR"/>
        </w:rPr>
        <w:t>5.5.2.1</w:t>
      </w:r>
      <w:r w:rsidR="007C5390" w:rsidRPr="008838CC">
        <w:rPr>
          <w:rFonts w:ascii="Verdana" w:hAnsi="Verdana"/>
          <w:b/>
          <w:color w:val="000000"/>
          <w:sz w:val="17"/>
          <w:szCs w:val="17"/>
          <w:u w:val="single"/>
          <w:lang w:eastAsia="fr-FR"/>
        </w:rPr>
        <w:t xml:space="preserve"> Previous advice</w:t>
      </w:r>
    </w:p>
    <w:p w14:paraId="03D7B4F6" w14:textId="43DC53BF" w:rsidR="00644F0A" w:rsidRPr="008838CC" w:rsidRDefault="00644F0A" w:rsidP="008B6E4A">
      <w:pPr>
        <w:spacing w:line="276" w:lineRule="auto"/>
        <w:ind w:right="72"/>
        <w:jc w:val="both"/>
        <w:rPr>
          <w:rFonts w:ascii="Verdana" w:hAnsi="Verdana"/>
          <w:b/>
          <w:color w:val="000000"/>
          <w:sz w:val="17"/>
          <w:szCs w:val="17"/>
          <w:u w:val="single"/>
          <w:lang w:eastAsia="fr-FR"/>
        </w:rPr>
      </w:pPr>
      <w:r w:rsidRPr="008838CC">
        <w:rPr>
          <w:rFonts w:ascii="Verdana" w:hAnsi="Verdana"/>
          <w:b/>
          <w:color w:val="000000"/>
          <w:sz w:val="17"/>
          <w:szCs w:val="17"/>
          <w:u w:val="single"/>
          <w:lang w:eastAsia="fr-FR"/>
        </w:rPr>
        <w:t>5.5.2.2</w:t>
      </w:r>
      <w:r w:rsidR="007C5390" w:rsidRPr="008838CC">
        <w:rPr>
          <w:rFonts w:ascii="Verdana" w:hAnsi="Verdana"/>
          <w:b/>
          <w:color w:val="000000"/>
          <w:sz w:val="17"/>
          <w:szCs w:val="17"/>
          <w:u w:val="single"/>
          <w:lang w:eastAsia="fr-FR"/>
        </w:rPr>
        <w:t xml:space="preserve"> Analysis</w:t>
      </w:r>
    </w:p>
    <w:p w14:paraId="785561E3" w14:textId="77777777" w:rsidR="00112AEB" w:rsidRPr="008838CC" w:rsidRDefault="000536CB" w:rsidP="008B6E4A">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Insurance Europe acknowledges the issue raised by stakeholders in their</w:t>
      </w:r>
      <w:r w:rsidR="00821B49" w:rsidRPr="008838CC">
        <w:rPr>
          <w:rFonts w:ascii="Verdana" w:hAnsi="Verdana"/>
          <w:color w:val="000000"/>
          <w:sz w:val="17"/>
          <w:szCs w:val="17"/>
          <w:lang w:eastAsia="fr-FR"/>
        </w:rPr>
        <w:t xml:space="preserve"> request for the inclusion of vessels other than tankers and platforms in the Marine risk submodule. However, it cautions against the inclusion of every foreseeable scenario into the standard formula. A standard formula </w:t>
      </w:r>
      <w:r w:rsidR="009F5A74" w:rsidRPr="008838CC">
        <w:rPr>
          <w:rFonts w:ascii="Verdana" w:hAnsi="Verdana"/>
          <w:color w:val="000000"/>
          <w:sz w:val="17"/>
          <w:szCs w:val="17"/>
          <w:lang w:eastAsia="fr-FR"/>
        </w:rPr>
        <w:t>cannot</w:t>
      </w:r>
      <w:r w:rsidR="00821B49" w:rsidRPr="008838CC">
        <w:rPr>
          <w:rFonts w:ascii="Verdana" w:hAnsi="Verdana"/>
          <w:color w:val="000000"/>
          <w:sz w:val="17"/>
          <w:szCs w:val="17"/>
          <w:lang w:eastAsia="fr-FR"/>
        </w:rPr>
        <w:t>, and shou</w:t>
      </w:r>
      <w:r w:rsidR="008B6E4A" w:rsidRPr="008838CC">
        <w:rPr>
          <w:rFonts w:ascii="Verdana" w:hAnsi="Verdana"/>
          <w:color w:val="000000"/>
          <w:sz w:val="17"/>
          <w:szCs w:val="17"/>
          <w:lang w:eastAsia="fr-FR"/>
        </w:rPr>
        <w:t>ld</w:t>
      </w:r>
      <w:r w:rsidR="00821B49" w:rsidRPr="008838CC">
        <w:rPr>
          <w:rFonts w:ascii="Verdana" w:hAnsi="Verdana"/>
          <w:color w:val="000000"/>
          <w:sz w:val="17"/>
          <w:szCs w:val="17"/>
          <w:lang w:eastAsia="fr-FR"/>
        </w:rPr>
        <w:t xml:space="preserve"> not strive to, account for every conceivable scenario. A balance must be struck between risk</w:t>
      </w:r>
      <w:r w:rsidR="00112AEB" w:rsidRPr="008838CC">
        <w:rPr>
          <w:rFonts w:ascii="Verdana" w:hAnsi="Verdana"/>
          <w:color w:val="000000"/>
          <w:sz w:val="17"/>
          <w:szCs w:val="17"/>
          <w:lang w:eastAsia="fr-FR"/>
        </w:rPr>
        <w:t xml:space="preserve"> </w:t>
      </w:r>
      <w:r w:rsidR="00821B49" w:rsidRPr="008838CC">
        <w:rPr>
          <w:rFonts w:ascii="Verdana" w:hAnsi="Verdana"/>
          <w:color w:val="000000"/>
          <w:sz w:val="17"/>
          <w:szCs w:val="17"/>
          <w:lang w:eastAsia="fr-FR"/>
        </w:rPr>
        <w:t>sensitivity and compl</w:t>
      </w:r>
      <w:r w:rsidR="008B6E4A" w:rsidRPr="008838CC">
        <w:rPr>
          <w:rFonts w:ascii="Verdana" w:hAnsi="Verdana"/>
          <w:color w:val="000000"/>
          <w:sz w:val="17"/>
          <w:szCs w:val="17"/>
          <w:lang w:eastAsia="fr-FR"/>
        </w:rPr>
        <w:t>e</w:t>
      </w:r>
      <w:r w:rsidR="00821B49" w:rsidRPr="008838CC">
        <w:rPr>
          <w:rFonts w:ascii="Verdana" w:hAnsi="Verdana"/>
          <w:color w:val="000000"/>
          <w:sz w:val="17"/>
          <w:szCs w:val="17"/>
          <w:lang w:eastAsia="fr-FR"/>
        </w:rPr>
        <w:t xml:space="preserve">xity. </w:t>
      </w:r>
    </w:p>
    <w:p w14:paraId="2291E288" w14:textId="77777777" w:rsidR="00112AEB" w:rsidRPr="008838CC" w:rsidRDefault="00112AEB" w:rsidP="008B6E4A">
      <w:pPr>
        <w:spacing w:line="276" w:lineRule="auto"/>
        <w:ind w:right="72"/>
        <w:jc w:val="both"/>
        <w:rPr>
          <w:rFonts w:ascii="Verdana" w:hAnsi="Verdana"/>
          <w:color w:val="000000"/>
          <w:sz w:val="17"/>
          <w:szCs w:val="17"/>
          <w:lang w:eastAsia="fr-FR"/>
        </w:rPr>
      </w:pPr>
    </w:p>
    <w:p w14:paraId="4358E3F5" w14:textId="7DAE4B76" w:rsidR="000536CB" w:rsidRPr="008838CC" w:rsidRDefault="00821B49" w:rsidP="008B6E4A">
      <w:pPr>
        <w:spacing w:line="276" w:lineRule="auto"/>
        <w:ind w:right="72"/>
        <w:jc w:val="both"/>
        <w:rPr>
          <w:rFonts w:ascii="Verdana" w:hAnsi="Verdana"/>
          <w:color w:val="000000"/>
          <w:sz w:val="17"/>
          <w:szCs w:val="17"/>
          <w:lang w:eastAsia="fr-FR"/>
        </w:rPr>
      </w:pPr>
      <w:r w:rsidRPr="008838CC">
        <w:rPr>
          <w:rFonts w:ascii="Verdana" w:hAnsi="Verdana"/>
          <w:color w:val="000000"/>
          <w:sz w:val="17"/>
          <w:szCs w:val="17"/>
          <w:lang w:eastAsia="fr-FR"/>
        </w:rPr>
        <w:t>Insurance Europe further notes that there are the other parts of the Solvency II framework which are designed to address the non-uniform nature of risk profiles</w:t>
      </w:r>
      <w:r w:rsidR="008B6E4A" w:rsidRPr="008838CC">
        <w:rPr>
          <w:rFonts w:ascii="Verdana" w:hAnsi="Verdana"/>
          <w:color w:val="000000"/>
          <w:sz w:val="17"/>
          <w:szCs w:val="17"/>
          <w:lang w:eastAsia="fr-FR"/>
        </w:rPr>
        <w:t xml:space="preserve"> across the industry eg the ORSA</w:t>
      </w:r>
      <w:r w:rsidRPr="008838CC">
        <w:rPr>
          <w:rFonts w:ascii="Verdana" w:hAnsi="Verdana"/>
          <w:color w:val="000000"/>
          <w:sz w:val="17"/>
          <w:szCs w:val="17"/>
          <w:lang w:eastAsia="fr-FR"/>
        </w:rPr>
        <w:t>.</w:t>
      </w:r>
    </w:p>
    <w:p w14:paraId="68012E50" w14:textId="77777777" w:rsidR="00CF23B2" w:rsidRPr="008838CC" w:rsidRDefault="00CF23B2" w:rsidP="008B6E4A">
      <w:pPr>
        <w:spacing w:line="276" w:lineRule="auto"/>
        <w:ind w:right="72"/>
        <w:jc w:val="both"/>
        <w:rPr>
          <w:rFonts w:ascii="Verdana" w:hAnsi="Verdana"/>
          <w:b/>
          <w:color w:val="000000"/>
          <w:sz w:val="17"/>
          <w:szCs w:val="17"/>
          <w:u w:val="single"/>
          <w:lang w:eastAsia="fr-FR"/>
        </w:rPr>
      </w:pPr>
    </w:p>
    <w:p w14:paraId="054604E2" w14:textId="719EEB76" w:rsidR="00644F0A" w:rsidRPr="008838CC" w:rsidRDefault="00644F0A" w:rsidP="008B6E4A">
      <w:pPr>
        <w:spacing w:line="276" w:lineRule="auto"/>
        <w:jc w:val="both"/>
        <w:rPr>
          <w:rFonts w:ascii="Verdana" w:hAnsi="Verdana"/>
          <w:b/>
          <w:color w:val="000000"/>
          <w:sz w:val="17"/>
          <w:szCs w:val="17"/>
          <w:u w:val="single"/>
          <w:lang w:eastAsia="fr-FR"/>
        </w:rPr>
      </w:pPr>
      <w:r w:rsidRPr="008838CC">
        <w:rPr>
          <w:rFonts w:ascii="Verdana" w:hAnsi="Verdana"/>
          <w:b/>
          <w:color w:val="000000"/>
          <w:sz w:val="17"/>
          <w:szCs w:val="17"/>
          <w:u w:val="single"/>
          <w:lang w:eastAsia="fr-FR"/>
        </w:rPr>
        <w:t>5.5.2.3</w:t>
      </w:r>
      <w:r w:rsidR="007C5390" w:rsidRPr="008838CC">
        <w:rPr>
          <w:rFonts w:ascii="Verdana" w:hAnsi="Verdana"/>
          <w:b/>
          <w:color w:val="000000"/>
          <w:sz w:val="17"/>
          <w:szCs w:val="17"/>
          <w:u w:val="single"/>
          <w:lang w:eastAsia="fr-FR"/>
        </w:rPr>
        <w:t xml:space="preserve"> </w:t>
      </w:r>
      <w:r w:rsidR="007C5390" w:rsidRPr="008838CC">
        <w:rPr>
          <w:rFonts w:ascii="Verdana" w:hAnsi="Verdana"/>
          <w:b/>
          <w:color w:val="000000"/>
          <w:sz w:val="17"/>
          <w:szCs w:val="17"/>
          <w:u w:val="single"/>
        </w:rPr>
        <w:t>EIOPA’s advice</w:t>
      </w:r>
    </w:p>
    <w:p w14:paraId="7B3BBDE8" w14:textId="050E0876" w:rsidR="00CF23B2" w:rsidRPr="008838CC" w:rsidRDefault="00CF23B2" w:rsidP="008B6E4A">
      <w:pPr>
        <w:spacing w:line="276" w:lineRule="auto"/>
        <w:jc w:val="both"/>
        <w:rPr>
          <w:rFonts w:ascii="Verdana" w:hAnsi="Verdana"/>
          <w:color w:val="000000"/>
          <w:sz w:val="17"/>
          <w:szCs w:val="17"/>
          <w:lang w:eastAsia="fr-FR"/>
        </w:rPr>
      </w:pPr>
      <w:r w:rsidRPr="008838CC">
        <w:rPr>
          <w:rFonts w:ascii="Verdana" w:hAnsi="Verdana"/>
          <w:color w:val="000000"/>
          <w:sz w:val="17"/>
          <w:szCs w:val="17"/>
          <w:lang w:eastAsia="fr-FR"/>
        </w:rPr>
        <w:t>Insurance Europe support</w:t>
      </w:r>
      <w:r w:rsidR="008B6E4A" w:rsidRPr="008838CC">
        <w:rPr>
          <w:rFonts w:ascii="Verdana" w:hAnsi="Verdana"/>
          <w:color w:val="000000"/>
          <w:sz w:val="17"/>
          <w:szCs w:val="17"/>
          <w:lang w:eastAsia="fr-FR"/>
        </w:rPr>
        <w:t>s</w:t>
      </w:r>
      <w:r w:rsidRPr="008838CC">
        <w:rPr>
          <w:rFonts w:ascii="Verdana" w:hAnsi="Verdana"/>
          <w:color w:val="000000"/>
          <w:sz w:val="17"/>
          <w:szCs w:val="17"/>
          <w:lang w:eastAsia="fr-FR"/>
        </w:rPr>
        <w:t xml:space="preserve"> the </w:t>
      </w:r>
      <w:r w:rsidR="008B6E4A" w:rsidRPr="008838CC">
        <w:rPr>
          <w:rFonts w:ascii="Verdana" w:hAnsi="Verdana"/>
          <w:color w:val="000000"/>
          <w:sz w:val="17"/>
          <w:szCs w:val="17"/>
          <w:lang w:eastAsia="fr-FR"/>
        </w:rPr>
        <w:t xml:space="preserve">extension of the existing “tanker” scenario to include the risks to other vessels rather than the introduction of a new scenario. This represents a pragmatic approach to resolving the issue which will not unduly penalise firms who have both tanker and other vessel exposures. </w:t>
      </w:r>
    </w:p>
    <w:p w14:paraId="34A9EEC7" w14:textId="77777777" w:rsidR="00CF23B2" w:rsidRPr="008838CC" w:rsidRDefault="00CF23B2" w:rsidP="00644F0A">
      <w:pPr>
        <w:spacing w:line="276" w:lineRule="auto"/>
        <w:rPr>
          <w:rFonts w:ascii="Verdana" w:hAnsi="Verdana"/>
          <w:b/>
          <w:color w:val="000000"/>
          <w:sz w:val="17"/>
          <w:szCs w:val="17"/>
          <w:u w:val="single"/>
          <w:lang w:eastAsia="fr-FR"/>
        </w:rPr>
      </w:pPr>
    </w:p>
    <w:p w14:paraId="6A35F876" w14:textId="643954EA"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5.6.1</w:t>
      </w:r>
      <w:r w:rsidR="007C5390" w:rsidRPr="008838CC">
        <w:rPr>
          <w:rFonts w:ascii="Verdana" w:hAnsi="Verdana"/>
          <w:b/>
          <w:color w:val="000000"/>
          <w:sz w:val="17"/>
          <w:szCs w:val="17"/>
          <w:u w:val="single"/>
          <w:lang w:eastAsia="fr-FR"/>
        </w:rPr>
        <w:t xml:space="preserve"> Feedback statement on the main comments received to the discussion paper</w:t>
      </w:r>
    </w:p>
    <w:p w14:paraId="2B820B31" w14:textId="72284FE6" w:rsidR="008B6E4A" w:rsidRPr="008838CC" w:rsidRDefault="008B6E4A" w:rsidP="009F5A74">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supports the clarification of the application </w:t>
      </w:r>
      <w:r w:rsidR="009F5A74" w:rsidRPr="008838CC">
        <w:rPr>
          <w:rFonts w:ascii="Verdana" w:hAnsi="Verdana"/>
          <w:color w:val="000000"/>
          <w:sz w:val="17"/>
          <w:szCs w:val="17"/>
        </w:rPr>
        <w:t xml:space="preserve">of the Motor vehicle liability risk submodule through EIOPA’s Q&amp;A process. </w:t>
      </w:r>
    </w:p>
    <w:p w14:paraId="0F8E1B2D" w14:textId="67EB8B37" w:rsidR="009F5A74" w:rsidRPr="008838CC" w:rsidRDefault="009F5A74" w:rsidP="009F5A74">
      <w:pPr>
        <w:spacing w:line="276" w:lineRule="auto"/>
        <w:jc w:val="both"/>
        <w:rPr>
          <w:rFonts w:ascii="Verdana" w:hAnsi="Verdana"/>
          <w:color w:val="000000"/>
          <w:sz w:val="17"/>
          <w:szCs w:val="17"/>
        </w:rPr>
      </w:pPr>
    </w:p>
    <w:p w14:paraId="5248B098" w14:textId="63B2F3FA" w:rsidR="009F5A74" w:rsidRPr="008838CC" w:rsidRDefault="00903094" w:rsidP="009F5A74">
      <w:pPr>
        <w:spacing w:line="276" w:lineRule="auto"/>
        <w:jc w:val="both"/>
        <w:rPr>
          <w:rFonts w:ascii="Verdana" w:hAnsi="Verdana"/>
          <w:color w:val="000000"/>
          <w:sz w:val="17"/>
          <w:szCs w:val="17"/>
        </w:rPr>
      </w:pPr>
      <w:r w:rsidRPr="008838CC">
        <w:rPr>
          <w:rFonts w:ascii="Verdana" w:hAnsi="Verdana"/>
          <w:color w:val="000000"/>
          <w:sz w:val="17"/>
          <w:szCs w:val="17"/>
        </w:rPr>
        <w:t>Stakeholder’s</w:t>
      </w:r>
      <w:r w:rsidR="009F5A74" w:rsidRPr="008838CC">
        <w:rPr>
          <w:rFonts w:ascii="Verdana" w:hAnsi="Verdana"/>
          <w:color w:val="000000"/>
          <w:sz w:val="17"/>
          <w:szCs w:val="17"/>
        </w:rPr>
        <w:t xml:space="preserve"> confusion over the correct application of the calculation within the </w:t>
      </w:r>
      <w:r w:rsidRPr="008838CC">
        <w:rPr>
          <w:rFonts w:ascii="Verdana" w:hAnsi="Verdana"/>
          <w:color w:val="000000"/>
          <w:sz w:val="17"/>
          <w:szCs w:val="17"/>
        </w:rPr>
        <w:t>m</w:t>
      </w:r>
      <w:r w:rsidR="00112AEB" w:rsidRPr="008838CC">
        <w:rPr>
          <w:rFonts w:ascii="Verdana" w:hAnsi="Verdana"/>
          <w:color w:val="000000"/>
          <w:sz w:val="17"/>
          <w:szCs w:val="17"/>
        </w:rPr>
        <w:t>otor</w:t>
      </w:r>
      <w:r w:rsidRPr="008838CC">
        <w:rPr>
          <w:rFonts w:ascii="Verdana" w:hAnsi="Verdana"/>
          <w:color w:val="000000"/>
          <w:sz w:val="17"/>
          <w:szCs w:val="17"/>
        </w:rPr>
        <w:t xml:space="preserve"> vehicle liability risk </w:t>
      </w:r>
      <w:r w:rsidR="009F5A74" w:rsidRPr="008838CC">
        <w:rPr>
          <w:rFonts w:ascii="Verdana" w:hAnsi="Verdana"/>
          <w:color w:val="000000"/>
          <w:sz w:val="17"/>
          <w:szCs w:val="17"/>
        </w:rPr>
        <w:t>submodule illustrates the importance of full, correct and transparent documentation by EIOPA. This is necessary to enable consistent application of the framework across all juristictions.</w:t>
      </w:r>
    </w:p>
    <w:p w14:paraId="03DEBB48" w14:textId="5B4F7283" w:rsidR="008B6E4A" w:rsidRPr="008838CC" w:rsidRDefault="008B6E4A" w:rsidP="00644F0A">
      <w:pPr>
        <w:spacing w:line="276" w:lineRule="auto"/>
        <w:rPr>
          <w:rFonts w:ascii="Verdana" w:hAnsi="Verdana"/>
          <w:color w:val="000000"/>
          <w:sz w:val="17"/>
          <w:szCs w:val="17"/>
        </w:rPr>
      </w:pPr>
    </w:p>
    <w:p w14:paraId="3389C712" w14:textId="79481C89"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5.7.1</w:t>
      </w:r>
      <w:r w:rsidR="007C5390" w:rsidRPr="008838CC">
        <w:rPr>
          <w:rFonts w:ascii="Verdana" w:hAnsi="Verdana"/>
          <w:b/>
          <w:color w:val="000000"/>
          <w:sz w:val="17"/>
          <w:szCs w:val="17"/>
          <w:u w:val="single"/>
          <w:lang w:eastAsia="fr-FR"/>
        </w:rPr>
        <w:t xml:space="preserve"> Feedback statement on the main comments received to the discussion paper</w:t>
      </w:r>
    </w:p>
    <w:p w14:paraId="1EE05D2D" w14:textId="6B8C5A11" w:rsidR="00672E80" w:rsidRPr="008838CC" w:rsidRDefault="00E461A2" w:rsidP="00672E80">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reiterates that </w:t>
      </w:r>
      <w:r w:rsidR="00672E80" w:rsidRPr="008838CC">
        <w:rPr>
          <w:rFonts w:ascii="Verdana" w:hAnsi="Verdana"/>
          <w:color w:val="000000"/>
          <w:sz w:val="17"/>
          <w:szCs w:val="17"/>
        </w:rPr>
        <w:t xml:space="preserve">the additional complexity </w:t>
      </w:r>
      <w:r w:rsidR="00667E4B" w:rsidRPr="008838CC">
        <w:rPr>
          <w:rFonts w:ascii="Verdana" w:hAnsi="Verdana"/>
          <w:color w:val="000000"/>
          <w:sz w:val="17"/>
          <w:szCs w:val="17"/>
        </w:rPr>
        <w:t>is</w:t>
      </w:r>
      <w:r w:rsidR="00672E80" w:rsidRPr="008838CC">
        <w:rPr>
          <w:rFonts w:ascii="Verdana" w:hAnsi="Verdana"/>
          <w:color w:val="000000"/>
          <w:sz w:val="17"/>
          <w:szCs w:val="17"/>
        </w:rPr>
        <w:t xml:space="preserve"> introduced through the change </w:t>
      </w:r>
      <w:r w:rsidR="00667E4B" w:rsidRPr="008838CC">
        <w:rPr>
          <w:rFonts w:ascii="Verdana" w:hAnsi="Verdana"/>
          <w:color w:val="000000"/>
          <w:sz w:val="17"/>
          <w:szCs w:val="17"/>
        </w:rPr>
        <w:t>to</w:t>
      </w:r>
      <w:r w:rsidR="00672E80" w:rsidRPr="008838CC">
        <w:rPr>
          <w:rFonts w:ascii="Verdana" w:hAnsi="Verdana"/>
          <w:color w:val="000000"/>
          <w:sz w:val="17"/>
          <w:szCs w:val="17"/>
        </w:rPr>
        <w:t xml:space="preserve"> the identification of the largest exposures </w:t>
      </w:r>
      <w:r w:rsidR="00903094" w:rsidRPr="008838CC">
        <w:rPr>
          <w:rFonts w:ascii="Verdana" w:hAnsi="Verdana"/>
          <w:color w:val="000000"/>
          <w:sz w:val="17"/>
          <w:szCs w:val="17"/>
        </w:rPr>
        <w:t>from gross to net of reinsurance</w:t>
      </w:r>
      <w:r w:rsidR="00672E80" w:rsidRPr="008838CC">
        <w:rPr>
          <w:rFonts w:ascii="Verdana" w:hAnsi="Verdana"/>
          <w:color w:val="000000"/>
          <w:sz w:val="17"/>
          <w:szCs w:val="17"/>
        </w:rPr>
        <w:t xml:space="preserve"> </w:t>
      </w:r>
      <w:r w:rsidR="00667E4B" w:rsidRPr="008838CC">
        <w:rPr>
          <w:rFonts w:ascii="Verdana" w:hAnsi="Verdana"/>
          <w:color w:val="000000"/>
          <w:sz w:val="17"/>
          <w:szCs w:val="17"/>
        </w:rPr>
        <w:t xml:space="preserve"> </w:t>
      </w:r>
      <w:r w:rsidR="00672E80" w:rsidRPr="008838CC">
        <w:rPr>
          <w:rFonts w:ascii="Verdana" w:hAnsi="Verdana"/>
          <w:color w:val="000000"/>
          <w:sz w:val="17"/>
          <w:szCs w:val="17"/>
        </w:rPr>
        <w:t>for the Marine, Fire and Aviation (MFA) submodules</w:t>
      </w:r>
      <w:r w:rsidR="00903094" w:rsidRPr="008838CC">
        <w:rPr>
          <w:rFonts w:ascii="Verdana" w:hAnsi="Verdana"/>
          <w:color w:val="000000"/>
          <w:sz w:val="17"/>
          <w:szCs w:val="17"/>
        </w:rPr>
        <w:t xml:space="preserve"> </w:t>
      </w:r>
      <w:r w:rsidR="00672E80" w:rsidRPr="008838CC">
        <w:rPr>
          <w:rFonts w:ascii="Verdana" w:hAnsi="Verdana"/>
          <w:color w:val="000000"/>
          <w:sz w:val="17"/>
          <w:szCs w:val="17"/>
        </w:rPr>
        <w:t xml:space="preserve">because the assessment of an undertaking‘s reinsurance programme would </w:t>
      </w:r>
      <w:r w:rsidR="00903094" w:rsidRPr="008838CC">
        <w:rPr>
          <w:rFonts w:ascii="Verdana" w:hAnsi="Verdana"/>
          <w:color w:val="000000"/>
          <w:sz w:val="17"/>
          <w:szCs w:val="17"/>
        </w:rPr>
        <w:t>be required</w:t>
      </w:r>
      <w:r w:rsidR="00672E80" w:rsidRPr="008838CC">
        <w:rPr>
          <w:rFonts w:ascii="Verdana" w:hAnsi="Verdana"/>
          <w:color w:val="000000"/>
          <w:sz w:val="17"/>
          <w:szCs w:val="17"/>
        </w:rPr>
        <w:t xml:space="preserve"> in the context of the 1-in-200 year scenario. </w:t>
      </w:r>
      <w:r w:rsidR="00903094" w:rsidRPr="008838CC">
        <w:rPr>
          <w:rFonts w:ascii="Verdana" w:hAnsi="Verdana"/>
          <w:color w:val="000000"/>
          <w:sz w:val="17"/>
          <w:szCs w:val="17"/>
        </w:rPr>
        <w:t xml:space="preserve">While all undertakings will have a full and detailed understanding of their reinsurance programme, </w:t>
      </w:r>
      <w:r w:rsidR="00667E4B" w:rsidRPr="008838CC">
        <w:rPr>
          <w:rFonts w:ascii="Verdana" w:hAnsi="Verdana"/>
          <w:color w:val="000000"/>
          <w:sz w:val="17"/>
          <w:szCs w:val="17"/>
        </w:rPr>
        <w:t>they</w:t>
      </w:r>
      <w:r w:rsidR="00903094" w:rsidRPr="008838CC">
        <w:rPr>
          <w:rFonts w:ascii="Verdana" w:hAnsi="Verdana"/>
          <w:color w:val="000000"/>
          <w:sz w:val="17"/>
          <w:szCs w:val="17"/>
        </w:rPr>
        <w:t xml:space="preserve"> will not design the programme in the context of the regulatory framework. Assessing the impact of reinsurance within the scenario prescribed by regulation </w:t>
      </w:r>
      <w:r w:rsidR="00672E80" w:rsidRPr="008838CC">
        <w:rPr>
          <w:rFonts w:ascii="Verdana" w:hAnsi="Verdana"/>
          <w:color w:val="000000"/>
          <w:sz w:val="17"/>
          <w:szCs w:val="17"/>
        </w:rPr>
        <w:t xml:space="preserve">can create significant additional calculation burden for undertakings, in particular, for the Fire risk submodule. </w:t>
      </w:r>
    </w:p>
    <w:p w14:paraId="53454729" w14:textId="77777777" w:rsidR="00672E80" w:rsidRPr="008838CC" w:rsidRDefault="00672E80" w:rsidP="00644F0A">
      <w:pPr>
        <w:spacing w:line="276" w:lineRule="auto"/>
        <w:rPr>
          <w:rFonts w:ascii="Verdana" w:hAnsi="Verdana"/>
          <w:b/>
          <w:color w:val="000000"/>
          <w:sz w:val="17"/>
          <w:szCs w:val="17"/>
          <w:u w:val="single"/>
        </w:rPr>
      </w:pPr>
    </w:p>
    <w:p w14:paraId="47A6CF36"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5.7.2.1</w:t>
      </w:r>
    </w:p>
    <w:p w14:paraId="65682401" w14:textId="05C29F7A"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5.7.2.2</w:t>
      </w:r>
      <w:r w:rsidR="007C5390" w:rsidRPr="008838CC">
        <w:rPr>
          <w:rFonts w:ascii="Verdana" w:hAnsi="Verdana"/>
          <w:b/>
          <w:color w:val="000000"/>
          <w:sz w:val="17"/>
          <w:szCs w:val="17"/>
          <w:u w:val="single"/>
          <w:lang w:eastAsia="fr-FR"/>
        </w:rPr>
        <w:t xml:space="preserve"> Analysis</w:t>
      </w:r>
    </w:p>
    <w:p w14:paraId="673A2EF3" w14:textId="40EF7D9D"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5.7.2.3</w:t>
      </w:r>
      <w:r w:rsidR="007C5390" w:rsidRPr="008838CC">
        <w:rPr>
          <w:rFonts w:ascii="Verdana" w:hAnsi="Verdana"/>
          <w:b/>
          <w:color w:val="000000"/>
          <w:sz w:val="17"/>
          <w:szCs w:val="17"/>
          <w:u w:val="single"/>
        </w:rPr>
        <w:t xml:space="preserve"> EIOPA’s advice</w:t>
      </w:r>
    </w:p>
    <w:p w14:paraId="4A03D0B1" w14:textId="03AFADB6" w:rsidR="00861C08" w:rsidRPr="008838CC" w:rsidRDefault="00861C08" w:rsidP="00861C08">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welcomes the proposal to alter the identification of the largest risk exposures for the MFA submodules from gross to “net of reinsurance where that reinsurance cover alters the relative ranking of the exposure within the undertaking’s portfolio, based on the size of the exposure”.  It further welcomes the proposal </w:t>
      </w:r>
      <w:r w:rsidR="005018B8" w:rsidRPr="008838CC">
        <w:rPr>
          <w:rFonts w:ascii="Verdana" w:hAnsi="Verdana"/>
          <w:color w:val="000000"/>
          <w:sz w:val="17"/>
          <w:szCs w:val="17"/>
        </w:rPr>
        <w:t xml:space="preserve">for undertakings </w:t>
      </w:r>
      <w:r w:rsidRPr="008838CC">
        <w:rPr>
          <w:rFonts w:ascii="Verdana" w:hAnsi="Verdana"/>
          <w:color w:val="000000"/>
          <w:sz w:val="17"/>
          <w:szCs w:val="17"/>
        </w:rPr>
        <w:t>to document and assess cases where the distortion persists</w:t>
      </w:r>
      <w:r w:rsidR="005018B8" w:rsidRPr="008838CC">
        <w:rPr>
          <w:rFonts w:ascii="Verdana" w:hAnsi="Verdana"/>
          <w:color w:val="000000"/>
          <w:sz w:val="17"/>
          <w:szCs w:val="17"/>
        </w:rPr>
        <w:t>, despite the proposed change,</w:t>
      </w:r>
      <w:r w:rsidRPr="008838CC">
        <w:rPr>
          <w:rFonts w:ascii="Verdana" w:hAnsi="Verdana"/>
          <w:color w:val="000000"/>
          <w:sz w:val="17"/>
          <w:szCs w:val="17"/>
        </w:rPr>
        <w:t xml:space="preserve"> through the ORSA and </w:t>
      </w:r>
      <w:r w:rsidR="005018B8" w:rsidRPr="008838CC">
        <w:rPr>
          <w:rFonts w:ascii="Verdana" w:hAnsi="Verdana"/>
          <w:color w:val="000000"/>
          <w:sz w:val="17"/>
          <w:szCs w:val="17"/>
        </w:rPr>
        <w:t>subsequent</w:t>
      </w:r>
      <w:r w:rsidRPr="008838CC">
        <w:rPr>
          <w:rFonts w:ascii="Verdana" w:hAnsi="Verdana"/>
          <w:color w:val="000000"/>
          <w:sz w:val="17"/>
          <w:szCs w:val="17"/>
        </w:rPr>
        <w:t xml:space="preserve"> discussion with </w:t>
      </w:r>
      <w:r w:rsidR="005018B8" w:rsidRPr="008838CC">
        <w:rPr>
          <w:rFonts w:ascii="Verdana" w:hAnsi="Verdana"/>
          <w:color w:val="000000"/>
          <w:sz w:val="17"/>
          <w:szCs w:val="17"/>
        </w:rPr>
        <w:t>their</w:t>
      </w:r>
      <w:r w:rsidRPr="008838CC">
        <w:rPr>
          <w:rFonts w:ascii="Verdana" w:hAnsi="Verdana"/>
          <w:color w:val="000000"/>
          <w:sz w:val="17"/>
          <w:szCs w:val="17"/>
        </w:rPr>
        <w:t xml:space="preserve"> NSA.</w:t>
      </w:r>
    </w:p>
    <w:p w14:paraId="39BC909C" w14:textId="77777777" w:rsidR="00861C08" w:rsidRPr="008838CC" w:rsidRDefault="00861C08" w:rsidP="00861C08">
      <w:pPr>
        <w:spacing w:line="276" w:lineRule="auto"/>
        <w:jc w:val="both"/>
        <w:rPr>
          <w:rFonts w:ascii="Verdana" w:hAnsi="Verdana"/>
          <w:color w:val="000000"/>
          <w:sz w:val="17"/>
          <w:szCs w:val="17"/>
        </w:rPr>
      </w:pPr>
    </w:p>
    <w:p w14:paraId="345F7ED0" w14:textId="5DC73DC9" w:rsidR="00861C08" w:rsidRPr="008838CC" w:rsidRDefault="00861C08" w:rsidP="00861C08">
      <w:pPr>
        <w:spacing w:line="276" w:lineRule="auto"/>
        <w:jc w:val="both"/>
        <w:rPr>
          <w:rFonts w:ascii="Verdana" w:hAnsi="Verdana"/>
          <w:color w:val="000000"/>
          <w:sz w:val="17"/>
          <w:szCs w:val="17"/>
        </w:rPr>
      </w:pPr>
      <w:r w:rsidRPr="008838CC">
        <w:rPr>
          <w:rFonts w:ascii="Verdana" w:hAnsi="Verdana"/>
          <w:color w:val="000000"/>
          <w:sz w:val="17"/>
          <w:szCs w:val="17"/>
        </w:rPr>
        <w:t xml:space="preserve">It agrees that this strikes an appropriate balance between increased risk sensitivity and complexity and will remove the distortion identified in the majority of cases.  </w:t>
      </w:r>
    </w:p>
    <w:p w14:paraId="6A5E4624" w14:textId="77777777" w:rsidR="00861C08" w:rsidRPr="008838CC" w:rsidRDefault="00861C08" w:rsidP="00861C08">
      <w:pPr>
        <w:spacing w:line="276" w:lineRule="auto"/>
        <w:jc w:val="both"/>
        <w:rPr>
          <w:rFonts w:ascii="Verdana" w:hAnsi="Verdana"/>
          <w:color w:val="000000"/>
          <w:sz w:val="17"/>
          <w:szCs w:val="17"/>
        </w:rPr>
      </w:pPr>
    </w:p>
    <w:p w14:paraId="1AC7751E" w14:textId="4CE85A24" w:rsidR="00861C08" w:rsidRPr="008838CC" w:rsidRDefault="00804046" w:rsidP="00861C08">
      <w:pPr>
        <w:spacing w:line="276" w:lineRule="auto"/>
        <w:jc w:val="both"/>
        <w:rPr>
          <w:rFonts w:ascii="Verdana" w:hAnsi="Verdana"/>
          <w:color w:val="000000"/>
          <w:sz w:val="17"/>
          <w:szCs w:val="17"/>
        </w:rPr>
      </w:pPr>
      <w:r w:rsidRPr="008838CC">
        <w:rPr>
          <w:rFonts w:ascii="Verdana" w:hAnsi="Verdana"/>
          <w:color w:val="000000"/>
          <w:sz w:val="17"/>
          <w:szCs w:val="17"/>
        </w:rPr>
        <w:t>The</w:t>
      </w:r>
      <w:r w:rsidR="00861C08" w:rsidRPr="008838CC">
        <w:rPr>
          <w:rFonts w:ascii="Verdana" w:hAnsi="Verdana"/>
          <w:color w:val="000000"/>
          <w:sz w:val="17"/>
          <w:szCs w:val="17"/>
        </w:rPr>
        <w:t xml:space="preserve"> ability of an undertaking to make the assessment of the largest exposure on a net of reinsurance basis will depend on its portfolio, reinsurance programme structure, internal resources and modelling software amongst other a</w:t>
      </w:r>
      <w:r w:rsidR="00667E4B" w:rsidRPr="008838CC">
        <w:rPr>
          <w:rFonts w:ascii="Verdana" w:hAnsi="Verdana"/>
          <w:color w:val="000000"/>
          <w:sz w:val="17"/>
          <w:szCs w:val="17"/>
        </w:rPr>
        <w:t>s</w:t>
      </w:r>
      <w:r w:rsidR="00861C08" w:rsidRPr="008838CC">
        <w:rPr>
          <w:rFonts w:ascii="Verdana" w:hAnsi="Verdana"/>
          <w:color w:val="000000"/>
          <w:sz w:val="17"/>
          <w:szCs w:val="17"/>
        </w:rPr>
        <w:t xml:space="preserve">pects. </w:t>
      </w:r>
      <w:r w:rsidRPr="008838CC">
        <w:rPr>
          <w:rFonts w:ascii="Verdana" w:hAnsi="Verdana"/>
          <w:color w:val="000000"/>
          <w:sz w:val="17"/>
          <w:szCs w:val="17"/>
        </w:rPr>
        <w:t>Due to the non-uniformity of the resulting calculation and differing capabilities to perform the calculation, Insurance Europe believes that NSAs should adopt a pragmatic approach to supervising the calculation. For example, w</w:t>
      </w:r>
      <w:r w:rsidR="00861C08" w:rsidRPr="008838CC">
        <w:rPr>
          <w:rFonts w:ascii="Verdana" w:hAnsi="Verdana"/>
          <w:color w:val="000000"/>
          <w:sz w:val="17"/>
          <w:szCs w:val="17"/>
        </w:rPr>
        <w:t>here an insurer has the capab</w:t>
      </w:r>
      <w:r w:rsidRPr="008838CC">
        <w:rPr>
          <w:rFonts w:ascii="Verdana" w:hAnsi="Verdana"/>
          <w:color w:val="000000"/>
          <w:sz w:val="17"/>
          <w:szCs w:val="17"/>
        </w:rPr>
        <w:t>i</w:t>
      </w:r>
      <w:r w:rsidR="00861C08" w:rsidRPr="008838CC">
        <w:rPr>
          <w:rFonts w:ascii="Verdana" w:hAnsi="Verdana"/>
          <w:color w:val="000000"/>
          <w:sz w:val="17"/>
          <w:szCs w:val="17"/>
        </w:rPr>
        <w:t xml:space="preserve">lity </w:t>
      </w:r>
      <w:r w:rsidR="00667E4B" w:rsidRPr="008838CC">
        <w:rPr>
          <w:rFonts w:ascii="Verdana" w:hAnsi="Verdana"/>
          <w:color w:val="000000"/>
          <w:sz w:val="17"/>
          <w:szCs w:val="17"/>
        </w:rPr>
        <w:t xml:space="preserve">and desire </w:t>
      </w:r>
      <w:r w:rsidR="00861C08" w:rsidRPr="008838CC">
        <w:rPr>
          <w:rFonts w:ascii="Verdana" w:hAnsi="Verdana"/>
          <w:color w:val="000000"/>
          <w:sz w:val="17"/>
          <w:szCs w:val="17"/>
        </w:rPr>
        <w:t xml:space="preserve">to make the assessment of its largest exposure, </w:t>
      </w:r>
      <w:r w:rsidR="00861C08" w:rsidRPr="008838CC">
        <w:rPr>
          <w:rFonts w:ascii="Verdana" w:hAnsi="Verdana"/>
          <w:color w:val="000000"/>
          <w:sz w:val="17"/>
          <w:szCs w:val="17"/>
          <w:u w:val="single"/>
        </w:rPr>
        <w:t>net of all</w:t>
      </w:r>
      <w:r w:rsidR="00861C08" w:rsidRPr="008838CC">
        <w:rPr>
          <w:rFonts w:ascii="Verdana" w:hAnsi="Verdana"/>
          <w:color w:val="000000"/>
          <w:sz w:val="17"/>
          <w:szCs w:val="17"/>
        </w:rPr>
        <w:t xml:space="preserve"> reinsurance, it should be </w:t>
      </w:r>
      <w:r w:rsidR="00667E4B" w:rsidRPr="008838CC">
        <w:rPr>
          <w:rFonts w:ascii="Verdana" w:hAnsi="Verdana"/>
          <w:color w:val="000000"/>
          <w:sz w:val="17"/>
          <w:szCs w:val="17"/>
        </w:rPr>
        <w:t>entitled</w:t>
      </w:r>
      <w:r w:rsidR="00861C08" w:rsidRPr="008838CC">
        <w:rPr>
          <w:rFonts w:ascii="Verdana" w:hAnsi="Verdana"/>
          <w:color w:val="000000"/>
          <w:sz w:val="17"/>
          <w:szCs w:val="17"/>
        </w:rPr>
        <w:t xml:space="preserve"> to do so</w:t>
      </w:r>
      <w:r w:rsidRPr="008838CC">
        <w:rPr>
          <w:rFonts w:ascii="Verdana" w:hAnsi="Verdana"/>
          <w:color w:val="000000"/>
          <w:sz w:val="17"/>
          <w:szCs w:val="17"/>
        </w:rPr>
        <w:t xml:space="preserve">. </w:t>
      </w:r>
    </w:p>
    <w:p w14:paraId="7C32E3E2" w14:textId="03F4999C" w:rsidR="00861C08" w:rsidRPr="008838CC" w:rsidRDefault="00861C08" w:rsidP="00861C08">
      <w:pPr>
        <w:spacing w:line="276" w:lineRule="auto"/>
        <w:jc w:val="both"/>
        <w:rPr>
          <w:rFonts w:ascii="Verdana" w:hAnsi="Verdana"/>
          <w:color w:val="000000"/>
          <w:sz w:val="17"/>
          <w:szCs w:val="17"/>
        </w:rPr>
      </w:pPr>
    </w:p>
    <w:p w14:paraId="3E281265" w14:textId="77777777" w:rsidR="00A441FC" w:rsidRPr="008838CC" w:rsidRDefault="00A441FC" w:rsidP="00A441FC">
      <w:pPr>
        <w:pStyle w:val="Nadpis1"/>
        <w:rPr>
          <w:sz w:val="17"/>
          <w:szCs w:val="17"/>
          <w:lang w:eastAsia="en-GB"/>
        </w:rPr>
      </w:pPr>
      <w:r w:rsidRPr="008838CC">
        <w:rPr>
          <w:sz w:val="17"/>
          <w:szCs w:val="17"/>
        </w:rPr>
        <w:br w:type="page"/>
      </w:r>
      <w:bookmarkStart w:id="16" w:name="_Toc497908645"/>
      <w:r w:rsidRPr="008838CC">
        <w:rPr>
          <w:sz w:val="17"/>
          <w:szCs w:val="17"/>
        </w:rPr>
        <w:t xml:space="preserve">6. </w:t>
      </w:r>
      <w:r w:rsidR="0018577F" w:rsidRPr="008838CC">
        <w:rPr>
          <w:sz w:val="17"/>
          <w:szCs w:val="17"/>
        </w:rPr>
        <w:t>Natural catastrophe risk</w:t>
      </w:r>
      <w:bookmarkEnd w:id="16"/>
    </w:p>
    <w:p w14:paraId="225678AC" w14:textId="771E8BD4"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6.1</w:t>
      </w:r>
      <w:r w:rsidR="00667E4B" w:rsidRPr="008838CC">
        <w:rPr>
          <w:rFonts w:ascii="Verdana" w:hAnsi="Verdana"/>
          <w:b/>
          <w:color w:val="000000"/>
          <w:sz w:val="17"/>
          <w:szCs w:val="17"/>
          <w:u w:val="single"/>
        </w:rPr>
        <w:t xml:space="preserve"> Call for advice</w:t>
      </w:r>
    </w:p>
    <w:p w14:paraId="7215E219" w14:textId="5EBCC8AB" w:rsidR="00DB0B03" w:rsidRPr="008838CC" w:rsidRDefault="00DB0B03" w:rsidP="00DB0B03">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 xml:space="preserve">Insurance Europe welcomes the Commission’s request for EIOPA to propose methods and criteria for simplfications for the </w:t>
      </w:r>
      <w:r w:rsidR="00F777B8" w:rsidRPr="008838CC">
        <w:rPr>
          <w:rFonts w:ascii="Verdana" w:hAnsi="Verdana"/>
          <w:color w:val="000000"/>
          <w:sz w:val="17"/>
          <w:szCs w:val="17"/>
          <w:lang w:val="en-GB"/>
        </w:rPr>
        <w:t xml:space="preserve">Natural </w:t>
      </w:r>
      <w:r w:rsidRPr="008838CC">
        <w:rPr>
          <w:rFonts w:ascii="Verdana" w:hAnsi="Verdana"/>
          <w:color w:val="000000"/>
          <w:sz w:val="17"/>
          <w:szCs w:val="17"/>
          <w:lang w:val="en-GB"/>
        </w:rPr>
        <w:t>Catastrophe risk submodule and, where appropriate</w:t>
      </w:r>
      <w:r w:rsidR="00F777B8" w:rsidRPr="008838CC">
        <w:rPr>
          <w:rFonts w:ascii="Verdana" w:hAnsi="Verdana"/>
          <w:color w:val="000000"/>
          <w:sz w:val="17"/>
          <w:szCs w:val="17"/>
          <w:lang w:val="en-GB"/>
        </w:rPr>
        <w:t>,</w:t>
      </w:r>
      <w:r w:rsidRPr="008838CC">
        <w:rPr>
          <w:rFonts w:ascii="Verdana" w:hAnsi="Verdana"/>
          <w:color w:val="000000"/>
          <w:sz w:val="17"/>
          <w:szCs w:val="17"/>
          <w:lang w:val="en-GB"/>
        </w:rPr>
        <w:t xml:space="preserve"> to develop a simpler structure for this this submodule. It also appreciates the work done by the CAT WS to investigate and d</w:t>
      </w:r>
      <w:r w:rsidR="00F777B8" w:rsidRPr="008838CC">
        <w:rPr>
          <w:rFonts w:ascii="Verdana" w:hAnsi="Verdana"/>
          <w:color w:val="000000"/>
          <w:sz w:val="17"/>
          <w:szCs w:val="17"/>
          <w:lang w:val="en-GB"/>
        </w:rPr>
        <w:t xml:space="preserve">evelop simplifications for the Natural </w:t>
      </w:r>
      <w:r w:rsidRPr="008838CC">
        <w:rPr>
          <w:rFonts w:ascii="Verdana" w:hAnsi="Verdana"/>
          <w:color w:val="000000"/>
          <w:sz w:val="17"/>
          <w:szCs w:val="17"/>
          <w:lang w:val="en-GB"/>
        </w:rPr>
        <w:t>Catastrophe risk submodule</w:t>
      </w:r>
      <w:r w:rsidR="00CE32C9" w:rsidRPr="008838CC">
        <w:rPr>
          <w:rFonts w:ascii="Verdana" w:hAnsi="Verdana"/>
          <w:color w:val="000000"/>
          <w:sz w:val="17"/>
          <w:szCs w:val="17"/>
          <w:lang w:val="en-GB"/>
        </w:rPr>
        <w:t xml:space="preserve"> and for its work on the recalibrations</w:t>
      </w:r>
      <w:r w:rsidRPr="008838CC">
        <w:rPr>
          <w:rFonts w:ascii="Verdana" w:hAnsi="Verdana"/>
          <w:color w:val="000000"/>
          <w:sz w:val="17"/>
          <w:szCs w:val="17"/>
          <w:lang w:val="en-GB"/>
        </w:rPr>
        <w:t>.</w:t>
      </w:r>
    </w:p>
    <w:p w14:paraId="77DB9FF3" w14:textId="29E9E62A" w:rsidR="00CE32C9" w:rsidRPr="008838CC" w:rsidRDefault="00CE32C9" w:rsidP="00DB0B03">
      <w:pPr>
        <w:spacing w:line="276" w:lineRule="auto"/>
        <w:jc w:val="both"/>
        <w:rPr>
          <w:rFonts w:ascii="Verdana" w:hAnsi="Verdana"/>
          <w:color w:val="000000"/>
          <w:sz w:val="17"/>
          <w:szCs w:val="17"/>
          <w:lang w:val="en-GB"/>
        </w:rPr>
      </w:pPr>
    </w:p>
    <w:p w14:paraId="0D2F97FA" w14:textId="00985599" w:rsidR="00CE32C9" w:rsidRPr="008838CC" w:rsidRDefault="00CE32C9" w:rsidP="00DB0B03">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 xml:space="preserve">Insurance Europe welcomes the proposed simplification for all natural catastrophe risk submodules. It supports the second formulation of the proposal which provides additional risk sensitivity and flexibility for undertakings. </w:t>
      </w:r>
    </w:p>
    <w:p w14:paraId="4C32BED6" w14:textId="743F07E6" w:rsidR="0033648A" w:rsidRPr="008838CC" w:rsidRDefault="0033648A" w:rsidP="00DB0B03">
      <w:pPr>
        <w:spacing w:line="276" w:lineRule="auto"/>
        <w:jc w:val="both"/>
        <w:rPr>
          <w:rFonts w:ascii="Verdana" w:hAnsi="Verdana"/>
          <w:color w:val="000000"/>
          <w:sz w:val="17"/>
          <w:szCs w:val="17"/>
          <w:lang w:val="en-GB"/>
        </w:rPr>
      </w:pPr>
    </w:p>
    <w:p w14:paraId="311EF259" w14:textId="78F4FB6F" w:rsidR="0033648A" w:rsidRPr="008838CC" w:rsidRDefault="0033648A" w:rsidP="00DB0B03">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 xml:space="preserve">Insurance Europe welcomes EIOPA’s </w:t>
      </w:r>
      <w:r w:rsidR="00667E4B" w:rsidRPr="008838CC">
        <w:rPr>
          <w:rFonts w:ascii="Verdana" w:hAnsi="Verdana"/>
          <w:color w:val="000000"/>
          <w:sz w:val="17"/>
          <w:szCs w:val="17"/>
          <w:lang w:val="en-GB"/>
        </w:rPr>
        <w:t xml:space="preserve">recalibration </w:t>
      </w:r>
      <w:r w:rsidR="00603AB4" w:rsidRPr="008838CC">
        <w:rPr>
          <w:rFonts w:ascii="Verdana" w:hAnsi="Verdana"/>
          <w:color w:val="000000"/>
          <w:sz w:val="17"/>
          <w:szCs w:val="17"/>
          <w:lang w:val="en-GB"/>
        </w:rPr>
        <w:t>initiative</w:t>
      </w:r>
      <w:r w:rsidR="00667E4B" w:rsidRPr="008838CC">
        <w:rPr>
          <w:rFonts w:ascii="Verdana" w:hAnsi="Verdana"/>
          <w:color w:val="000000"/>
          <w:sz w:val="17"/>
          <w:szCs w:val="17"/>
          <w:lang w:val="en-GB"/>
        </w:rPr>
        <w:t>.</w:t>
      </w:r>
      <w:r w:rsidRPr="008838CC">
        <w:rPr>
          <w:rFonts w:ascii="Verdana" w:hAnsi="Verdana"/>
          <w:color w:val="000000"/>
          <w:sz w:val="17"/>
          <w:szCs w:val="17"/>
          <w:lang w:val="en-GB"/>
        </w:rPr>
        <w:t xml:space="preserve"> However, it believes that a number of the proposals put forward by the CAT WS contain excessive and unjustified prudency margins. Several of the proposals do not reflect the scientific data provided as input by the various modelling companies. The proposals in many cases are anchored to the existing calibrations which are undocumented, unjustified and ha</w:t>
      </w:r>
      <w:r w:rsidR="00906A9A" w:rsidRPr="008838CC">
        <w:rPr>
          <w:rFonts w:ascii="Verdana" w:hAnsi="Verdana"/>
          <w:color w:val="000000"/>
          <w:sz w:val="17"/>
          <w:szCs w:val="17"/>
          <w:lang w:val="en-GB"/>
        </w:rPr>
        <w:t>ve</w:t>
      </w:r>
      <w:r w:rsidRPr="008838CC">
        <w:rPr>
          <w:rFonts w:ascii="Verdana" w:hAnsi="Verdana"/>
          <w:color w:val="000000"/>
          <w:sz w:val="17"/>
          <w:szCs w:val="17"/>
          <w:lang w:val="en-GB"/>
        </w:rPr>
        <w:t xml:space="preserve"> been identified </w:t>
      </w:r>
      <w:r w:rsidR="00083F7F" w:rsidRPr="008838CC">
        <w:rPr>
          <w:rFonts w:ascii="Verdana" w:hAnsi="Verdana"/>
          <w:color w:val="000000"/>
          <w:sz w:val="17"/>
          <w:szCs w:val="17"/>
          <w:lang w:val="en-GB"/>
        </w:rPr>
        <w:t>by EIOPA</w:t>
      </w:r>
      <w:r w:rsidRPr="008838CC">
        <w:rPr>
          <w:rFonts w:ascii="Verdana" w:hAnsi="Verdana"/>
          <w:color w:val="000000"/>
          <w:sz w:val="17"/>
          <w:szCs w:val="17"/>
          <w:lang w:val="en-GB"/>
        </w:rPr>
        <w:t xml:space="preserve"> as being </w:t>
      </w:r>
      <w:r w:rsidR="00667E4B" w:rsidRPr="008838CC">
        <w:rPr>
          <w:rFonts w:ascii="Verdana" w:hAnsi="Verdana"/>
          <w:color w:val="000000"/>
          <w:sz w:val="17"/>
          <w:szCs w:val="17"/>
          <w:lang w:val="en-GB"/>
        </w:rPr>
        <w:t>“</w:t>
      </w:r>
      <w:r w:rsidR="00083F7F" w:rsidRPr="008838CC">
        <w:rPr>
          <w:rFonts w:ascii="Verdana" w:hAnsi="Verdana"/>
          <w:color w:val="000000"/>
          <w:sz w:val="17"/>
          <w:szCs w:val="17"/>
          <w:lang w:val="en-GB"/>
        </w:rPr>
        <w:t>mater</w:t>
      </w:r>
      <w:r w:rsidR="002B7F85" w:rsidRPr="008838CC">
        <w:rPr>
          <w:rFonts w:ascii="Verdana" w:hAnsi="Verdana"/>
          <w:color w:val="000000"/>
          <w:sz w:val="17"/>
          <w:szCs w:val="17"/>
          <w:lang w:val="en-GB"/>
        </w:rPr>
        <w:t>ially in</w:t>
      </w:r>
      <w:r w:rsidR="00083F7F" w:rsidRPr="008838CC">
        <w:rPr>
          <w:rFonts w:ascii="Verdana" w:hAnsi="Verdana"/>
          <w:color w:val="000000"/>
          <w:sz w:val="17"/>
          <w:szCs w:val="17"/>
          <w:lang w:val="en-GB"/>
        </w:rPr>
        <w:t>appropriate</w:t>
      </w:r>
      <w:r w:rsidR="00667E4B" w:rsidRPr="008838CC">
        <w:rPr>
          <w:rFonts w:ascii="Verdana" w:hAnsi="Verdana"/>
          <w:color w:val="000000"/>
          <w:sz w:val="17"/>
          <w:szCs w:val="17"/>
          <w:lang w:val="en-GB"/>
        </w:rPr>
        <w:t>”</w:t>
      </w:r>
      <w:r w:rsidRPr="008838CC">
        <w:rPr>
          <w:rFonts w:ascii="Verdana" w:hAnsi="Verdana"/>
          <w:color w:val="000000"/>
          <w:sz w:val="17"/>
          <w:szCs w:val="17"/>
          <w:lang w:val="en-GB"/>
        </w:rPr>
        <w:t>.</w:t>
      </w:r>
    </w:p>
    <w:p w14:paraId="29AF033A" w14:textId="25A01DAD" w:rsidR="001F4C6B" w:rsidRPr="008838CC" w:rsidRDefault="001F4C6B" w:rsidP="00DB0B03">
      <w:pPr>
        <w:spacing w:line="276" w:lineRule="auto"/>
        <w:jc w:val="both"/>
        <w:rPr>
          <w:rFonts w:ascii="Verdana" w:hAnsi="Verdana"/>
          <w:color w:val="000000"/>
          <w:sz w:val="17"/>
          <w:szCs w:val="17"/>
          <w:lang w:val="en-GB"/>
        </w:rPr>
      </w:pPr>
    </w:p>
    <w:p w14:paraId="442B3119" w14:textId="58265E14" w:rsidR="00DB0B03" w:rsidRPr="008838CC" w:rsidRDefault="001F4C6B" w:rsidP="001F4C6B">
      <w:pPr>
        <w:spacing w:line="276" w:lineRule="auto"/>
        <w:jc w:val="both"/>
        <w:rPr>
          <w:rFonts w:ascii="Verdana" w:hAnsi="Verdana"/>
          <w:b/>
          <w:color w:val="000000"/>
          <w:sz w:val="17"/>
          <w:szCs w:val="17"/>
          <w:u w:val="single"/>
          <w:lang w:val="en-GB"/>
        </w:rPr>
      </w:pPr>
      <w:r w:rsidRPr="008838CC">
        <w:rPr>
          <w:rFonts w:ascii="Verdana" w:hAnsi="Verdana"/>
          <w:color w:val="000000"/>
          <w:sz w:val="17"/>
          <w:szCs w:val="17"/>
          <w:lang w:val="en-GB"/>
        </w:rPr>
        <w:t xml:space="preserve">Insurance Europe does not believe that </w:t>
      </w:r>
      <w:r w:rsidR="008560AD" w:rsidRPr="008838CC">
        <w:rPr>
          <w:rFonts w:ascii="Verdana" w:hAnsi="Verdana"/>
          <w:color w:val="000000"/>
          <w:sz w:val="17"/>
          <w:szCs w:val="17"/>
          <w:lang w:val="en-GB"/>
        </w:rPr>
        <w:t>EIOPA‘s</w:t>
      </w:r>
      <w:r w:rsidRPr="008838CC">
        <w:rPr>
          <w:rFonts w:ascii="Verdana" w:hAnsi="Verdana"/>
          <w:color w:val="000000"/>
          <w:sz w:val="17"/>
          <w:szCs w:val="17"/>
          <w:lang w:val="en-GB"/>
        </w:rPr>
        <w:t xml:space="preserve"> proposed ex-post adjustment to account for restrictive policy conditions (indemnity limits and deductibles) in certain scenarios will have any meaningful impact. However, Insurance Europe does recognise the difficulty in incorporating these into the standard formula. </w:t>
      </w:r>
    </w:p>
    <w:p w14:paraId="0EF69E56" w14:textId="77777777" w:rsidR="00DB0B03" w:rsidRPr="008838CC" w:rsidRDefault="00DB0B03" w:rsidP="00644F0A">
      <w:pPr>
        <w:spacing w:line="276" w:lineRule="auto"/>
        <w:rPr>
          <w:rFonts w:ascii="Verdana" w:hAnsi="Verdana"/>
          <w:b/>
          <w:color w:val="000000"/>
          <w:sz w:val="17"/>
          <w:szCs w:val="17"/>
          <w:u w:val="single"/>
          <w:lang w:val="en-GB"/>
        </w:rPr>
      </w:pPr>
    </w:p>
    <w:p w14:paraId="6A601900" w14:textId="24BFB18A" w:rsidR="00644F0A" w:rsidRPr="008838CC" w:rsidRDefault="00644F0A" w:rsidP="00644F0A">
      <w:pPr>
        <w:spacing w:line="276" w:lineRule="auto"/>
        <w:rPr>
          <w:rFonts w:ascii="Verdana" w:hAnsi="Verdana"/>
          <w:b/>
          <w:color w:val="000000"/>
          <w:sz w:val="17"/>
          <w:szCs w:val="17"/>
          <w:u w:val="single"/>
          <w:lang w:val="en-GB"/>
        </w:rPr>
      </w:pPr>
      <w:r w:rsidRPr="008838CC">
        <w:rPr>
          <w:rFonts w:ascii="Verdana" w:hAnsi="Verdana"/>
          <w:b/>
          <w:color w:val="000000"/>
          <w:sz w:val="17"/>
          <w:szCs w:val="17"/>
          <w:u w:val="single"/>
          <w:lang w:val="en-GB"/>
        </w:rPr>
        <w:t>6.2</w:t>
      </w:r>
      <w:r w:rsidR="00667E4B" w:rsidRPr="008838CC">
        <w:rPr>
          <w:rFonts w:ascii="Verdana" w:hAnsi="Verdana"/>
          <w:b/>
          <w:color w:val="000000"/>
          <w:sz w:val="17"/>
          <w:szCs w:val="17"/>
          <w:u w:val="single"/>
          <w:lang w:val="en-GB"/>
        </w:rPr>
        <w:t xml:space="preserve"> Composition of CAT WS</w:t>
      </w:r>
    </w:p>
    <w:p w14:paraId="03AC0FE3" w14:textId="08784089" w:rsidR="00644F0A" w:rsidRPr="008838CC" w:rsidRDefault="00644F0A" w:rsidP="00644F0A">
      <w:pPr>
        <w:spacing w:line="276" w:lineRule="auto"/>
        <w:rPr>
          <w:rFonts w:ascii="Verdana" w:hAnsi="Verdana"/>
          <w:b/>
          <w:color w:val="000000"/>
          <w:sz w:val="17"/>
          <w:szCs w:val="17"/>
          <w:u w:val="single"/>
          <w:lang w:val="en-GB"/>
        </w:rPr>
      </w:pPr>
      <w:r w:rsidRPr="008838CC">
        <w:rPr>
          <w:rFonts w:ascii="Verdana" w:hAnsi="Verdana"/>
          <w:b/>
          <w:color w:val="000000"/>
          <w:sz w:val="17"/>
          <w:szCs w:val="17"/>
          <w:u w:val="single"/>
          <w:lang w:val="en-GB"/>
        </w:rPr>
        <w:t>6.3.1</w:t>
      </w:r>
      <w:r w:rsidR="00667E4B" w:rsidRPr="008838CC">
        <w:rPr>
          <w:rFonts w:ascii="Verdana" w:hAnsi="Verdana"/>
          <w:b/>
          <w:color w:val="000000"/>
          <w:sz w:val="17"/>
          <w:szCs w:val="17"/>
          <w:u w:val="single"/>
          <w:lang w:val="en-GB"/>
        </w:rPr>
        <w:t xml:space="preserve"> Legal basis</w:t>
      </w:r>
    </w:p>
    <w:p w14:paraId="6BD6FAEE" w14:textId="651C0586" w:rsidR="008560AD" w:rsidRPr="008838CC" w:rsidRDefault="00644F0A" w:rsidP="008560AD">
      <w:pPr>
        <w:spacing w:line="276" w:lineRule="auto"/>
        <w:jc w:val="both"/>
        <w:rPr>
          <w:rFonts w:ascii="Verdana" w:hAnsi="Verdana"/>
          <w:b/>
          <w:color w:val="000000"/>
          <w:sz w:val="17"/>
          <w:szCs w:val="17"/>
          <w:u w:val="single"/>
          <w:lang w:val="en-GB"/>
        </w:rPr>
      </w:pPr>
      <w:r w:rsidRPr="008838CC">
        <w:rPr>
          <w:rFonts w:ascii="Verdana" w:hAnsi="Verdana"/>
          <w:b/>
          <w:color w:val="000000"/>
          <w:sz w:val="17"/>
          <w:szCs w:val="17"/>
          <w:u w:val="single"/>
          <w:lang w:val="en-GB"/>
        </w:rPr>
        <w:t>6.3.</w:t>
      </w:r>
      <w:r w:rsidR="00667E4B" w:rsidRPr="008838CC">
        <w:rPr>
          <w:rFonts w:ascii="Verdana" w:hAnsi="Verdana"/>
          <w:b/>
          <w:color w:val="000000"/>
          <w:sz w:val="17"/>
          <w:szCs w:val="17"/>
          <w:u w:val="single"/>
          <w:lang w:val="en-GB"/>
        </w:rPr>
        <w:t>2 Feedback statement on the main comments received to the discussion paper</w:t>
      </w:r>
    </w:p>
    <w:p w14:paraId="4EEDB4BA" w14:textId="5A80F47C" w:rsidR="008560AD" w:rsidRPr="008838CC" w:rsidRDefault="008560AD" w:rsidP="008560AD">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 xml:space="preserve">Insurance Europe agrees that the introduction of an optional simplification is preferable to the alteration of the existing structure. A lot of resource has been invested in the development of systems and processes to geocode exposures and calculate the natural catastrophe risk capital requirements. Changing the structure will likely lead to additional cost </w:t>
      </w:r>
      <w:r w:rsidR="00667E4B" w:rsidRPr="008838CC">
        <w:rPr>
          <w:rFonts w:ascii="Verdana" w:hAnsi="Verdana"/>
          <w:color w:val="000000"/>
          <w:sz w:val="17"/>
          <w:szCs w:val="17"/>
          <w:lang w:val="en-GB"/>
        </w:rPr>
        <w:t>without commensurate benefit</w:t>
      </w:r>
      <w:r w:rsidRPr="008838CC">
        <w:rPr>
          <w:rFonts w:ascii="Verdana" w:hAnsi="Verdana"/>
          <w:color w:val="000000"/>
          <w:sz w:val="17"/>
          <w:szCs w:val="17"/>
          <w:lang w:val="en-GB"/>
        </w:rPr>
        <w:t xml:space="preserve">. </w:t>
      </w:r>
    </w:p>
    <w:p w14:paraId="1838C67F" w14:textId="77777777" w:rsidR="008560AD" w:rsidRPr="008838CC" w:rsidRDefault="008560AD" w:rsidP="00644F0A">
      <w:pPr>
        <w:spacing w:line="276" w:lineRule="auto"/>
        <w:rPr>
          <w:rFonts w:ascii="Verdana" w:hAnsi="Verdana"/>
          <w:b/>
          <w:color w:val="000000"/>
          <w:sz w:val="17"/>
          <w:szCs w:val="17"/>
          <w:u w:val="single"/>
          <w:lang w:val="en-GB"/>
        </w:rPr>
      </w:pPr>
    </w:p>
    <w:p w14:paraId="03DD3878" w14:textId="1B7CB24F" w:rsidR="00644F0A" w:rsidRPr="008838CC" w:rsidRDefault="00644F0A" w:rsidP="00644F0A">
      <w:pPr>
        <w:spacing w:line="276" w:lineRule="auto"/>
        <w:rPr>
          <w:rFonts w:ascii="Verdana" w:hAnsi="Verdana"/>
          <w:b/>
          <w:color w:val="000000"/>
          <w:sz w:val="17"/>
          <w:szCs w:val="17"/>
          <w:u w:val="single"/>
          <w:lang w:val="en-GB"/>
        </w:rPr>
      </w:pPr>
      <w:r w:rsidRPr="008838CC">
        <w:rPr>
          <w:rFonts w:ascii="Verdana" w:hAnsi="Verdana"/>
          <w:b/>
          <w:color w:val="000000"/>
          <w:sz w:val="17"/>
          <w:szCs w:val="17"/>
          <w:u w:val="single"/>
          <w:lang w:val="en-GB"/>
        </w:rPr>
        <w:t>6.3.3.1</w:t>
      </w:r>
      <w:r w:rsidR="00667E4B" w:rsidRPr="008838CC">
        <w:rPr>
          <w:rFonts w:ascii="Verdana" w:hAnsi="Verdana"/>
          <w:b/>
          <w:color w:val="000000"/>
          <w:sz w:val="17"/>
          <w:szCs w:val="17"/>
          <w:u w:val="single"/>
          <w:lang w:val="en-GB"/>
        </w:rPr>
        <w:t xml:space="preserve"> Previous advice</w:t>
      </w:r>
    </w:p>
    <w:p w14:paraId="58CC075E" w14:textId="0B62053A" w:rsidR="00644F0A" w:rsidRPr="008838CC" w:rsidRDefault="00644F0A" w:rsidP="00644F0A">
      <w:pPr>
        <w:spacing w:line="276" w:lineRule="auto"/>
        <w:rPr>
          <w:rFonts w:ascii="Verdana" w:hAnsi="Verdana"/>
          <w:b/>
          <w:color w:val="000000"/>
          <w:sz w:val="17"/>
          <w:szCs w:val="17"/>
          <w:u w:val="single"/>
          <w:lang w:val="en-GB"/>
        </w:rPr>
      </w:pPr>
      <w:r w:rsidRPr="008838CC">
        <w:rPr>
          <w:rFonts w:ascii="Verdana" w:hAnsi="Verdana"/>
          <w:b/>
          <w:color w:val="000000"/>
          <w:sz w:val="17"/>
          <w:szCs w:val="17"/>
          <w:u w:val="single"/>
          <w:lang w:val="en-GB"/>
        </w:rPr>
        <w:t>6.3.3.2</w:t>
      </w:r>
      <w:r w:rsidR="00667E4B" w:rsidRPr="008838CC">
        <w:rPr>
          <w:rFonts w:ascii="Verdana" w:hAnsi="Verdana"/>
          <w:b/>
          <w:color w:val="000000"/>
          <w:sz w:val="17"/>
          <w:szCs w:val="17"/>
          <w:u w:val="single"/>
          <w:lang w:val="en-GB"/>
        </w:rPr>
        <w:t xml:space="preserve"> Analysis</w:t>
      </w:r>
    </w:p>
    <w:p w14:paraId="5207A643" w14:textId="0058BD0B" w:rsidR="008560AD" w:rsidRPr="008838CC" w:rsidRDefault="008560AD" w:rsidP="008560AD">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Insurance Europe believes that option 5 and option 6 are both suitable approaches to providing a simplification for unallocated natcat exposures</w:t>
      </w:r>
      <w:r w:rsidR="00667E4B" w:rsidRPr="008838CC">
        <w:rPr>
          <w:rFonts w:ascii="Verdana" w:hAnsi="Verdana"/>
          <w:color w:val="000000"/>
          <w:sz w:val="17"/>
          <w:szCs w:val="17"/>
          <w:lang w:val="en-GB"/>
        </w:rPr>
        <w:t>, noting that option 6 would require some quantitative constraints.</w:t>
      </w:r>
    </w:p>
    <w:p w14:paraId="0D3F1141" w14:textId="77777777" w:rsidR="008560AD" w:rsidRPr="008838CC" w:rsidRDefault="008560AD" w:rsidP="008560AD">
      <w:pPr>
        <w:spacing w:line="276" w:lineRule="auto"/>
        <w:jc w:val="both"/>
        <w:rPr>
          <w:rFonts w:ascii="Verdana" w:hAnsi="Verdana"/>
          <w:b/>
          <w:color w:val="000000"/>
          <w:sz w:val="17"/>
          <w:szCs w:val="17"/>
          <w:u w:val="single"/>
        </w:rPr>
      </w:pPr>
    </w:p>
    <w:p w14:paraId="1D744BCA" w14:textId="240515F7" w:rsidR="0033648A" w:rsidRPr="00425A82" w:rsidRDefault="00644F0A" w:rsidP="00644F0A">
      <w:pPr>
        <w:spacing w:line="276" w:lineRule="auto"/>
        <w:rPr>
          <w:rFonts w:ascii="Verdana" w:hAnsi="Verdana"/>
          <w:b/>
          <w:color w:val="000000"/>
          <w:sz w:val="17"/>
          <w:szCs w:val="17"/>
          <w:u w:val="single"/>
        </w:rPr>
      </w:pPr>
      <w:r w:rsidRPr="00425A82">
        <w:rPr>
          <w:rFonts w:ascii="Verdana" w:hAnsi="Verdana"/>
          <w:b/>
          <w:color w:val="000000"/>
          <w:sz w:val="17"/>
          <w:szCs w:val="17"/>
          <w:u w:val="single"/>
        </w:rPr>
        <w:t>6.3.3.3</w:t>
      </w:r>
      <w:r w:rsidR="0033648A" w:rsidRPr="00425A82">
        <w:rPr>
          <w:rFonts w:ascii="Verdana" w:hAnsi="Verdana"/>
          <w:b/>
          <w:color w:val="000000"/>
          <w:sz w:val="17"/>
          <w:szCs w:val="17"/>
          <w:u w:val="single"/>
        </w:rPr>
        <w:t xml:space="preserve"> </w:t>
      </w:r>
      <w:r w:rsidR="00667E4B" w:rsidRPr="00425A82">
        <w:rPr>
          <w:rFonts w:ascii="Verdana" w:hAnsi="Verdana"/>
          <w:b/>
          <w:color w:val="000000"/>
          <w:sz w:val="17"/>
          <w:szCs w:val="17"/>
          <w:u w:val="single"/>
        </w:rPr>
        <w:t>EIOPA’s advice</w:t>
      </w:r>
    </w:p>
    <w:p w14:paraId="12A78E0F" w14:textId="2072FBBF" w:rsidR="0033648A" w:rsidRPr="008838CC" w:rsidRDefault="008560AD" w:rsidP="008560AD">
      <w:pPr>
        <w:spacing w:line="276" w:lineRule="auto"/>
        <w:jc w:val="both"/>
        <w:rPr>
          <w:rFonts w:ascii="Verdana" w:hAnsi="Verdana"/>
          <w:color w:val="000000"/>
          <w:sz w:val="17"/>
          <w:szCs w:val="17"/>
        </w:rPr>
      </w:pPr>
      <w:r w:rsidRPr="008838CC">
        <w:rPr>
          <w:rFonts w:ascii="Verdana" w:hAnsi="Verdana"/>
          <w:color w:val="000000"/>
          <w:sz w:val="17"/>
          <w:szCs w:val="17"/>
        </w:rPr>
        <w:t>Insurance Europe supports the inclusion of a simplification for the natural catastrophe risk submodules which enables undertakings to easily deal with unallocated or unallocatable (ie moving) exposures.</w:t>
      </w:r>
    </w:p>
    <w:p w14:paraId="4291950D" w14:textId="43F744D4" w:rsidR="008560AD" w:rsidRPr="008838CC" w:rsidRDefault="008560AD" w:rsidP="008560AD">
      <w:pPr>
        <w:spacing w:line="276" w:lineRule="auto"/>
        <w:jc w:val="both"/>
        <w:rPr>
          <w:rFonts w:ascii="Verdana" w:hAnsi="Verdana"/>
          <w:color w:val="000000"/>
          <w:sz w:val="17"/>
          <w:szCs w:val="17"/>
        </w:rPr>
      </w:pPr>
    </w:p>
    <w:p w14:paraId="001848F8" w14:textId="3BCA4ED0" w:rsidR="008560AD" w:rsidRPr="008838CC" w:rsidRDefault="008560AD" w:rsidP="008560AD">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believes that the second formulation of the proposal is preferable </w:t>
      </w:r>
      <w:r w:rsidR="000A1E93" w:rsidRPr="008838CC">
        <w:rPr>
          <w:rFonts w:ascii="Verdana" w:hAnsi="Verdana"/>
          <w:color w:val="000000"/>
          <w:sz w:val="17"/>
          <w:szCs w:val="17"/>
        </w:rPr>
        <w:t>for the following reasons</w:t>
      </w:r>
      <w:r w:rsidRPr="008838CC">
        <w:rPr>
          <w:rFonts w:ascii="Verdana" w:hAnsi="Verdana"/>
          <w:color w:val="000000"/>
          <w:sz w:val="17"/>
          <w:szCs w:val="17"/>
        </w:rPr>
        <w:t>:</w:t>
      </w:r>
    </w:p>
    <w:p w14:paraId="35EBD283" w14:textId="4695C2F8" w:rsidR="008560AD" w:rsidRPr="008838CC" w:rsidRDefault="008560AD" w:rsidP="008E45C1">
      <w:pPr>
        <w:pStyle w:val="Odsekzoznamu"/>
        <w:numPr>
          <w:ilvl w:val="0"/>
          <w:numId w:val="11"/>
        </w:numPr>
        <w:spacing w:line="276" w:lineRule="auto"/>
        <w:rPr>
          <w:color w:val="000000"/>
          <w:sz w:val="17"/>
          <w:szCs w:val="17"/>
        </w:rPr>
      </w:pPr>
      <w:r w:rsidRPr="008838CC">
        <w:rPr>
          <w:color w:val="000000"/>
          <w:sz w:val="17"/>
          <w:szCs w:val="17"/>
        </w:rPr>
        <w:t>It will result in greater risk</w:t>
      </w:r>
      <w:r w:rsidR="00E22F12" w:rsidRPr="008838CC">
        <w:rPr>
          <w:color w:val="000000"/>
          <w:sz w:val="17"/>
          <w:szCs w:val="17"/>
        </w:rPr>
        <w:t xml:space="preserve"> sensitivity;</w:t>
      </w:r>
    </w:p>
    <w:p w14:paraId="3DFE3F9D" w14:textId="67DC6A68" w:rsidR="002B2D6F" w:rsidRPr="008838CC" w:rsidRDefault="002B2D6F" w:rsidP="008E45C1">
      <w:pPr>
        <w:pStyle w:val="Odsekzoznamu"/>
        <w:numPr>
          <w:ilvl w:val="0"/>
          <w:numId w:val="11"/>
        </w:numPr>
        <w:spacing w:line="276" w:lineRule="auto"/>
        <w:rPr>
          <w:color w:val="000000"/>
          <w:sz w:val="17"/>
          <w:szCs w:val="17"/>
        </w:rPr>
      </w:pPr>
      <w:r w:rsidRPr="008838CC">
        <w:rPr>
          <w:color w:val="000000"/>
          <w:sz w:val="17"/>
          <w:szCs w:val="17"/>
        </w:rPr>
        <w:t xml:space="preserve">It will not </w:t>
      </w:r>
      <w:r w:rsidR="000A1E93" w:rsidRPr="008838CC">
        <w:rPr>
          <w:color w:val="000000"/>
          <w:sz w:val="17"/>
          <w:szCs w:val="17"/>
        </w:rPr>
        <w:t xml:space="preserve">unduly </w:t>
      </w:r>
      <w:r w:rsidRPr="008838CC">
        <w:rPr>
          <w:color w:val="000000"/>
          <w:sz w:val="17"/>
          <w:szCs w:val="17"/>
        </w:rPr>
        <w:t xml:space="preserve">penalise </w:t>
      </w:r>
      <w:r w:rsidR="00B22BB6" w:rsidRPr="008838CC">
        <w:rPr>
          <w:color w:val="000000"/>
          <w:sz w:val="17"/>
          <w:szCs w:val="17"/>
        </w:rPr>
        <w:t xml:space="preserve">undertakings with </w:t>
      </w:r>
      <w:r w:rsidRPr="008838CC">
        <w:rPr>
          <w:color w:val="000000"/>
          <w:sz w:val="17"/>
          <w:szCs w:val="17"/>
        </w:rPr>
        <w:t>“moving” exposures;</w:t>
      </w:r>
    </w:p>
    <w:p w14:paraId="12562AA2" w14:textId="159AFF47" w:rsidR="00B22BB6" w:rsidRPr="008838CC" w:rsidRDefault="00B22BB6" w:rsidP="008E45C1">
      <w:pPr>
        <w:pStyle w:val="Odsekzoznamu"/>
        <w:numPr>
          <w:ilvl w:val="0"/>
          <w:numId w:val="11"/>
        </w:numPr>
        <w:spacing w:line="276" w:lineRule="auto"/>
        <w:rPr>
          <w:color w:val="000000"/>
          <w:sz w:val="17"/>
          <w:szCs w:val="17"/>
        </w:rPr>
      </w:pPr>
      <w:r w:rsidRPr="008838CC">
        <w:rPr>
          <w:color w:val="000000"/>
          <w:sz w:val="17"/>
          <w:szCs w:val="17"/>
        </w:rPr>
        <w:t>It recognises the best-endeavours of undertakings to geocode their exposures;</w:t>
      </w:r>
    </w:p>
    <w:p w14:paraId="43E0B2EA" w14:textId="1AC7A315" w:rsidR="00E22F12" w:rsidRPr="008838CC" w:rsidRDefault="00E22F12" w:rsidP="008E45C1">
      <w:pPr>
        <w:pStyle w:val="Odsekzoznamu"/>
        <w:numPr>
          <w:ilvl w:val="0"/>
          <w:numId w:val="11"/>
        </w:numPr>
        <w:spacing w:line="276" w:lineRule="auto"/>
        <w:rPr>
          <w:color w:val="000000"/>
          <w:sz w:val="17"/>
          <w:szCs w:val="17"/>
        </w:rPr>
      </w:pPr>
      <w:r w:rsidRPr="008838CC">
        <w:rPr>
          <w:color w:val="000000"/>
          <w:sz w:val="17"/>
          <w:szCs w:val="17"/>
        </w:rPr>
        <w:t xml:space="preserve">It will be prudent but </w:t>
      </w:r>
      <w:r w:rsidR="000A1E93" w:rsidRPr="008838CC">
        <w:rPr>
          <w:color w:val="000000"/>
          <w:sz w:val="17"/>
          <w:szCs w:val="17"/>
        </w:rPr>
        <w:t xml:space="preserve">will </w:t>
      </w:r>
      <w:r w:rsidR="00B22BB6" w:rsidRPr="008838CC">
        <w:rPr>
          <w:color w:val="000000"/>
          <w:sz w:val="17"/>
          <w:szCs w:val="17"/>
        </w:rPr>
        <w:t xml:space="preserve">avoid some of the </w:t>
      </w:r>
      <w:r w:rsidR="002B2D6F" w:rsidRPr="008838CC">
        <w:rPr>
          <w:color w:val="000000"/>
          <w:sz w:val="17"/>
          <w:szCs w:val="17"/>
        </w:rPr>
        <w:t>excessive prudency</w:t>
      </w:r>
      <w:r w:rsidR="00B22BB6" w:rsidRPr="008838CC">
        <w:rPr>
          <w:color w:val="000000"/>
          <w:sz w:val="17"/>
          <w:szCs w:val="17"/>
        </w:rPr>
        <w:t xml:space="preserve"> </w:t>
      </w:r>
      <w:r w:rsidR="00603AB4" w:rsidRPr="008838CC">
        <w:rPr>
          <w:color w:val="000000"/>
          <w:sz w:val="17"/>
          <w:szCs w:val="17"/>
        </w:rPr>
        <w:t>inherent</w:t>
      </w:r>
      <w:r w:rsidR="00667E4B" w:rsidRPr="008838CC">
        <w:rPr>
          <w:color w:val="000000"/>
          <w:sz w:val="17"/>
          <w:szCs w:val="17"/>
        </w:rPr>
        <w:t xml:space="preserve"> in</w:t>
      </w:r>
      <w:r w:rsidR="00B22BB6" w:rsidRPr="008838CC">
        <w:rPr>
          <w:color w:val="000000"/>
          <w:sz w:val="17"/>
          <w:szCs w:val="17"/>
        </w:rPr>
        <w:t xml:space="preserve"> the first formulation</w:t>
      </w:r>
      <w:r w:rsidR="002B2D6F" w:rsidRPr="008838CC">
        <w:rPr>
          <w:color w:val="000000"/>
          <w:sz w:val="17"/>
          <w:szCs w:val="17"/>
        </w:rPr>
        <w:t xml:space="preserve"> (as </w:t>
      </w:r>
      <w:r w:rsidR="000A1E93" w:rsidRPr="008838CC">
        <w:rPr>
          <w:color w:val="000000"/>
          <w:sz w:val="17"/>
          <w:szCs w:val="17"/>
        </w:rPr>
        <w:t>illustrated</w:t>
      </w:r>
      <w:r w:rsidR="002B2D6F" w:rsidRPr="008838CC">
        <w:rPr>
          <w:color w:val="000000"/>
          <w:sz w:val="17"/>
          <w:szCs w:val="17"/>
        </w:rPr>
        <w:t xml:space="preserve"> in the analysis in section 28, Annex to Chapter 6)</w:t>
      </w:r>
      <w:r w:rsidR="00B22BB6" w:rsidRPr="008838CC">
        <w:rPr>
          <w:color w:val="000000"/>
          <w:sz w:val="17"/>
          <w:szCs w:val="17"/>
        </w:rPr>
        <w:t>.</w:t>
      </w:r>
    </w:p>
    <w:p w14:paraId="7AE73A64" w14:textId="77777777" w:rsidR="008560AD" w:rsidRPr="008838CC" w:rsidRDefault="008560AD" w:rsidP="00644F0A">
      <w:pPr>
        <w:spacing w:line="276" w:lineRule="auto"/>
        <w:rPr>
          <w:rFonts w:ascii="Verdana" w:hAnsi="Verdana"/>
          <w:color w:val="000000"/>
          <w:sz w:val="17"/>
          <w:szCs w:val="17"/>
          <w:lang w:val="en-GB"/>
        </w:rPr>
      </w:pPr>
    </w:p>
    <w:p w14:paraId="224BD364" w14:textId="4FC36FEC" w:rsidR="00B22BB6"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6.4.1</w:t>
      </w:r>
      <w:r w:rsidR="00667E4B" w:rsidRPr="008838CC">
        <w:rPr>
          <w:rFonts w:ascii="Verdana" w:hAnsi="Verdana"/>
          <w:b/>
          <w:color w:val="000000"/>
          <w:sz w:val="17"/>
          <w:szCs w:val="17"/>
          <w:u w:val="single"/>
        </w:rPr>
        <w:t xml:space="preserve"> Recalibration – Legal basis</w:t>
      </w:r>
    </w:p>
    <w:p w14:paraId="30B6AFC4" w14:textId="2347BE68"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6.4.2</w:t>
      </w:r>
      <w:r w:rsidR="00667E4B" w:rsidRPr="008838CC">
        <w:rPr>
          <w:rFonts w:ascii="Verdana" w:hAnsi="Verdana"/>
          <w:b/>
          <w:color w:val="000000"/>
          <w:sz w:val="17"/>
          <w:szCs w:val="17"/>
          <w:u w:val="single"/>
        </w:rPr>
        <w:t xml:space="preserve"> </w:t>
      </w:r>
      <w:r w:rsidR="00667E4B" w:rsidRPr="008838CC">
        <w:rPr>
          <w:rFonts w:ascii="Verdana" w:hAnsi="Verdana"/>
          <w:b/>
          <w:color w:val="000000"/>
          <w:sz w:val="17"/>
          <w:szCs w:val="17"/>
          <w:u w:val="single"/>
          <w:lang w:val="en-GB"/>
        </w:rPr>
        <w:t>Feedback statement on the main comments received to the discussion paper</w:t>
      </w:r>
    </w:p>
    <w:p w14:paraId="6B81AFDE" w14:textId="655DC7DF"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6.4.3.1</w:t>
      </w:r>
      <w:r w:rsidR="00C93DE5" w:rsidRPr="008838CC">
        <w:rPr>
          <w:rFonts w:ascii="Verdana" w:hAnsi="Verdana"/>
          <w:b/>
          <w:color w:val="000000"/>
          <w:sz w:val="17"/>
          <w:szCs w:val="17"/>
          <w:u w:val="single"/>
        </w:rPr>
        <w:t xml:space="preserve"> Previous advice</w:t>
      </w:r>
    </w:p>
    <w:p w14:paraId="6944C44B" w14:textId="53064C5C"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6.4.3.2</w:t>
      </w:r>
      <w:r w:rsidR="00C93DE5" w:rsidRPr="008838CC">
        <w:rPr>
          <w:rFonts w:ascii="Verdana" w:hAnsi="Verdana"/>
          <w:b/>
          <w:color w:val="000000"/>
          <w:sz w:val="17"/>
          <w:szCs w:val="17"/>
          <w:u w:val="single"/>
        </w:rPr>
        <w:t xml:space="preserve"> Analysis</w:t>
      </w:r>
    </w:p>
    <w:p w14:paraId="45F01F7A" w14:textId="2C1253F3" w:rsidR="00C2719D" w:rsidRPr="008838CC" w:rsidRDefault="00C2719D"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would like to clarify that </w:t>
      </w:r>
      <w:r w:rsidRPr="008838CC">
        <w:rPr>
          <w:rFonts w:ascii="Verdana" w:hAnsi="Verdana"/>
          <w:b/>
          <w:color w:val="000000"/>
          <w:sz w:val="17"/>
          <w:szCs w:val="17"/>
        </w:rPr>
        <w:t>all zones</w:t>
      </w:r>
      <w:r w:rsidRPr="008838CC">
        <w:rPr>
          <w:rFonts w:ascii="Verdana" w:hAnsi="Verdana"/>
          <w:color w:val="000000"/>
          <w:sz w:val="17"/>
          <w:szCs w:val="17"/>
        </w:rPr>
        <w:t xml:space="preserve"> for the Swedish Windstrom scenario were requested to be recalibrated.</w:t>
      </w:r>
    </w:p>
    <w:p w14:paraId="562B55B0" w14:textId="33B933D2" w:rsidR="00224CEB" w:rsidRPr="008838CC" w:rsidRDefault="00224CEB" w:rsidP="00224CEB">
      <w:pPr>
        <w:spacing w:line="276" w:lineRule="auto"/>
        <w:jc w:val="both"/>
        <w:rPr>
          <w:rFonts w:ascii="Verdana" w:hAnsi="Verdana"/>
          <w:color w:val="000000"/>
          <w:sz w:val="17"/>
          <w:szCs w:val="17"/>
        </w:rPr>
      </w:pPr>
    </w:p>
    <w:p w14:paraId="36D5E0EA" w14:textId="77777777" w:rsidR="00C93DE5" w:rsidRPr="008838CC" w:rsidRDefault="00224CEB" w:rsidP="00224CEB">
      <w:pPr>
        <w:spacing w:line="276" w:lineRule="auto"/>
        <w:jc w:val="both"/>
        <w:rPr>
          <w:rFonts w:ascii="Verdana" w:hAnsi="Verdana"/>
          <w:color w:val="000000"/>
          <w:sz w:val="17"/>
          <w:szCs w:val="17"/>
        </w:rPr>
      </w:pPr>
      <w:r w:rsidRPr="008838CC">
        <w:rPr>
          <w:rFonts w:ascii="Verdana" w:hAnsi="Verdana"/>
          <w:color w:val="000000"/>
          <w:sz w:val="17"/>
          <w:szCs w:val="17"/>
        </w:rPr>
        <w:t xml:space="preserve">To address the issue of cross-border consistency, Insurance Europe believes </w:t>
      </w:r>
      <w:r w:rsidR="00906A9A" w:rsidRPr="008838CC">
        <w:rPr>
          <w:rFonts w:ascii="Verdana" w:hAnsi="Verdana"/>
          <w:color w:val="000000"/>
          <w:sz w:val="17"/>
          <w:szCs w:val="17"/>
        </w:rPr>
        <w:t xml:space="preserve">the only viable proposal is for </w:t>
      </w:r>
      <w:r w:rsidRPr="008838CC">
        <w:rPr>
          <w:rFonts w:ascii="Verdana" w:hAnsi="Verdana"/>
          <w:color w:val="000000"/>
          <w:sz w:val="17"/>
          <w:szCs w:val="17"/>
        </w:rPr>
        <w:t xml:space="preserve">EIOPA </w:t>
      </w:r>
      <w:r w:rsidR="00906A9A" w:rsidRPr="008838CC">
        <w:rPr>
          <w:rFonts w:ascii="Verdana" w:hAnsi="Verdana"/>
          <w:color w:val="000000"/>
          <w:sz w:val="17"/>
          <w:szCs w:val="17"/>
        </w:rPr>
        <w:t>to</w:t>
      </w:r>
      <w:r w:rsidRPr="008838CC">
        <w:rPr>
          <w:rFonts w:ascii="Verdana" w:hAnsi="Verdana"/>
          <w:color w:val="000000"/>
          <w:sz w:val="17"/>
          <w:szCs w:val="17"/>
        </w:rPr>
        <w:t xml:space="preserve"> recalibrate all relevant scenarios</w:t>
      </w:r>
      <w:r w:rsidR="00906A9A" w:rsidRPr="008838CC">
        <w:rPr>
          <w:rFonts w:ascii="Verdana" w:hAnsi="Verdana"/>
          <w:color w:val="000000"/>
          <w:sz w:val="17"/>
          <w:szCs w:val="17"/>
        </w:rPr>
        <w:t xml:space="preserve">. </w:t>
      </w:r>
      <w:r w:rsidR="00C93DE5" w:rsidRPr="008838CC">
        <w:rPr>
          <w:rFonts w:ascii="Verdana" w:hAnsi="Verdana"/>
          <w:color w:val="000000"/>
          <w:sz w:val="17"/>
          <w:szCs w:val="17"/>
        </w:rPr>
        <w:t xml:space="preserve">A full, European-wide recalibration of the Windstorm and Flood scenarios would provide a consistent and justifiable calibration for these risks. </w:t>
      </w:r>
    </w:p>
    <w:p w14:paraId="0EE1ECCE" w14:textId="77777777" w:rsidR="00C93DE5" w:rsidRPr="008838CC" w:rsidRDefault="00C93DE5" w:rsidP="00224CEB">
      <w:pPr>
        <w:spacing w:line="276" w:lineRule="auto"/>
        <w:jc w:val="both"/>
        <w:rPr>
          <w:rFonts w:ascii="Verdana" w:hAnsi="Verdana"/>
          <w:color w:val="000000"/>
          <w:sz w:val="17"/>
          <w:szCs w:val="17"/>
        </w:rPr>
      </w:pPr>
    </w:p>
    <w:p w14:paraId="0DB216D2" w14:textId="59D395AC" w:rsidR="00C93DE5" w:rsidRPr="008838CC" w:rsidRDefault="00906A9A" w:rsidP="00224CEB">
      <w:pPr>
        <w:spacing w:line="276" w:lineRule="auto"/>
        <w:jc w:val="both"/>
        <w:rPr>
          <w:rFonts w:ascii="Verdana" w:hAnsi="Verdana"/>
          <w:color w:val="000000"/>
          <w:sz w:val="17"/>
          <w:szCs w:val="17"/>
        </w:rPr>
      </w:pPr>
      <w:r w:rsidRPr="008838CC">
        <w:rPr>
          <w:rFonts w:ascii="Verdana" w:hAnsi="Verdana"/>
          <w:color w:val="000000"/>
          <w:sz w:val="17"/>
          <w:szCs w:val="17"/>
        </w:rPr>
        <w:t xml:space="preserve">Altering the </w:t>
      </w:r>
      <w:r w:rsidR="00224CEB" w:rsidRPr="008838CC">
        <w:rPr>
          <w:rFonts w:ascii="Verdana" w:hAnsi="Verdana"/>
          <w:color w:val="000000"/>
          <w:sz w:val="17"/>
          <w:szCs w:val="17"/>
        </w:rPr>
        <w:t>recalibration</w:t>
      </w:r>
      <w:r w:rsidRPr="008838CC">
        <w:rPr>
          <w:rFonts w:ascii="Verdana" w:hAnsi="Verdana"/>
          <w:color w:val="000000"/>
          <w:sz w:val="17"/>
          <w:szCs w:val="17"/>
        </w:rPr>
        <w:t>s</w:t>
      </w:r>
      <w:r w:rsidR="00224CEB" w:rsidRPr="008838CC">
        <w:rPr>
          <w:rFonts w:ascii="Verdana" w:hAnsi="Verdana"/>
          <w:color w:val="000000"/>
          <w:sz w:val="17"/>
          <w:szCs w:val="17"/>
        </w:rPr>
        <w:t xml:space="preserve"> propos</w:t>
      </w:r>
      <w:r w:rsidRPr="008838CC">
        <w:rPr>
          <w:rFonts w:ascii="Verdana" w:hAnsi="Verdana"/>
          <w:color w:val="000000"/>
          <w:sz w:val="17"/>
          <w:szCs w:val="17"/>
        </w:rPr>
        <w:t>ed by the CAT WS,</w:t>
      </w:r>
      <w:r w:rsidR="00224CEB" w:rsidRPr="008838CC">
        <w:rPr>
          <w:rFonts w:ascii="Verdana" w:hAnsi="Verdana"/>
          <w:color w:val="000000"/>
          <w:sz w:val="17"/>
          <w:szCs w:val="17"/>
        </w:rPr>
        <w:t xml:space="preserve"> which are already conservative </w:t>
      </w:r>
      <w:r w:rsidR="00C93DE5" w:rsidRPr="008838CC">
        <w:rPr>
          <w:rFonts w:ascii="Verdana" w:hAnsi="Verdana"/>
          <w:color w:val="000000"/>
          <w:sz w:val="17"/>
          <w:szCs w:val="17"/>
        </w:rPr>
        <w:t>relative to the scientific data</w:t>
      </w:r>
      <w:r w:rsidRPr="008838CC">
        <w:rPr>
          <w:rFonts w:ascii="Verdana" w:hAnsi="Verdana"/>
          <w:color w:val="000000"/>
          <w:sz w:val="17"/>
          <w:szCs w:val="17"/>
        </w:rPr>
        <w:t>, would undermine the work of the CAT WS.</w:t>
      </w:r>
      <w:r w:rsidR="00224CEB" w:rsidRPr="008838CC">
        <w:rPr>
          <w:rFonts w:ascii="Verdana" w:hAnsi="Verdana"/>
          <w:color w:val="000000"/>
          <w:sz w:val="17"/>
          <w:szCs w:val="17"/>
        </w:rPr>
        <w:t xml:space="preserve"> </w:t>
      </w:r>
      <w:r w:rsidR="00C93DE5" w:rsidRPr="008838CC">
        <w:rPr>
          <w:rFonts w:ascii="Verdana" w:hAnsi="Verdana"/>
          <w:color w:val="000000"/>
          <w:sz w:val="17"/>
          <w:szCs w:val="17"/>
        </w:rPr>
        <w:t>Insurance Europe, further, notes that the issue of cross-border consistency was discussed within the CAT WS and, to an extent, already informed its recommendations.</w:t>
      </w:r>
    </w:p>
    <w:p w14:paraId="3CE3709B" w14:textId="77777777" w:rsidR="00C93DE5" w:rsidRPr="008838CC" w:rsidRDefault="00C93DE5" w:rsidP="00224CEB">
      <w:pPr>
        <w:spacing w:line="276" w:lineRule="auto"/>
        <w:jc w:val="both"/>
        <w:rPr>
          <w:rFonts w:ascii="Verdana" w:hAnsi="Verdana"/>
          <w:color w:val="000000"/>
          <w:sz w:val="17"/>
          <w:szCs w:val="17"/>
        </w:rPr>
      </w:pPr>
    </w:p>
    <w:p w14:paraId="5A2BDAE1" w14:textId="77777777" w:rsidR="00C93DE5" w:rsidRPr="008838CC" w:rsidRDefault="00C93DE5" w:rsidP="00C93DE5">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acknowledges EIOPA’s desire to have consistency of capital requirements for perils which occur across national boundaries. However, inconsistency should not be used as justification for ignoring scientific data or for adding additional unjustified prudency within the natural catastrophe scenarios. The existing calibrations are undocumented, unjusitified and have been identified by EIOPA as being materially inappropriate. Altering the proposals put forward by the CAT WS would, in effect, be anchoring any future calibrations to the existing calibrations. </w:t>
      </w:r>
    </w:p>
    <w:p w14:paraId="6AFFC97A" w14:textId="77777777" w:rsidR="00C93DE5" w:rsidRPr="008838CC" w:rsidRDefault="00C93DE5" w:rsidP="00224CEB">
      <w:pPr>
        <w:spacing w:line="276" w:lineRule="auto"/>
        <w:jc w:val="both"/>
        <w:rPr>
          <w:rFonts w:ascii="Verdana" w:hAnsi="Verdana"/>
          <w:color w:val="000000"/>
          <w:sz w:val="17"/>
          <w:szCs w:val="17"/>
        </w:rPr>
      </w:pPr>
    </w:p>
    <w:p w14:paraId="5767EBBE" w14:textId="7C4E82E0" w:rsidR="00224CEB" w:rsidRPr="008838CC" w:rsidRDefault="00224CEB" w:rsidP="00224CEB">
      <w:pPr>
        <w:spacing w:line="276" w:lineRule="auto"/>
        <w:jc w:val="both"/>
        <w:rPr>
          <w:rFonts w:ascii="Verdana" w:hAnsi="Verdana"/>
          <w:color w:val="000000"/>
          <w:sz w:val="17"/>
          <w:szCs w:val="17"/>
        </w:rPr>
      </w:pPr>
      <w:r w:rsidRPr="008838CC">
        <w:rPr>
          <w:rFonts w:ascii="Verdana" w:hAnsi="Verdana"/>
          <w:color w:val="000000"/>
          <w:sz w:val="17"/>
          <w:szCs w:val="17"/>
        </w:rPr>
        <w:t>Please see the next section for our comments on the recalibration proposals.</w:t>
      </w:r>
    </w:p>
    <w:p w14:paraId="67EC4928" w14:textId="7EE699A9" w:rsidR="004573D4" w:rsidRPr="008838CC" w:rsidRDefault="004573D4" w:rsidP="00644F0A">
      <w:pPr>
        <w:spacing w:line="276" w:lineRule="auto"/>
        <w:rPr>
          <w:rFonts w:ascii="Verdana" w:hAnsi="Verdana"/>
          <w:color w:val="000000"/>
          <w:sz w:val="17"/>
          <w:szCs w:val="17"/>
        </w:rPr>
      </w:pPr>
    </w:p>
    <w:p w14:paraId="0E2B59C6" w14:textId="105547B3"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6.4.3.3</w:t>
      </w:r>
      <w:r w:rsidR="006E66E0" w:rsidRPr="008838CC">
        <w:rPr>
          <w:rFonts w:ascii="Verdana" w:hAnsi="Verdana"/>
          <w:b/>
          <w:color w:val="000000"/>
          <w:sz w:val="17"/>
          <w:szCs w:val="17"/>
          <w:u w:val="single"/>
        </w:rPr>
        <w:t xml:space="preserve"> EIOPA’s advice</w:t>
      </w:r>
    </w:p>
    <w:p w14:paraId="753B0CFC" w14:textId="64E3DF99" w:rsidR="00172A53" w:rsidRPr="008838CC" w:rsidRDefault="00172A53" w:rsidP="00224CEB">
      <w:pPr>
        <w:spacing w:line="276" w:lineRule="auto"/>
        <w:jc w:val="both"/>
        <w:rPr>
          <w:rFonts w:ascii="Verdana" w:hAnsi="Verdana"/>
          <w:color w:val="000000"/>
          <w:sz w:val="17"/>
          <w:szCs w:val="17"/>
        </w:rPr>
      </w:pPr>
      <w:r w:rsidRPr="008838CC">
        <w:rPr>
          <w:rFonts w:ascii="Verdana" w:hAnsi="Verdana"/>
          <w:color w:val="000000"/>
          <w:sz w:val="17"/>
          <w:szCs w:val="17"/>
        </w:rPr>
        <w:t>Through its assessment of the material inappropriateness of the current calibration</w:t>
      </w:r>
      <w:r w:rsidR="00224CEB" w:rsidRPr="008838CC">
        <w:rPr>
          <w:rFonts w:ascii="Verdana" w:hAnsi="Verdana"/>
          <w:color w:val="000000"/>
          <w:sz w:val="17"/>
          <w:szCs w:val="17"/>
        </w:rPr>
        <w:t xml:space="preserve"> EIOPA identified a number of </w:t>
      </w:r>
      <w:r w:rsidR="00C93DE5" w:rsidRPr="008838CC">
        <w:rPr>
          <w:rFonts w:ascii="Verdana" w:hAnsi="Verdana"/>
          <w:bCs/>
          <w:color w:val="000000"/>
          <w:sz w:val="17"/>
          <w:szCs w:val="17"/>
        </w:rPr>
        <w:t>parameters</w:t>
      </w:r>
      <w:r w:rsidR="00224CEB" w:rsidRPr="008838CC">
        <w:rPr>
          <w:rFonts w:ascii="Verdana" w:hAnsi="Verdana"/>
          <w:color w:val="000000"/>
          <w:sz w:val="17"/>
          <w:szCs w:val="17"/>
        </w:rPr>
        <w:t xml:space="preserve"> which </w:t>
      </w:r>
      <w:r w:rsidR="00C93DE5" w:rsidRPr="008838CC">
        <w:rPr>
          <w:rFonts w:ascii="Verdana" w:hAnsi="Verdana"/>
          <w:bCs/>
          <w:color w:val="000000"/>
          <w:sz w:val="17"/>
          <w:szCs w:val="17"/>
        </w:rPr>
        <w:t>were considered to require</w:t>
      </w:r>
      <w:r w:rsidR="00224CEB" w:rsidRPr="008838CC">
        <w:rPr>
          <w:rFonts w:ascii="Verdana" w:hAnsi="Verdana"/>
          <w:color w:val="000000"/>
          <w:sz w:val="17"/>
          <w:szCs w:val="17"/>
        </w:rPr>
        <w:t xml:space="preserve"> recalibration.</w:t>
      </w:r>
    </w:p>
    <w:p w14:paraId="37420C56" w14:textId="0695EE54" w:rsidR="00224CEB" w:rsidRPr="008838CC" w:rsidRDefault="00224CEB" w:rsidP="00224CEB">
      <w:pPr>
        <w:spacing w:line="276" w:lineRule="auto"/>
        <w:jc w:val="both"/>
        <w:rPr>
          <w:rFonts w:ascii="Verdana" w:hAnsi="Verdana"/>
          <w:color w:val="000000"/>
          <w:sz w:val="17"/>
          <w:szCs w:val="17"/>
        </w:rPr>
      </w:pPr>
    </w:p>
    <w:p w14:paraId="0A956F80" w14:textId="19640B31" w:rsidR="002A362B" w:rsidRPr="008838CC" w:rsidRDefault="0051434E" w:rsidP="00224CEB">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welcomes the work </w:t>
      </w:r>
      <w:r w:rsidR="002A362B" w:rsidRPr="008838CC">
        <w:rPr>
          <w:rFonts w:ascii="Verdana" w:hAnsi="Verdana"/>
          <w:color w:val="000000"/>
          <w:sz w:val="17"/>
          <w:szCs w:val="17"/>
        </w:rPr>
        <w:t xml:space="preserve">done carried out by the CAT WS on the </w:t>
      </w:r>
      <w:r w:rsidRPr="008838CC">
        <w:rPr>
          <w:rFonts w:ascii="Verdana" w:hAnsi="Verdana"/>
          <w:color w:val="000000"/>
          <w:sz w:val="17"/>
          <w:szCs w:val="17"/>
        </w:rPr>
        <w:t>recalibrat</w:t>
      </w:r>
      <w:r w:rsidR="002A362B" w:rsidRPr="008838CC">
        <w:rPr>
          <w:rFonts w:ascii="Verdana" w:hAnsi="Verdana"/>
          <w:color w:val="000000"/>
          <w:sz w:val="17"/>
          <w:szCs w:val="17"/>
        </w:rPr>
        <w:t xml:space="preserve">ion of the identified </w:t>
      </w:r>
      <w:r w:rsidRPr="008838CC">
        <w:rPr>
          <w:rFonts w:ascii="Verdana" w:hAnsi="Verdana"/>
          <w:color w:val="000000"/>
          <w:sz w:val="17"/>
          <w:szCs w:val="17"/>
        </w:rPr>
        <w:t xml:space="preserve">scenarios </w:t>
      </w:r>
      <w:r w:rsidR="002A362B" w:rsidRPr="008838CC">
        <w:rPr>
          <w:rFonts w:ascii="Verdana" w:hAnsi="Verdana"/>
          <w:color w:val="000000"/>
          <w:sz w:val="17"/>
          <w:szCs w:val="17"/>
        </w:rPr>
        <w:t>and recognises the challenges faced by the CAT WS including, but not limited to, the high variance between model estimates, the difficulty of reconciling different model parameters</w:t>
      </w:r>
      <w:r w:rsidR="00C93DE5" w:rsidRPr="008838CC">
        <w:rPr>
          <w:rFonts w:ascii="Verdana" w:hAnsi="Verdana"/>
          <w:bCs/>
          <w:color w:val="000000"/>
          <w:sz w:val="17"/>
          <w:szCs w:val="17"/>
        </w:rPr>
        <w:t>,</w:t>
      </w:r>
      <w:r w:rsidR="002A362B" w:rsidRPr="008838CC">
        <w:rPr>
          <w:rFonts w:ascii="Verdana" w:hAnsi="Verdana"/>
          <w:color w:val="000000"/>
          <w:sz w:val="17"/>
          <w:szCs w:val="17"/>
        </w:rPr>
        <w:t xml:space="preserve"> data inputs and coverage levels.</w:t>
      </w:r>
    </w:p>
    <w:p w14:paraId="23B2B746" w14:textId="222C8407" w:rsidR="002A362B" w:rsidRPr="008838CC" w:rsidRDefault="002A362B" w:rsidP="00224CEB">
      <w:pPr>
        <w:spacing w:line="276" w:lineRule="auto"/>
        <w:jc w:val="both"/>
        <w:rPr>
          <w:rFonts w:ascii="Verdana" w:hAnsi="Verdana"/>
          <w:color w:val="000000"/>
          <w:sz w:val="17"/>
          <w:szCs w:val="17"/>
        </w:rPr>
      </w:pPr>
    </w:p>
    <w:p w14:paraId="762132F4" w14:textId="3D59CAA8" w:rsidR="0051434E" w:rsidRPr="008838CC" w:rsidRDefault="002A362B" w:rsidP="00224CEB">
      <w:pPr>
        <w:spacing w:line="276" w:lineRule="auto"/>
        <w:jc w:val="both"/>
        <w:rPr>
          <w:rFonts w:ascii="Verdana" w:hAnsi="Verdana"/>
          <w:color w:val="000000"/>
          <w:sz w:val="17"/>
          <w:szCs w:val="17"/>
        </w:rPr>
      </w:pPr>
      <w:r w:rsidRPr="008838CC">
        <w:rPr>
          <w:rFonts w:ascii="Verdana" w:hAnsi="Verdana"/>
          <w:color w:val="000000"/>
          <w:sz w:val="17"/>
          <w:szCs w:val="17"/>
        </w:rPr>
        <w:t xml:space="preserve">However, Insurance Europe </w:t>
      </w:r>
      <w:r w:rsidR="0051434E" w:rsidRPr="008838CC">
        <w:rPr>
          <w:rFonts w:ascii="Verdana" w:hAnsi="Verdana"/>
          <w:color w:val="000000"/>
          <w:sz w:val="17"/>
          <w:szCs w:val="17"/>
        </w:rPr>
        <w:t xml:space="preserve">believes </w:t>
      </w:r>
      <w:r w:rsidRPr="008838CC">
        <w:rPr>
          <w:rFonts w:ascii="Verdana" w:hAnsi="Verdana"/>
          <w:color w:val="000000"/>
          <w:sz w:val="17"/>
          <w:szCs w:val="17"/>
        </w:rPr>
        <w:t xml:space="preserve">that </w:t>
      </w:r>
      <w:r w:rsidR="0051434E" w:rsidRPr="008838CC">
        <w:rPr>
          <w:rFonts w:ascii="Verdana" w:hAnsi="Verdana"/>
          <w:color w:val="000000"/>
          <w:sz w:val="17"/>
          <w:szCs w:val="17"/>
        </w:rPr>
        <w:t xml:space="preserve">many of the proposed scenarios contain excessive levels of unjustified prudence. </w:t>
      </w:r>
      <w:r w:rsidRPr="008838CC">
        <w:rPr>
          <w:rFonts w:ascii="Verdana" w:hAnsi="Verdana"/>
          <w:color w:val="000000"/>
          <w:sz w:val="17"/>
          <w:szCs w:val="17"/>
        </w:rPr>
        <w:t xml:space="preserve">This </w:t>
      </w:r>
      <w:r w:rsidR="0051434E" w:rsidRPr="008838CC">
        <w:rPr>
          <w:rFonts w:ascii="Verdana" w:hAnsi="Verdana"/>
          <w:color w:val="000000"/>
          <w:sz w:val="17"/>
          <w:szCs w:val="17"/>
        </w:rPr>
        <w:t>is due</w:t>
      </w:r>
      <w:r w:rsidR="00F4431F" w:rsidRPr="008838CC">
        <w:rPr>
          <w:rFonts w:ascii="Verdana" w:hAnsi="Verdana"/>
          <w:color w:val="000000"/>
          <w:sz w:val="17"/>
          <w:szCs w:val="17"/>
        </w:rPr>
        <w:t xml:space="preserve">, in part, to the design of the “mini-delphi” process, the </w:t>
      </w:r>
      <w:r w:rsidR="0051434E" w:rsidRPr="008838CC">
        <w:rPr>
          <w:rFonts w:ascii="Verdana" w:hAnsi="Verdana"/>
          <w:color w:val="000000"/>
          <w:sz w:val="17"/>
          <w:szCs w:val="17"/>
        </w:rPr>
        <w:t>high-level of supervisory representation on the CAT WS</w:t>
      </w:r>
      <w:r w:rsidR="00F4431F" w:rsidRPr="008838CC">
        <w:rPr>
          <w:rFonts w:ascii="Verdana" w:hAnsi="Verdana"/>
          <w:color w:val="000000"/>
          <w:sz w:val="17"/>
          <w:szCs w:val="17"/>
        </w:rPr>
        <w:t xml:space="preserve"> and the anchoring </w:t>
      </w:r>
      <w:r w:rsidRPr="008838CC">
        <w:rPr>
          <w:rFonts w:ascii="Verdana" w:hAnsi="Verdana"/>
          <w:color w:val="000000"/>
          <w:sz w:val="17"/>
          <w:szCs w:val="17"/>
        </w:rPr>
        <w:t xml:space="preserve">of expectations </w:t>
      </w:r>
      <w:r w:rsidR="00F4431F" w:rsidRPr="008838CC">
        <w:rPr>
          <w:rFonts w:ascii="Verdana" w:hAnsi="Verdana"/>
          <w:color w:val="000000"/>
          <w:sz w:val="17"/>
          <w:szCs w:val="17"/>
        </w:rPr>
        <w:t>to the existing calilbrations.</w:t>
      </w:r>
    </w:p>
    <w:p w14:paraId="1A2565F9" w14:textId="77777777" w:rsidR="0051434E" w:rsidRPr="008838CC" w:rsidRDefault="0051434E" w:rsidP="00224CEB">
      <w:pPr>
        <w:spacing w:line="276" w:lineRule="auto"/>
        <w:jc w:val="both"/>
        <w:rPr>
          <w:rFonts w:ascii="Verdana" w:hAnsi="Verdana"/>
          <w:color w:val="000000"/>
          <w:sz w:val="17"/>
          <w:szCs w:val="17"/>
        </w:rPr>
      </w:pPr>
    </w:p>
    <w:p w14:paraId="142623FB" w14:textId="4180F438" w:rsidR="002A362B" w:rsidRPr="008838CC" w:rsidRDefault="00F4431F" w:rsidP="00224CEB">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t>
      </w:r>
      <w:r w:rsidR="002A362B" w:rsidRPr="008838CC">
        <w:rPr>
          <w:rFonts w:ascii="Verdana" w:hAnsi="Verdana"/>
          <w:color w:val="000000"/>
          <w:sz w:val="17"/>
          <w:szCs w:val="17"/>
        </w:rPr>
        <w:t xml:space="preserve">notes that the input provided by the various modellers was requested to be calibrated to the required level of prudence of the Solvency II framework ie a 1-in-200 year event. </w:t>
      </w:r>
      <w:r w:rsidR="008F74D8" w:rsidRPr="008838CC">
        <w:rPr>
          <w:rFonts w:ascii="Verdana" w:hAnsi="Verdana"/>
          <w:color w:val="000000"/>
          <w:sz w:val="17"/>
          <w:szCs w:val="17"/>
        </w:rPr>
        <w:t xml:space="preserve">While there are justifiable reasons for the CAT WS’s recommendation to be outwith the range of </w:t>
      </w:r>
      <w:r w:rsidR="008F74D8" w:rsidRPr="008838CC">
        <w:rPr>
          <w:rFonts w:ascii="Verdana" w:hAnsi="Verdana"/>
          <w:bCs/>
          <w:color w:val="000000"/>
          <w:sz w:val="17"/>
          <w:szCs w:val="17"/>
        </w:rPr>
        <w:t>input</w:t>
      </w:r>
      <w:r w:rsidR="00C93DE5" w:rsidRPr="008838CC">
        <w:rPr>
          <w:rFonts w:ascii="Verdana" w:hAnsi="Verdana"/>
          <w:bCs/>
          <w:color w:val="000000"/>
          <w:sz w:val="17"/>
          <w:szCs w:val="17"/>
        </w:rPr>
        <w:t xml:space="preserve"> provided by the models</w:t>
      </w:r>
      <w:r w:rsidR="008F74D8" w:rsidRPr="008838CC">
        <w:rPr>
          <w:rFonts w:ascii="Verdana" w:hAnsi="Verdana"/>
          <w:color w:val="000000"/>
          <w:sz w:val="17"/>
          <w:szCs w:val="17"/>
        </w:rPr>
        <w:t xml:space="preserve">, it does not agree that additional prudence should be introduced in to the proposals, especially for scenarios where there is significant data, modelling exposure and expertise. </w:t>
      </w:r>
    </w:p>
    <w:p w14:paraId="039468F9" w14:textId="77777777" w:rsidR="002A362B" w:rsidRPr="008838CC" w:rsidRDefault="002A362B" w:rsidP="00224CEB">
      <w:pPr>
        <w:spacing w:line="276" w:lineRule="auto"/>
        <w:jc w:val="both"/>
        <w:rPr>
          <w:rFonts w:ascii="Verdana" w:hAnsi="Verdana"/>
          <w:color w:val="000000"/>
          <w:sz w:val="17"/>
          <w:szCs w:val="17"/>
        </w:rPr>
      </w:pPr>
    </w:p>
    <w:p w14:paraId="5C251D60" w14:textId="64AB6E2F" w:rsidR="00F4431F" w:rsidRPr="008838CC" w:rsidRDefault="008F74D8" w:rsidP="00224CEB">
      <w:pPr>
        <w:spacing w:line="276" w:lineRule="auto"/>
        <w:jc w:val="both"/>
        <w:rPr>
          <w:rFonts w:ascii="Verdana" w:hAnsi="Verdana"/>
          <w:color w:val="000000"/>
          <w:sz w:val="17"/>
          <w:szCs w:val="17"/>
        </w:rPr>
      </w:pPr>
      <w:r w:rsidRPr="008838CC">
        <w:rPr>
          <w:rFonts w:ascii="Verdana" w:hAnsi="Verdana"/>
          <w:color w:val="000000"/>
          <w:sz w:val="17"/>
          <w:szCs w:val="17"/>
        </w:rPr>
        <w:t>Insurance Europe provides specific comments on the various recalibrations below:</w:t>
      </w:r>
    </w:p>
    <w:p w14:paraId="1FAEE57B" w14:textId="26C172F2" w:rsidR="008F74D8" w:rsidRPr="008838CC" w:rsidRDefault="008F74D8" w:rsidP="00224CEB">
      <w:pPr>
        <w:spacing w:line="276" w:lineRule="auto"/>
        <w:jc w:val="both"/>
        <w:rPr>
          <w:rFonts w:ascii="Verdana" w:hAnsi="Verdana"/>
          <w:color w:val="000000"/>
          <w:sz w:val="17"/>
          <w:szCs w:val="17"/>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04"/>
      </w:tblGrid>
      <w:tr w:rsidR="008F74D8" w:rsidRPr="008838CC" w14:paraId="233852E7" w14:textId="77777777" w:rsidTr="008F74D8">
        <w:tc>
          <w:tcPr>
            <w:tcW w:w="2972" w:type="dxa"/>
          </w:tcPr>
          <w:p w14:paraId="33FB9546" w14:textId="123BD54F" w:rsidR="008F74D8" w:rsidRPr="008838CC" w:rsidRDefault="008F74D8" w:rsidP="008F74D8">
            <w:pPr>
              <w:spacing w:after="120" w:line="276" w:lineRule="auto"/>
              <w:jc w:val="both"/>
              <w:rPr>
                <w:rFonts w:ascii="Verdana" w:hAnsi="Verdana"/>
                <w:color w:val="000000"/>
                <w:sz w:val="17"/>
                <w:szCs w:val="17"/>
              </w:rPr>
            </w:pPr>
            <w:r w:rsidRPr="008838CC">
              <w:rPr>
                <w:rFonts w:ascii="Verdana" w:hAnsi="Verdana"/>
                <w:color w:val="000000"/>
                <w:sz w:val="17"/>
                <w:szCs w:val="17"/>
              </w:rPr>
              <w:t>Slovakia Earthquake</w:t>
            </w:r>
          </w:p>
        </w:tc>
        <w:tc>
          <w:tcPr>
            <w:tcW w:w="11304" w:type="dxa"/>
          </w:tcPr>
          <w:p w14:paraId="559A8049" w14:textId="5AA1DF50" w:rsidR="008F74D8" w:rsidRPr="008838CC" w:rsidRDefault="008F74D8" w:rsidP="008F74D8">
            <w:pPr>
              <w:spacing w:after="120" w:line="276" w:lineRule="auto"/>
              <w:jc w:val="both"/>
              <w:rPr>
                <w:rFonts w:ascii="Verdana" w:hAnsi="Verdana"/>
                <w:color w:val="000000"/>
                <w:sz w:val="17"/>
                <w:szCs w:val="17"/>
              </w:rPr>
            </w:pPr>
            <w:r w:rsidRPr="008838CC">
              <w:rPr>
                <w:rFonts w:ascii="Verdana" w:hAnsi="Verdana"/>
                <w:color w:val="000000"/>
                <w:sz w:val="17"/>
                <w:szCs w:val="17"/>
              </w:rPr>
              <w:t>The proposed change of 0.01% represents spurious accuracy.</w:t>
            </w:r>
            <w:r w:rsidR="0016605C" w:rsidRPr="008838CC">
              <w:rPr>
                <w:rStyle w:val="Odkaznakomentr"/>
                <w:rFonts w:ascii="Verdana" w:hAnsi="Verdana"/>
                <w:sz w:val="17"/>
                <w:szCs w:val="17"/>
              </w:rPr>
              <w:commentReference w:id="17"/>
            </w:r>
          </w:p>
        </w:tc>
      </w:tr>
      <w:tr w:rsidR="008F74D8" w:rsidRPr="008838CC" w14:paraId="122E4684" w14:textId="77777777" w:rsidTr="008F74D8">
        <w:tc>
          <w:tcPr>
            <w:tcW w:w="2972" w:type="dxa"/>
          </w:tcPr>
          <w:p w14:paraId="42D12E5A" w14:textId="25BC5D13" w:rsidR="008F74D8" w:rsidRPr="008838CC" w:rsidRDefault="008F74D8" w:rsidP="008F74D8">
            <w:pPr>
              <w:spacing w:after="120" w:line="276" w:lineRule="auto"/>
              <w:jc w:val="both"/>
              <w:rPr>
                <w:rFonts w:ascii="Verdana" w:hAnsi="Verdana"/>
                <w:color w:val="000000"/>
                <w:sz w:val="17"/>
                <w:szCs w:val="17"/>
              </w:rPr>
            </w:pPr>
            <w:r w:rsidRPr="008838CC">
              <w:rPr>
                <w:rFonts w:ascii="Verdana" w:hAnsi="Verdana"/>
                <w:color w:val="000000"/>
                <w:sz w:val="17"/>
                <w:szCs w:val="17"/>
              </w:rPr>
              <w:t xml:space="preserve">Finland Windstorm </w:t>
            </w:r>
          </w:p>
        </w:tc>
        <w:tc>
          <w:tcPr>
            <w:tcW w:w="11304" w:type="dxa"/>
            <w:vMerge w:val="restart"/>
          </w:tcPr>
          <w:p w14:paraId="6DEC02A4" w14:textId="43FFF4A2" w:rsidR="008F74D8" w:rsidRPr="008838CC" w:rsidRDefault="008F74D8" w:rsidP="008F74D8">
            <w:pPr>
              <w:spacing w:after="120" w:line="276" w:lineRule="auto"/>
              <w:jc w:val="both"/>
              <w:rPr>
                <w:rFonts w:ascii="Verdana" w:hAnsi="Verdana"/>
                <w:color w:val="000000"/>
                <w:sz w:val="17"/>
                <w:szCs w:val="17"/>
              </w:rPr>
            </w:pPr>
            <w:r w:rsidRPr="008838CC">
              <w:rPr>
                <w:rFonts w:ascii="Verdana" w:hAnsi="Verdana"/>
                <w:color w:val="000000"/>
                <w:sz w:val="17"/>
                <w:szCs w:val="17"/>
              </w:rPr>
              <w:t>The high degree of expert judgement inherent in these proposals, arising from the omission of forestry data in the modelling input, should be validated through the assessment of modelling including forestry data.</w:t>
            </w:r>
          </w:p>
        </w:tc>
      </w:tr>
      <w:tr w:rsidR="008F74D8" w:rsidRPr="008838CC" w14:paraId="7653709E" w14:textId="77777777" w:rsidTr="008F74D8">
        <w:tc>
          <w:tcPr>
            <w:tcW w:w="2972" w:type="dxa"/>
          </w:tcPr>
          <w:p w14:paraId="1453F007" w14:textId="5D949DE9" w:rsidR="008F74D8" w:rsidRPr="008838CC" w:rsidRDefault="008F74D8" w:rsidP="008F74D8">
            <w:pPr>
              <w:spacing w:after="120" w:line="276" w:lineRule="auto"/>
              <w:jc w:val="both"/>
              <w:rPr>
                <w:rFonts w:ascii="Verdana" w:hAnsi="Verdana"/>
                <w:color w:val="000000"/>
                <w:sz w:val="17"/>
                <w:szCs w:val="17"/>
              </w:rPr>
            </w:pPr>
            <w:r w:rsidRPr="008838CC">
              <w:rPr>
                <w:rFonts w:ascii="Verdana" w:hAnsi="Verdana"/>
                <w:color w:val="000000"/>
                <w:sz w:val="17"/>
                <w:szCs w:val="17"/>
              </w:rPr>
              <w:t>Sweden Windstorm</w:t>
            </w:r>
          </w:p>
        </w:tc>
        <w:tc>
          <w:tcPr>
            <w:tcW w:w="11304" w:type="dxa"/>
            <w:vMerge/>
          </w:tcPr>
          <w:p w14:paraId="732BE740" w14:textId="77777777" w:rsidR="008F74D8" w:rsidRPr="008838CC" w:rsidRDefault="008F74D8" w:rsidP="008F74D8">
            <w:pPr>
              <w:spacing w:after="120" w:line="276" w:lineRule="auto"/>
              <w:jc w:val="both"/>
              <w:rPr>
                <w:rFonts w:ascii="Verdana" w:hAnsi="Verdana"/>
                <w:color w:val="000000"/>
                <w:sz w:val="17"/>
                <w:szCs w:val="17"/>
              </w:rPr>
            </w:pPr>
          </w:p>
        </w:tc>
      </w:tr>
      <w:tr w:rsidR="008F74D8" w:rsidRPr="008838CC" w14:paraId="36AC2172" w14:textId="77777777" w:rsidTr="008F74D8">
        <w:tc>
          <w:tcPr>
            <w:tcW w:w="2972" w:type="dxa"/>
          </w:tcPr>
          <w:p w14:paraId="7A144CAA" w14:textId="1B294F97" w:rsidR="008F74D8" w:rsidRPr="008838CC" w:rsidRDefault="0016605C" w:rsidP="008F74D8">
            <w:pPr>
              <w:spacing w:after="120" w:line="276" w:lineRule="auto"/>
              <w:jc w:val="both"/>
              <w:rPr>
                <w:rFonts w:ascii="Verdana" w:hAnsi="Verdana"/>
                <w:color w:val="000000"/>
                <w:sz w:val="17"/>
                <w:szCs w:val="17"/>
              </w:rPr>
            </w:pPr>
            <w:r w:rsidRPr="008838CC">
              <w:rPr>
                <w:rFonts w:ascii="Verdana" w:hAnsi="Verdana"/>
                <w:color w:val="000000"/>
                <w:sz w:val="17"/>
                <w:szCs w:val="17"/>
              </w:rPr>
              <w:t>Hungary Windstorm</w:t>
            </w:r>
          </w:p>
        </w:tc>
        <w:tc>
          <w:tcPr>
            <w:tcW w:w="11304" w:type="dxa"/>
          </w:tcPr>
          <w:p w14:paraId="77CE0BEB" w14:textId="759D2635" w:rsidR="008F74D8" w:rsidRPr="008838CC" w:rsidRDefault="0016605C" w:rsidP="008F74D8">
            <w:pPr>
              <w:spacing w:after="120" w:line="276" w:lineRule="auto"/>
              <w:jc w:val="both"/>
              <w:rPr>
                <w:rFonts w:ascii="Verdana" w:hAnsi="Verdana"/>
                <w:color w:val="000000"/>
                <w:sz w:val="17"/>
                <w:szCs w:val="17"/>
              </w:rPr>
            </w:pPr>
            <w:r w:rsidRPr="008838CC">
              <w:rPr>
                <w:rFonts w:ascii="Verdana" w:hAnsi="Verdana"/>
                <w:color w:val="000000"/>
                <w:sz w:val="17"/>
                <w:szCs w:val="17"/>
              </w:rPr>
              <w:t>This scenario is not significant and should be disregarded</w:t>
            </w:r>
          </w:p>
        </w:tc>
      </w:tr>
    </w:tbl>
    <w:p w14:paraId="666382F5" w14:textId="77777777" w:rsidR="008F74D8" w:rsidRPr="008838CC" w:rsidRDefault="008F74D8" w:rsidP="00224CEB">
      <w:pPr>
        <w:spacing w:line="276" w:lineRule="auto"/>
        <w:jc w:val="both"/>
        <w:rPr>
          <w:rFonts w:ascii="Verdana" w:hAnsi="Verdana"/>
          <w:color w:val="000000"/>
          <w:sz w:val="17"/>
          <w:szCs w:val="17"/>
        </w:rPr>
      </w:pPr>
    </w:p>
    <w:p w14:paraId="6D64CB8C" w14:textId="1B479FF4" w:rsidR="008F74D8" w:rsidRPr="008838CC" w:rsidRDefault="008F74D8" w:rsidP="00224CEB">
      <w:pPr>
        <w:spacing w:line="276" w:lineRule="auto"/>
        <w:jc w:val="both"/>
        <w:rPr>
          <w:rFonts w:ascii="Verdana" w:hAnsi="Verdana"/>
          <w:color w:val="000000"/>
          <w:sz w:val="17"/>
          <w:szCs w:val="17"/>
        </w:rPr>
      </w:pPr>
    </w:p>
    <w:p w14:paraId="1CD0AD69" w14:textId="0A211BB9" w:rsidR="008F74D8" w:rsidRPr="008838CC" w:rsidRDefault="00865B04" w:rsidP="00224CEB">
      <w:pPr>
        <w:spacing w:line="276" w:lineRule="auto"/>
        <w:jc w:val="both"/>
        <w:rPr>
          <w:rFonts w:ascii="Verdana" w:hAnsi="Verdana"/>
          <w:color w:val="000000"/>
          <w:sz w:val="17"/>
          <w:szCs w:val="17"/>
        </w:rPr>
      </w:pPr>
      <w:r w:rsidRPr="008838CC">
        <w:rPr>
          <w:rFonts w:ascii="Verdana" w:hAnsi="Verdana"/>
          <w:color w:val="000000"/>
          <w:sz w:val="17"/>
          <w:szCs w:val="17"/>
        </w:rPr>
        <w:t>In addition, Insurance Europe reiterates that EIOPA should address the arbitrary scaling factors for the Motor LoB for the Flood and Hail scenarios.</w:t>
      </w:r>
    </w:p>
    <w:p w14:paraId="34735DA5" w14:textId="77777777" w:rsidR="00172A53" w:rsidRPr="008838CC" w:rsidRDefault="00172A53" w:rsidP="00224CEB">
      <w:pPr>
        <w:spacing w:line="276" w:lineRule="auto"/>
        <w:jc w:val="both"/>
        <w:rPr>
          <w:rFonts w:ascii="Verdana" w:hAnsi="Verdana"/>
          <w:color w:val="000000"/>
          <w:sz w:val="17"/>
          <w:szCs w:val="17"/>
        </w:rPr>
      </w:pPr>
    </w:p>
    <w:p w14:paraId="301FC351" w14:textId="7654EA31"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6.5.1</w:t>
      </w:r>
      <w:r w:rsidR="006E66E0" w:rsidRPr="008838CC">
        <w:rPr>
          <w:rFonts w:ascii="Verdana" w:hAnsi="Verdana"/>
          <w:b/>
          <w:color w:val="000000"/>
          <w:sz w:val="17"/>
          <w:szCs w:val="17"/>
          <w:u w:val="single"/>
        </w:rPr>
        <w:t xml:space="preserve"> Contractual limits and natural catastrophe risk – legal basis</w:t>
      </w:r>
    </w:p>
    <w:p w14:paraId="4D94D1B7" w14:textId="02F3D6AD"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6.5.2</w:t>
      </w:r>
      <w:r w:rsidR="006E66E0" w:rsidRPr="008838CC">
        <w:rPr>
          <w:rFonts w:ascii="Verdana" w:hAnsi="Verdana"/>
          <w:b/>
          <w:color w:val="000000"/>
          <w:sz w:val="17"/>
          <w:szCs w:val="17"/>
          <w:u w:val="single"/>
        </w:rPr>
        <w:t xml:space="preserve"> </w:t>
      </w:r>
      <w:r w:rsidR="006E66E0" w:rsidRPr="008838CC">
        <w:rPr>
          <w:rFonts w:ascii="Verdana" w:hAnsi="Verdana"/>
          <w:b/>
          <w:color w:val="000000"/>
          <w:sz w:val="17"/>
          <w:szCs w:val="17"/>
          <w:u w:val="single"/>
          <w:lang w:val="en-GB"/>
        </w:rPr>
        <w:t>Feedback statement on the main comments received to the discussion paper</w:t>
      </w:r>
    </w:p>
    <w:p w14:paraId="613E4AC5" w14:textId="3868CB4B"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6.5.3.1</w:t>
      </w:r>
      <w:r w:rsidR="006E66E0" w:rsidRPr="008838CC">
        <w:rPr>
          <w:rFonts w:ascii="Verdana" w:hAnsi="Verdana"/>
          <w:b/>
          <w:color w:val="000000"/>
          <w:sz w:val="17"/>
          <w:szCs w:val="17"/>
          <w:u w:val="single"/>
        </w:rPr>
        <w:t xml:space="preserve"> Previous advice</w:t>
      </w:r>
    </w:p>
    <w:p w14:paraId="2DC759FC" w14:textId="01945C2E"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6.5.3.2</w:t>
      </w:r>
      <w:r w:rsidR="006E66E0" w:rsidRPr="008838CC">
        <w:rPr>
          <w:rFonts w:ascii="Verdana" w:hAnsi="Verdana"/>
          <w:b/>
          <w:color w:val="000000"/>
          <w:sz w:val="17"/>
          <w:szCs w:val="17"/>
          <w:u w:val="single"/>
        </w:rPr>
        <w:t xml:space="preserve"> Analysis</w:t>
      </w:r>
    </w:p>
    <w:p w14:paraId="53D3DA09" w14:textId="7CA3EEF1"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6.5.3.3</w:t>
      </w:r>
      <w:r w:rsidR="006E66E0" w:rsidRPr="008838CC">
        <w:rPr>
          <w:rFonts w:ascii="Verdana" w:hAnsi="Verdana"/>
          <w:b/>
          <w:color w:val="000000"/>
          <w:sz w:val="17"/>
          <w:szCs w:val="17"/>
          <w:u w:val="single"/>
        </w:rPr>
        <w:t xml:space="preserve"> EIOPA’s advice</w:t>
      </w:r>
    </w:p>
    <w:p w14:paraId="799CF3E7" w14:textId="1ABBF273" w:rsidR="001D3388" w:rsidRPr="008838CC" w:rsidRDefault="001D3388" w:rsidP="001D3388">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acknowledges the difficulty of incorporating the presence of individual undertakings’ contractual limits into the volume </w:t>
      </w:r>
      <w:r w:rsidRPr="008838CC">
        <w:rPr>
          <w:rFonts w:ascii="Verdana" w:hAnsi="Verdana"/>
          <w:bCs/>
          <w:color w:val="000000"/>
          <w:sz w:val="17"/>
          <w:szCs w:val="17"/>
        </w:rPr>
        <w:t>measu</w:t>
      </w:r>
      <w:r w:rsidR="006E66E0" w:rsidRPr="008838CC">
        <w:rPr>
          <w:rFonts w:ascii="Verdana" w:hAnsi="Verdana"/>
          <w:bCs/>
          <w:color w:val="000000"/>
          <w:sz w:val="17"/>
          <w:szCs w:val="17"/>
        </w:rPr>
        <w:t>r</w:t>
      </w:r>
      <w:r w:rsidRPr="008838CC">
        <w:rPr>
          <w:rFonts w:ascii="Verdana" w:hAnsi="Verdana"/>
          <w:bCs/>
          <w:color w:val="000000"/>
          <w:sz w:val="17"/>
          <w:szCs w:val="17"/>
        </w:rPr>
        <w:t>e</w:t>
      </w:r>
      <w:r w:rsidRPr="008838CC">
        <w:rPr>
          <w:rFonts w:ascii="Verdana" w:hAnsi="Verdana"/>
          <w:color w:val="000000"/>
          <w:sz w:val="17"/>
          <w:szCs w:val="17"/>
        </w:rPr>
        <w:t xml:space="preserve"> of the catastrophe risk submodules.</w:t>
      </w:r>
    </w:p>
    <w:p w14:paraId="7A93C83E" w14:textId="77777777" w:rsidR="001D3388" w:rsidRPr="008838CC" w:rsidRDefault="001D3388" w:rsidP="001D3388">
      <w:pPr>
        <w:spacing w:line="276" w:lineRule="auto"/>
        <w:jc w:val="both"/>
        <w:rPr>
          <w:rFonts w:ascii="Verdana" w:hAnsi="Verdana"/>
          <w:color w:val="000000"/>
          <w:sz w:val="17"/>
          <w:szCs w:val="17"/>
        </w:rPr>
      </w:pPr>
    </w:p>
    <w:p w14:paraId="620F7872" w14:textId="77777777" w:rsidR="001D3388" w:rsidRPr="008838CC" w:rsidRDefault="001D3388" w:rsidP="001D3388">
      <w:pPr>
        <w:spacing w:line="276" w:lineRule="auto"/>
        <w:jc w:val="both"/>
        <w:rPr>
          <w:rFonts w:ascii="Verdana" w:hAnsi="Verdana"/>
          <w:color w:val="000000"/>
          <w:sz w:val="17"/>
          <w:szCs w:val="17"/>
        </w:rPr>
      </w:pPr>
      <w:r w:rsidRPr="008838CC">
        <w:rPr>
          <w:rFonts w:ascii="Verdana" w:hAnsi="Verdana"/>
          <w:color w:val="000000"/>
          <w:sz w:val="17"/>
          <w:szCs w:val="17"/>
        </w:rPr>
        <w:t xml:space="preserve">However, it does not believe that EIOPA’s proposed ex-post adjustment will sufficiently address the issue. For the majority of catastrophe scenarios, severe restrictions would need to apply before any benefit was provided. </w:t>
      </w:r>
    </w:p>
    <w:p w14:paraId="296F778C" w14:textId="77777777" w:rsidR="001D3388" w:rsidRPr="008838CC" w:rsidRDefault="001D3388" w:rsidP="001D3388">
      <w:pPr>
        <w:spacing w:line="276" w:lineRule="auto"/>
        <w:jc w:val="both"/>
        <w:rPr>
          <w:rFonts w:ascii="Verdana" w:hAnsi="Verdana"/>
          <w:color w:val="000000"/>
          <w:sz w:val="17"/>
          <w:szCs w:val="17"/>
        </w:rPr>
      </w:pPr>
    </w:p>
    <w:p w14:paraId="556B6E57" w14:textId="642E4D6B" w:rsidR="001D3388" w:rsidRPr="008838CC" w:rsidRDefault="005560BB" w:rsidP="001D3388">
      <w:pPr>
        <w:spacing w:line="276" w:lineRule="auto"/>
        <w:jc w:val="both"/>
        <w:rPr>
          <w:rFonts w:ascii="Verdana" w:hAnsi="Verdana"/>
          <w:color w:val="000000"/>
          <w:sz w:val="17"/>
          <w:szCs w:val="17"/>
        </w:rPr>
      </w:pPr>
      <w:r w:rsidRPr="008838CC">
        <w:rPr>
          <w:rFonts w:ascii="Verdana" w:hAnsi="Verdana"/>
          <w:color w:val="000000"/>
          <w:sz w:val="17"/>
          <w:szCs w:val="17"/>
        </w:rPr>
        <w:t>Insurance Europe further highlights that t</w:t>
      </w:r>
      <w:r w:rsidR="001D3388" w:rsidRPr="008838CC">
        <w:rPr>
          <w:rFonts w:ascii="Verdana" w:hAnsi="Verdana"/>
          <w:color w:val="000000"/>
          <w:sz w:val="17"/>
          <w:szCs w:val="17"/>
        </w:rPr>
        <w:t xml:space="preserve">he </w:t>
      </w:r>
      <w:r w:rsidRPr="008838CC">
        <w:rPr>
          <w:rFonts w:ascii="Verdana" w:hAnsi="Verdana"/>
          <w:color w:val="000000"/>
          <w:sz w:val="17"/>
          <w:szCs w:val="17"/>
        </w:rPr>
        <w:t xml:space="preserve">proposed </w:t>
      </w:r>
      <w:r w:rsidR="001D3388" w:rsidRPr="008838CC">
        <w:rPr>
          <w:rFonts w:ascii="Verdana" w:hAnsi="Verdana"/>
          <w:color w:val="000000"/>
          <w:sz w:val="17"/>
          <w:szCs w:val="17"/>
        </w:rPr>
        <w:t xml:space="preserve">adjustment applies at the level of the risk zones which </w:t>
      </w:r>
      <w:r w:rsidR="006238B4" w:rsidRPr="008838CC">
        <w:rPr>
          <w:rFonts w:ascii="Verdana" w:hAnsi="Verdana"/>
          <w:color w:val="000000"/>
          <w:sz w:val="17"/>
          <w:szCs w:val="17"/>
        </w:rPr>
        <w:t xml:space="preserve">reduces </w:t>
      </w:r>
      <w:r w:rsidRPr="008838CC">
        <w:rPr>
          <w:rFonts w:ascii="Verdana" w:hAnsi="Verdana"/>
          <w:color w:val="000000"/>
          <w:sz w:val="17"/>
          <w:szCs w:val="17"/>
        </w:rPr>
        <w:t xml:space="preserve">its </w:t>
      </w:r>
      <w:r w:rsidR="006238B4" w:rsidRPr="008838CC">
        <w:rPr>
          <w:rFonts w:ascii="Verdana" w:hAnsi="Verdana"/>
          <w:color w:val="000000"/>
          <w:sz w:val="17"/>
          <w:szCs w:val="17"/>
        </w:rPr>
        <w:t>ability to capture individual policy limits</w:t>
      </w:r>
      <w:r w:rsidRPr="008838CC">
        <w:rPr>
          <w:rFonts w:ascii="Verdana" w:hAnsi="Verdana"/>
          <w:color w:val="000000"/>
          <w:sz w:val="17"/>
          <w:szCs w:val="17"/>
        </w:rPr>
        <w:t xml:space="preserve">. </w:t>
      </w:r>
      <w:r w:rsidR="006E66E0" w:rsidRPr="008838CC">
        <w:rPr>
          <w:rFonts w:ascii="Verdana" w:hAnsi="Verdana"/>
          <w:bCs/>
          <w:color w:val="000000"/>
          <w:sz w:val="17"/>
          <w:szCs w:val="17"/>
        </w:rPr>
        <w:t>For example, a</w:t>
      </w:r>
      <w:r w:rsidRPr="008838CC">
        <w:rPr>
          <w:rFonts w:ascii="Verdana" w:hAnsi="Verdana"/>
          <w:bCs/>
          <w:color w:val="000000"/>
          <w:sz w:val="17"/>
          <w:szCs w:val="17"/>
        </w:rPr>
        <w:t>ny</w:t>
      </w:r>
      <w:r w:rsidRPr="008838CC">
        <w:rPr>
          <w:rFonts w:ascii="Verdana" w:hAnsi="Verdana"/>
          <w:color w:val="000000"/>
          <w:sz w:val="17"/>
          <w:szCs w:val="17"/>
        </w:rPr>
        <w:t xml:space="preserve"> contracts without restrictive contractual limits </w:t>
      </w:r>
      <w:r w:rsidR="006E66E0" w:rsidRPr="008838CC">
        <w:rPr>
          <w:rFonts w:ascii="Verdana" w:hAnsi="Verdana"/>
          <w:bCs/>
          <w:color w:val="000000"/>
          <w:sz w:val="17"/>
          <w:szCs w:val="17"/>
        </w:rPr>
        <w:t xml:space="preserve">in a given risk zone </w:t>
      </w:r>
      <w:r w:rsidRPr="008838CC">
        <w:rPr>
          <w:rFonts w:ascii="Verdana" w:hAnsi="Verdana"/>
          <w:color w:val="000000"/>
          <w:sz w:val="17"/>
          <w:szCs w:val="17"/>
        </w:rPr>
        <w:t>would</w:t>
      </w:r>
      <w:r w:rsidR="006E66E0" w:rsidRPr="008838CC">
        <w:rPr>
          <w:rFonts w:ascii="Verdana" w:hAnsi="Verdana"/>
          <w:bCs/>
          <w:color w:val="000000"/>
          <w:sz w:val="17"/>
          <w:szCs w:val="17"/>
        </w:rPr>
        <w:t>,</w:t>
      </w:r>
      <w:r w:rsidRPr="008838CC">
        <w:rPr>
          <w:rFonts w:ascii="Verdana" w:hAnsi="Verdana"/>
          <w:color w:val="000000"/>
          <w:sz w:val="17"/>
          <w:szCs w:val="17"/>
        </w:rPr>
        <w:t xml:space="preserve"> in effect</w:t>
      </w:r>
      <w:r w:rsidR="006E66E0" w:rsidRPr="008838CC">
        <w:rPr>
          <w:rFonts w:ascii="Verdana" w:hAnsi="Verdana"/>
          <w:bCs/>
          <w:color w:val="000000"/>
          <w:sz w:val="17"/>
          <w:szCs w:val="17"/>
        </w:rPr>
        <w:t>,</w:t>
      </w:r>
      <w:r w:rsidRPr="008838CC">
        <w:rPr>
          <w:rFonts w:ascii="Verdana" w:hAnsi="Verdana"/>
          <w:color w:val="000000"/>
          <w:sz w:val="17"/>
          <w:szCs w:val="17"/>
        </w:rPr>
        <w:t xml:space="preserve"> be averaging out those contracts with </w:t>
      </w:r>
      <w:r w:rsidRPr="00667E4B">
        <w:rPr>
          <w:rFonts w:ascii="Verdana" w:hAnsi="Verdana"/>
          <w:bCs/>
          <w:color w:val="000000"/>
          <w:sz w:val="17"/>
          <w:szCs w:val="17"/>
        </w:rPr>
        <w:t>restr</w:t>
      </w:r>
      <w:r w:rsidR="004B3995">
        <w:rPr>
          <w:rFonts w:ascii="Verdana" w:hAnsi="Verdana"/>
          <w:bCs/>
          <w:color w:val="000000"/>
          <w:sz w:val="17"/>
          <w:szCs w:val="17"/>
        </w:rPr>
        <w:t>i</w:t>
      </w:r>
      <w:r w:rsidRPr="00667E4B">
        <w:rPr>
          <w:rFonts w:ascii="Verdana" w:hAnsi="Verdana"/>
          <w:bCs/>
          <w:color w:val="000000"/>
          <w:sz w:val="17"/>
          <w:szCs w:val="17"/>
        </w:rPr>
        <w:t>ctive</w:t>
      </w:r>
      <w:r w:rsidRPr="008838CC">
        <w:rPr>
          <w:rFonts w:ascii="Verdana" w:hAnsi="Verdana"/>
          <w:color w:val="000000"/>
          <w:sz w:val="17"/>
          <w:szCs w:val="17"/>
        </w:rPr>
        <w:t xml:space="preserve"> contractual limits. </w:t>
      </w:r>
    </w:p>
    <w:p w14:paraId="01605BAC" w14:textId="77777777" w:rsidR="00A441FC" w:rsidRPr="008838CC" w:rsidRDefault="00A441FC" w:rsidP="00A441FC">
      <w:pPr>
        <w:pStyle w:val="Nadpis1"/>
        <w:rPr>
          <w:sz w:val="17"/>
          <w:szCs w:val="17"/>
          <w:lang w:eastAsia="en-GB"/>
        </w:rPr>
      </w:pPr>
      <w:r w:rsidRPr="008838CC">
        <w:rPr>
          <w:sz w:val="17"/>
          <w:szCs w:val="17"/>
        </w:rPr>
        <w:br w:type="page"/>
      </w:r>
      <w:bookmarkStart w:id="18" w:name="_Toc497908646"/>
      <w:r w:rsidRPr="008838CC">
        <w:rPr>
          <w:sz w:val="17"/>
          <w:szCs w:val="17"/>
        </w:rPr>
        <w:t xml:space="preserve">7. </w:t>
      </w:r>
      <w:r w:rsidR="0018577F" w:rsidRPr="008838CC">
        <w:rPr>
          <w:sz w:val="17"/>
          <w:szCs w:val="17"/>
        </w:rPr>
        <w:t>Interest rate risk</w:t>
      </w:r>
      <w:bookmarkEnd w:id="18"/>
    </w:p>
    <w:p w14:paraId="68A98523" w14:textId="1E33591C"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7.1</w:t>
      </w:r>
      <w:r w:rsidR="00E43880" w:rsidRPr="008838CC">
        <w:rPr>
          <w:rFonts w:ascii="Verdana" w:hAnsi="Verdana"/>
          <w:b/>
          <w:color w:val="000000"/>
          <w:sz w:val="17"/>
          <w:szCs w:val="17"/>
          <w:u w:val="single"/>
        </w:rPr>
        <w:t xml:space="preserve"> Call for evidence</w:t>
      </w:r>
    </w:p>
    <w:p w14:paraId="1893BDCC" w14:textId="02870E44" w:rsidR="00E43880" w:rsidRPr="008838CC" w:rsidRDefault="00E43880" w:rsidP="004B7381">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believes that the interest rate risk methodology within the existing Solvency II framework remains appropriate. </w:t>
      </w:r>
      <w:r w:rsidR="004B7381" w:rsidRPr="008838CC">
        <w:rPr>
          <w:rFonts w:ascii="Verdana" w:hAnsi="Verdana"/>
          <w:color w:val="000000"/>
          <w:sz w:val="17"/>
          <w:szCs w:val="17"/>
        </w:rPr>
        <w:t>The current calibrations, while not perfect, should not give rise to prudential concerns, because the overall conservative design of Solvency II, compared to realistic cash flows, ensures insurers hold capital for extreme interest rate scenarios. In addition, key features of the methodology were designed in conjunction with other aspects of the framework and should not be considered in isolation or without impact assessment, and definitely not before the 2020 Solvency II review.</w:t>
      </w:r>
    </w:p>
    <w:p w14:paraId="123AFE14" w14:textId="762ED671" w:rsidR="001F5259" w:rsidRPr="008838CC" w:rsidRDefault="001F5259" w:rsidP="004B7381">
      <w:pPr>
        <w:spacing w:line="276" w:lineRule="auto"/>
        <w:jc w:val="both"/>
        <w:rPr>
          <w:rFonts w:ascii="Verdana" w:hAnsi="Verdana"/>
          <w:color w:val="000000"/>
          <w:sz w:val="17"/>
          <w:szCs w:val="17"/>
        </w:rPr>
      </w:pPr>
    </w:p>
    <w:p w14:paraId="4A7C1F79" w14:textId="361B82B9" w:rsidR="001F5259" w:rsidRPr="008838CC" w:rsidRDefault="00681F47" w:rsidP="004B7381">
      <w:pPr>
        <w:spacing w:line="276" w:lineRule="auto"/>
        <w:jc w:val="both"/>
        <w:rPr>
          <w:rFonts w:ascii="Verdana" w:hAnsi="Verdana"/>
          <w:color w:val="000000"/>
          <w:sz w:val="17"/>
          <w:szCs w:val="17"/>
        </w:rPr>
      </w:pPr>
      <w:r>
        <w:rPr>
          <w:rFonts w:ascii="Verdana" w:hAnsi="Verdana"/>
          <w:color w:val="000000"/>
          <w:sz w:val="17"/>
          <w:szCs w:val="17"/>
          <w:lang w:val="en-GB"/>
        </w:rPr>
        <w:t>Insurance Europe notes that, on own initiative, EIOPA is working on investigating how the interest rate risk charges could be recalibrated. Given EIOPA’s investigations,</w:t>
      </w:r>
      <w:r w:rsidR="001F5259" w:rsidRPr="008838CC">
        <w:rPr>
          <w:rFonts w:ascii="Verdana" w:hAnsi="Verdana"/>
          <w:color w:val="000000"/>
          <w:sz w:val="17"/>
          <w:szCs w:val="17"/>
          <w:lang w:val="en-GB"/>
        </w:rPr>
        <w:t xml:space="preserve"> Insurance Europe </w:t>
      </w:r>
      <w:r>
        <w:rPr>
          <w:rFonts w:ascii="Verdana" w:hAnsi="Verdana"/>
          <w:color w:val="000000"/>
          <w:sz w:val="17"/>
          <w:szCs w:val="17"/>
          <w:lang w:val="en-GB"/>
        </w:rPr>
        <w:t>believes that</w:t>
      </w:r>
      <w:r w:rsidRPr="008838CC">
        <w:rPr>
          <w:rFonts w:ascii="Verdana" w:hAnsi="Verdana"/>
          <w:color w:val="000000"/>
          <w:sz w:val="17"/>
          <w:szCs w:val="17"/>
          <w:lang w:val="en-GB"/>
        </w:rPr>
        <w:t xml:space="preserve"> </w:t>
      </w:r>
      <w:r w:rsidR="001F5259" w:rsidRPr="008838CC">
        <w:rPr>
          <w:rFonts w:ascii="Verdana" w:hAnsi="Verdana"/>
          <w:color w:val="000000"/>
          <w:sz w:val="17"/>
          <w:szCs w:val="17"/>
          <w:lang w:val="en-GB"/>
        </w:rPr>
        <w:t>the use of the “shifted approach” model</w:t>
      </w:r>
      <w:r>
        <w:rPr>
          <w:rFonts w:ascii="Verdana" w:hAnsi="Verdana"/>
          <w:color w:val="000000"/>
          <w:sz w:val="17"/>
          <w:szCs w:val="17"/>
          <w:lang w:val="en-GB"/>
        </w:rPr>
        <w:t xml:space="preserve"> is the most appropriate among the models investigated</w:t>
      </w:r>
      <w:r w:rsidR="001F5259" w:rsidRPr="008838CC">
        <w:rPr>
          <w:rFonts w:ascii="Verdana" w:hAnsi="Verdana"/>
          <w:color w:val="000000"/>
          <w:sz w:val="17"/>
          <w:szCs w:val="17"/>
          <w:lang w:val="en-GB"/>
        </w:rPr>
        <w:t xml:space="preserve">. </w:t>
      </w:r>
    </w:p>
    <w:p w14:paraId="57F8D3D6" w14:textId="77777777" w:rsidR="001F5259" w:rsidRPr="008838CC" w:rsidRDefault="001F5259" w:rsidP="004B7381">
      <w:pPr>
        <w:spacing w:line="276" w:lineRule="auto"/>
        <w:jc w:val="both"/>
        <w:rPr>
          <w:rFonts w:ascii="Verdana" w:hAnsi="Verdana"/>
          <w:color w:val="000000"/>
          <w:sz w:val="17"/>
          <w:szCs w:val="17"/>
        </w:rPr>
      </w:pPr>
    </w:p>
    <w:p w14:paraId="7DE5B3D8" w14:textId="5510596F" w:rsidR="001F5259" w:rsidRPr="008838CC" w:rsidRDefault="001F5259" w:rsidP="004B7381">
      <w:pPr>
        <w:spacing w:line="276" w:lineRule="auto"/>
        <w:jc w:val="both"/>
        <w:rPr>
          <w:rFonts w:ascii="Verdana" w:hAnsi="Verdana"/>
          <w:color w:val="000000"/>
          <w:sz w:val="17"/>
          <w:szCs w:val="17"/>
          <w:lang w:val="en-GB"/>
        </w:rPr>
      </w:pPr>
      <w:r w:rsidRPr="008838CC">
        <w:rPr>
          <w:rFonts w:ascii="Verdana" w:hAnsi="Verdana"/>
          <w:color w:val="000000"/>
          <w:sz w:val="17"/>
          <w:szCs w:val="17"/>
        </w:rPr>
        <w:t>Insurance Europe is disappointed that EIOPA has not investigated this model further. By not including it in the data collection exercise, EIOPA has restricted the scope of its assessment and has, to all intents and purposes, presented a fait accompli.</w:t>
      </w:r>
    </w:p>
    <w:p w14:paraId="6141A8E1" w14:textId="77777777" w:rsidR="00212B60" w:rsidRPr="008838CC" w:rsidRDefault="00212B60" w:rsidP="00644F0A">
      <w:pPr>
        <w:spacing w:line="276" w:lineRule="auto"/>
        <w:rPr>
          <w:rFonts w:ascii="Verdana" w:hAnsi="Verdana"/>
          <w:b/>
          <w:color w:val="000000"/>
          <w:sz w:val="17"/>
          <w:szCs w:val="17"/>
          <w:u w:val="single"/>
        </w:rPr>
      </w:pPr>
    </w:p>
    <w:p w14:paraId="4A657DA3" w14:textId="4327B30C"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7.2</w:t>
      </w:r>
      <w:r w:rsidR="003B7969" w:rsidRPr="008838CC">
        <w:rPr>
          <w:rFonts w:ascii="Verdana" w:hAnsi="Verdana"/>
          <w:b/>
          <w:color w:val="000000"/>
          <w:sz w:val="17"/>
          <w:szCs w:val="17"/>
          <w:u w:val="single"/>
        </w:rPr>
        <w:t xml:space="preserve"> Legal basis</w:t>
      </w:r>
    </w:p>
    <w:p w14:paraId="5FEB3E54" w14:textId="77777777" w:rsidR="003B7969" w:rsidRPr="008838CC" w:rsidRDefault="003B7969" w:rsidP="00644F0A">
      <w:pPr>
        <w:spacing w:line="276" w:lineRule="auto"/>
        <w:rPr>
          <w:rFonts w:ascii="Verdana" w:hAnsi="Verdana"/>
          <w:b/>
          <w:color w:val="000000"/>
          <w:sz w:val="17"/>
          <w:szCs w:val="17"/>
          <w:u w:val="single"/>
        </w:rPr>
      </w:pPr>
    </w:p>
    <w:p w14:paraId="3291A710" w14:textId="1EA6D6DA"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7.3</w:t>
      </w:r>
      <w:r w:rsidR="003B7969" w:rsidRPr="008838CC">
        <w:rPr>
          <w:rFonts w:ascii="Verdana" w:hAnsi="Verdana"/>
          <w:b/>
          <w:color w:val="000000"/>
          <w:sz w:val="17"/>
          <w:szCs w:val="17"/>
          <w:u w:val="single"/>
        </w:rPr>
        <w:t xml:space="preserve"> Feedback statement on the main comments received to the discussion paper</w:t>
      </w:r>
    </w:p>
    <w:p w14:paraId="61E62DC8" w14:textId="2A07A921" w:rsidR="003B7969" w:rsidRPr="008838CC" w:rsidRDefault="003B7969" w:rsidP="00644F0A">
      <w:pPr>
        <w:spacing w:line="276" w:lineRule="auto"/>
        <w:rPr>
          <w:rFonts w:ascii="Verdana" w:hAnsi="Verdana"/>
          <w:b/>
          <w:color w:val="000000"/>
          <w:sz w:val="17"/>
          <w:szCs w:val="17"/>
        </w:rPr>
      </w:pPr>
      <w:r w:rsidRPr="008838CC">
        <w:rPr>
          <w:rFonts w:ascii="Verdana" w:hAnsi="Verdana"/>
          <w:b/>
          <w:color w:val="000000"/>
          <w:sz w:val="17"/>
          <w:szCs w:val="17"/>
        </w:rPr>
        <w:t>Paragraphs 436-439</w:t>
      </w:r>
    </w:p>
    <w:p w14:paraId="018D3DCB" w14:textId="77A0A988" w:rsidR="003B7969" w:rsidRPr="008838CC" w:rsidRDefault="003B7969" w:rsidP="003B7969">
      <w:pPr>
        <w:spacing w:line="276" w:lineRule="auto"/>
        <w:jc w:val="both"/>
        <w:rPr>
          <w:rFonts w:ascii="Verdana" w:hAnsi="Verdana"/>
          <w:color w:val="000000"/>
          <w:sz w:val="17"/>
          <w:szCs w:val="17"/>
        </w:rPr>
      </w:pPr>
      <w:r w:rsidRPr="008838CC">
        <w:rPr>
          <w:rFonts w:ascii="Verdana" w:hAnsi="Verdana"/>
          <w:color w:val="000000"/>
          <w:sz w:val="17"/>
          <w:szCs w:val="17"/>
        </w:rPr>
        <w:t>Insurance Europe reiterates that the original design and calibration of the interest rate risk submodule w</w:t>
      </w:r>
      <w:r w:rsidR="00681F47">
        <w:rPr>
          <w:rFonts w:ascii="Verdana" w:hAnsi="Verdana"/>
          <w:color w:val="000000"/>
          <w:sz w:val="17"/>
          <w:szCs w:val="17"/>
        </w:rPr>
        <w:t>ere</w:t>
      </w:r>
      <w:r w:rsidRPr="008838CC">
        <w:rPr>
          <w:rFonts w:ascii="Verdana" w:hAnsi="Verdana"/>
          <w:color w:val="000000"/>
          <w:sz w:val="17"/>
          <w:szCs w:val="17"/>
        </w:rPr>
        <w:t xml:space="preserve"> conducted in conjunction with other, interconnected, parts of the Solvency II framework, namely the RFR</w:t>
      </w:r>
      <w:r w:rsidR="009471F3" w:rsidRPr="008838CC">
        <w:rPr>
          <w:rFonts w:ascii="Verdana" w:hAnsi="Verdana"/>
          <w:color w:val="000000"/>
          <w:sz w:val="17"/>
          <w:szCs w:val="17"/>
        </w:rPr>
        <w:t xml:space="preserve"> methodology</w:t>
      </w:r>
      <w:r w:rsidRPr="008838CC">
        <w:rPr>
          <w:rFonts w:ascii="Verdana" w:hAnsi="Verdana"/>
          <w:color w:val="000000"/>
          <w:sz w:val="17"/>
          <w:szCs w:val="17"/>
        </w:rPr>
        <w:t>, including the UFR, and the LTG measures. Any changes to the interest-rate risk submodule will alter the balance provided by these different parts of the framework</w:t>
      </w:r>
      <w:r w:rsidR="0065524C" w:rsidRPr="008838CC">
        <w:rPr>
          <w:rFonts w:ascii="Verdana" w:hAnsi="Verdana"/>
          <w:color w:val="000000"/>
          <w:sz w:val="17"/>
          <w:szCs w:val="17"/>
        </w:rPr>
        <w:t xml:space="preserve"> and should, therefore, not be made</w:t>
      </w:r>
      <w:r w:rsidRPr="008838CC">
        <w:rPr>
          <w:rFonts w:ascii="Verdana" w:hAnsi="Verdana"/>
          <w:color w:val="000000"/>
          <w:sz w:val="17"/>
          <w:szCs w:val="17"/>
        </w:rPr>
        <w:t xml:space="preserve"> in isolation.</w:t>
      </w:r>
    </w:p>
    <w:p w14:paraId="5542339F" w14:textId="72909C42" w:rsidR="0065524C" w:rsidRPr="008838CC" w:rsidRDefault="0065524C" w:rsidP="003B7969">
      <w:pPr>
        <w:spacing w:line="276" w:lineRule="auto"/>
        <w:jc w:val="both"/>
        <w:rPr>
          <w:rFonts w:ascii="Verdana" w:hAnsi="Verdana"/>
          <w:color w:val="000000"/>
          <w:sz w:val="17"/>
          <w:szCs w:val="17"/>
        </w:rPr>
      </w:pPr>
    </w:p>
    <w:p w14:paraId="6C861A59" w14:textId="6994C4CF" w:rsidR="0065524C" w:rsidRPr="008838CC" w:rsidRDefault="0065524C" w:rsidP="003B7969">
      <w:pPr>
        <w:spacing w:line="276" w:lineRule="auto"/>
        <w:jc w:val="both"/>
        <w:rPr>
          <w:rFonts w:ascii="Verdana" w:hAnsi="Verdana"/>
          <w:color w:val="000000"/>
          <w:sz w:val="17"/>
          <w:szCs w:val="17"/>
        </w:rPr>
      </w:pPr>
      <w:r w:rsidRPr="008838CC">
        <w:rPr>
          <w:rFonts w:ascii="Verdana" w:hAnsi="Verdana"/>
          <w:color w:val="000000"/>
          <w:sz w:val="17"/>
          <w:szCs w:val="17"/>
        </w:rPr>
        <w:t>The issue of changing market risk correlations, acknowledged by EIOPA, further substantiates this position. Indeed, Insurance Europe believes it is strange that EIOPA ha</w:t>
      </w:r>
      <w:r w:rsidR="00681F47">
        <w:rPr>
          <w:rFonts w:ascii="Verdana" w:hAnsi="Verdana"/>
          <w:color w:val="000000"/>
          <w:sz w:val="17"/>
          <w:szCs w:val="17"/>
        </w:rPr>
        <w:t>s</w:t>
      </w:r>
      <w:r w:rsidRPr="008838CC">
        <w:rPr>
          <w:rFonts w:ascii="Verdana" w:hAnsi="Verdana"/>
          <w:color w:val="000000"/>
          <w:sz w:val="17"/>
          <w:szCs w:val="17"/>
        </w:rPr>
        <w:t xml:space="preserve"> decided that the market risk correlations is out of scope when it was EIOPA, it</w:t>
      </w:r>
      <w:r w:rsidR="009471F3" w:rsidRPr="008838CC">
        <w:rPr>
          <w:rFonts w:ascii="Verdana" w:hAnsi="Verdana"/>
          <w:color w:val="000000"/>
          <w:sz w:val="17"/>
          <w:szCs w:val="17"/>
        </w:rPr>
        <w:t>self, who decided the scope of its</w:t>
      </w:r>
      <w:r w:rsidRPr="008838CC">
        <w:rPr>
          <w:rFonts w:ascii="Verdana" w:hAnsi="Verdana"/>
          <w:color w:val="000000"/>
          <w:sz w:val="17"/>
          <w:szCs w:val="17"/>
        </w:rPr>
        <w:t xml:space="preserve"> work in this area.</w:t>
      </w:r>
    </w:p>
    <w:p w14:paraId="18C62198" w14:textId="77777777" w:rsidR="0065524C" w:rsidRPr="008838CC" w:rsidRDefault="0065524C" w:rsidP="003B7969">
      <w:pPr>
        <w:spacing w:line="276" w:lineRule="auto"/>
        <w:jc w:val="both"/>
        <w:rPr>
          <w:rFonts w:ascii="Verdana" w:hAnsi="Verdana"/>
          <w:color w:val="000000"/>
          <w:sz w:val="17"/>
          <w:szCs w:val="17"/>
        </w:rPr>
      </w:pPr>
    </w:p>
    <w:p w14:paraId="46C83467" w14:textId="76129BDA" w:rsidR="003B7969" w:rsidRPr="008838CC" w:rsidRDefault="0065524C" w:rsidP="0065524C">
      <w:pPr>
        <w:spacing w:line="276" w:lineRule="auto"/>
        <w:jc w:val="both"/>
        <w:rPr>
          <w:rFonts w:ascii="Verdana" w:hAnsi="Verdana"/>
          <w:b/>
          <w:color w:val="000000"/>
          <w:sz w:val="17"/>
          <w:szCs w:val="17"/>
        </w:rPr>
      </w:pPr>
      <w:r w:rsidRPr="008838CC">
        <w:rPr>
          <w:rFonts w:ascii="Verdana" w:hAnsi="Verdana"/>
          <w:b/>
          <w:color w:val="000000"/>
          <w:sz w:val="17"/>
          <w:szCs w:val="17"/>
        </w:rPr>
        <w:t>Insurance Europe does not believe that EIOPA</w:t>
      </w:r>
      <w:r w:rsidR="009471F3" w:rsidRPr="008838CC">
        <w:rPr>
          <w:rFonts w:ascii="Verdana" w:hAnsi="Verdana"/>
          <w:b/>
          <w:color w:val="000000"/>
          <w:sz w:val="17"/>
          <w:szCs w:val="17"/>
        </w:rPr>
        <w:t>’s analysis h</w:t>
      </w:r>
      <w:r w:rsidRPr="008838CC">
        <w:rPr>
          <w:rFonts w:ascii="Verdana" w:hAnsi="Verdana"/>
          <w:b/>
          <w:color w:val="000000"/>
          <w:sz w:val="17"/>
          <w:szCs w:val="17"/>
        </w:rPr>
        <w:t xml:space="preserve">as </w:t>
      </w:r>
      <w:r w:rsidR="009471F3" w:rsidRPr="008838CC">
        <w:rPr>
          <w:rFonts w:ascii="Verdana" w:hAnsi="Verdana"/>
          <w:b/>
          <w:color w:val="000000"/>
          <w:sz w:val="17"/>
          <w:szCs w:val="17"/>
        </w:rPr>
        <w:t xml:space="preserve">fully </w:t>
      </w:r>
      <w:r w:rsidRPr="008838CC">
        <w:rPr>
          <w:rFonts w:ascii="Verdana" w:hAnsi="Verdana"/>
          <w:b/>
          <w:color w:val="000000"/>
          <w:sz w:val="17"/>
          <w:szCs w:val="17"/>
        </w:rPr>
        <w:t>addressed stakeholders</w:t>
      </w:r>
      <w:r w:rsidR="00681F47">
        <w:rPr>
          <w:rFonts w:ascii="Verdana" w:hAnsi="Verdana"/>
          <w:b/>
          <w:color w:val="000000"/>
          <w:sz w:val="17"/>
          <w:szCs w:val="17"/>
        </w:rPr>
        <w:t>’</w:t>
      </w:r>
      <w:r w:rsidRPr="008838CC">
        <w:rPr>
          <w:rFonts w:ascii="Verdana" w:hAnsi="Verdana"/>
          <w:b/>
          <w:color w:val="000000"/>
          <w:sz w:val="17"/>
          <w:szCs w:val="17"/>
        </w:rPr>
        <w:t xml:space="preserve"> concerns and does not agree that a change to the interest rate risk submodule </w:t>
      </w:r>
      <w:r w:rsidR="009471F3" w:rsidRPr="008838CC">
        <w:rPr>
          <w:rFonts w:ascii="Verdana" w:hAnsi="Verdana"/>
          <w:b/>
          <w:color w:val="000000"/>
          <w:sz w:val="17"/>
          <w:szCs w:val="17"/>
        </w:rPr>
        <w:t>is</w:t>
      </w:r>
      <w:r w:rsidRPr="008838CC">
        <w:rPr>
          <w:rFonts w:ascii="Verdana" w:hAnsi="Verdana"/>
          <w:b/>
          <w:color w:val="000000"/>
          <w:sz w:val="17"/>
          <w:szCs w:val="17"/>
        </w:rPr>
        <w:t xml:space="preserve"> necessary at present.</w:t>
      </w:r>
    </w:p>
    <w:p w14:paraId="61225978" w14:textId="31C01056" w:rsidR="0065524C" w:rsidRPr="008838CC" w:rsidRDefault="0065524C" w:rsidP="0065524C">
      <w:pPr>
        <w:spacing w:line="276" w:lineRule="auto"/>
        <w:jc w:val="both"/>
        <w:rPr>
          <w:rFonts w:ascii="Verdana" w:hAnsi="Verdana"/>
          <w:color w:val="000000"/>
          <w:sz w:val="17"/>
          <w:szCs w:val="17"/>
        </w:rPr>
      </w:pPr>
    </w:p>
    <w:p w14:paraId="303F8464" w14:textId="58B14F74" w:rsidR="0065524C" w:rsidRPr="008838CC" w:rsidRDefault="0065524C" w:rsidP="0065524C">
      <w:pPr>
        <w:spacing w:line="276" w:lineRule="auto"/>
        <w:jc w:val="both"/>
        <w:rPr>
          <w:rFonts w:ascii="Verdana" w:hAnsi="Verdana"/>
          <w:b/>
          <w:color w:val="000000"/>
          <w:sz w:val="17"/>
          <w:szCs w:val="17"/>
        </w:rPr>
      </w:pPr>
      <w:r w:rsidRPr="008838CC">
        <w:rPr>
          <w:rFonts w:ascii="Verdana" w:hAnsi="Verdana"/>
          <w:b/>
          <w:color w:val="000000"/>
          <w:sz w:val="17"/>
          <w:szCs w:val="17"/>
        </w:rPr>
        <w:t>Paragraph</w:t>
      </w:r>
      <w:r w:rsidR="004F4873" w:rsidRPr="008838CC">
        <w:rPr>
          <w:rFonts w:ascii="Verdana" w:hAnsi="Verdana"/>
          <w:b/>
          <w:color w:val="000000"/>
          <w:sz w:val="17"/>
          <w:szCs w:val="17"/>
        </w:rPr>
        <w:t xml:space="preserve"> 440-449</w:t>
      </w:r>
      <w:r w:rsidRPr="008838CC">
        <w:rPr>
          <w:rFonts w:ascii="Verdana" w:hAnsi="Verdana"/>
          <w:b/>
          <w:color w:val="000000"/>
          <w:sz w:val="17"/>
          <w:szCs w:val="17"/>
        </w:rPr>
        <w:t xml:space="preserve"> </w:t>
      </w:r>
    </w:p>
    <w:p w14:paraId="25420263" w14:textId="455F7C0D" w:rsidR="004F4873" w:rsidRPr="008838CC" w:rsidRDefault="004F4873" w:rsidP="0065524C">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t>
      </w:r>
      <w:r w:rsidR="00B977A0" w:rsidRPr="008838CC">
        <w:rPr>
          <w:rFonts w:ascii="Verdana" w:hAnsi="Verdana"/>
          <w:color w:val="000000"/>
          <w:sz w:val="17"/>
          <w:szCs w:val="17"/>
        </w:rPr>
        <w:t>reiterates</w:t>
      </w:r>
      <w:r w:rsidRPr="008838CC">
        <w:rPr>
          <w:rFonts w:ascii="Verdana" w:hAnsi="Verdana"/>
          <w:color w:val="000000"/>
          <w:sz w:val="17"/>
          <w:szCs w:val="17"/>
        </w:rPr>
        <w:t xml:space="preserve"> the following </w:t>
      </w:r>
      <w:r w:rsidR="00B977A0" w:rsidRPr="008838CC">
        <w:rPr>
          <w:rFonts w:ascii="Verdana" w:hAnsi="Verdana"/>
          <w:color w:val="000000"/>
          <w:sz w:val="17"/>
          <w:szCs w:val="17"/>
        </w:rPr>
        <w:t>economic considerations which must be inherent in the design of the interest-rate risk submodule</w:t>
      </w:r>
    </w:p>
    <w:p w14:paraId="15AE7AED" w14:textId="6996B6DF" w:rsidR="00B977A0" w:rsidRPr="008838CC" w:rsidRDefault="00B977A0" w:rsidP="00B977A0">
      <w:pPr>
        <w:pStyle w:val="Odsekzoznamu"/>
        <w:numPr>
          <w:ilvl w:val="0"/>
          <w:numId w:val="22"/>
        </w:numPr>
        <w:spacing w:line="276" w:lineRule="auto"/>
        <w:rPr>
          <w:color w:val="000000"/>
          <w:sz w:val="17"/>
          <w:szCs w:val="17"/>
        </w:rPr>
      </w:pPr>
      <w:r w:rsidRPr="008838CC">
        <w:rPr>
          <w:color w:val="000000"/>
          <w:sz w:val="17"/>
          <w:szCs w:val="17"/>
        </w:rPr>
        <w:t>Lower capital requirements i</w:t>
      </w:r>
      <w:r w:rsidR="009471F3" w:rsidRPr="008838CC">
        <w:rPr>
          <w:color w:val="000000"/>
          <w:sz w:val="17"/>
          <w:szCs w:val="17"/>
        </w:rPr>
        <w:t>n a low yield environment to re</w:t>
      </w:r>
      <w:r w:rsidRPr="008838CC">
        <w:rPr>
          <w:color w:val="000000"/>
          <w:sz w:val="17"/>
          <w:szCs w:val="17"/>
        </w:rPr>
        <w:t>flect the economic reality that there will be d</w:t>
      </w:r>
      <w:r w:rsidR="009471F3" w:rsidRPr="008838CC">
        <w:rPr>
          <w:color w:val="000000"/>
          <w:sz w:val="17"/>
          <w:szCs w:val="17"/>
        </w:rPr>
        <w:t xml:space="preserve">iminishing </w:t>
      </w:r>
      <w:r w:rsidRPr="008838CC">
        <w:rPr>
          <w:color w:val="000000"/>
          <w:sz w:val="17"/>
          <w:szCs w:val="17"/>
        </w:rPr>
        <w:t xml:space="preserve">demand as interest rates </w:t>
      </w:r>
      <w:r w:rsidR="009471F3" w:rsidRPr="008838CC">
        <w:rPr>
          <w:color w:val="000000"/>
          <w:sz w:val="17"/>
          <w:szCs w:val="17"/>
        </w:rPr>
        <w:t>decrease</w:t>
      </w:r>
      <w:r w:rsidRPr="008838CC">
        <w:rPr>
          <w:color w:val="000000"/>
          <w:sz w:val="17"/>
          <w:szCs w:val="17"/>
        </w:rPr>
        <w:t>.</w:t>
      </w:r>
    </w:p>
    <w:p w14:paraId="252D2959" w14:textId="4093E818" w:rsidR="00B977A0" w:rsidRPr="008838CC" w:rsidRDefault="00B977A0" w:rsidP="00B977A0">
      <w:pPr>
        <w:pStyle w:val="Odsekzoznamu"/>
        <w:numPr>
          <w:ilvl w:val="0"/>
          <w:numId w:val="22"/>
        </w:numPr>
        <w:spacing w:line="276" w:lineRule="auto"/>
        <w:rPr>
          <w:color w:val="000000"/>
          <w:sz w:val="17"/>
          <w:szCs w:val="17"/>
        </w:rPr>
      </w:pPr>
      <w:r w:rsidRPr="008838CC">
        <w:rPr>
          <w:color w:val="000000"/>
          <w:sz w:val="17"/>
          <w:szCs w:val="17"/>
        </w:rPr>
        <w:t>The presence of a lower bound.</w:t>
      </w:r>
    </w:p>
    <w:p w14:paraId="053BB504" w14:textId="644F6D35" w:rsidR="00B977A0" w:rsidRPr="008838CC" w:rsidRDefault="00B977A0" w:rsidP="00B977A0">
      <w:pPr>
        <w:pStyle w:val="Odsekzoznamu"/>
        <w:numPr>
          <w:ilvl w:val="0"/>
          <w:numId w:val="22"/>
        </w:numPr>
        <w:spacing w:line="276" w:lineRule="auto"/>
        <w:rPr>
          <w:color w:val="000000"/>
          <w:sz w:val="17"/>
          <w:szCs w:val="17"/>
        </w:rPr>
      </w:pPr>
      <w:r w:rsidRPr="008838CC">
        <w:rPr>
          <w:color w:val="000000"/>
          <w:sz w:val="17"/>
          <w:szCs w:val="17"/>
        </w:rPr>
        <w:t xml:space="preserve">The differing correlations of market risk in different </w:t>
      </w:r>
      <w:r w:rsidR="004B3995">
        <w:rPr>
          <w:color w:val="000000"/>
          <w:sz w:val="17"/>
          <w:szCs w:val="17"/>
        </w:rPr>
        <w:t>market</w:t>
      </w:r>
      <w:r>
        <w:rPr>
          <w:color w:val="000000"/>
          <w:sz w:val="17"/>
          <w:szCs w:val="17"/>
        </w:rPr>
        <w:t xml:space="preserve"> </w:t>
      </w:r>
      <w:r w:rsidRPr="008838CC">
        <w:rPr>
          <w:color w:val="000000"/>
          <w:sz w:val="17"/>
          <w:szCs w:val="17"/>
        </w:rPr>
        <w:t>environments.</w:t>
      </w:r>
    </w:p>
    <w:p w14:paraId="4A8475DA" w14:textId="1212D633" w:rsidR="00B977A0" w:rsidRPr="008838CC" w:rsidRDefault="00B977A0" w:rsidP="00B977A0">
      <w:pPr>
        <w:spacing w:line="276" w:lineRule="auto"/>
        <w:rPr>
          <w:rFonts w:ascii="Verdana" w:hAnsi="Verdana"/>
          <w:color w:val="000000"/>
          <w:sz w:val="17"/>
          <w:szCs w:val="17"/>
        </w:rPr>
      </w:pPr>
    </w:p>
    <w:p w14:paraId="5C8BBDAE" w14:textId="327CBFC4" w:rsidR="00B977A0" w:rsidRPr="008838CC" w:rsidRDefault="00B977A0" w:rsidP="00B977A0">
      <w:pPr>
        <w:spacing w:line="276" w:lineRule="auto"/>
        <w:jc w:val="both"/>
        <w:rPr>
          <w:rFonts w:ascii="Verdana" w:hAnsi="Verdana"/>
          <w:b/>
          <w:color w:val="000000"/>
          <w:sz w:val="17"/>
          <w:szCs w:val="17"/>
        </w:rPr>
      </w:pPr>
      <w:r w:rsidRPr="008838CC">
        <w:rPr>
          <w:rFonts w:ascii="Verdana" w:hAnsi="Verdana"/>
          <w:b/>
          <w:color w:val="000000"/>
          <w:sz w:val="17"/>
          <w:szCs w:val="17"/>
        </w:rPr>
        <w:t xml:space="preserve">Paragraph 450-455 </w:t>
      </w:r>
    </w:p>
    <w:p w14:paraId="5A5EF37F" w14:textId="29931D93" w:rsidR="00D41402" w:rsidRPr="008838CC" w:rsidRDefault="00B977A0" w:rsidP="00D41402">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t>
      </w:r>
      <w:r w:rsidR="00EC29DD" w:rsidRPr="008838CC">
        <w:rPr>
          <w:rFonts w:ascii="Verdana" w:hAnsi="Verdana"/>
          <w:color w:val="000000"/>
          <w:sz w:val="17"/>
          <w:szCs w:val="17"/>
        </w:rPr>
        <w:t xml:space="preserve">firmly </w:t>
      </w:r>
      <w:r w:rsidR="00D41402" w:rsidRPr="008838CC">
        <w:rPr>
          <w:rFonts w:ascii="Verdana" w:hAnsi="Verdana"/>
          <w:color w:val="000000"/>
          <w:sz w:val="17"/>
          <w:szCs w:val="17"/>
        </w:rPr>
        <w:t>believes that</w:t>
      </w:r>
      <w:r w:rsidR="00EC29DD" w:rsidRPr="008838CC">
        <w:rPr>
          <w:rFonts w:ascii="Verdana" w:hAnsi="Verdana"/>
          <w:color w:val="000000"/>
          <w:sz w:val="17"/>
          <w:szCs w:val="17"/>
        </w:rPr>
        <w:t xml:space="preserve"> the calibration and application of </w:t>
      </w:r>
      <w:r w:rsidR="00D41402" w:rsidRPr="008838CC">
        <w:rPr>
          <w:rFonts w:ascii="Verdana" w:hAnsi="Verdana"/>
          <w:color w:val="000000"/>
          <w:sz w:val="17"/>
          <w:szCs w:val="17"/>
        </w:rPr>
        <w:t xml:space="preserve">interest rate shocks should only </w:t>
      </w:r>
      <w:r w:rsidR="00681F47">
        <w:rPr>
          <w:rFonts w:ascii="Verdana" w:hAnsi="Verdana"/>
          <w:color w:val="000000"/>
          <w:sz w:val="17"/>
          <w:szCs w:val="17"/>
        </w:rPr>
        <w:t>cover</w:t>
      </w:r>
      <w:r w:rsidR="00D41402" w:rsidRPr="008838CC">
        <w:rPr>
          <w:rFonts w:ascii="Verdana" w:hAnsi="Verdana"/>
          <w:color w:val="000000"/>
          <w:sz w:val="17"/>
          <w:szCs w:val="17"/>
        </w:rPr>
        <w:t xml:space="preserve"> the liquid part of the term structure</w:t>
      </w:r>
      <w:r w:rsidR="00EC29DD" w:rsidRPr="008838CC">
        <w:rPr>
          <w:rFonts w:ascii="Verdana" w:hAnsi="Verdana"/>
          <w:color w:val="000000"/>
          <w:sz w:val="17"/>
          <w:szCs w:val="17"/>
        </w:rPr>
        <w:t xml:space="preserve">. The extrapolation of the curve after the last liquid point (LLP) should be carried out </w:t>
      </w:r>
      <w:r w:rsidR="009471F3" w:rsidRPr="008838CC">
        <w:rPr>
          <w:rFonts w:ascii="Verdana" w:hAnsi="Verdana"/>
          <w:color w:val="000000"/>
          <w:sz w:val="17"/>
          <w:szCs w:val="17"/>
        </w:rPr>
        <w:t>subsequent to the application of the shock</w:t>
      </w:r>
      <w:r w:rsidR="00EC29DD" w:rsidRPr="008838CC">
        <w:rPr>
          <w:rFonts w:ascii="Verdana" w:hAnsi="Verdana"/>
          <w:color w:val="000000"/>
          <w:sz w:val="17"/>
          <w:szCs w:val="17"/>
        </w:rPr>
        <w:t>. This would achieve consistency with the valuation methodology, reduce complexity of interest rate risk hedging and provide a more economically realistic framework.</w:t>
      </w:r>
    </w:p>
    <w:p w14:paraId="514692CB" w14:textId="3D83AF58" w:rsidR="00D47DDD" w:rsidRPr="008838CC" w:rsidRDefault="00D47DDD" w:rsidP="00D41402">
      <w:pPr>
        <w:spacing w:line="276" w:lineRule="auto"/>
        <w:jc w:val="both"/>
        <w:rPr>
          <w:rFonts w:ascii="Verdana" w:hAnsi="Verdana"/>
          <w:color w:val="000000"/>
          <w:sz w:val="17"/>
          <w:szCs w:val="17"/>
        </w:rPr>
      </w:pPr>
    </w:p>
    <w:p w14:paraId="6EFC9CBE" w14:textId="0C163BFA" w:rsidR="00D41402" w:rsidRPr="008838CC" w:rsidRDefault="00D47DDD" w:rsidP="00D41402">
      <w:pPr>
        <w:spacing w:line="276" w:lineRule="auto"/>
        <w:jc w:val="both"/>
        <w:rPr>
          <w:rFonts w:ascii="Verdana" w:hAnsi="Verdana"/>
          <w:color w:val="000000"/>
          <w:sz w:val="17"/>
          <w:szCs w:val="17"/>
        </w:rPr>
      </w:pPr>
      <w:r w:rsidRPr="008838CC">
        <w:rPr>
          <w:rFonts w:ascii="Verdana" w:hAnsi="Verdana"/>
          <w:color w:val="000000"/>
          <w:sz w:val="17"/>
          <w:szCs w:val="17"/>
        </w:rPr>
        <w:t>Insurance Europe provides comment</w:t>
      </w:r>
      <w:r w:rsidR="00681F47">
        <w:rPr>
          <w:rFonts w:ascii="Verdana" w:hAnsi="Verdana"/>
          <w:color w:val="000000"/>
          <w:sz w:val="17"/>
          <w:szCs w:val="17"/>
        </w:rPr>
        <w:t>s</w:t>
      </w:r>
      <w:r w:rsidRPr="008838CC">
        <w:rPr>
          <w:rFonts w:ascii="Verdana" w:hAnsi="Verdana"/>
          <w:color w:val="000000"/>
          <w:sz w:val="17"/>
          <w:szCs w:val="17"/>
        </w:rPr>
        <w:t xml:space="preserve"> to EIOPA’s counterarguments to changing the interest rate risk submodule structure in this way, as outlined in paragraph 455.</w:t>
      </w:r>
    </w:p>
    <w:p w14:paraId="6D9CF10F" w14:textId="45089EC6" w:rsidR="00D47DDD" w:rsidRPr="008838CC" w:rsidRDefault="00D47DDD" w:rsidP="00D41402">
      <w:pPr>
        <w:spacing w:line="276" w:lineRule="auto"/>
        <w:jc w:val="both"/>
        <w:rPr>
          <w:rFonts w:ascii="Verdana" w:hAnsi="Verdana"/>
          <w:color w:val="000000"/>
          <w:sz w:val="17"/>
          <w:szCs w:val="17"/>
        </w:rPr>
      </w:pPr>
    </w:p>
    <w:p w14:paraId="76BFF4E8" w14:textId="32738DAE" w:rsidR="00D47DDD" w:rsidRPr="008838CC" w:rsidRDefault="00D47DDD" w:rsidP="00D47DDD">
      <w:pPr>
        <w:pStyle w:val="Odsekzoznamu"/>
        <w:numPr>
          <w:ilvl w:val="0"/>
          <w:numId w:val="23"/>
        </w:numPr>
        <w:spacing w:line="276" w:lineRule="auto"/>
        <w:rPr>
          <w:color w:val="000000"/>
          <w:sz w:val="17"/>
          <w:szCs w:val="17"/>
        </w:rPr>
      </w:pPr>
      <w:r w:rsidRPr="008838CC">
        <w:rPr>
          <w:color w:val="000000"/>
          <w:sz w:val="17"/>
          <w:szCs w:val="17"/>
        </w:rPr>
        <w:t>Firstly, EIOPA state</w:t>
      </w:r>
      <w:r w:rsidR="00476C41" w:rsidRPr="008838CC">
        <w:rPr>
          <w:color w:val="000000"/>
          <w:sz w:val="17"/>
          <w:szCs w:val="17"/>
        </w:rPr>
        <w:t>s</w:t>
      </w:r>
      <w:r w:rsidRPr="008838CC">
        <w:rPr>
          <w:color w:val="000000"/>
          <w:sz w:val="17"/>
          <w:szCs w:val="17"/>
        </w:rPr>
        <w:t xml:space="preserve"> that </w:t>
      </w:r>
      <w:r w:rsidR="0012513F">
        <w:rPr>
          <w:color w:val="000000"/>
          <w:sz w:val="17"/>
          <w:szCs w:val="17"/>
        </w:rPr>
        <w:t>its has performed</w:t>
      </w:r>
      <w:r w:rsidRPr="008838CC">
        <w:rPr>
          <w:color w:val="000000"/>
          <w:sz w:val="17"/>
          <w:szCs w:val="17"/>
        </w:rPr>
        <w:t xml:space="preserve"> simulations </w:t>
      </w:r>
      <w:r w:rsidR="0012513F">
        <w:rPr>
          <w:color w:val="000000"/>
          <w:sz w:val="17"/>
          <w:szCs w:val="17"/>
        </w:rPr>
        <w:t xml:space="preserve">with differing UFR values which indicate that the </w:t>
      </w:r>
      <w:r w:rsidRPr="008838CC">
        <w:rPr>
          <w:color w:val="000000"/>
          <w:sz w:val="17"/>
          <w:szCs w:val="17"/>
        </w:rPr>
        <w:t>maximum change at 90Y</w:t>
      </w:r>
      <w:r w:rsidR="0012513F">
        <w:rPr>
          <w:color w:val="000000"/>
          <w:sz w:val="17"/>
          <w:szCs w:val="17"/>
        </w:rPr>
        <w:t xml:space="preserve"> tenor point</w:t>
      </w:r>
      <w:r w:rsidRPr="008838CC">
        <w:rPr>
          <w:color w:val="000000"/>
          <w:sz w:val="17"/>
          <w:szCs w:val="17"/>
        </w:rPr>
        <w:t xml:space="preserve"> is 19%. Insurance Europe notes that the UFR is currently a fixed parameter of 4.2% (for the Euro) and no decision has</w:t>
      </w:r>
      <w:r w:rsidR="006C2204" w:rsidRPr="008838CC">
        <w:rPr>
          <w:color w:val="000000"/>
          <w:sz w:val="17"/>
          <w:szCs w:val="17"/>
        </w:rPr>
        <w:t>, as yet,</w:t>
      </w:r>
      <w:r w:rsidRPr="008838CC">
        <w:rPr>
          <w:color w:val="000000"/>
          <w:sz w:val="17"/>
          <w:szCs w:val="17"/>
        </w:rPr>
        <w:t xml:space="preserve"> been taken </w:t>
      </w:r>
      <w:r w:rsidR="00681F47">
        <w:rPr>
          <w:color w:val="000000"/>
          <w:sz w:val="17"/>
          <w:szCs w:val="17"/>
        </w:rPr>
        <w:t xml:space="preserve">by the Commission </w:t>
      </w:r>
      <w:r w:rsidRPr="008838CC">
        <w:rPr>
          <w:color w:val="000000"/>
          <w:sz w:val="17"/>
          <w:szCs w:val="17"/>
        </w:rPr>
        <w:t>to alter this.</w:t>
      </w:r>
    </w:p>
    <w:p w14:paraId="2590D6C2" w14:textId="378E19A6" w:rsidR="00D47DDD" w:rsidRPr="008838CC" w:rsidRDefault="00D47DDD" w:rsidP="00D41402">
      <w:pPr>
        <w:spacing w:line="276" w:lineRule="auto"/>
        <w:jc w:val="both"/>
        <w:rPr>
          <w:rFonts w:ascii="Verdana" w:hAnsi="Verdana"/>
          <w:color w:val="000000"/>
          <w:sz w:val="17"/>
          <w:szCs w:val="17"/>
        </w:rPr>
      </w:pPr>
    </w:p>
    <w:p w14:paraId="617AB3B8" w14:textId="1B43D2FF" w:rsidR="00D47DDD" w:rsidRPr="008838CC" w:rsidRDefault="00D47DDD" w:rsidP="00D47DDD">
      <w:pPr>
        <w:pStyle w:val="Odsekzoznamu"/>
        <w:numPr>
          <w:ilvl w:val="0"/>
          <w:numId w:val="23"/>
        </w:numPr>
        <w:spacing w:line="276" w:lineRule="auto"/>
        <w:rPr>
          <w:color w:val="000000"/>
          <w:sz w:val="17"/>
          <w:szCs w:val="17"/>
        </w:rPr>
      </w:pPr>
      <w:r w:rsidRPr="008838CC">
        <w:rPr>
          <w:color w:val="000000"/>
          <w:sz w:val="17"/>
          <w:szCs w:val="17"/>
        </w:rPr>
        <w:t>Secondly, EIOPA notes that a change to the Directive would be required for it to be empowered to publish the stressed, extrapolated curves. Insurance Europe believes that this substantiates its argument that the interest rate risk submodule should only be altered in the 2020 review. The industry would prefer for any changes to the Solvency II framework to be properly develop</w:t>
      </w:r>
      <w:r w:rsidR="00476C41" w:rsidRPr="008838CC">
        <w:rPr>
          <w:color w:val="000000"/>
          <w:sz w:val="17"/>
          <w:szCs w:val="17"/>
        </w:rPr>
        <w:t>ed</w:t>
      </w:r>
      <w:r w:rsidR="009471F3" w:rsidRPr="008838CC">
        <w:rPr>
          <w:color w:val="000000"/>
          <w:sz w:val="17"/>
          <w:szCs w:val="17"/>
        </w:rPr>
        <w:t>, calibrated</w:t>
      </w:r>
      <w:r w:rsidRPr="008838CC">
        <w:rPr>
          <w:color w:val="000000"/>
          <w:sz w:val="17"/>
          <w:szCs w:val="17"/>
        </w:rPr>
        <w:t xml:space="preserve"> and justified, rather th</w:t>
      </w:r>
      <w:r w:rsidR="009471F3" w:rsidRPr="008838CC">
        <w:rPr>
          <w:color w:val="000000"/>
          <w:sz w:val="17"/>
          <w:szCs w:val="17"/>
        </w:rPr>
        <w:t>an being short-term and ad-hoc fixes.</w:t>
      </w:r>
    </w:p>
    <w:p w14:paraId="2C3FCC02" w14:textId="77777777" w:rsidR="00D47DDD" w:rsidRPr="008838CC" w:rsidRDefault="00D47DDD" w:rsidP="00D47DDD">
      <w:pPr>
        <w:pStyle w:val="Odsekzoznamu"/>
        <w:rPr>
          <w:color w:val="000000"/>
          <w:sz w:val="17"/>
          <w:szCs w:val="17"/>
        </w:rPr>
      </w:pPr>
    </w:p>
    <w:p w14:paraId="6F0D6152" w14:textId="43B1AC9D" w:rsidR="00D47DDD" w:rsidRPr="008838CC" w:rsidRDefault="00D47DDD" w:rsidP="00D47DDD">
      <w:pPr>
        <w:pStyle w:val="Odsekzoznamu"/>
        <w:numPr>
          <w:ilvl w:val="0"/>
          <w:numId w:val="23"/>
        </w:numPr>
        <w:spacing w:line="276" w:lineRule="auto"/>
        <w:rPr>
          <w:color w:val="000000"/>
          <w:sz w:val="17"/>
          <w:szCs w:val="17"/>
        </w:rPr>
      </w:pPr>
      <w:r w:rsidRPr="008838CC">
        <w:rPr>
          <w:color w:val="000000"/>
          <w:sz w:val="17"/>
          <w:szCs w:val="17"/>
        </w:rPr>
        <w:t xml:space="preserve">Thirdly, EIOPA </w:t>
      </w:r>
      <w:r w:rsidR="00330007" w:rsidRPr="008838CC">
        <w:rPr>
          <w:color w:val="000000"/>
          <w:sz w:val="17"/>
          <w:szCs w:val="17"/>
        </w:rPr>
        <w:t>note</w:t>
      </w:r>
      <w:r w:rsidR="00476C41" w:rsidRPr="008838CC">
        <w:rPr>
          <w:color w:val="000000"/>
          <w:sz w:val="17"/>
          <w:szCs w:val="17"/>
        </w:rPr>
        <w:t>s</w:t>
      </w:r>
      <w:r w:rsidR="00330007" w:rsidRPr="008838CC">
        <w:rPr>
          <w:color w:val="000000"/>
          <w:sz w:val="17"/>
          <w:szCs w:val="17"/>
        </w:rPr>
        <w:t xml:space="preserve"> the risk of not taking into account pre-extr</w:t>
      </w:r>
      <w:r w:rsidR="00600520" w:rsidRPr="008838CC">
        <w:rPr>
          <w:color w:val="000000"/>
          <w:sz w:val="17"/>
          <w:szCs w:val="17"/>
        </w:rPr>
        <w:t>a</w:t>
      </w:r>
      <w:r w:rsidR="00330007" w:rsidRPr="008838CC">
        <w:rPr>
          <w:color w:val="000000"/>
          <w:sz w:val="17"/>
          <w:szCs w:val="17"/>
        </w:rPr>
        <w:t>polation forward rates. Insu</w:t>
      </w:r>
      <w:r w:rsidR="00600520" w:rsidRPr="008838CC">
        <w:rPr>
          <w:color w:val="000000"/>
          <w:sz w:val="17"/>
          <w:szCs w:val="17"/>
        </w:rPr>
        <w:t>rance Europe reiterates that a thoroughly considered, well-designed, properly calibrated and justified change to the interest rate risk submodule would be possible for the 2020 review.</w:t>
      </w:r>
    </w:p>
    <w:p w14:paraId="78940348" w14:textId="77777777" w:rsidR="00600520" w:rsidRPr="008838CC" w:rsidRDefault="00600520" w:rsidP="00600520">
      <w:pPr>
        <w:pStyle w:val="Odsekzoznamu"/>
        <w:rPr>
          <w:color w:val="000000"/>
          <w:sz w:val="17"/>
          <w:szCs w:val="17"/>
        </w:rPr>
      </w:pPr>
    </w:p>
    <w:p w14:paraId="6730A7F8" w14:textId="77777777" w:rsidR="00D41402" w:rsidRPr="008838CC" w:rsidRDefault="00D41402" w:rsidP="00644F0A">
      <w:pPr>
        <w:spacing w:line="276" w:lineRule="auto"/>
        <w:rPr>
          <w:rFonts w:ascii="Verdana" w:hAnsi="Verdana"/>
          <w:b/>
          <w:color w:val="000000"/>
          <w:sz w:val="17"/>
          <w:szCs w:val="17"/>
          <w:u w:val="single"/>
        </w:rPr>
      </w:pPr>
    </w:p>
    <w:p w14:paraId="18C2EA48" w14:textId="3331E35B"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7.4.1</w:t>
      </w:r>
      <w:r w:rsidR="00600520" w:rsidRPr="008838CC">
        <w:rPr>
          <w:rFonts w:ascii="Verdana" w:hAnsi="Verdana"/>
          <w:b/>
          <w:color w:val="000000"/>
          <w:sz w:val="17"/>
          <w:szCs w:val="17"/>
          <w:u w:val="single"/>
        </w:rPr>
        <w:t xml:space="preserve"> Previous advice</w:t>
      </w:r>
    </w:p>
    <w:p w14:paraId="1BEBEA02" w14:textId="77777777" w:rsidR="00600520" w:rsidRPr="008838CC" w:rsidRDefault="00600520" w:rsidP="00644F0A">
      <w:pPr>
        <w:spacing w:line="276" w:lineRule="auto"/>
        <w:rPr>
          <w:rFonts w:ascii="Verdana" w:hAnsi="Verdana"/>
          <w:b/>
          <w:color w:val="000000"/>
          <w:sz w:val="17"/>
          <w:szCs w:val="17"/>
          <w:u w:val="single"/>
        </w:rPr>
      </w:pPr>
    </w:p>
    <w:p w14:paraId="08A27AFD" w14:textId="46F94322"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7.4.2</w:t>
      </w:r>
      <w:r w:rsidR="00476C41" w:rsidRPr="008838CC">
        <w:rPr>
          <w:rFonts w:ascii="Verdana" w:hAnsi="Verdana"/>
          <w:b/>
          <w:color w:val="000000"/>
          <w:sz w:val="17"/>
          <w:szCs w:val="17"/>
          <w:u w:val="single"/>
        </w:rPr>
        <w:t xml:space="preserve"> Analysis</w:t>
      </w:r>
    </w:p>
    <w:p w14:paraId="74186BAF" w14:textId="70566C9B" w:rsidR="00476C41" w:rsidRPr="008838CC" w:rsidRDefault="00476C41" w:rsidP="00476C41">
      <w:pPr>
        <w:spacing w:line="276" w:lineRule="auto"/>
        <w:jc w:val="both"/>
        <w:rPr>
          <w:rFonts w:ascii="Verdana" w:hAnsi="Verdana"/>
          <w:color w:val="000000"/>
          <w:sz w:val="17"/>
          <w:szCs w:val="17"/>
        </w:rPr>
      </w:pPr>
      <w:r w:rsidRPr="008838CC">
        <w:rPr>
          <w:rFonts w:ascii="Verdana" w:hAnsi="Verdana"/>
          <w:color w:val="000000"/>
          <w:sz w:val="17"/>
          <w:szCs w:val="17"/>
        </w:rPr>
        <w:t xml:space="preserve">As noted above, Insurance Europe does not believe a change to the interest rate risk submodule is justified </w:t>
      </w:r>
      <w:r w:rsidR="00681F47">
        <w:rPr>
          <w:rFonts w:ascii="Verdana" w:hAnsi="Verdana"/>
          <w:color w:val="000000"/>
          <w:sz w:val="17"/>
          <w:szCs w:val="17"/>
        </w:rPr>
        <w:t>in the 2018 limited review of</w:t>
      </w:r>
      <w:r w:rsidR="00EB2AF8">
        <w:rPr>
          <w:rFonts w:ascii="Verdana" w:hAnsi="Verdana"/>
          <w:color w:val="000000"/>
          <w:sz w:val="17"/>
          <w:szCs w:val="17"/>
        </w:rPr>
        <w:t xml:space="preserve"> </w:t>
      </w:r>
      <w:r w:rsidR="00681F47">
        <w:rPr>
          <w:rFonts w:ascii="Verdana" w:hAnsi="Verdana"/>
          <w:color w:val="000000"/>
          <w:sz w:val="17"/>
          <w:szCs w:val="17"/>
        </w:rPr>
        <w:t xml:space="preserve">the standard formula </w:t>
      </w:r>
      <w:r w:rsidRPr="008838CC">
        <w:rPr>
          <w:rFonts w:ascii="Verdana" w:hAnsi="Verdana"/>
          <w:color w:val="000000"/>
          <w:sz w:val="17"/>
          <w:szCs w:val="17"/>
        </w:rPr>
        <w:t xml:space="preserve">and should be </w:t>
      </w:r>
      <w:r w:rsidR="00681F47">
        <w:rPr>
          <w:rFonts w:ascii="Verdana" w:hAnsi="Verdana"/>
          <w:color w:val="000000"/>
          <w:sz w:val="17"/>
          <w:szCs w:val="17"/>
        </w:rPr>
        <w:t xml:space="preserve">instead </w:t>
      </w:r>
      <w:r w:rsidRPr="008838CC">
        <w:rPr>
          <w:rFonts w:ascii="Verdana" w:hAnsi="Verdana"/>
          <w:color w:val="000000"/>
          <w:sz w:val="17"/>
          <w:szCs w:val="17"/>
        </w:rPr>
        <w:t xml:space="preserve">considered as part of the 2020 review. </w:t>
      </w:r>
      <w:r w:rsidR="00AA2E52">
        <w:rPr>
          <w:rFonts w:ascii="Verdana" w:hAnsi="Verdana"/>
          <w:color w:val="000000"/>
          <w:sz w:val="17"/>
          <w:szCs w:val="17"/>
        </w:rPr>
        <w:t xml:space="preserve">Given the investigations already made by EIOPA on this issue, </w:t>
      </w:r>
      <w:r w:rsidRPr="008838CC">
        <w:rPr>
          <w:rFonts w:ascii="Verdana" w:hAnsi="Verdana"/>
          <w:color w:val="000000"/>
          <w:sz w:val="17"/>
          <w:szCs w:val="17"/>
        </w:rPr>
        <w:t xml:space="preserve">Insurance Europe </w:t>
      </w:r>
      <w:r w:rsidR="00AA2E52">
        <w:rPr>
          <w:rFonts w:ascii="Verdana" w:hAnsi="Verdana"/>
          <w:color w:val="000000"/>
          <w:sz w:val="17"/>
          <w:szCs w:val="17"/>
        </w:rPr>
        <w:t xml:space="preserve">notes that </w:t>
      </w:r>
      <w:r w:rsidRPr="008838CC">
        <w:rPr>
          <w:rFonts w:ascii="Verdana" w:hAnsi="Verdana"/>
          <w:color w:val="000000"/>
          <w:sz w:val="17"/>
          <w:szCs w:val="17"/>
        </w:rPr>
        <w:t xml:space="preserve">EIOPA’s proposal </w:t>
      </w:r>
      <w:r w:rsidR="00AA2E52">
        <w:rPr>
          <w:rFonts w:ascii="Verdana" w:hAnsi="Verdana"/>
          <w:color w:val="000000"/>
          <w:sz w:val="17"/>
          <w:szCs w:val="17"/>
        </w:rPr>
        <w:t>on the</w:t>
      </w:r>
      <w:r w:rsidRPr="008838CC">
        <w:rPr>
          <w:rFonts w:ascii="Verdana" w:hAnsi="Verdana"/>
          <w:color w:val="000000"/>
          <w:sz w:val="17"/>
          <w:szCs w:val="17"/>
        </w:rPr>
        <w:t xml:space="preserve"> shifted approach</w:t>
      </w:r>
      <w:r w:rsidR="00AA2E52">
        <w:rPr>
          <w:rFonts w:ascii="Verdana" w:hAnsi="Verdana"/>
          <w:color w:val="000000"/>
          <w:sz w:val="17"/>
          <w:szCs w:val="17"/>
        </w:rPr>
        <w:t xml:space="preserve"> is</w:t>
      </w:r>
      <w:r w:rsidR="00EB2AF8">
        <w:rPr>
          <w:rFonts w:ascii="Verdana" w:hAnsi="Verdana"/>
          <w:color w:val="000000"/>
          <w:sz w:val="17"/>
          <w:szCs w:val="17"/>
        </w:rPr>
        <w:t xml:space="preserve"> </w:t>
      </w:r>
      <w:r w:rsidR="00AA2E52">
        <w:rPr>
          <w:rFonts w:ascii="Verdana" w:hAnsi="Verdana"/>
          <w:color w:val="000000"/>
          <w:sz w:val="17"/>
          <w:szCs w:val="17"/>
        </w:rPr>
        <w:t>the most appropriate of</w:t>
      </w:r>
      <w:r w:rsidR="00EB2AF8">
        <w:rPr>
          <w:rFonts w:ascii="Verdana" w:hAnsi="Verdana"/>
          <w:color w:val="000000"/>
          <w:sz w:val="17"/>
          <w:szCs w:val="17"/>
        </w:rPr>
        <w:t xml:space="preserve"> </w:t>
      </w:r>
      <w:r w:rsidR="00AA2E52">
        <w:rPr>
          <w:rFonts w:ascii="Verdana" w:hAnsi="Verdana"/>
          <w:color w:val="000000"/>
          <w:sz w:val="17"/>
          <w:szCs w:val="17"/>
        </w:rPr>
        <w:t>the three approaches investigated</w:t>
      </w:r>
      <w:r w:rsidRPr="008838CC">
        <w:rPr>
          <w:rFonts w:ascii="Verdana" w:hAnsi="Verdana"/>
          <w:color w:val="000000"/>
          <w:sz w:val="17"/>
          <w:szCs w:val="17"/>
        </w:rPr>
        <w:t>. While</w:t>
      </w:r>
      <w:r w:rsidR="00781F40" w:rsidRPr="008838CC">
        <w:rPr>
          <w:rFonts w:ascii="Verdana" w:hAnsi="Verdana"/>
          <w:color w:val="000000"/>
          <w:sz w:val="17"/>
          <w:szCs w:val="17"/>
        </w:rPr>
        <w:t xml:space="preserve"> the exact specifications of this approach require further analysis and calibration, Insurance Europe believes that this is the most appropriate and economically sensitive way to model interest rate risk.</w:t>
      </w:r>
    </w:p>
    <w:p w14:paraId="236D3C3F" w14:textId="02046564" w:rsidR="00EC29DD" w:rsidRPr="008838CC" w:rsidRDefault="00EC29DD" w:rsidP="00476C41">
      <w:pPr>
        <w:spacing w:line="276" w:lineRule="auto"/>
        <w:jc w:val="both"/>
        <w:rPr>
          <w:rFonts w:ascii="Verdana" w:hAnsi="Verdana"/>
          <w:color w:val="000000"/>
          <w:sz w:val="17"/>
          <w:szCs w:val="17"/>
        </w:rPr>
      </w:pPr>
    </w:p>
    <w:p w14:paraId="7DB25869" w14:textId="3E9161FB" w:rsidR="00EC29DD" w:rsidRPr="008838CC" w:rsidRDefault="00EC29DD" w:rsidP="00476C41">
      <w:pPr>
        <w:spacing w:line="276" w:lineRule="auto"/>
        <w:jc w:val="both"/>
        <w:rPr>
          <w:rFonts w:ascii="Verdana" w:hAnsi="Verdana"/>
          <w:color w:val="000000"/>
          <w:sz w:val="17"/>
          <w:szCs w:val="17"/>
          <w:lang w:val="en-GB"/>
        </w:rPr>
      </w:pPr>
      <w:r w:rsidRPr="008838CC">
        <w:rPr>
          <w:rFonts w:ascii="Verdana" w:hAnsi="Verdana"/>
          <w:color w:val="000000"/>
          <w:sz w:val="17"/>
          <w:szCs w:val="17"/>
        </w:rPr>
        <w:t>Insurance Europe believe</w:t>
      </w:r>
      <w:r w:rsidR="009471F3" w:rsidRPr="008838CC">
        <w:rPr>
          <w:rFonts w:ascii="Verdana" w:hAnsi="Verdana"/>
          <w:color w:val="000000"/>
          <w:sz w:val="17"/>
          <w:szCs w:val="17"/>
        </w:rPr>
        <w:t>s</w:t>
      </w:r>
      <w:r w:rsidRPr="008838CC">
        <w:rPr>
          <w:rFonts w:ascii="Verdana" w:hAnsi="Verdana"/>
          <w:color w:val="000000"/>
          <w:sz w:val="17"/>
          <w:szCs w:val="17"/>
        </w:rPr>
        <w:t xml:space="preserve"> that neither the introduction of a 2% minimum shock nor </w:t>
      </w:r>
      <w:r w:rsidRPr="008838CC">
        <w:rPr>
          <w:rFonts w:ascii="Verdana" w:hAnsi="Verdana"/>
          <w:color w:val="000000"/>
          <w:sz w:val="17"/>
          <w:szCs w:val="17"/>
          <w:lang w:val="en-GB"/>
        </w:rPr>
        <w:t xml:space="preserve">the “combined“ approach are appropriate. Detailed comments on all approaches </w:t>
      </w:r>
      <w:r w:rsidR="00AA2E52">
        <w:rPr>
          <w:rFonts w:ascii="Verdana" w:hAnsi="Verdana"/>
          <w:color w:val="000000"/>
          <w:sz w:val="17"/>
          <w:szCs w:val="17"/>
          <w:lang w:val="en-GB"/>
        </w:rPr>
        <w:t>are</w:t>
      </w:r>
      <w:r w:rsidR="00AA2E52" w:rsidRPr="008838CC">
        <w:rPr>
          <w:rFonts w:ascii="Verdana" w:hAnsi="Verdana"/>
          <w:color w:val="000000"/>
          <w:sz w:val="17"/>
          <w:szCs w:val="17"/>
          <w:lang w:val="en-GB"/>
        </w:rPr>
        <w:t xml:space="preserve"> </w:t>
      </w:r>
      <w:r w:rsidRPr="008838CC">
        <w:rPr>
          <w:rFonts w:ascii="Verdana" w:hAnsi="Verdana"/>
          <w:color w:val="000000"/>
          <w:sz w:val="17"/>
          <w:szCs w:val="17"/>
          <w:lang w:val="en-GB"/>
        </w:rPr>
        <w:t>provided below.</w:t>
      </w:r>
    </w:p>
    <w:p w14:paraId="48C2153B" w14:textId="7D00E65D" w:rsidR="009471F3" w:rsidRPr="008838CC" w:rsidRDefault="009471F3" w:rsidP="00476C41">
      <w:pPr>
        <w:spacing w:line="276" w:lineRule="auto"/>
        <w:jc w:val="both"/>
        <w:rPr>
          <w:rFonts w:ascii="Verdana" w:hAnsi="Verdana"/>
          <w:color w:val="000000"/>
          <w:sz w:val="17"/>
          <w:szCs w:val="17"/>
          <w:lang w:val="en-GB"/>
        </w:rPr>
      </w:pPr>
    </w:p>
    <w:p w14:paraId="6E790004" w14:textId="6A68B4C5" w:rsidR="00FA2F06" w:rsidRPr="008838CC" w:rsidRDefault="00FA2F06" w:rsidP="00476C41">
      <w:pPr>
        <w:spacing w:line="276" w:lineRule="auto"/>
        <w:jc w:val="both"/>
        <w:rPr>
          <w:rFonts w:ascii="Verdana" w:hAnsi="Verdana"/>
          <w:color w:val="000000"/>
          <w:sz w:val="17"/>
          <w:szCs w:val="17"/>
        </w:rPr>
      </w:pPr>
      <w:r w:rsidRPr="008838CC">
        <w:rPr>
          <w:rFonts w:ascii="Verdana" w:hAnsi="Verdana"/>
          <w:color w:val="000000"/>
          <w:sz w:val="17"/>
          <w:szCs w:val="17"/>
        </w:rPr>
        <w:t xml:space="preserve">It should also be noted that conclusions drawn from analysis of the extrapolated part of the curve </w:t>
      </w:r>
      <w:r w:rsidR="0012513F">
        <w:rPr>
          <w:rFonts w:ascii="Verdana" w:hAnsi="Verdana"/>
          <w:color w:val="000000"/>
          <w:sz w:val="17"/>
          <w:szCs w:val="17"/>
        </w:rPr>
        <w:t>are,</w:t>
      </w:r>
      <w:r w:rsidRPr="008838CC">
        <w:rPr>
          <w:rFonts w:ascii="Verdana" w:hAnsi="Verdana"/>
          <w:color w:val="000000"/>
          <w:sz w:val="17"/>
          <w:szCs w:val="17"/>
        </w:rPr>
        <w:t xml:space="preserve"> </w:t>
      </w:r>
      <w:r w:rsidR="009471F3" w:rsidRPr="008838CC">
        <w:rPr>
          <w:rFonts w:ascii="Verdana" w:hAnsi="Verdana"/>
          <w:color w:val="000000"/>
          <w:sz w:val="17"/>
          <w:szCs w:val="17"/>
        </w:rPr>
        <w:t>in some sense</w:t>
      </w:r>
      <w:r w:rsidR="0012513F">
        <w:rPr>
          <w:rFonts w:ascii="Verdana" w:hAnsi="Verdana"/>
          <w:color w:val="000000"/>
          <w:sz w:val="17"/>
          <w:szCs w:val="17"/>
        </w:rPr>
        <w:t>,</w:t>
      </w:r>
      <w:r w:rsidR="009471F3" w:rsidRPr="008838CC">
        <w:rPr>
          <w:rFonts w:ascii="Verdana" w:hAnsi="Verdana"/>
          <w:color w:val="000000"/>
          <w:sz w:val="17"/>
          <w:szCs w:val="17"/>
        </w:rPr>
        <w:t xml:space="preserve"> </w:t>
      </w:r>
      <w:r w:rsidRPr="008838CC">
        <w:rPr>
          <w:rFonts w:ascii="Verdana" w:hAnsi="Verdana"/>
          <w:color w:val="000000"/>
          <w:sz w:val="17"/>
          <w:szCs w:val="17"/>
        </w:rPr>
        <w:t xml:space="preserve">artificial as </w:t>
      </w:r>
      <w:r w:rsidR="009471F3" w:rsidRPr="008838CC">
        <w:rPr>
          <w:rFonts w:ascii="Verdana" w:hAnsi="Verdana"/>
          <w:color w:val="000000"/>
          <w:sz w:val="17"/>
          <w:szCs w:val="17"/>
        </w:rPr>
        <w:t>the extrpolated pa</w:t>
      </w:r>
      <w:r w:rsidR="00AA2E52">
        <w:rPr>
          <w:rFonts w:ascii="Verdana" w:hAnsi="Verdana"/>
          <w:color w:val="000000"/>
          <w:sz w:val="17"/>
          <w:szCs w:val="17"/>
        </w:rPr>
        <w:t>r</w:t>
      </w:r>
      <w:r w:rsidR="009471F3" w:rsidRPr="008838CC">
        <w:rPr>
          <w:rFonts w:ascii="Verdana" w:hAnsi="Verdana"/>
          <w:color w:val="000000"/>
          <w:sz w:val="17"/>
          <w:szCs w:val="17"/>
        </w:rPr>
        <w:t xml:space="preserve">ts of the curve are merely </w:t>
      </w:r>
      <w:r w:rsidRPr="008838CC">
        <w:rPr>
          <w:rFonts w:ascii="Verdana" w:hAnsi="Verdana"/>
          <w:color w:val="000000"/>
          <w:sz w:val="17"/>
          <w:szCs w:val="17"/>
        </w:rPr>
        <w:t>the result of the extrapolation parameters and methodology</w:t>
      </w:r>
      <w:r w:rsidR="009471F3" w:rsidRPr="008838CC">
        <w:rPr>
          <w:rFonts w:ascii="Verdana" w:hAnsi="Verdana"/>
          <w:color w:val="000000"/>
          <w:sz w:val="17"/>
          <w:szCs w:val="17"/>
        </w:rPr>
        <w:t xml:space="preserve"> which are not under review</w:t>
      </w:r>
      <w:r w:rsidRPr="008838CC">
        <w:rPr>
          <w:rFonts w:ascii="Verdana" w:hAnsi="Verdana"/>
          <w:color w:val="000000"/>
          <w:sz w:val="17"/>
          <w:szCs w:val="17"/>
        </w:rPr>
        <w:t>. As noted above, Insurance Europe believes the analysis, calibration and application of the interest rate risk submodule should be restricted to the liquid part of the interest rate curve.</w:t>
      </w:r>
    </w:p>
    <w:p w14:paraId="6AE5A523" w14:textId="77777777" w:rsidR="00476C41" w:rsidRPr="008838CC" w:rsidRDefault="00476C41" w:rsidP="00644F0A">
      <w:pPr>
        <w:spacing w:line="276" w:lineRule="auto"/>
        <w:rPr>
          <w:rFonts w:ascii="Verdana" w:hAnsi="Verdana"/>
          <w:b/>
          <w:color w:val="000000"/>
          <w:sz w:val="17"/>
          <w:szCs w:val="17"/>
        </w:rPr>
      </w:pPr>
    </w:p>
    <w:p w14:paraId="63914DAF" w14:textId="41C024CE" w:rsidR="00476C41" w:rsidRPr="008838CC" w:rsidRDefault="00476C41" w:rsidP="00644F0A">
      <w:pPr>
        <w:spacing w:line="276" w:lineRule="auto"/>
        <w:rPr>
          <w:rFonts w:ascii="Verdana" w:hAnsi="Verdana"/>
          <w:b/>
          <w:color w:val="000000"/>
          <w:sz w:val="17"/>
          <w:szCs w:val="17"/>
        </w:rPr>
      </w:pPr>
      <w:r w:rsidRPr="008838CC">
        <w:rPr>
          <w:rFonts w:ascii="Verdana" w:hAnsi="Verdana"/>
          <w:b/>
          <w:color w:val="000000"/>
          <w:sz w:val="17"/>
          <w:szCs w:val="17"/>
        </w:rPr>
        <w:t xml:space="preserve">Paragraphs </w:t>
      </w:r>
      <w:r w:rsidR="00781F40" w:rsidRPr="008838CC">
        <w:rPr>
          <w:rFonts w:ascii="Verdana" w:hAnsi="Verdana"/>
          <w:b/>
          <w:color w:val="000000"/>
          <w:sz w:val="17"/>
          <w:szCs w:val="17"/>
        </w:rPr>
        <w:t>467 – 477</w:t>
      </w:r>
      <w:r w:rsidR="006D394A" w:rsidRPr="008838CC">
        <w:rPr>
          <w:rFonts w:ascii="Verdana" w:hAnsi="Verdana"/>
          <w:b/>
          <w:color w:val="000000"/>
          <w:sz w:val="17"/>
          <w:szCs w:val="17"/>
        </w:rPr>
        <w:t xml:space="preserve"> – The shifted approach</w:t>
      </w:r>
    </w:p>
    <w:p w14:paraId="0350D2D3" w14:textId="1992EE09" w:rsidR="006D394A" w:rsidRPr="008838CC" w:rsidRDefault="009471F3" w:rsidP="00EC758C">
      <w:pPr>
        <w:spacing w:line="276" w:lineRule="auto"/>
        <w:jc w:val="both"/>
        <w:rPr>
          <w:rFonts w:ascii="Verdana" w:hAnsi="Verdana"/>
          <w:color w:val="000000"/>
          <w:sz w:val="17"/>
          <w:szCs w:val="17"/>
        </w:rPr>
      </w:pPr>
      <w:commentRangeStart w:id="19"/>
      <w:r w:rsidRPr="008838CC">
        <w:rPr>
          <w:rFonts w:ascii="Verdana" w:hAnsi="Verdana"/>
          <w:color w:val="000000"/>
          <w:sz w:val="17"/>
          <w:szCs w:val="17"/>
        </w:rPr>
        <w:t xml:space="preserve">In its assessment of the shifted </w:t>
      </w:r>
      <w:r w:rsidR="00EC758C" w:rsidRPr="008838CC">
        <w:rPr>
          <w:rFonts w:ascii="Verdana" w:hAnsi="Verdana"/>
          <w:color w:val="000000"/>
          <w:sz w:val="17"/>
          <w:szCs w:val="17"/>
        </w:rPr>
        <w:t xml:space="preserve">approach, EIOPA has put forward its analysis of one calibration of the relative shifted approach. Insurance Europe believes there are alternative calibrations of this, or similar, models which would meet the needs of all stakeholders. In particular, Insurance Europe believes that the shifted lognormal </w:t>
      </w:r>
      <w:r w:rsidR="00EB7DDB" w:rsidRPr="008838CC">
        <w:rPr>
          <w:rFonts w:ascii="Verdana" w:hAnsi="Verdana"/>
          <w:color w:val="000000"/>
          <w:sz w:val="17"/>
          <w:szCs w:val="17"/>
        </w:rPr>
        <w:t>model would address some of the shortcomings.</w:t>
      </w:r>
    </w:p>
    <w:p w14:paraId="1BCE4B56" w14:textId="60D91DE9" w:rsidR="00EC758C" w:rsidRPr="008838CC" w:rsidRDefault="00EC758C" w:rsidP="00EC758C">
      <w:pPr>
        <w:spacing w:line="276" w:lineRule="auto"/>
        <w:jc w:val="both"/>
        <w:rPr>
          <w:rFonts w:ascii="Verdana" w:hAnsi="Verdana"/>
          <w:color w:val="000000"/>
          <w:sz w:val="17"/>
          <w:szCs w:val="17"/>
        </w:rPr>
      </w:pPr>
    </w:p>
    <w:p w14:paraId="0BF4E85E" w14:textId="6BA12A5E" w:rsidR="00EC758C" w:rsidRPr="008838CC" w:rsidRDefault="00EB7DDB" w:rsidP="00EC758C">
      <w:pPr>
        <w:spacing w:line="276" w:lineRule="auto"/>
        <w:jc w:val="both"/>
        <w:rPr>
          <w:rFonts w:ascii="Verdana" w:hAnsi="Verdana"/>
          <w:color w:val="000000"/>
          <w:sz w:val="17"/>
          <w:szCs w:val="17"/>
        </w:rPr>
      </w:pPr>
      <w:r w:rsidRPr="008838CC">
        <w:rPr>
          <w:rFonts w:ascii="Verdana" w:hAnsi="Verdana"/>
          <w:color w:val="000000"/>
          <w:sz w:val="17"/>
          <w:szCs w:val="17"/>
        </w:rPr>
        <w:t>Insurance Europe acknowledges that the calibration of the relative shifted approach put forward by EIOPA does not meet the requirements of the Solvency II framework but it believes that the shifted approach</w:t>
      </w:r>
      <w:commentRangeEnd w:id="19"/>
      <w:r w:rsidRPr="008838CC">
        <w:rPr>
          <w:rStyle w:val="Odkaznakomentr"/>
          <w:rFonts w:ascii="Verdana" w:hAnsi="Verdana"/>
          <w:sz w:val="17"/>
          <w:szCs w:val="17"/>
        </w:rPr>
        <w:commentReference w:id="19"/>
      </w:r>
      <w:r w:rsidRPr="008838CC">
        <w:rPr>
          <w:rFonts w:ascii="Verdana" w:hAnsi="Verdana"/>
          <w:color w:val="000000"/>
          <w:sz w:val="17"/>
          <w:szCs w:val="17"/>
        </w:rPr>
        <w:t xml:space="preserve"> is a robust and appropriate methodology which, when properly calibrated, will provide a solution to meet all stakeholders needs.</w:t>
      </w:r>
    </w:p>
    <w:p w14:paraId="0A77E6B4" w14:textId="223EB77C" w:rsidR="00781F40" w:rsidRPr="008838CC" w:rsidRDefault="00781F40" w:rsidP="00644F0A">
      <w:pPr>
        <w:spacing w:line="276" w:lineRule="auto"/>
        <w:rPr>
          <w:rFonts w:ascii="Verdana" w:hAnsi="Verdana"/>
          <w:b/>
          <w:color w:val="000000"/>
          <w:sz w:val="17"/>
          <w:szCs w:val="17"/>
          <w:u w:val="single"/>
        </w:rPr>
      </w:pPr>
    </w:p>
    <w:p w14:paraId="5B11C924" w14:textId="314A48D4" w:rsidR="00781F40" w:rsidRPr="008838CC" w:rsidRDefault="00781F40" w:rsidP="00644F0A">
      <w:pPr>
        <w:spacing w:line="276" w:lineRule="auto"/>
        <w:rPr>
          <w:rFonts w:ascii="Verdana" w:hAnsi="Verdana"/>
          <w:b/>
          <w:color w:val="000000"/>
          <w:sz w:val="17"/>
          <w:szCs w:val="17"/>
        </w:rPr>
      </w:pPr>
    </w:p>
    <w:p w14:paraId="09D8B76C" w14:textId="0223451C" w:rsidR="00781F40" w:rsidRPr="008838CC" w:rsidRDefault="00781F40" w:rsidP="00644F0A">
      <w:pPr>
        <w:spacing w:line="276" w:lineRule="auto"/>
        <w:rPr>
          <w:rFonts w:ascii="Verdana" w:hAnsi="Verdana"/>
          <w:b/>
          <w:color w:val="000000"/>
          <w:sz w:val="17"/>
          <w:szCs w:val="17"/>
        </w:rPr>
      </w:pPr>
      <w:r w:rsidRPr="008838CC">
        <w:rPr>
          <w:rFonts w:ascii="Verdana" w:hAnsi="Verdana"/>
          <w:b/>
          <w:color w:val="000000"/>
          <w:sz w:val="17"/>
          <w:szCs w:val="17"/>
        </w:rPr>
        <w:t>Paragraphs 478-486</w:t>
      </w:r>
      <w:r w:rsidR="0082519A" w:rsidRPr="008838CC">
        <w:rPr>
          <w:rFonts w:ascii="Verdana" w:hAnsi="Verdana"/>
          <w:b/>
          <w:color w:val="000000"/>
          <w:sz w:val="17"/>
          <w:szCs w:val="17"/>
        </w:rPr>
        <w:t xml:space="preserve"> – Proposal A – A symmetric 200 bps shock with floor</w:t>
      </w:r>
    </w:p>
    <w:p w14:paraId="0255C1F2" w14:textId="04F82C14" w:rsidR="00781F40" w:rsidRPr="008838CC" w:rsidRDefault="00781F40" w:rsidP="00644F0A">
      <w:pPr>
        <w:spacing w:line="276" w:lineRule="auto"/>
        <w:rPr>
          <w:rFonts w:ascii="Verdana" w:hAnsi="Verdana"/>
          <w:color w:val="000000"/>
          <w:sz w:val="17"/>
          <w:szCs w:val="17"/>
        </w:rPr>
      </w:pPr>
      <w:r w:rsidRPr="008838CC">
        <w:rPr>
          <w:rFonts w:ascii="Verdana" w:hAnsi="Verdana"/>
          <w:color w:val="000000"/>
          <w:sz w:val="17"/>
          <w:szCs w:val="17"/>
        </w:rPr>
        <w:t>Insurance Europe</w:t>
      </w:r>
      <w:r w:rsidR="00EC29DD" w:rsidRPr="008838CC">
        <w:rPr>
          <w:rFonts w:ascii="Verdana" w:hAnsi="Verdana"/>
          <w:color w:val="000000"/>
          <w:sz w:val="17"/>
          <w:szCs w:val="17"/>
        </w:rPr>
        <w:t xml:space="preserve"> does not believe that the introduction of a 2% minimum shock is appropriate, particular</w:t>
      </w:r>
      <w:r w:rsidR="00B54257" w:rsidRPr="008838CC">
        <w:rPr>
          <w:rFonts w:ascii="Verdana" w:hAnsi="Verdana"/>
          <w:color w:val="000000"/>
          <w:sz w:val="17"/>
          <w:szCs w:val="17"/>
        </w:rPr>
        <w:t>l</w:t>
      </w:r>
      <w:r w:rsidR="00EC29DD" w:rsidRPr="008838CC">
        <w:rPr>
          <w:rFonts w:ascii="Verdana" w:hAnsi="Verdana"/>
          <w:color w:val="000000"/>
          <w:sz w:val="17"/>
          <w:szCs w:val="17"/>
        </w:rPr>
        <w:t xml:space="preserve">y in a low-yield environment. </w:t>
      </w:r>
    </w:p>
    <w:p w14:paraId="34DAD7B7" w14:textId="648D0867" w:rsidR="00EC29DD" w:rsidRPr="008838CC" w:rsidRDefault="00EC29DD" w:rsidP="00644F0A">
      <w:pPr>
        <w:spacing w:line="276" w:lineRule="auto"/>
        <w:rPr>
          <w:rFonts w:ascii="Verdana" w:hAnsi="Verdana"/>
          <w:color w:val="000000"/>
          <w:sz w:val="17"/>
          <w:szCs w:val="17"/>
        </w:rPr>
      </w:pPr>
    </w:p>
    <w:p w14:paraId="11883575" w14:textId="4DEBDA8F" w:rsidR="00EC29DD" w:rsidRPr="008838CC" w:rsidRDefault="00B54257" w:rsidP="00D51B0D">
      <w:pPr>
        <w:spacing w:line="276" w:lineRule="auto"/>
        <w:jc w:val="both"/>
        <w:rPr>
          <w:rFonts w:ascii="Verdana" w:hAnsi="Verdana"/>
          <w:color w:val="000000"/>
          <w:sz w:val="17"/>
          <w:szCs w:val="17"/>
        </w:rPr>
      </w:pPr>
      <w:r w:rsidRPr="008838CC">
        <w:rPr>
          <w:rFonts w:ascii="Verdana" w:hAnsi="Verdana"/>
          <w:color w:val="000000"/>
          <w:sz w:val="17"/>
          <w:szCs w:val="17"/>
        </w:rPr>
        <w:t>While there is evidence that interest rates have experienced downward shifts greater than 2% in the past, it is economically unviable for interest rates to experience a parallel downward shift of 2%</w:t>
      </w:r>
      <w:r w:rsidR="00D51B0D" w:rsidRPr="008838CC">
        <w:rPr>
          <w:rFonts w:ascii="Verdana" w:hAnsi="Verdana"/>
          <w:color w:val="000000"/>
          <w:sz w:val="17"/>
          <w:szCs w:val="17"/>
        </w:rPr>
        <w:t xml:space="preserve"> in the current market environment</w:t>
      </w:r>
      <w:r w:rsidRPr="008838CC">
        <w:rPr>
          <w:rFonts w:ascii="Verdana" w:hAnsi="Verdana"/>
          <w:color w:val="000000"/>
          <w:sz w:val="17"/>
          <w:szCs w:val="17"/>
        </w:rPr>
        <w:t>.</w:t>
      </w:r>
      <w:r w:rsidR="0082519A" w:rsidRPr="008838CC">
        <w:rPr>
          <w:rFonts w:ascii="Verdana" w:hAnsi="Verdana"/>
          <w:color w:val="000000"/>
          <w:sz w:val="17"/>
          <w:szCs w:val="17"/>
        </w:rPr>
        <w:t xml:space="preserve"> </w:t>
      </w:r>
      <w:r w:rsidRPr="008838CC">
        <w:rPr>
          <w:rFonts w:ascii="Verdana" w:hAnsi="Verdana"/>
          <w:color w:val="000000"/>
          <w:sz w:val="17"/>
          <w:szCs w:val="17"/>
        </w:rPr>
        <w:t>Based on EIOPA’s risk-free rates as at 31 October 2017</w:t>
      </w:r>
      <w:r w:rsidR="00D51B0D" w:rsidRPr="008838CC">
        <w:rPr>
          <w:rFonts w:ascii="Verdana" w:hAnsi="Verdana"/>
          <w:color w:val="000000"/>
          <w:sz w:val="17"/>
          <w:szCs w:val="17"/>
        </w:rPr>
        <w:t xml:space="preserve">, applying this downward stress would result in a yield curve which was negative beyond the 25 year tenor point; purchasing and holding </w:t>
      </w:r>
      <w:r w:rsidR="0012513F">
        <w:rPr>
          <w:rFonts w:ascii="Verdana" w:hAnsi="Verdana"/>
          <w:color w:val="000000"/>
          <w:sz w:val="17"/>
          <w:szCs w:val="17"/>
        </w:rPr>
        <w:t>to maturity</w:t>
      </w:r>
      <w:r w:rsidR="00D51B0D">
        <w:rPr>
          <w:rFonts w:ascii="Verdana" w:hAnsi="Verdana"/>
          <w:color w:val="000000"/>
          <w:sz w:val="17"/>
          <w:szCs w:val="17"/>
        </w:rPr>
        <w:t xml:space="preserve"> </w:t>
      </w:r>
      <w:r w:rsidR="00D51B0D" w:rsidRPr="008838CC">
        <w:rPr>
          <w:rFonts w:ascii="Verdana" w:hAnsi="Verdana"/>
          <w:color w:val="000000"/>
          <w:sz w:val="17"/>
          <w:szCs w:val="17"/>
        </w:rPr>
        <w:t xml:space="preserve">a 20 year zero-coupon swap at these levels would result in </w:t>
      </w:r>
      <w:r w:rsidR="0012513F">
        <w:rPr>
          <w:rFonts w:ascii="Verdana" w:hAnsi="Verdana"/>
          <w:color w:val="000000"/>
          <w:sz w:val="17"/>
          <w:szCs w:val="17"/>
        </w:rPr>
        <w:t>c.</w:t>
      </w:r>
      <w:r w:rsidR="00D51B0D">
        <w:rPr>
          <w:rFonts w:ascii="Verdana" w:hAnsi="Verdana"/>
          <w:color w:val="000000"/>
          <w:sz w:val="17"/>
          <w:szCs w:val="17"/>
        </w:rPr>
        <w:t>1</w:t>
      </w:r>
      <w:r w:rsidR="0012513F">
        <w:rPr>
          <w:rFonts w:ascii="Verdana" w:hAnsi="Verdana"/>
          <w:color w:val="000000"/>
          <w:sz w:val="17"/>
          <w:szCs w:val="17"/>
        </w:rPr>
        <w:t>3</w:t>
      </w:r>
      <w:r w:rsidR="00D51B0D" w:rsidRPr="008838CC">
        <w:rPr>
          <w:rFonts w:ascii="Verdana" w:hAnsi="Verdana"/>
          <w:color w:val="000000"/>
          <w:sz w:val="17"/>
          <w:szCs w:val="17"/>
        </w:rPr>
        <w:t>% nominal capital loss.</w:t>
      </w:r>
    </w:p>
    <w:p w14:paraId="1F63A2A6" w14:textId="252ABA91" w:rsidR="00D51B0D" w:rsidRPr="008838CC" w:rsidRDefault="00D51B0D" w:rsidP="00D51B0D">
      <w:pPr>
        <w:spacing w:line="276" w:lineRule="auto"/>
        <w:jc w:val="both"/>
        <w:rPr>
          <w:rFonts w:ascii="Verdana" w:hAnsi="Verdana"/>
          <w:color w:val="000000"/>
          <w:sz w:val="17"/>
          <w:szCs w:val="17"/>
        </w:rPr>
      </w:pPr>
    </w:p>
    <w:p w14:paraId="23E8C11A" w14:textId="4B5CF10C" w:rsidR="005C0237" w:rsidRPr="008838CC" w:rsidRDefault="00D51B0D" w:rsidP="00D51B0D">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believes this to be wholly unrealistic. </w:t>
      </w:r>
      <w:r w:rsidR="004E06E3" w:rsidRPr="008838CC">
        <w:rPr>
          <w:rFonts w:ascii="Verdana" w:hAnsi="Verdana"/>
          <w:color w:val="000000"/>
          <w:sz w:val="17"/>
          <w:szCs w:val="17"/>
        </w:rPr>
        <w:t xml:space="preserve">In such an environment, </w:t>
      </w:r>
      <w:r w:rsidRPr="008838CC">
        <w:rPr>
          <w:rFonts w:ascii="Verdana" w:hAnsi="Verdana"/>
          <w:color w:val="000000"/>
          <w:sz w:val="17"/>
          <w:szCs w:val="17"/>
        </w:rPr>
        <w:t>long-term investor</w:t>
      </w:r>
      <w:r w:rsidR="004E06E3" w:rsidRPr="008838CC">
        <w:rPr>
          <w:rFonts w:ascii="Verdana" w:hAnsi="Verdana"/>
          <w:color w:val="000000"/>
          <w:sz w:val="17"/>
          <w:szCs w:val="17"/>
        </w:rPr>
        <w:t>s</w:t>
      </w:r>
      <w:r w:rsidRPr="008838CC">
        <w:rPr>
          <w:rFonts w:ascii="Verdana" w:hAnsi="Verdana"/>
          <w:color w:val="000000"/>
          <w:sz w:val="17"/>
          <w:szCs w:val="17"/>
        </w:rPr>
        <w:t xml:space="preserve"> would </w:t>
      </w:r>
      <w:r w:rsidR="004E06E3" w:rsidRPr="008838CC">
        <w:rPr>
          <w:rFonts w:ascii="Verdana" w:hAnsi="Verdana"/>
          <w:color w:val="000000"/>
          <w:sz w:val="17"/>
          <w:szCs w:val="17"/>
        </w:rPr>
        <w:t xml:space="preserve">hold their assets in cash rather than </w:t>
      </w:r>
      <w:r w:rsidRPr="008838CC">
        <w:rPr>
          <w:rFonts w:ascii="Verdana" w:hAnsi="Verdana"/>
          <w:color w:val="000000"/>
          <w:sz w:val="17"/>
          <w:szCs w:val="17"/>
        </w:rPr>
        <w:t>continue to invest in negative yielding securities which guaranteed the destruction of capital.</w:t>
      </w:r>
      <w:r w:rsidR="004E06E3" w:rsidRPr="008838CC">
        <w:rPr>
          <w:rFonts w:ascii="Verdana" w:hAnsi="Verdana"/>
          <w:color w:val="000000"/>
          <w:sz w:val="17"/>
          <w:szCs w:val="17"/>
        </w:rPr>
        <w:t xml:space="preserve"> Furthermore, Insurance Europe does not believe it to be conceivable that </w:t>
      </w:r>
      <w:r w:rsidR="00C525B8" w:rsidRPr="008838CC">
        <w:rPr>
          <w:rFonts w:ascii="Verdana" w:hAnsi="Verdana"/>
          <w:color w:val="000000"/>
          <w:sz w:val="17"/>
          <w:szCs w:val="17"/>
        </w:rPr>
        <w:t>a</w:t>
      </w:r>
      <w:r w:rsidR="004E06E3" w:rsidRPr="008838CC">
        <w:rPr>
          <w:rFonts w:ascii="Verdana" w:hAnsi="Verdana"/>
          <w:color w:val="000000"/>
          <w:sz w:val="17"/>
          <w:szCs w:val="17"/>
        </w:rPr>
        <w:t xml:space="preserve"> market as large as the Euro interest rate market could achieve such low rates</w:t>
      </w:r>
      <w:r w:rsidR="00C525B8" w:rsidRPr="008838CC">
        <w:rPr>
          <w:rFonts w:ascii="Verdana" w:hAnsi="Verdana"/>
          <w:color w:val="000000"/>
          <w:sz w:val="17"/>
          <w:szCs w:val="17"/>
        </w:rPr>
        <w:t xml:space="preserve">, </w:t>
      </w:r>
      <w:r w:rsidR="00AA2E52">
        <w:rPr>
          <w:rFonts w:ascii="Verdana" w:hAnsi="Verdana"/>
          <w:color w:val="000000"/>
          <w:sz w:val="17"/>
          <w:szCs w:val="17"/>
        </w:rPr>
        <w:t xml:space="preserve">not least because </w:t>
      </w:r>
      <w:r w:rsidR="00C525B8" w:rsidRPr="008838CC">
        <w:rPr>
          <w:rFonts w:ascii="Verdana" w:hAnsi="Verdana"/>
          <w:color w:val="000000"/>
          <w:sz w:val="17"/>
          <w:szCs w:val="17"/>
        </w:rPr>
        <w:t xml:space="preserve">this would have fundamental adverse consequences for the financial system and broader society. </w:t>
      </w:r>
    </w:p>
    <w:p w14:paraId="7BC6B3D9" w14:textId="77777777" w:rsidR="005C0237" w:rsidRPr="008838CC" w:rsidRDefault="005C0237" w:rsidP="00D51B0D">
      <w:pPr>
        <w:spacing w:line="276" w:lineRule="auto"/>
        <w:jc w:val="both"/>
        <w:rPr>
          <w:rFonts w:ascii="Verdana" w:hAnsi="Verdana"/>
          <w:color w:val="000000"/>
          <w:sz w:val="17"/>
          <w:szCs w:val="17"/>
        </w:rPr>
      </w:pPr>
    </w:p>
    <w:p w14:paraId="6F1DF2A9" w14:textId="783CD591" w:rsidR="00D51B0D" w:rsidRPr="008838CC" w:rsidRDefault="005C0237" w:rsidP="00D51B0D">
      <w:pPr>
        <w:spacing w:line="276" w:lineRule="auto"/>
        <w:jc w:val="both"/>
        <w:rPr>
          <w:rFonts w:ascii="Verdana" w:hAnsi="Verdana"/>
          <w:color w:val="000000"/>
          <w:sz w:val="17"/>
          <w:szCs w:val="17"/>
        </w:rPr>
      </w:pPr>
      <w:r w:rsidRPr="008838CC">
        <w:rPr>
          <w:rFonts w:ascii="Verdana" w:hAnsi="Verdana"/>
          <w:color w:val="000000"/>
          <w:sz w:val="17"/>
          <w:szCs w:val="17"/>
        </w:rPr>
        <w:t>Historical evidence supports this claim. For example, t</w:t>
      </w:r>
      <w:r w:rsidR="00C525B8" w:rsidRPr="008838CC">
        <w:rPr>
          <w:rFonts w:ascii="Verdana" w:hAnsi="Verdana"/>
          <w:color w:val="000000"/>
          <w:sz w:val="17"/>
          <w:szCs w:val="17"/>
        </w:rPr>
        <w:t>he Japanese government bond market</w:t>
      </w:r>
      <w:r w:rsidRPr="008838CC">
        <w:rPr>
          <w:rFonts w:ascii="Verdana" w:hAnsi="Verdana"/>
          <w:color w:val="000000"/>
          <w:sz w:val="17"/>
          <w:szCs w:val="17"/>
        </w:rPr>
        <w:t xml:space="preserve"> </w:t>
      </w:r>
      <w:r w:rsidR="00C525B8" w:rsidRPr="008838CC">
        <w:rPr>
          <w:rFonts w:ascii="Verdana" w:hAnsi="Verdana"/>
          <w:color w:val="000000"/>
          <w:sz w:val="17"/>
          <w:szCs w:val="17"/>
        </w:rPr>
        <w:t>has endured a low inte</w:t>
      </w:r>
      <w:r w:rsidRPr="008838CC">
        <w:rPr>
          <w:rFonts w:ascii="Verdana" w:hAnsi="Verdana"/>
          <w:color w:val="000000"/>
          <w:sz w:val="17"/>
          <w:szCs w:val="17"/>
        </w:rPr>
        <w:t xml:space="preserve">rest rate environment for over </w:t>
      </w:r>
      <w:r w:rsidR="00C525B8" w:rsidRPr="008838CC">
        <w:rPr>
          <w:rFonts w:ascii="Verdana" w:hAnsi="Verdana"/>
          <w:color w:val="000000"/>
          <w:sz w:val="17"/>
          <w:szCs w:val="17"/>
        </w:rPr>
        <w:t>20 years and</w:t>
      </w:r>
      <w:r w:rsidRPr="008838CC">
        <w:rPr>
          <w:rFonts w:ascii="Verdana" w:hAnsi="Verdana"/>
          <w:color w:val="000000"/>
          <w:sz w:val="17"/>
          <w:szCs w:val="17"/>
        </w:rPr>
        <w:t xml:space="preserve"> </w:t>
      </w:r>
      <w:r w:rsidR="00C525B8" w:rsidRPr="008838CC">
        <w:rPr>
          <w:rFonts w:ascii="Verdana" w:hAnsi="Verdana"/>
          <w:color w:val="000000"/>
          <w:sz w:val="17"/>
          <w:szCs w:val="17"/>
        </w:rPr>
        <w:t>despite continued</w:t>
      </w:r>
      <w:r w:rsidRPr="008838CC">
        <w:rPr>
          <w:rFonts w:ascii="Verdana" w:hAnsi="Verdana"/>
          <w:color w:val="000000"/>
          <w:sz w:val="17"/>
          <w:szCs w:val="17"/>
        </w:rPr>
        <w:t xml:space="preserve"> and aggresive</w:t>
      </w:r>
      <w:r w:rsidR="00C525B8" w:rsidRPr="008838CC">
        <w:rPr>
          <w:rFonts w:ascii="Verdana" w:hAnsi="Verdana"/>
          <w:color w:val="000000"/>
          <w:sz w:val="17"/>
          <w:szCs w:val="17"/>
        </w:rPr>
        <w:t xml:space="preserve"> monetary stimulus it has never experienced negative rates of the magnitude provided by this model.</w:t>
      </w:r>
    </w:p>
    <w:p w14:paraId="202D73C6" w14:textId="176DC570" w:rsidR="00C525B8" w:rsidRPr="008838CC" w:rsidRDefault="00C525B8" w:rsidP="00D51B0D">
      <w:pPr>
        <w:spacing w:line="276" w:lineRule="auto"/>
        <w:jc w:val="both"/>
        <w:rPr>
          <w:rFonts w:ascii="Verdana" w:hAnsi="Verdana"/>
          <w:color w:val="000000"/>
          <w:sz w:val="17"/>
          <w:szCs w:val="17"/>
        </w:rPr>
      </w:pPr>
    </w:p>
    <w:p w14:paraId="3456DCE4" w14:textId="4CEB2AC8" w:rsidR="00C525B8" w:rsidRPr="008838CC" w:rsidRDefault="00C525B8" w:rsidP="00D51B0D">
      <w:pPr>
        <w:spacing w:line="276" w:lineRule="auto"/>
        <w:jc w:val="both"/>
        <w:rPr>
          <w:rFonts w:ascii="Verdana" w:hAnsi="Verdana"/>
          <w:color w:val="000000"/>
          <w:sz w:val="17"/>
          <w:szCs w:val="17"/>
        </w:rPr>
      </w:pPr>
      <w:r w:rsidRPr="008838CC">
        <w:rPr>
          <w:rFonts w:ascii="Verdana" w:hAnsi="Verdana"/>
          <w:color w:val="000000"/>
          <w:sz w:val="17"/>
          <w:szCs w:val="17"/>
        </w:rPr>
        <w:t>To mitigate the impact of these extreme minimum shocks, EIOPA has proposed an interest rate floor, based upon the minima reached for the Swiss Franc interest rate curve</w:t>
      </w:r>
      <w:r w:rsidR="005C0237" w:rsidRPr="008838CC">
        <w:rPr>
          <w:rFonts w:ascii="Verdana" w:hAnsi="Verdana"/>
          <w:color w:val="000000"/>
          <w:sz w:val="17"/>
          <w:szCs w:val="17"/>
        </w:rPr>
        <w:t>,</w:t>
      </w:r>
      <w:r w:rsidRPr="008838CC">
        <w:rPr>
          <w:rFonts w:ascii="Verdana" w:hAnsi="Verdana"/>
          <w:color w:val="000000"/>
          <w:sz w:val="17"/>
          <w:szCs w:val="17"/>
        </w:rPr>
        <w:t xml:space="preserve"> as at an unspecified date. While Insurance Europe does believes an (implicit or explicit) interest rate floor is a requisite for an sensible interest model, it contends that EIOPA’s proposed floor is overly prudent and the result of questionable assumptions</w:t>
      </w:r>
      <w:r w:rsidR="005C0237" w:rsidRPr="008838CC">
        <w:rPr>
          <w:rFonts w:ascii="Verdana" w:hAnsi="Verdana"/>
          <w:color w:val="000000"/>
          <w:sz w:val="17"/>
          <w:szCs w:val="17"/>
        </w:rPr>
        <w:t>;</w:t>
      </w:r>
    </w:p>
    <w:p w14:paraId="74D51AB6" w14:textId="00CA91C0" w:rsidR="005C0237" w:rsidRPr="008838CC" w:rsidRDefault="005C0237" w:rsidP="005C0237">
      <w:pPr>
        <w:pStyle w:val="Odsekzoznamu"/>
        <w:numPr>
          <w:ilvl w:val="0"/>
          <w:numId w:val="26"/>
        </w:numPr>
        <w:spacing w:line="276" w:lineRule="auto"/>
        <w:rPr>
          <w:color w:val="000000"/>
          <w:sz w:val="17"/>
          <w:szCs w:val="17"/>
        </w:rPr>
      </w:pPr>
      <w:r w:rsidRPr="008838CC">
        <w:rPr>
          <w:color w:val="000000"/>
          <w:sz w:val="17"/>
          <w:szCs w:val="17"/>
        </w:rPr>
        <w:t>To determine the model’s floor, EIOPA has sub</w:t>
      </w:r>
      <w:r w:rsidR="00AA2E52">
        <w:rPr>
          <w:color w:val="000000"/>
          <w:sz w:val="17"/>
          <w:szCs w:val="17"/>
        </w:rPr>
        <w:t>s</w:t>
      </w:r>
      <w:r w:rsidRPr="008838CC">
        <w:rPr>
          <w:color w:val="000000"/>
          <w:sz w:val="17"/>
          <w:szCs w:val="17"/>
        </w:rPr>
        <w:t xml:space="preserve">tracted around 1% from the minima reached by the Swiss franc curve. In a negative interest rate environment, this represents </w:t>
      </w:r>
      <w:r>
        <w:rPr>
          <w:color w:val="000000"/>
          <w:sz w:val="17"/>
          <w:szCs w:val="17"/>
        </w:rPr>
        <w:t>an</w:t>
      </w:r>
      <w:r w:rsidRPr="008838CC">
        <w:rPr>
          <w:color w:val="000000"/>
          <w:sz w:val="17"/>
          <w:szCs w:val="17"/>
        </w:rPr>
        <w:t xml:space="preserve"> excessive and unjustified margin of prudence.</w:t>
      </w:r>
    </w:p>
    <w:p w14:paraId="577C6ACD" w14:textId="76461B6F" w:rsidR="005C0237" w:rsidRPr="008838CC" w:rsidRDefault="005C0237" w:rsidP="005C0237">
      <w:pPr>
        <w:pStyle w:val="Odsekzoznamu"/>
        <w:numPr>
          <w:ilvl w:val="0"/>
          <w:numId w:val="26"/>
        </w:numPr>
        <w:spacing w:line="276" w:lineRule="auto"/>
        <w:rPr>
          <w:color w:val="000000"/>
          <w:sz w:val="17"/>
          <w:szCs w:val="17"/>
        </w:rPr>
      </w:pPr>
      <w:r w:rsidRPr="008838CC">
        <w:rPr>
          <w:color w:val="000000"/>
          <w:sz w:val="17"/>
          <w:szCs w:val="17"/>
        </w:rPr>
        <w:t xml:space="preserve">The Swiss franc market is small in comparison to the Euro and GBP markets and the </w:t>
      </w:r>
      <w:r w:rsidR="00603AB4" w:rsidRPr="008838CC">
        <w:rPr>
          <w:color w:val="000000"/>
          <w:sz w:val="17"/>
          <w:szCs w:val="17"/>
        </w:rPr>
        <w:t>idiosyncrasies</w:t>
      </w:r>
      <w:r w:rsidRPr="008838CC">
        <w:rPr>
          <w:color w:val="000000"/>
          <w:sz w:val="17"/>
          <w:szCs w:val="17"/>
        </w:rPr>
        <w:t xml:space="preserve"> which drive the market cannot be realistically extrapolated to larger markets.</w:t>
      </w:r>
    </w:p>
    <w:p w14:paraId="5615CAE7" w14:textId="67ABA1FC" w:rsidR="0082519A" w:rsidRPr="008838CC" w:rsidRDefault="0082519A" w:rsidP="0082519A">
      <w:pPr>
        <w:spacing w:line="276" w:lineRule="auto"/>
        <w:rPr>
          <w:rFonts w:ascii="Verdana" w:hAnsi="Verdana"/>
          <w:color w:val="000000"/>
          <w:sz w:val="17"/>
          <w:szCs w:val="17"/>
        </w:rPr>
      </w:pPr>
    </w:p>
    <w:p w14:paraId="57FEA480" w14:textId="7BECFF1B" w:rsidR="0082519A" w:rsidRPr="008838CC" w:rsidRDefault="0082519A" w:rsidP="0082519A">
      <w:pPr>
        <w:spacing w:line="276" w:lineRule="auto"/>
        <w:jc w:val="both"/>
        <w:rPr>
          <w:rFonts w:ascii="Verdana" w:hAnsi="Verdana"/>
          <w:color w:val="000000"/>
          <w:sz w:val="17"/>
          <w:szCs w:val="17"/>
        </w:rPr>
      </w:pPr>
      <w:r w:rsidRPr="008838CC">
        <w:rPr>
          <w:rFonts w:ascii="Verdana" w:hAnsi="Verdana"/>
          <w:color w:val="000000"/>
          <w:sz w:val="17"/>
          <w:szCs w:val="17"/>
        </w:rPr>
        <w:t xml:space="preserve">In summary, Insurance Europe believes that the proposal is based on questionable assumptions, is </w:t>
      </w:r>
      <w:r w:rsidR="006D394A" w:rsidRPr="008838CC">
        <w:rPr>
          <w:rFonts w:ascii="Verdana" w:hAnsi="Verdana"/>
          <w:color w:val="000000"/>
          <w:sz w:val="17"/>
          <w:szCs w:val="17"/>
        </w:rPr>
        <w:t>un</w:t>
      </w:r>
      <w:r w:rsidRPr="008838CC">
        <w:rPr>
          <w:rFonts w:ascii="Verdana" w:hAnsi="Verdana"/>
          <w:color w:val="000000"/>
          <w:sz w:val="17"/>
          <w:szCs w:val="17"/>
        </w:rPr>
        <w:t xml:space="preserve">justifiable in the current market conditions and would result in a material over-estimation of the interest rate risk. </w:t>
      </w:r>
    </w:p>
    <w:p w14:paraId="7310C2A2" w14:textId="6F97A06E" w:rsidR="0082519A" w:rsidRPr="008838CC" w:rsidRDefault="0082519A" w:rsidP="0082519A">
      <w:pPr>
        <w:spacing w:line="276" w:lineRule="auto"/>
        <w:jc w:val="both"/>
        <w:rPr>
          <w:rFonts w:ascii="Verdana" w:hAnsi="Verdana"/>
          <w:color w:val="000000"/>
          <w:sz w:val="17"/>
          <w:szCs w:val="17"/>
        </w:rPr>
      </w:pPr>
    </w:p>
    <w:p w14:paraId="26F286BC" w14:textId="5D8490E4" w:rsidR="0082519A" w:rsidRPr="008838CC" w:rsidRDefault="0082519A" w:rsidP="0082519A">
      <w:pPr>
        <w:spacing w:line="276" w:lineRule="auto"/>
        <w:jc w:val="both"/>
        <w:rPr>
          <w:rFonts w:ascii="Verdana" w:hAnsi="Verdana"/>
          <w:color w:val="000000"/>
          <w:sz w:val="17"/>
          <w:szCs w:val="17"/>
        </w:rPr>
      </w:pPr>
      <w:r w:rsidRPr="008838CC">
        <w:rPr>
          <w:rFonts w:ascii="Verdana" w:hAnsi="Verdana"/>
          <w:color w:val="000000"/>
          <w:sz w:val="17"/>
          <w:szCs w:val="17"/>
        </w:rPr>
        <w:t>Furthermore, Insurance Europe notes that in its assessment of Proposal B</w:t>
      </w:r>
      <w:r w:rsidR="00052CDE" w:rsidRPr="008838CC">
        <w:rPr>
          <w:rFonts w:ascii="Verdana" w:hAnsi="Verdana"/>
          <w:color w:val="000000"/>
          <w:sz w:val="17"/>
          <w:szCs w:val="17"/>
        </w:rPr>
        <w:t>,</w:t>
      </w:r>
      <w:r w:rsidRPr="008838CC">
        <w:rPr>
          <w:rFonts w:ascii="Verdana" w:hAnsi="Verdana"/>
          <w:color w:val="000000"/>
          <w:sz w:val="17"/>
          <w:szCs w:val="17"/>
        </w:rPr>
        <w:t xml:space="preserve"> EIOPA </w:t>
      </w:r>
      <w:r w:rsidR="00052CDE" w:rsidRPr="008838CC">
        <w:rPr>
          <w:rFonts w:ascii="Verdana" w:hAnsi="Verdana"/>
          <w:color w:val="000000"/>
          <w:sz w:val="17"/>
          <w:szCs w:val="17"/>
        </w:rPr>
        <w:t xml:space="preserve">itself notes that </w:t>
      </w:r>
      <w:r w:rsidRPr="008838CC">
        <w:rPr>
          <w:rFonts w:ascii="Verdana" w:hAnsi="Verdana"/>
          <w:color w:val="000000"/>
          <w:sz w:val="17"/>
          <w:szCs w:val="17"/>
        </w:rPr>
        <w:t xml:space="preserve">Proposal A </w:t>
      </w:r>
      <w:r w:rsidR="00052CDE" w:rsidRPr="008838CC">
        <w:rPr>
          <w:rFonts w:ascii="Verdana" w:hAnsi="Verdana"/>
          <w:color w:val="000000"/>
          <w:sz w:val="17"/>
          <w:szCs w:val="17"/>
        </w:rPr>
        <w:t xml:space="preserve">can be considered to </w:t>
      </w:r>
      <w:r w:rsidRPr="008838CC">
        <w:rPr>
          <w:rFonts w:ascii="Verdana" w:hAnsi="Verdana"/>
          <w:color w:val="000000"/>
          <w:sz w:val="17"/>
          <w:szCs w:val="17"/>
        </w:rPr>
        <w:t>be overly prudent.</w:t>
      </w:r>
    </w:p>
    <w:p w14:paraId="4E13D485" w14:textId="220BC3BD" w:rsidR="00E42275" w:rsidRPr="008838CC" w:rsidRDefault="00E42275" w:rsidP="00E42275">
      <w:pPr>
        <w:spacing w:line="276" w:lineRule="auto"/>
        <w:rPr>
          <w:rFonts w:ascii="Verdana" w:hAnsi="Verdana"/>
          <w:color w:val="000000"/>
          <w:sz w:val="17"/>
          <w:szCs w:val="17"/>
        </w:rPr>
      </w:pPr>
    </w:p>
    <w:p w14:paraId="52EA4A11" w14:textId="014DC4B5" w:rsidR="00C525B8" w:rsidRPr="008838CC" w:rsidRDefault="00E42275" w:rsidP="00D51B0D">
      <w:pPr>
        <w:spacing w:line="276" w:lineRule="auto"/>
        <w:jc w:val="both"/>
        <w:rPr>
          <w:rFonts w:ascii="Verdana" w:hAnsi="Verdana"/>
          <w:b/>
          <w:color w:val="000000"/>
          <w:sz w:val="17"/>
          <w:szCs w:val="17"/>
        </w:rPr>
      </w:pPr>
      <w:r w:rsidRPr="008838CC">
        <w:rPr>
          <w:rFonts w:ascii="Verdana" w:hAnsi="Verdana"/>
          <w:b/>
          <w:color w:val="000000"/>
          <w:sz w:val="17"/>
          <w:szCs w:val="17"/>
        </w:rPr>
        <w:t>Paragraphs 478-521</w:t>
      </w:r>
      <w:r w:rsidR="0082519A" w:rsidRPr="008838CC">
        <w:rPr>
          <w:rFonts w:ascii="Verdana" w:hAnsi="Verdana"/>
          <w:b/>
          <w:color w:val="000000"/>
          <w:sz w:val="17"/>
          <w:szCs w:val="17"/>
        </w:rPr>
        <w:t xml:space="preserve"> – Proposal B – A combined approach</w:t>
      </w:r>
    </w:p>
    <w:p w14:paraId="7AFD212A" w14:textId="1CCBDDB3" w:rsidR="00E42275" w:rsidRPr="008838CC" w:rsidRDefault="0082519A" w:rsidP="00D51B0D">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notes that the </w:t>
      </w:r>
      <w:r w:rsidR="00FA2F06" w:rsidRPr="008838CC">
        <w:rPr>
          <w:rFonts w:ascii="Verdana" w:hAnsi="Verdana"/>
          <w:color w:val="000000"/>
          <w:sz w:val="17"/>
          <w:szCs w:val="17"/>
        </w:rPr>
        <w:t xml:space="preserve">model proposed under the </w:t>
      </w:r>
      <w:r w:rsidRPr="008838CC">
        <w:rPr>
          <w:rFonts w:ascii="Verdana" w:hAnsi="Verdana"/>
          <w:color w:val="000000"/>
          <w:sz w:val="17"/>
          <w:szCs w:val="17"/>
        </w:rPr>
        <w:t xml:space="preserve">combined approach </w:t>
      </w:r>
      <w:r w:rsidR="00FA2F06" w:rsidRPr="008838CC">
        <w:rPr>
          <w:rFonts w:ascii="Verdana" w:hAnsi="Verdana"/>
          <w:color w:val="000000"/>
          <w:sz w:val="17"/>
          <w:szCs w:val="17"/>
        </w:rPr>
        <w:t xml:space="preserve">is </w:t>
      </w:r>
      <w:r w:rsidR="00FA2F06">
        <w:rPr>
          <w:rFonts w:ascii="Verdana" w:hAnsi="Verdana"/>
          <w:color w:val="000000"/>
          <w:sz w:val="17"/>
          <w:szCs w:val="17"/>
        </w:rPr>
        <w:t>significan</w:t>
      </w:r>
      <w:r w:rsidR="0012513F">
        <w:rPr>
          <w:rFonts w:ascii="Verdana" w:hAnsi="Verdana"/>
          <w:color w:val="000000"/>
          <w:sz w:val="17"/>
          <w:szCs w:val="17"/>
        </w:rPr>
        <w:t>tl</w:t>
      </w:r>
      <w:r w:rsidR="00FA2F06">
        <w:rPr>
          <w:rFonts w:ascii="Verdana" w:hAnsi="Verdana"/>
          <w:color w:val="000000"/>
          <w:sz w:val="17"/>
          <w:szCs w:val="17"/>
        </w:rPr>
        <w:t>y</w:t>
      </w:r>
      <w:r w:rsidR="00FA2F06" w:rsidRPr="008838CC">
        <w:rPr>
          <w:rFonts w:ascii="Verdana" w:hAnsi="Verdana"/>
          <w:color w:val="000000"/>
          <w:sz w:val="17"/>
          <w:szCs w:val="17"/>
        </w:rPr>
        <w:t xml:space="preserve"> more complex than the existing model. It </w:t>
      </w:r>
      <w:r w:rsidRPr="008838CC">
        <w:rPr>
          <w:rFonts w:ascii="Verdana" w:hAnsi="Verdana"/>
          <w:color w:val="000000"/>
          <w:sz w:val="17"/>
          <w:szCs w:val="17"/>
        </w:rPr>
        <w:t>is the combination of a total of three different models</w:t>
      </w:r>
      <w:r w:rsidR="00AA2E52">
        <w:rPr>
          <w:rFonts w:ascii="Verdana" w:hAnsi="Verdana"/>
          <w:color w:val="000000"/>
          <w:sz w:val="17"/>
          <w:szCs w:val="17"/>
        </w:rPr>
        <w:t>:</w:t>
      </w:r>
      <w:r w:rsidRPr="008838CC">
        <w:rPr>
          <w:rFonts w:ascii="Verdana" w:hAnsi="Verdana"/>
          <w:color w:val="000000"/>
          <w:sz w:val="17"/>
          <w:szCs w:val="17"/>
        </w:rPr>
        <w:t xml:space="preserve"> 1) the existing relative model, 2) the 2% minimum shock ie Proposal A and 3) the affine model.</w:t>
      </w:r>
    </w:p>
    <w:p w14:paraId="366CE6B2" w14:textId="3F690A06" w:rsidR="0082519A" w:rsidRPr="008838CC" w:rsidRDefault="0082519A" w:rsidP="00D51B0D">
      <w:pPr>
        <w:spacing w:line="276" w:lineRule="auto"/>
        <w:jc w:val="both"/>
        <w:rPr>
          <w:rFonts w:ascii="Verdana" w:hAnsi="Verdana"/>
          <w:color w:val="000000"/>
          <w:sz w:val="17"/>
          <w:szCs w:val="17"/>
        </w:rPr>
      </w:pPr>
    </w:p>
    <w:p w14:paraId="3BB254D5" w14:textId="09F03840" w:rsidR="00FA2F06" w:rsidRPr="008838CC" w:rsidRDefault="002E1412" w:rsidP="00D51B0D">
      <w:pPr>
        <w:spacing w:line="276" w:lineRule="auto"/>
        <w:jc w:val="both"/>
        <w:rPr>
          <w:rFonts w:ascii="Verdana" w:hAnsi="Verdana"/>
          <w:color w:val="000000"/>
          <w:sz w:val="17"/>
          <w:szCs w:val="17"/>
        </w:rPr>
      </w:pPr>
      <w:r w:rsidRPr="008838CC">
        <w:rPr>
          <w:rFonts w:ascii="Verdana" w:hAnsi="Verdana"/>
          <w:color w:val="000000"/>
          <w:sz w:val="17"/>
          <w:szCs w:val="17"/>
        </w:rPr>
        <w:t xml:space="preserve">EIOPA’s affine model is calibrated based on the observations from five currencies, over a c.6 year period. Insurance Europe does not believe that </w:t>
      </w:r>
      <w:r w:rsidR="00052CDE" w:rsidRPr="008838CC">
        <w:rPr>
          <w:rFonts w:ascii="Verdana" w:hAnsi="Verdana"/>
          <w:color w:val="000000"/>
          <w:sz w:val="17"/>
          <w:szCs w:val="17"/>
        </w:rPr>
        <w:t>calibration of the model on such a limited data set is robust</w:t>
      </w:r>
      <w:r w:rsidRPr="008838CC">
        <w:rPr>
          <w:rFonts w:ascii="Verdana" w:hAnsi="Verdana"/>
          <w:color w:val="000000"/>
          <w:sz w:val="17"/>
          <w:szCs w:val="17"/>
        </w:rPr>
        <w:t>.</w:t>
      </w:r>
    </w:p>
    <w:p w14:paraId="2F098243" w14:textId="7F989B2F" w:rsidR="002E1412" w:rsidRPr="008838CC" w:rsidRDefault="002E1412" w:rsidP="00D51B0D">
      <w:pPr>
        <w:spacing w:line="276" w:lineRule="auto"/>
        <w:jc w:val="both"/>
        <w:rPr>
          <w:rFonts w:ascii="Verdana" w:hAnsi="Verdana"/>
          <w:color w:val="000000"/>
          <w:sz w:val="17"/>
          <w:szCs w:val="17"/>
        </w:rPr>
      </w:pPr>
    </w:p>
    <w:p w14:paraId="77133744" w14:textId="5404D9B1" w:rsidR="00052CDE" w:rsidRPr="008838CC" w:rsidRDefault="00052CDE" w:rsidP="00D51B0D">
      <w:pPr>
        <w:spacing w:line="276" w:lineRule="auto"/>
        <w:jc w:val="both"/>
        <w:rPr>
          <w:rFonts w:ascii="Verdana" w:hAnsi="Verdana"/>
          <w:color w:val="000000"/>
          <w:sz w:val="17"/>
          <w:szCs w:val="17"/>
        </w:rPr>
      </w:pPr>
      <w:r w:rsidRPr="008838CC">
        <w:rPr>
          <w:rFonts w:ascii="Verdana" w:hAnsi="Verdana"/>
          <w:color w:val="000000"/>
          <w:sz w:val="17"/>
          <w:szCs w:val="17"/>
        </w:rPr>
        <w:t>Insurance Europe highlights additional drawbacks of the affine model</w:t>
      </w:r>
      <w:r w:rsidR="00AA2E52">
        <w:rPr>
          <w:rFonts w:ascii="Verdana" w:hAnsi="Verdana"/>
          <w:color w:val="000000"/>
          <w:sz w:val="17"/>
          <w:szCs w:val="17"/>
        </w:rPr>
        <w:t>:</w:t>
      </w:r>
    </w:p>
    <w:p w14:paraId="6E0A788B" w14:textId="34D0D1DC" w:rsidR="00052CDE" w:rsidRPr="008838CC" w:rsidRDefault="00052CDE" w:rsidP="00052CDE">
      <w:pPr>
        <w:pStyle w:val="Odsekzoznamu"/>
        <w:numPr>
          <w:ilvl w:val="0"/>
          <w:numId w:val="27"/>
        </w:numPr>
        <w:spacing w:line="276" w:lineRule="auto"/>
        <w:rPr>
          <w:color w:val="000000"/>
          <w:sz w:val="17"/>
          <w:szCs w:val="17"/>
        </w:rPr>
      </w:pPr>
      <w:r w:rsidRPr="008838CC">
        <w:rPr>
          <w:color w:val="000000"/>
          <w:sz w:val="17"/>
          <w:szCs w:val="17"/>
        </w:rPr>
        <w:t>It</w:t>
      </w:r>
      <w:r w:rsidR="006D394A" w:rsidRPr="008838CC">
        <w:rPr>
          <w:color w:val="000000"/>
          <w:sz w:val="17"/>
          <w:szCs w:val="17"/>
        </w:rPr>
        <w:t xml:space="preserve"> does not recognise</w:t>
      </w:r>
      <w:r w:rsidRPr="008838CC">
        <w:rPr>
          <w:color w:val="000000"/>
          <w:sz w:val="17"/>
          <w:szCs w:val="17"/>
        </w:rPr>
        <w:t xml:space="preserve"> the existence of a lower bound. Instead </w:t>
      </w:r>
      <w:r w:rsidR="00AA2E52">
        <w:rPr>
          <w:color w:val="000000"/>
          <w:sz w:val="17"/>
          <w:szCs w:val="17"/>
        </w:rPr>
        <w:t xml:space="preserve">it </w:t>
      </w:r>
      <w:r w:rsidRPr="008838CC">
        <w:rPr>
          <w:color w:val="000000"/>
          <w:sz w:val="17"/>
          <w:szCs w:val="17"/>
        </w:rPr>
        <w:t>assumes that the lower bound is 1% lower than the existing interest rate which, by definition</w:t>
      </w:r>
      <w:r w:rsidR="00127375" w:rsidRPr="008838CC">
        <w:rPr>
          <w:color w:val="000000"/>
          <w:sz w:val="17"/>
          <w:szCs w:val="17"/>
        </w:rPr>
        <w:t>,</w:t>
      </w:r>
      <w:r w:rsidRPr="008838CC">
        <w:rPr>
          <w:color w:val="000000"/>
          <w:sz w:val="17"/>
          <w:szCs w:val="17"/>
        </w:rPr>
        <w:t xml:space="preserve"> is not a lower bound.</w:t>
      </w:r>
    </w:p>
    <w:p w14:paraId="1C86667E" w14:textId="592047F2" w:rsidR="002E1412" w:rsidRPr="008838CC" w:rsidRDefault="00052CDE" w:rsidP="00052CDE">
      <w:pPr>
        <w:pStyle w:val="Odsekzoznamu"/>
        <w:numPr>
          <w:ilvl w:val="0"/>
          <w:numId w:val="27"/>
        </w:numPr>
        <w:spacing w:line="276" w:lineRule="auto"/>
        <w:rPr>
          <w:color w:val="000000"/>
          <w:sz w:val="17"/>
          <w:szCs w:val="17"/>
        </w:rPr>
      </w:pPr>
      <w:r w:rsidRPr="008838CC">
        <w:rPr>
          <w:color w:val="000000"/>
          <w:sz w:val="17"/>
          <w:szCs w:val="17"/>
        </w:rPr>
        <w:t xml:space="preserve">The calibration of the additive component is based on the </w:t>
      </w:r>
      <w:r w:rsidR="00AC277F" w:rsidRPr="008838CC">
        <w:rPr>
          <w:color w:val="000000"/>
          <w:sz w:val="17"/>
          <w:szCs w:val="17"/>
        </w:rPr>
        <w:t>0.</w:t>
      </w:r>
      <w:r w:rsidRPr="008838CC">
        <w:rPr>
          <w:color w:val="000000"/>
          <w:sz w:val="17"/>
          <w:szCs w:val="17"/>
        </w:rPr>
        <w:t>995</w:t>
      </w:r>
      <w:r w:rsidR="00127375" w:rsidRPr="008838CC">
        <w:rPr>
          <w:color w:val="000000"/>
          <w:sz w:val="17"/>
          <w:szCs w:val="17"/>
        </w:rPr>
        <w:t xml:space="preserve"> (</w:t>
      </w:r>
      <w:r w:rsidR="00AC277F" w:rsidRPr="008838CC">
        <w:rPr>
          <w:color w:val="000000"/>
          <w:sz w:val="17"/>
          <w:szCs w:val="17"/>
        </w:rPr>
        <w:t>0.005</w:t>
      </w:r>
      <w:r w:rsidR="00127375" w:rsidRPr="008838CC">
        <w:rPr>
          <w:color w:val="000000"/>
          <w:sz w:val="17"/>
          <w:szCs w:val="17"/>
        </w:rPr>
        <w:t>)</w:t>
      </w:r>
      <w:r w:rsidR="00AC277F" w:rsidRPr="008838CC">
        <w:rPr>
          <w:color w:val="000000"/>
          <w:sz w:val="17"/>
          <w:szCs w:val="17"/>
        </w:rPr>
        <w:t xml:space="preserve"> quantile</w:t>
      </w:r>
      <w:r w:rsidRPr="008838CC">
        <w:rPr>
          <w:color w:val="000000"/>
          <w:sz w:val="17"/>
          <w:szCs w:val="17"/>
        </w:rPr>
        <w:t xml:space="preserve"> of annual movements</w:t>
      </w:r>
      <w:r w:rsidR="00AC277F" w:rsidRPr="008838CC">
        <w:rPr>
          <w:color w:val="000000"/>
          <w:sz w:val="17"/>
          <w:szCs w:val="17"/>
        </w:rPr>
        <w:t xml:space="preserve"> of </w:t>
      </w:r>
      <w:r w:rsidR="00127375" w:rsidRPr="008838CC">
        <w:rPr>
          <w:color w:val="000000"/>
          <w:sz w:val="17"/>
          <w:szCs w:val="17"/>
        </w:rPr>
        <w:t xml:space="preserve">multiple </w:t>
      </w:r>
      <w:r w:rsidRPr="008838CC">
        <w:rPr>
          <w:color w:val="000000"/>
          <w:sz w:val="17"/>
          <w:szCs w:val="17"/>
        </w:rPr>
        <w:t>tenor</w:t>
      </w:r>
      <w:r w:rsidR="00AC277F" w:rsidRPr="008838CC">
        <w:rPr>
          <w:color w:val="000000"/>
          <w:sz w:val="17"/>
          <w:szCs w:val="17"/>
        </w:rPr>
        <w:t>s</w:t>
      </w:r>
      <w:r w:rsidRPr="008838CC">
        <w:rPr>
          <w:color w:val="000000"/>
          <w:sz w:val="17"/>
          <w:szCs w:val="17"/>
        </w:rPr>
        <w:t xml:space="preserve"> across </w:t>
      </w:r>
      <w:r w:rsidR="00127375" w:rsidRPr="008838CC">
        <w:rPr>
          <w:color w:val="000000"/>
          <w:sz w:val="17"/>
          <w:szCs w:val="17"/>
        </w:rPr>
        <w:t>five</w:t>
      </w:r>
      <w:r w:rsidRPr="008838CC">
        <w:rPr>
          <w:color w:val="000000"/>
          <w:sz w:val="17"/>
          <w:szCs w:val="17"/>
        </w:rPr>
        <w:t xml:space="preserve"> markets. </w:t>
      </w:r>
      <w:r w:rsidR="00127375" w:rsidRPr="008838CC">
        <w:rPr>
          <w:color w:val="000000"/>
          <w:sz w:val="17"/>
          <w:szCs w:val="17"/>
        </w:rPr>
        <w:t xml:space="preserve">Applying this as a parallel shock results in </w:t>
      </w:r>
      <w:r w:rsidR="00AC277F" w:rsidRPr="008838CC">
        <w:rPr>
          <w:color w:val="000000"/>
          <w:sz w:val="17"/>
          <w:szCs w:val="17"/>
        </w:rPr>
        <w:t>two layers of prudency</w:t>
      </w:r>
      <w:r w:rsidR="00AA2E52">
        <w:rPr>
          <w:color w:val="000000"/>
          <w:sz w:val="17"/>
          <w:szCs w:val="17"/>
        </w:rPr>
        <w:t>:</w:t>
      </w:r>
      <w:r w:rsidR="00127375" w:rsidRPr="008838CC">
        <w:rPr>
          <w:color w:val="000000"/>
          <w:sz w:val="17"/>
          <w:szCs w:val="17"/>
        </w:rPr>
        <w:t xml:space="preserve"> firstly the prudency arising from the </w:t>
      </w:r>
      <w:r w:rsidR="00AC277F" w:rsidRPr="008838CC">
        <w:rPr>
          <w:color w:val="000000"/>
          <w:sz w:val="17"/>
          <w:szCs w:val="17"/>
        </w:rPr>
        <w:t xml:space="preserve">cross-market assessment and secondly from the cross-tenor assessment. </w:t>
      </w:r>
    </w:p>
    <w:p w14:paraId="40F25CD1" w14:textId="6D77C3EE" w:rsidR="008130B6" w:rsidRPr="008838CC" w:rsidRDefault="008130B6" w:rsidP="008130B6">
      <w:pPr>
        <w:spacing w:line="276" w:lineRule="auto"/>
        <w:rPr>
          <w:rFonts w:ascii="Verdana" w:hAnsi="Verdana"/>
          <w:sz w:val="17"/>
          <w:szCs w:val="17"/>
        </w:rPr>
      </w:pPr>
    </w:p>
    <w:p w14:paraId="26A4712E" w14:textId="7F2476E1" w:rsidR="008130B6" w:rsidRPr="008838CC" w:rsidRDefault="006D394A" w:rsidP="008130B6">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The “combined approach” seeks to provide a changing interest rate model for different interest rate environments through the addition of a 2% minimum shock and an affine model to the existing approach. The result is an over-engineered and complex model which overstates the true interest rate risk.</w:t>
      </w:r>
    </w:p>
    <w:p w14:paraId="6ADA2F28" w14:textId="21728088" w:rsidR="00E90056" w:rsidRDefault="00E90056" w:rsidP="008130B6">
      <w:pPr>
        <w:spacing w:line="276" w:lineRule="auto"/>
        <w:jc w:val="both"/>
        <w:rPr>
          <w:rFonts w:ascii="Verdana" w:hAnsi="Verdana"/>
          <w:color w:val="000000"/>
          <w:sz w:val="17"/>
          <w:szCs w:val="17"/>
          <w:lang w:val="en-GB"/>
        </w:rPr>
      </w:pPr>
    </w:p>
    <w:p w14:paraId="19FE98C5" w14:textId="3D766908" w:rsidR="0035179A" w:rsidRPr="00ED7487" w:rsidRDefault="0035179A" w:rsidP="0035179A">
      <w:pPr>
        <w:spacing w:line="276" w:lineRule="auto"/>
        <w:jc w:val="both"/>
        <w:rPr>
          <w:rFonts w:ascii="Verdana" w:hAnsi="Verdana"/>
          <w:b/>
          <w:color w:val="000000"/>
          <w:sz w:val="17"/>
          <w:szCs w:val="17"/>
          <w:lang w:val="en-GB"/>
        </w:rPr>
      </w:pPr>
      <w:r w:rsidRPr="00ED7487">
        <w:rPr>
          <w:rFonts w:ascii="Verdana" w:hAnsi="Verdana"/>
          <w:b/>
          <w:color w:val="000000"/>
          <w:sz w:val="17"/>
          <w:szCs w:val="17"/>
          <w:lang w:val="en-GB"/>
        </w:rPr>
        <w:t>Comparison with ESRB analysis</w:t>
      </w:r>
    </w:p>
    <w:p w14:paraId="44DD1178" w14:textId="4BE7168B" w:rsidR="0035179A" w:rsidRDefault="00E90056" w:rsidP="0035179A">
      <w:pPr>
        <w:spacing w:line="276" w:lineRule="auto"/>
        <w:jc w:val="both"/>
        <w:rPr>
          <w:rFonts w:ascii="Verdana" w:hAnsi="Verdana"/>
          <w:color w:val="000000"/>
          <w:sz w:val="17"/>
          <w:szCs w:val="17"/>
          <w:lang w:val="en-GB"/>
        </w:rPr>
      </w:pPr>
      <w:r>
        <w:rPr>
          <w:rFonts w:ascii="Verdana" w:hAnsi="Verdana"/>
          <w:color w:val="000000"/>
          <w:sz w:val="17"/>
          <w:szCs w:val="17"/>
          <w:lang w:val="en-GB"/>
        </w:rPr>
        <w:t xml:space="preserve">The ESRB provide </w:t>
      </w:r>
      <w:r w:rsidR="002D671C">
        <w:rPr>
          <w:rFonts w:ascii="Verdana" w:hAnsi="Verdana"/>
          <w:color w:val="000000"/>
          <w:sz w:val="17"/>
          <w:szCs w:val="17"/>
          <w:lang w:val="en-GB"/>
        </w:rPr>
        <w:t xml:space="preserve">market-related </w:t>
      </w:r>
      <w:r>
        <w:rPr>
          <w:rFonts w:ascii="Verdana" w:hAnsi="Verdana"/>
          <w:color w:val="000000"/>
          <w:sz w:val="17"/>
          <w:szCs w:val="17"/>
          <w:lang w:val="en-GB"/>
        </w:rPr>
        <w:t>input to EIOPA as part of the design of the stress test exercise</w:t>
      </w:r>
      <w:r w:rsidR="002D671C">
        <w:rPr>
          <w:rFonts w:ascii="Verdana" w:hAnsi="Verdana"/>
          <w:color w:val="000000"/>
          <w:sz w:val="17"/>
          <w:szCs w:val="17"/>
          <w:lang w:val="en-GB"/>
        </w:rPr>
        <w:t>s</w:t>
      </w:r>
      <w:r>
        <w:rPr>
          <w:rFonts w:ascii="Verdana" w:hAnsi="Verdana"/>
          <w:color w:val="000000"/>
          <w:sz w:val="17"/>
          <w:szCs w:val="17"/>
          <w:lang w:val="en-GB"/>
        </w:rPr>
        <w:t>. In 2016, the ERSB</w:t>
      </w:r>
      <w:r w:rsidR="0035179A">
        <w:rPr>
          <w:rFonts w:ascii="Verdana" w:hAnsi="Verdana"/>
          <w:color w:val="000000"/>
          <w:sz w:val="17"/>
          <w:szCs w:val="17"/>
          <w:lang w:val="en-GB"/>
        </w:rPr>
        <w:t>’s Double Hit scenario</w:t>
      </w:r>
      <w:r>
        <w:rPr>
          <w:rFonts w:ascii="Verdana" w:hAnsi="Verdana"/>
          <w:color w:val="000000"/>
          <w:sz w:val="17"/>
          <w:szCs w:val="17"/>
          <w:lang w:val="en-GB"/>
        </w:rPr>
        <w:t xml:space="preserve">, based on 31 December 2015 market conditions, </w:t>
      </w:r>
      <w:r w:rsidR="0035179A">
        <w:rPr>
          <w:rFonts w:ascii="Verdana" w:hAnsi="Verdana"/>
          <w:color w:val="000000"/>
          <w:sz w:val="17"/>
          <w:szCs w:val="17"/>
          <w:lang w:val="en-GB"/>
        </w:rPr>
        <w:t>provided a stress on swap rates with an “</w:t>
      </w:r>
      <w:r w:rsidR="0035179A" w:rsidRPr="0035179A">
        <w:rPr>
          <w:rFonts w:ascii="Verdana" w:hAnsi="Verdana"/>
          <w:color w:val="000000"/>
          <w:sz w:val="17"/>
          <w:szCs w:val="17"/>
          <w:lang w:val="en-GB"/>
        </w:rPr>
        <w:t>estimated</w:t>
      </w:r>
      <w:r w:rsidR="0035179A">
        <w:rPr>
          <w:rFonts w:ascii="Verdana" w:hAnsi="Verdana"/>
          <w:color w:val="000000"/>
          <w:sz w:val="17"/>
          <w:szCs w:val="17"/>
          <w:lang w:val="en-GB"/>
        </w:rPr>
        <w:t xml:space="preserve"> marginal probability of…0.5%”. </w:t>
      </w:r>
      <w:r w:rsidR="002D671C">
        <w:rPr>
          <w:rFonts w:ascii="Verdana" w:hAnsi="Verdana"/>
          <w:color w:val="000000"/>
          <w:sz w:val="17"/>
          <w:szCs w:val="17"/>
          <w:lang w:val="en-GB"/>
        </w:rPr>
        <w:t>Ins</w:t>
      </w:r>
      <w:r w:rsidR="00BC396E">
        <w:rPr>
          <w:rFonts w:ascii="Verdana" w:hAnsi="Verdana"/>
          <w:color w:val="000000"/>
          <w:sz w:val="17"/>
          <w:szCs w:val="17"/>
          <w:lang w:val="en-GB"/>
        </w:rPr>
        <w:t>urance</w:t>
      </w:r>
      <w:r w:rsidR="002D671C">
        <w:rPr>
          <w:rFonts w:ascii="Verdana" w:hAnsi="Verdana"/>
          <w:color w:val="000000"/>
          <w:sz w:val="17"/>
          <w:szCs w:val="17"/>
          <w:lang w:val="en-GB"/>
        </w:rPr>
        <w:t xml:space="preserve"> Europe highlights that these </w:t>
      </w:r>
      <w:r w:rsidR="0035179A">
        <w:rPr>
          <w:rFonts w:ascii="Verdana" w:hAnsi="Verdana"/>
          <w:color w:val="000000"/>
          <w:sz w:val="17"/>
          <w:szCs w:val="17"/>
          <w:lang w:val="en-GB"/>
        </w:rPr>
        <w:t>shocks are significantly lower than those provided by either Proposal 2 or Proposal 3</w:t>
      </w:r>
      <w:r w:rsidR="002D671C">
        <w:rPr>
          <w:rFonts w:ascii="Verdana" w:hAnsi="Verdana"/>
          <w:color w:val="000000"/>
          <w:sz w:val="17"/>
          <w:szCs w:val="17"/>
          <w:lang w:val="en-GB"/>
        </w:rPr>
        <w:t xml:space="preserve"> </w:t>
      </w:r>
      <w:r w:rsidR="00BC396E">
        <w:rPr>
          <w:rFonts w:ascii="Verdana" w:hAnsi="Verdana"/>
          <w:color w:val="000000"/>
          <w:sz w:val="17"/>
          <w:szCs w:val="17"/>
          <w:lang w:val="en-GB"/>
        </w:rPr>
        <w:t xml:space="preserve">models. </w:t>
      </w:r>
    </w:p>
    <w:p w14:paraId="58E9E03F" w14:textId="4E0AE7C4" w:rsidR="0035179A" w:rsidRDefault="0035179A" w:rsidP="0035179A">
      <w:pPr>
        <w:spacing w:line="276" w:lineRule="auto"/>
        <w:jc w:val="both"/>
        <w:rPr>
          <w:rFonts w:ascii="Verdana" w:hAnsi="Verdana"/>
          <w:color w:val="000000"/>
          <w:sz w:val="17"/>
          <w:szCs w:val="17"/>
          <w:lang w:val="en-GB"/>
        </w:rPr>
      </w:pPr>
    </w:p>
    <w:p w14:paraId="7EE033E0" w14:textId="31994791" w:rsidR="00E90056" w:rsidRDefault="0035179A" w:rsidP="0035179A">
      <w:pPr>
        <w:spacing w:line="276" w:lineRule="auto"/>
        <w:jc w:val="both"/>
        <w:rPr>
          <w:rFonts w:ascii="Verdana" w:hAnsi="Verdana"/>
          <w:color w:val="000000"/>
          <w:sz w:val="17"/>
          <w:szCs w:val="17"/>
          <w:lang w:val="en-GB"/>
        </w:rPr>
      </w:pPr>
      <w:r>
        <w:rPr>
          <w:rFonts w:ascii="Verdana" w:hAnsi="Verdana"/>
          <w:color w:val="000000"/>
          <w:sz w:val="17"/>
          <w:szCs w:val="17"/>
          <w:lang w:val="en-GB"/>
        </w:rPr>
        <w:t>The chart below illustrates a comparison between the ESRB’s 1-in-200 year shock and the shocks provided EIOPA’s proposals.</w:t>
      </w:r>
    </w:p>
    <w:p w14:paraId="605B63B6" w14:textId="3AB31BD4" w:rsidR="0035179A" w:rsidRDefault="0035179A" w:rsidP="0035179A">
      <w:pPr>
        <w:spacing w:line="276" w:lineRule="auto"/>
        <w:jc w:val="both"/>
        <w:rPr>
          <w:rFonts w:ascii="Verdana" w:hAnsi="Verdana"/>
          <w:color w:val="000000"/>
          <w:sz w:val="17"/>
          <w:szCs w:val="17"/>
          <w:lang w:val="en-GB"/>
        </w:rPr>
      </w:pPr>
    </w:p>
    <w:p w14:paraId="043F6491" w14:textId="2E08391C" w:rsidR="0035179A" w:rsidRDefault="00B638EB" w:rsidP="00ED7487">
      <w:pPr>
        <w:spacing w:line="276" w:lineRule="auto"/>
        <w:jc w:val="center"/>
        <w:rPr>
          <w:rFonts w:ascii="Verdana" w:hAnsi="Verdana"/>
          <w:color w:val="000000"/>
          <w:sz w:val="17"/>
          <w:szCs w:val="17"/>
          <w:lang w:val="en-GB"/>
        </w:rPr>
      </w:pPr>
      <w:r>
        <w:rPr>
          <w:rFonts w:ascii="Verdana" w:hAnsi="Verdana"/>
          <w:noProof/>
          <w:color w:val="000000"/>
          <w:sz w:val="17"/>
          <w:szCs w:val="17"/>
          <w:lang w:val="sk-SK" w:eastAsia="sk-SK"/>
        </w:rPr>
        <w:drawing>
          <wp:inline distT="0" distB="0" distL="0" distR="0" wp14:anchorId="5052A00E" wp14:editId="6ECCC782">
            <wp:extent cx="5563212" cy="307753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1792" cy="3082278"/>
                    </a:xfrm>
                    <a:prstGeom prst="rect">
                      <a:avLst/>
                    </a:prstGeom>
                    <a:noFill/>
                  </pic:spPr>
                </pic:pic>
              </a:graphicData>
            </a:graphic>
          </wp:inline>
        </w:drawing>
      </w:r>
    </w:p>
    <w:p w14:paraId="61B96C8C" w14:textId="77777777" w:rsidR="0035179A" w:rsidRDefault="0035179A" w:rsidP="0035179A">
      <w:pPr>
        <w:spacing w:line="276" w:lineRule="auto"/>
        <w:jc w:val="both"/>
        <w:rPr>
          <w:rFonts w:ascii="Verdana" w:hAnsi="Verdana"/>
          <w:color w:val="000000"/>
          <w:sz w:val="17"/>
          <w:szCs w:val="17"/>
          <w:lang w:val="en-GB"/>
        </w:rPr>
      </w:pPr>
    </w:p>
    <w:p w14:paraId="72E08622" w14:textId="7847BECC" w:rsidR="006D394A" w:rsidRPr="008838CC" w:rsidRDefault="006D394A" w:rsidP="008130B6">
      <w:pPr>
        <w:spacing w:line="276" w:lineRule="auto"/>
        <w:jc w:val="both"/>
        <w:rPr>
          <w:rFonts w:ascii="Verdana" w:hAnsi="Verdana"/>
          <w:color w:val="000000"/>
          <w:sz w:val="17"/>
          <w:szCs w:val="17"/>
          <w:lang w:val="en-GB"/>
        </w:rPr>
      </w:pPr>
    </w:p>
    <w:p w14:paraId="5C55038A"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7.4.3</w:t>
      </w:r>
    </w:p>
    <w:p w14:paraId="4475B7D9" w14:textId="77777777" w:rsidR="00A441FC" w:rsidRPr="008838CC" w:rsidRDefault="00A441FC" w:rsidP="00A441FC">
      <w:pPr>
        <w:pStyle w:val="Nadpis1"/>
        <w:rPr>
          <w:sz w:val="17"/>
          <w:szCs w:val="17"/>
          <w:lang w:eastAsia="en-GB"/>
        </w:rPr>
      </w:pPr>
      <w:r w:rsidRPr="008838CC">
        <w:rPr>
          <w:sz w:val="17"/>
          <w:szCs w:val="17"/>
        </w:rPr>
        <w:br w:type="page"/>
      </w:r>
      <w:bookmarkStart w:id="20" w:name="_Toc497908647"/>
      <w:r w:rsidRPr="008838CC">
        <w:rPr>
          <w:sz w:val="17"/>
          <w:szCs w:val="17"/>
        </w:rPr>
        <w:t xml:space="preserve">8. </w:t>
      </w:r>
      <w:r w:rsidR="0018577F" w:rsidRPr="008838CC">
        <w:rPr>
          <w:sz w:val="17"/>
          <w:szCs w:val="17"/>
        </w:rPr>
        <w:t>Market risk concentration</w:t>
      </w:r>
      <w:bookmarkEnd w:id="20"/>
    </w:p>
    <w:p w14:paraId="3BF3CE86" w14:textId="70C03727" w:rsidR="009E77A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8.1</w:t>
      </w:r>
      <w:r w:rsidR="00EC5671" w:rsidRPr="008838CC">
        <w:rPr>
          <w:rFonts w:ascii="Verdana" w:hAnsi="Verdana"/>
          <w:b/>
          <w:color w:val="000000"/>
          <w:sz w:val="17"/>
          <w:szCs w:val="17"/>
          <w:u w:val="single"/>
        </w:rPr>
        <w:t xml:space="preserve"> </w:t>
      </w:r>
      <w:r w:rsidR="00AA2E52">
        <w:rPr>
          <w:rFonts w:ascii="Verdana" w:hAnsi="Verdana"/>
          <w:b/>
          <w:color w:val="000000"/>
          <w:sz w:val="17"/>
          <w:szCs w:val="17"/>
          <w:u w:val="single"/>
        </w:rPr>
        <w:t>Call for advice</w:t>
      </w:r>
    </w:p>
    <w:p w14:paraId="731ADD31" w14:textId="1D2743DE" w:rsidR="00644F0A" w:rsidRPr="008838CC" w:rsidRDefault="00EC5671" w:rsidP="000E43B2">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welcomes </w:t>
      </w:r>
      <w:r w:rsidR="009E77AA" w:rsidRPr="008838CC">
        <w:rPr>
          <w:rFonts w:ascii="Verdana" w:hAnsi="Verdana"/>
          <w:color w:val="000000"/>
          <w:sz w:val="17"/>
          <w:szCs w:val="17"/>
        </w:rPr>
        <w:t>the EC call for information on the current approach and assumptions in the market risk concentration sub-module.</w:t>
      </w:r>
    </w:p>
    <w:p w14:paraId="06635BDE" w14:textId="38E969BC" w:rsidR="009E77AA" w:rsidRPr="008838CC" w:rsidRDefault="009E77AA" w:rsidP="000E43B2">
      <w:pPr>
        <w:spacing w:line="276" w:lineRule="auto"/>
        <w:jc w:val="both"/>
        <w:rPr>
          <w:rFonts w:ascii="Verdana" w:hAnsi="Verdana"/>
          <w:color w:val="000000"/>
          <w:sz w:val="17"/>
          <w:szCs w:val="17"/>
        </w:rPr>
      </w:pPr>
    </w:p>
    <w:p w14:paraId="3D9642E2" w14:textId="57E46062" w:rsidR="008A2089" w:rsidRPr="008838CC" w:rsidRDefault="009E77AA" w:rsidP="000E43B2">
      <w:pPr>
        <w:spacing w:line="276" w:lineRule="auto"/>
        <w:jc w:val="both"/>
        <w:rPr>
          <w:rFonts w:ascii="Verdana" w:hAnsi="Verdana"/>
          <w:color w:val="000000"/>
          <w:sz w:val="17"/>
          <w:szCs w:val="17"/>
        </w:rPr>
      </w:pPr>
      <w:r w:rsidRPr="008838CC">
        <w:rPr>
          <w:rFonts w:ascii="Verdana" w:hAnsi="Verdana"/>
          <w:color w:val="000000"/>
          <w:sz w:val="17"/>
          <w:szCs w:val="17"/>
        </w:rPr>
        <w:t>While EIOPA was not explicitly asked to provide an advice to the Commission, Insurance Europe appreciates that EIOPA has been looking into potential clarifications aimed at addressing the specific issue of „mixed exposures“</w:t>
      </w:r>
      <w:r w:rsidR="008A2089" w:rsidRPr="008838CC">
        <w:rPr>
          <w:rFonts w:ascii="Verdana" w:hAnsi="Verdana"/>
          <w:color w:val="000000"/>
          <w:sz w:val="17"/>
          <w:szCs w:val="17"/>
        </w:rPr>
        <w:t>, which Insurance Europe believes provide appropriate background information for the Commission to prepare and decide on potential changes in the Delegated Regulation</w:t>
      </w:r>
      <w:r w:rsidRPr="008838CC">
        <w:rPr>
          <w:rFonts w:ascii="Verdana" w:hAnsi="Verdana"/>
          <w:color w:val="000000"/>
          <w:sz w:val="17"/>
          <w:szCs w:val="17"/>
        </w:rPr>
        <w:t xml:space="preserve">. </w:t>
      </w:r>
    </w:p>
    <w:p w14:paraId="50A90F14" w14:textId="77777777" w:rsidR="009E77AA" w:rsidRPr="008838CC" w:rsidRDefault="009E77AA" w:rsidP="00644F0A">
      <w:pPr>
        <w:spacing w:line="276" w:lineRule="auto"/>
        <w:rPr>
          <w:rFonts w:ascii="Verdana" w:hAnsi="Verdana"/>
          <w:color w:val="000000"/>
          <w:sz w:val="17"/>
          <w:szCs w:val="17"/>
        </w:rPr>
      </w:pPr>
    </w:p>
    <w:p w14:paraId="68A48713"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8.2</w:t>
      </w:r>
    </w:p>
    <w:p w14:paraId="0ADEE1DC" w14:textId="70113195"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8.3</w:t>
      </w:r>
      <w:r w:rsidR="00AA2E52">
        <w:rPr>
          <w:rFonts w:ascii="Verdana" w:hAnsi="Verdana"/>
          <w:b/>
          <w:color w:val="000000"/>
          <w:sz w:val="17"/>
          <w:szCs w:val="17"/>
          <w:u w:val="single"/>
        </w:rPr>
        <w:t xml:space="preserve"> Feedback statement on the main comments received tot he discussion paper</w:t>
      </w:r>
    </w:p>
    <w:p w14:paraId="30473EEB" w14:textId="02AD139B" w:rsidR="008A2089" w:rsidRPr="008838CC" w:rsidRDefault="008A2089" w:rsidP="000E43B2">
      <w:pPr>
        <w:autoSpaceDE w:val="0"/>
        <w:autoSpaceDN w:val="0"/>
        <w:adjustRightInd w:val="0"/>
        <w:jc w:val="both"/>
        <w:rPr>
          <w:rFonts w:ascii="Verdana" w:hAnsi="Verdana" w:cs="Verdana"/>
          <w:color w:val="000000"/>
          <w:sz w:val="17"/>
          <w:szCs w:val="17"/>
          <w:lang w:val="en-GB" w:eastAsia="en-GB"/>
        </w:rPr>
      </w:pPr>
      <w:r w:rsidRPr="008838CC">
        <w:rPr>
          <w:rFonts w:ascii="Verdana" w:hAnsi="Verdana" w:cs="Verdana"/>
          <w:color w:val="000000"/>
          <w:sz w:val="17"/>
          <w:szCs w:val="17"/>
          <w:lang w:val="en-GB" w:eastAsia="en-GB"/>
        </w:rPr>
        <w:t xml:space="preserve">Insurance Europe believes that EIOPA should include in its analysis to the Commission the following proposals </w:t>
      </w:r>
      <w:r w:rsidR="00AA2E52">
        <w:rPr>
          <w:rFonts w:ascii="Verdana" w:hAnsi="Verdana" w:cs="Verdana"/>
          <w:color w:val="000000"/>
          <w:sz w:val="17"/>
          <w:szCs w:val="17"/>
          <w:lang w:val="en-GB" w:eastAsia="en-GB"/>
        </w:rPr>
        <w:t>made</w:t>
      </w:r>
      <w:r w:rsidR="00AA2E52" w:rsidRPr="008838CC">
        <w:rPr>
          <w:rFonts w:ascii="Verdana" w:hAnsi="Verdana" w:cs="Verdana"/>
          <w:color w:val="000000"/>
          <w:sz w:val="17"/>
          <w:szCs w:val="17"/>
          <w:lang w:val="en-GB" w:eastAsia="en-GB"/>
        </w:rPr>
        <w:t xml:space="preserve"> </w:t>
      </w:r>
      <w:r w:rsidRPr="008838CC">
        <w:rPr>
          <w:rFonts w:ascii="Verdana" w:hAnsi="Verdana" w:cs="Verdana"/>
          <w:color w:val="000000"/>
          <w:sz w:val="17"/>
          <w:szCs w:val="17"/>
          <w:lang w:val="en-GB" w:eastAsia="en-GB"/>
        </w:rPr>
        <w:t>by the indu</w:t>
      </w:r>
      <w:r w:rsidR="00AA2E52">
        <w:rPr>
          <w:rFonts w:ascii="Verdana" w:hAnsi="Verdana" w:cs="Verdana"/>
          <w:color w:val="000000"/>
          <w:sz w:val="17"/>
          <w:szCs w:val="17"/>
          <w:lang w:val="en-GB" w:eastAsia="en-GB"/>
        </w:rPr>
        <w:t>s</w:t>
      </w:r>
      <w:r w:rsidRPr="008838CC">
        <w:rPr>
          <w:rFonts w:ascii="Verdana" w:hAnsi="Verdana" w:cs="Verdana"/>
          <w:color w:val="000000"/>
          <w:sz w:val="17"/>
          <w:szCs w:val="17"/>
          <w:lang w:val="en-GB" w:eastAsia="en-GB"/>
        </w:rPr>
        <w:t>try:</w:t>
      </w:r>
    </w:p>
    <w:p w14:paraId="384581DB" w14:textId="77777777" w:rsidR="008A2089" w:rsidRPr="008838CC" w:rsidRDefault="008A2089" w:rsidP="000E43B2">
      <w:pPr>
        <w:pStyle w:val="Odsekzoznamu"/>
        <w:numPr>
          <w:ilvl w:val="0"/>
          <w:numId w:val="28"/>
        </w:numPr>
        <w:autoSpaceDE w:val="0"/>
        <w:autoSpaceDN w:val="0"/>
        <w:adjustRightInd w:val="0"/>
        <w:rPr>
          <w:rFonts w:cs="Verdana"/>
          <w:color w:val="000000"/>
          <w:sz w:val="17"/>
          <w:szCs w:val="17"/>
          <w:lang w:eastAsia="en-GB"/>
        </w:rPr>
      </w:pPr>
      <w:r w:rsidRPr="008838CC">
        <w:rPr>
          <w:rFonts w:cs="Verdana"/>
          <w:color w:val="000000"/>
          <w:sz w:val="17"/>
          <w:szCs w:val="17"/>
          <w:lang w:eastAsia="en-GB"/>
        </w:rPr>
        <w:t xml:space="preserve">Removing the restrictions in Article 184 (2)(b) (i) (ii) &amp; (iv), in order to allow for all entities in a group to be excluded from a concentration capital requirement. </w:t>
      </w:r>
    </w:p>
    <w:p w14:paraId="5D938925" w14:textId="791115FA" w:rsidR="008A2089" w:rsidRPr="008838CC" w:rsidRDefault="008A2089" w:rsidP="000E43B2">
      <w:pPr>
        <w:pStyle w:val="Odsekzoznamu"/>
        <w:numPr>
          <w:ilvl w:val="0"/>
          <w:numId w:val="28"/>
        </w:numPr>
        <w:autoSpaceDE w:val="0"/>
        <w:autoSpaceDN w:val="0"/>
        <w:adjustRightInd w:val="0"/>
        <w:rPr>
          <w:rFonts w:cs="Verdana"/>
          <w:color w:val="000000"/>
          <w:sz w:val="17"/>
          <w:szCs w:val="17"/>
          <w:lang w:eastAsia="en-GB"/>
        </w:rPr>
      </w:pPr>
      <w:r w:rsidRPr="008838CC">
        <w:rPr>
          <w:rFonts w:cs="Verdana"/>
          <w:color w:val="000000"/>
          <w:sz w:val="17"/>
          <w:szCs w:val="17"/>
          <w:lang w:eastAsia="en-GB"/>
        </w:rPr>
        <w:t>Listing strategic participations as an exclusion under Article 184 (2)</w:t>
      </w:r>
      <w:r w:rsidR="00AA2E52">
        <w:rPr>
          <w:rFonts w:cs="Verdana"/>
          <w:color w:val="000000"/>
          <w:sz w:val="17"/>
          <w:szCs w:val="17"/>
          <w:lang w:eastAsia="en-GB"/>
        </w:rPr>
        <w:t>.</w:t>
      </w:r>
    </w:p>
    <w:p w14:paraId="00014170" w14:textId="77777777" w:rsidR="008A2089" w:rsidRPr="008838CC" w:rsidRDefault="008A2089" w:rsidP="000E43B2">
      <w:pPr>
        <w:pStyle w:val="Odsekzoznamu"/>
        <w:numPr>
          <w:ilvl w:val="0"/>
          <w:numId w:val="28"/>
        </w:numPr>
        <w:autoSpaceDE w:val="0"/>
        <w:autoSpaceDN w:val="0"/>
        <w:adjustRightInd w:val="0"/>
        <w:rPr>
          <w:rFonts w:cs="Verdana"/>
          <w:color w:val="000000"/>
          <w:sz w:val="17"/>
          <w:szCs w:val="17"/>
          <w:lang w:eastAsia="en-GB"/>
        </w:rPr>
      </w:pPr>
      <w:r w:rsidRPr="008838CC">
        <w:rPr>
          <w:rFonts w:cs="Verdana"/>
          <w:color w:val="000000"/>
          <w:sz w:val="17"/>
          <w:szCs w:val="17"/>
          <w:lang w:eastAsia="en-GB"/>
        </w:rPr>
        <w:t xml:space="preserve">Allowing for the recognition in Article 187(3) of a 0% risk factor for all member States’ central government and central banks debt, independent of whether the debt is issued in domestic or foreign currency. This would ensure a consistent approach across European currencies. </w:t>
      </w:r>
    </w:p>
    <w:p w14:paraId="13F32B2C" w14:textId="5E308550" w:rsidR="008A2089" w:rsidRPr="008838CC" w:rsidRDefault="008A2089" w:rsidP="00644F0A">
      <w:pPr>
        <w:spacing w:line="276" w:lineRule="auto"/>
        <w:rPr>
          <w:rFonts w:ascii="Verdana" w:hAnsi="Verdana"/>
          <w:b/>
          <w:color w:val="000000"/>
          <w:sz w:val="17"/>
          <w:szCs w:val="17"/>
          <w:u w:val="single"/>
        </w:rPr>
      </w:pPr>
    </w:p>
    <w:p w14:paraId="06772788" w14:textId="77777777" w:rsidR="008A2089" w:rsidRPr="008838CC" w:rsidRDefault="008A2089" w:rsidP="00644F0A">
      <w:pPr>
        <w:spacing w:line="276" w:lineRule="auto"/>
        <w:rPr>
          <w:rFonts w:ascii="Verdana" w:hAnsi="Verdana"/>
          <w:b/>
          <w:color w:val="000000"/>
          <w:sz w:val="17"/>
          <w:szCs w:val="17"/>
          <w:u w:val="single"/>
        </w:rPr>
      </w:pPr>
    </w:p>
    <w:p w14:paraId="238B755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8.4.1</w:t>
      </w:r>
    </w:p>
    <w:p w14:paraId="38222C5B" w14:textId="4E51425B"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8.4.2</w:t>
      </w:r>
    </w:p>
    <w:p w14:paraId="1E6B7B9F" w14:textId="28C08C80" w:rsidR="000E43B2" w:rsidRPr="008838CC" w:rsidRDefault="000E43B2" w:rsidP="00644F0A">
      <w:pPr>
        <w:spacing w:line="276" w:lineRule="auto"/>
        <w:rPr>
          <w:rFonts w:ascii="Verdana" w:hAnsi="Verdana"/>
          <w:b/>
          <w:color w:val="000000"/>
          <w:sz w:val="17"/>
          <w:szCs w:val="17"/>
          <w:u w:val="single"/>
        </w:rPr>
      </w:pPr>
      <w:r w:rsidRPr="008838CC">
        <w:rPr>
          <w:rStyle w:val="Odkaznakomentr"/>
          <w:rFonts w:ascii="Verdana" w:hAnsi="Verdana"/>
          <w:sz w:val="17"/>
          <w:szCs w:val="17"/>
        </w:rPr>
        <w:commentReference w:id="21"/>
      </w:r>
    </w:p>
    <w:p w14:paraId="7DDAE22A" w14:textId="77777777" w:rsidR="000E43B2" w:rsidRPr="008838CC" w:rsidRDefault="000E43B2" w:rsidP="00644F0A">
      <w:pPr>
        <w:spacing w:line="276" w:lineRule="auto"/>
        <w:rPr>
          <w:rFonts w:ascii="Verdana" w:hAnsi="Verdana"/>
          <w:b/>
          <w:color w:val="000000"/>
          <w:sz w:val="17"/>
          <w:szCs w:val="17"/>
          <w:u w:val="single"/>
        </w:rPr>
      </w:pPr>
    </w:p>
    <w:p w14:paraId="120C620C" w14:textId="43E778C1"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8.4.3</w:t>
      </w:r>
    </w:p>
    <w:p w14:paraId="22105783" w14:textId="221D349F" w:rsidR="0059798C" w:rsidRPr="008838CC" w:rsidRDefault="0059798C" w:rsidP="00644F0A">
      <w:pPr>
        <w:spacing w:line="276" w:lineRule="auto"/>
        <w:rPr>
          <w:rFonts w:ascii="Verdana" w:hAnsi="Verdana"/>
          <w:b/>
          <w:color w:val="000000"/>
          <w:sz w:val="17"/>
          <w:szCs w:val="17"/>
          <w:u w:val="single"/>
        </w:rPr>
      </w:pPr>
    </w:p>
    <w:p w14:paraId="5578714E" w14:textId="702BAC84" w:rsidR="0059798C" w:rsidRPr="008838CC" w:rsidRDefault="0059798C" w:rsidP="00644F0A">
      <w:pPr>
        <w:spacing w:line="276" w:lineRule="auto"/>
        <w:rPr>
          <w:rFonts w:ascii="Verdana" w:hAnsi="Verdana"/>
          <w:b/>
          <w:color w:val="000000"/>
          <w:sz w:val="17"/>
          <w:szCs w:val="17"/>
          <w:u w:val="single"/>
        </w:rPr>
      </w:pPr>
    </w:p>
    <w:p w14:paraId="00311866" w14:textId="77777777" w:rsidR="0059798C" w:rsidRPr="008838CC" w:rsidRDefault="0059798C" w:rsidP="0059798C">
      <w:pPr>
        <w:autoSpaceDE w:val="0"/>
        <w:autoSpaceDN w:val="0"/>
        <w:adjustRightInd w:val="0"/>
        <w:rPr>
          <w:rFonts w:ascii="Verdana" w:hAnsi="Verdana"/>
          <w:sz w:val="17"/>
          <w:szCs w:val="17"/>
          <w:lang w:val="en-GB" w:eastAsia="en-GB"/>
        </w:rPr>
      </w:pPr>
    </w:p>
    <w:p w14:paraId="56863E89" w14:textId="77777777" w:rsidR="0059798C" w:rsidRPr="008838CC" w:rsidRDefault="0059798C" w:rsidP="00644F0A">
      <w:pPr>
        <w:spacing w:line="276" w:lineRule="auto"/>
        <w:rPr>
          <w:rFonts w:ascii="Verdana" w:hAnsi="Verdana"/>
          <w:b/>
          <w:color w:val="000000"/>
          <w:sz w:val="17"/>
          <w:szCs w:val="17"/>
          <w:u w:val="single"/>
        </w:rPr>
      </w:pPr>
    </w:p>
    <w:p w14:paraId="001A28AD" w14:textId="77777777" w:rsidR="00A441FC" w:rsidRPr="008838CC" w:rsidRDefault="00A441FC" w:rsidP="00A441FC">
      <w:pPr>
        <w:pStyle w:val="Nadpis1"/>
        <w:rPr>
          <w:sz w:val="17"/>
          <w:szCs w:val="17"/>
          <w:lang w:eastAsia="en-GB"/>
        </w:rPr>
      </w:pPr>
      <w:r w:rsidRPr="008838CC">
        <w:rPr>
          <w:sz w:val="17"/>
          <w:szCs w:val="17"/>
        </w:rPr>
        <w:br w:type="page"/>
      </w:r>
      <w:bookmarkStart w:id="22" w:name="_Toc497908648"/>
      <w:r w:rsidRPr="008838CC">
        <w:rPr>
          <w:sz w:val="17"/>
          <w:szCs w:val="17"/>
        </w:rPr>
        <w:t xml:space="preserve">9. </w:t>
      </w:r>
      <w:r w:rsidR="0018577F" w:rsidRPr="008838CC">
        <w:rPr>
          <w:sz w:val="17"/>
          <w:szCs w:val="17"/>
        </w:rPr>
        <w:t>Currency risk at group level</w:t>
      </w:r>
      <w:bookmarkEnd w:id="22"/>
    </w:p>
    <w:p w14:paraId="510E88C9" w14:textId="1AFA0D18" w:rsidR="00034407"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9.1</w:t>
      </w:r>
      <w:r w:rsidR="00034407" w:rsidRPr="008838CC">
        <w:rPr>
          <w:rFonts w:ascii="Verdana" w:hAnsi="Verdana"/>
          <w:b/>
          <w:bCs/>
          <w:color w:val="000000"/>
          <w:sz w:val="17"/>
          <w:szCs w:val="17"/>
          <w:u w:val="single"/>
        </w:rPr>
        <w:t xml:space="preserve"> </w:t>
      </w:r>
      <w:r w:rsidR="00262969" w:rsidRPr="008838CC">
        <w:rPr>
          <w:rFonts w:ascii="Verdana" w:hAnsi="Verdana"/>
          <w:b/>
          <w:bCs/>
          <w:color w:val="000000"/>
          <w:sz w:val="17"/>
          <w:szCs w:val="17"/>
          <w:u w:val="single"/>
        </w:rPr>
        <w:t>Call for advice</w:t>
      </w:r>
    </w:p>
    <w:p w14:paraId="06971ED0" w14:textId="68B228E6" w:rsidR="00644F0A" w:rsidRPr="008838CC" w:rsidRDefault="00034407" w:rsidP="00034407">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welcome the Commission’s request for EIOPA to investigate whether the </w:t>
      </w:r>
      <w:r w:rsidR="00145F0C" w:rsidRPr="008838CC">
        <w:rPr>
          <w:rFonts w:ascii="Verdana" w:hAnsi="Verdana"/>
          <w:color w:val="000000"/>
          <w:sz w:val="17"/>
          <w:szCs w:val="17"/>
        </w:rPr>
        <w:t xml:space="preserve">existing </w:t>
      </w:r>
      <w:r w:rsidRPr="008838CC">
        <w:rPr>
          <w:rFonts w:ascii="Verdana" w:hAnsi="Verdana"/>
          <w:color w:val="000000"/>
          <w:sz w:val="17"/>
          <w:szCs w:val="17"/>
        </w:rPr>
        <w:t xml:space="preserve">approach taken to group currency risk is adequate and to suggest modifications where appropriate. </w:t>
      </w:r>
    </w:p>
    <w:p w14:paraId="7519243A" w14:textId="6784DF48" w:rsidR="00034407" w:rsidRPr="008838CC" w:rsidRDefault="00034407" w:rsidP="00034407">
      <w:pPr>
        <w:spacing w:line="276" w:lineRule="auto"/>
        <w:jc w:val="both"/>
        <w:rPr>
          <w:rFonts w:ascii="Verdana" w:hAnsi="Verdana"/>
          <w:color w:val="000000"/>
          <w:sz w:val="17"/>
          <w:szCs w:val="17"/>
        </w:rPr>
      </w:pPr>
    </w:p>
    <w:p w14:paraId="6F76C890" w14:textId="34299ADE" w:rsidR="00034407" w:rsidRPr="008838CC" w:rsidRDefault="00034407" w:rsidP="00034407">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t>
      </w:r>
      <w:r w:rsidR="007B72BE" w:rsidRPr="008838CC">
        <w:rPr>
          <w:rFonts w:ascii="Verdana" w:hAnsi="Verdana"/>
          <w:bCs/>
          <w:color w:val="000000"/>
          <w:sz w:val="17"/>
          <w:szCs w:val="17"/>
        </w:rPr>
        <w:t>is disappointed</w:t>
      </w:r>
      <w:r w:rsidRPr="008838CC">
        <w:rPr>
          <w:rFonts w:ascii="Verdana" w:hAnsi="Verdana"/>
          <w:color w:val="000000"/>
          <w:sz w:val="17"/>
          <w:szCs w:val="17"/>
        </w:rPr>
        <w:t xml:space="preserve"> that EIOPA’s assessment </w:t>
      </w:r>
      <w:r w:rsidR="007B72BE" w:rsidRPr="008838CC">
        <w:rPr>
          <w:rFonts w:ascii="Verdana" w:hAnsi="Verdana"/>
          <w:bCs/>
          <w:color w:val="000000"/>
          <w:sz w:val="17"/>
          <w:szCs w:val="17"/>
        </w:rPr>
        <w:t xml:space="preserve">of currency risk </w:t>
      </w:r>
      <w:r w:rsidR="00145F0C" w:rsidRPr="008838CC">
        <w:rPr>
          <w:rFonts w:ascii="Verdana" w:hAnsi="Verdana"/>
          <w:color w:val="000000"/>
          <w:sz w:val="17"/>
          <w:szCs w:val="17"/>
        </w:rPr>
        <w:t>does not address</w:t>
      </w:r>
      <w:r w:rsidRPr="008838CC">
        <w:rPr>
          <w:rFonts w:ascii="Verdana" w:hAnsi="Verdana"/>
          <w:color w:val="000000"/>
          <w:sz w:val="17"/>
          <w:szCs w:val="17"/>
        </w:rPr>
        <w:t xml:space="preserve"> the issues identified by the Commission and stakeholders. The technical inconsistency inherent in the treatment of currency at group level has not been fully investigated </w:t>
      </w:r>
      <w:r w:rsidR="00E45283">
        <w:rPr>
          <w:rFonts w:ascii="Verdana" w:hAnsi="Verdana"/>
          <w:color w:val="000000"/>
          <w:sz w:val="17"/>
          <w:szCs w:val="17"/>
        </w:rPr>
        <w:t>n</w:t>
      </w:r>
      <w:r w:rsidRPr="008838CC">
        <w:rPr>
          <w:rFonts w:ascii="Verdana" w:hAnsi="Verdana"/>
          <w:color w:val="000000"/>
          <w:sz w:val="17"/>
          <w:szCs w:val="17"/>
        </w:rPr>
        <w:t>or addressed by EIOPA.</w:t>
      </w:r>
    </w:p>
    <w:p w14:paraId="7660F150" w14:textId="2C65D6B0" w:rsidR="00034407" w:rsidRPr="008838CC" w:rsidRDefault="00034407" w:rsidP="00034407">
      <w:pPr>
        <w:spacing w:line="276" w:lineRule="auto"/>
        <w:jc w:val="both"/>
        <w:rPr>
          <w:rFonts w:ascii="Verdana" w:hAnsi="Verdana"/>
          <w:color w:val="000000"/>
          <w:sz w:val="17"/>
          <w:szCs w:val="17"/>
        </w:rPr>
      </w:pPr>
    </w:p>
    <w:p w14:paraId="59E9EF62" w14:textId="0E555215" w:rsidR="00034407" w:rsidRPr="008838CC" w:rsidRDefault="00034407" w:rsidP="00034407">
      <w:pPr>
        <w:spacing w:line="276" w:lineRule="auto"/>
        <w:jc w:val="both"/>
        <w:rPr>
          <w:rFonts w:ascii="Verdana" w:hAnsi="Verdana"/>
          <w:color w:val="000000"/>
          <w:sz w:val="17"/>
          <w:szCs w:val="17"/>
        </w:rPr>
      </w:pPr>
      <w:r w:rsidRPr="008838CC">
        <w:rPr>
          <w:rFonts w:ascii="Verdana" w:hAnsi="Verdana"/>
          <w:color w:val="000000"/>
          <w:sz w:val="17"/>
          <w:szCs w:val="17"/>
        </w:rPr>
        <w:t xml:space="preserve">EIOPA’s proposal to enable groups to nominate a reporting currency (subject to as yet undefined criteria) for the purposes of the currency risk submodule </w:t>
      </w:r>
      <w:r w:rsidR="007B72BE" w:rsidRPr="008838CC">
        <w:rPr>
          <w:rFonts w:ascii="Verdana" w:hAnsi="Verdana"/>
          <w:bCs/>
          <w:color w:val="000000"/>
          <w:sz w:val="17"/>
          <w:szCs w:val="17"/>
        </w:rPr>
        <w:t xml:space="preserve">goes some way to illustrating </w:t>
      </w:r>
      <w:r w:rsidR="00145F0C" w:rsidRPr="008838CC">
        <w:rPr>
          <w:rFonts w:ascii="Verdana" w:hAnsi="Verdana"/>
          <w:bCs/>
          <w:color w:val="000000"/>
          <w:sz w:val="17"/>
          <w:szCs w:val="17"/>
        </w:rPr>
        <w:t>EIOPA</w:t>
      </w:r>
      <w:r w:rsidR="007B72BE" w:rsidRPr="008838CC">
        <w:rPr>
          <w:rFonts w:ascii="Verdana" w:hAnsi="Verdana"/>
          <w:bCs/>
          <w:color w:val="000000"/>
          <w:sz w:val="17"/>
          <w:szCs w:val="17"/>
        </w:rPr>
        <w:t>’s acceptance that</w:t>
      </w:r>
      <w:r w:rsidRPr="008838CC">
        <w:rPr>
          <w:rFonts w:ascii="Verdana" w:hAnsi="Verdana"/>
          <w:color w:val="000000"/>
          <w:sz w:val="17"/>
          <w:szCs w:val="17"/>
        </w:rPr>
        <w:t xml:space="preserve"> the concept of reporting currency in the context of group currency risk is artificial. </w:t>
      </w:r>
      <w:r w:rsidRPr="008838CC">
        <w:rPr>
          <w:rFonts w:ascii="Verdana" w:hAnsi="Verdana"/>
          <w:bCs/>
          <w:color w:val="000000"/>
          <w:sz w:val="17"/>
          <w:szCs w:val="17"/>
        </w:rPr>
        <w:t>Th</w:t>
      </w:r>
      <w:r w:rsidR="007B72BE" w:rsidRPr="008838CC">
        <w:rPr>
          <w:rFonts w:ascii="Verdana" w:hAnsi="Verdana"/>
          <w:bCs/>
          <w:color w:val="000000"/>
          <w:sz w:val="17"/>
          <w:szCs w:val="17"/>
        </w:rPr>
        <w:t>is</w:t>
      </w:r>
      <w:r w:rsidR="00145F0C" w:rsidRPr="008838CC">
        <w:rPr>
          <w:rFonts w:ascii="Verdana" w:hAnsi="Verdana"/>
          <w:color w:val="000000"/>
          <w:sz w:val="17"/>
          <w:szCs w:val="17"/>
        </w:rPr>
        <w:t xml:space="preserve"> proposal</w:t>
      </w:r>
      <w:r w:rsidRPr="008838CC">
        <w:rPr>
          <w:rFonts w:ascii="Verdana" w:hAnsi="Verdana"/>
          <w:color w:val="000000"/>
          <w:sz w:val="17"/>
          <w:szCs w:val="17"/>
        </w:rPr>
        <w:t xml:space="preserve"> will alleviate the issue for certain international</w:t>
      </w:r>
      <w:r w:rsidR="00EC201C" w:rsidRPr="008838CC">
        <w:rPr>
          <w:rFonts w:ascii="Verdana" w:hAnsi="Verdana"/>
          <w:color w:val="000000"/>
          <w:sz w:val="17"/>
          <w:szCs w:val="17"/>
        </w:rPr>
        <w:t xml:space="preserve"> groups but does not go far enough</w:t>
      </w:r>
      <w:r w:rsidR="00E70281" w:rsidRPr="008838CC">
        <w:rPr>
          <w:rFonts w:ascii="Verdana" w:hAnsi="Verdana"/>
          <w:color w:val="000000"/>
          <w:sz w:val="17"/>
          <w:szCs w:val="17"/>
        </w:rPr>
        <w:t xml:space="preserve"> to address the </w:t>
      </w:r>
      <w:r w:rsidR="007B72BE" w:rsidRPr="008838CC">
        <w:rPr>
          <w:rFonts w:ascii="Verdana" w:hAnsi="Verdana"/>
          <w:bCs/>
          <w:color w:val="000000"/>
          <w:sz w:val="17"/>
          <w:szCs w:val="17"/>
        </w:rPr>
        <w:t xml:space="preserve">wider </w:t>
      </w:r>
      <w:r w:rsidR="00E70281" w:rsidRPr="008838CC">
        <w:rPr>
          <w:rFonts w:ascii="Verdana" w:hAnsi="Verdana"/>
          <w:color w:val="000000"/>
          <w:sz w:val="17"/>
          <w:szCs w:val="17"/>
        </w:rPr>
        <w:t>inconsistencies in the framework</w:t>
      </w:r>
      <w:r w:rsidR="00EC201C" w:rsidRPr="008838CC">
        <w:rPr>
          <w:rFonts w:ascii="Verdana" w:hAnsi="Verdana"/>
          <w:color w:val="000000"/>
          <w:sz w:val="17"/>
          <w:szCs w:val="17"/>
        </w:rPr>
        <w:t>.</w:t>
      </w:r>
    </w:p>
    <w:p w14:paraId="5A86B40C" w14:textId="1A8212CA" w:rsidR="00EC201C" w:rsidRPr="008838CC" w:rsidRDefault="00EC201C" w:rsidP="00034407">
      <w:pPr>
        <w:spacing w:line="276" w:lineRule="auto"/>
        <w:jc w:val="both"/>
        <w:rPr>
          <w:rFonts w:ascii="Verdana" w:hAnsi="Verdana"/>
          <w:color w:val="000000"/>
          <w:sz w:val="17"/>
          <w:szCs w:val="17"/>
        </w:rPr>
      </w:pPr>
    </w:p>
    <w:p w14:paraId="1355B171" w14:textId="4862F8A4" w:rsidR="00034407" w:rsidRPr="008838CC" w:rsidRDefault="00EC201C" w:rsidP="00EC201C">
      <w:pPr>
        <w:spacing w:line="276" w:lineRule="auto"/>
        <w:jc w:val="both"/>
        <w:rPr>
          <w:rFonts w:ascii="Verdana" w:hAnsi="Verdana"/>
          <w:color w:val="000000"/>
          <w:sz w:val="17"/>
          <w:szCs w:val="17"/>
        </w:rPr>
      </w:pPr>
      <w:r w:rsidRPr="008838CC">
        <w:rPr>
          <w:rFonts w:ascii="Verdana" w:hAnsi="Verdana"/>
          <w:color w:val="000000"/>
          <w:sz w:val="17"/>
          <w:szCs w:val="17"/>
        </w:rPr>
        <w:t>Insurance Europe reiterates its position and comments upon EIOPA’s specific advice</w:t>
      </w:r>
      <w:r w:rsidR="00145F0C" w:rsidRPr="008838CC">
        <w:rPr>
          <w:rFonts w:ascii="Verdana" w:hAnsi="Verdana"/>
          <w:color w:val="000000"/>
          <w:sz w:val="17"/>
          <w:szCs w:val="17"/>
        </w:rPr>
        <w:t xml:space="preserve"> below</w:t>
      </w:r>
      <w:r w:rsidRPr="008838CC">
        <w:rPr>
          <w:rFonts w:ascii="Verdana" w:hAnsi="Verdana"/>
          <w:color w:val="000000"/>
          <w:sz w:val="17"/>
          <w:szCs w:val="17"/>
        </w:rPr>
        <w:t>.</w:t>
      </w:r>
    </w:p>
    <w:p w14:paraId="26382465" w14:textId="77777777" w:rsidR="00034407" w:rsidRPr="008838CC" w:rsidRDefault="00034407" w:rsidP="00644F0A">
      <w:pPr>
        <w:spacing w:line="276" w:lineRule="auto"/>
        <w:rPr>
          <w:rFonts w:ascii="Verdana" w:hAnsi="Verdana"/>
          <w:color w:val="000000"/>
          <w:sz w:val="17"/>
          <w:szCs w:val="17"/>
        </w:rPr>
      </w:pPr>
    </w:p>
    <w:p w14:paraId="6E85BA3F" w14:textId="50456E31"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9.2</w:t>
      </w:r>
      <w:r w:rsidR="00262969" w:rsidRPr="008838CC">
        <w:rPr>
          <w:rFonts w:ascii="Verdana" w:hAnsi="Verdana"/>
          <w:b/>
          <w:color w:val="000000"/>
          <w:sz w:val="17"/>
          <w:szCs w:val="17"/>
          <w:u w:val="single"/>
        </w:rPr>
        <w:t xml:space="preserve"> Legal basis</w:t>
      </w:r>
    </w:p>
    <w:p w14:paraId="1B47034D" w14:textId="1C090B40"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9.3</w:t>
      </w:r>
      <w:r w:rsidR="00262969" w:rsidRPr="008838CC">
        <w:rPr>
          <w:rFonts w:ascii="Verdana" w:hAnsi="Verdana"/>
          <w:b/>
          <w:color w:val="000000"/>
          <w:sz w:val="17"/>
          <w:szCs w:val="17"/>
          <w:u w:val="single"/>
        </w:rPr>
        <w:t xml:space="preserve"> </w:t>
      </w:r>
      <w:r w:rsidR="006D18EF" w:rsidRPr="008838CC">
        <w:rPr>
          <w:rFonts w:ascii="Verdana" w:hAnsi="Verdana"/>
          <w:b/>
          <w:color w:val="000000"/>
          <w:sz w:val="17"/>
          <w:szCs w:val="17"/>
          <w:u w:val="single"/>
        </w:rPr>
        <w:t xml:space="preserve">Feedback statement on the main comments received to the discussion paper </w:t>
      </w:r>
    </w:p>
    <w:p w14:paraId="2506A635" w14:textId="7024E094" w:rsidR="001F4EF8" w:rsidRPr="008838CC" w:rsidRDefault="001F4EF8" w:rsidP="007B72BE">
      <w:pPr>
        <w:spacing w:line="276" w:lineRule="auto"/>
        <w:jc w:val="both"/>
        <w:rPr>
          <w:rFonts w:ascii="Verdana" w:hAnsi="Verdana"/>
          <w:b/>
          <w:color w:val="000000"/>
          <w:sz w:val="17"/>
          <w:szCs w:val="17"/>
        </w:rPr>
      </w:pPr>
      <w:r w:rsidRPr="008838CC">
        <w:rPr>
          <w:rFonts w:ascii="Verdana" w:hAnsi="Verdana"/>
          <w:b/>
          <w:color w:val="000000"/>
          <w:sz w:val="17"/>
          <w:szCs w:val="17"/>
        </w:rPr>
        <w:t>Paragraphs 577-579</w:t>
      </w:r>
    </w:p>
    <w:p w14:paraId="741E4E5E" w14:textId="213FBB71" w:rsidR="000471F7" w:rsidRPr="008838CC" w:rsidRDefault="000471F7" w:rsidP="007B72BE">
      <w:pPr>
        <w:spacing w:line="276" w:lineRule="auto"/>
        <w:jc w:val="both"/>
        <w:rPr>
          <w:rFonts w:ascii="Verdana" w:hAnsi="Verdana"/>
          <w:color w:val="000000"/>
          <w:sz w:val="17"/>
          <w:szCs w:val="17"/>
        </w:rPr>
      </w:pPr>
      <w:r w:rsidRPr="008838CC">
        <w:rPr>
          <w:rFonts w:ascii="Verdana" w:hAnsi="Verdana"/>
          <w:color w:val="000000"/>
          <w:sz w:val="17"/>
          <w:szCs w:val="17"/>
        </w:rPr>
        <w:t>Insurance Europe</w:t>
      </w:r>
      <w:r w:rsidR="007B72BE" w:rsidRPr="008838CC">
        <w:rPr>
          <w:rFonts w:ascii="Verdana" w:hAnsi="Verdana"/>
          <w:color w:val="000000"/>
          <w:sz w:val="17"/>
          <w:szCs w:val="17"/>
        </w:rPr>
        <w:t xml:space="preserve"> firmly believes that the true currency risk for an undertaking arises from the denomination of its exposures and not from its reporting currency. In this regard, Insurance Europe believes that both solo and group undertakings should not have to hold capital against sensible risk management strategies which are designed to hedge the surplus position or the SCR ratio against currency risk.</w:t>
      </w:r>
    </w:p>
    <w:p w14:paraId="6B17A128" w14:textId="6D90E6D0" w:rsidR="007B72BE" w:rsidRPr="008838CC" w:rsidRDefault="007B72BE" w:rsidP="007B72BE">
      <w:pPr>
        <w:spacing w:line="276" w:lineRule="auto"/>
        <w:jc w:val="both"/>
        <w:rPr>
          <w:rFonts w:ascii="Verdana" w:hAnsi="Verdana"/>
          <w:color w:val="000000"/>
          <w:sz w:val="17"/>
          <w:szCs w:val="17"/>
        </w:rPr>
      </w:pPr>
    </w:p>
    <w:p w14:paraId="6AF3AF93" w14:textId="702E041B" w:rsidR="007B72BE" w:rsidRPr="008838CC" w:rsidRDefault="007B72BE" w:rsidP="007B72BE">
      <w:pPr>
        <w:spacing w:line="276" w:lineRule="auto"/>
        <w:jc w:val="both"/>
        <w:rPr>
          <w:rFonts w:ascii="Verdana" w:hAnsi="Verdana"/>
          <w:color w:val="000000"/>
          <w:sz w:val="17"/>
          <w:szCs w:val="17"/>
        </w:rPr>
      </w:pPr>
      <w:r w:rsidRPr="008838CC">
        <w:rPr>
          <w:rFonts w:ascii="Verdana" w:hAnsi="Verdana"/>
          <w:color w:val="000000"/>
          <w:sz w:val="17"/>
          <w:szCs w:val="17"/>
        </w:rPr>
        <w:t xml:space="preserve">To achieve this, the regulatory framework should not apply a capital charge for groups who have a requirement to hold </w:t>
      </w:r>
      <w:r w:rsidR="001F4EF8" w:rsidRPr="008838CC">
        <w:rPr>
          <w:rFonts w:ascii="Verdana" w:hAnsi="Verdana"/>
          <w:color w:val="000000"/>
          <w:sz w:val="17"/>
          <w:szCs w:val="17"/>
        </w:rPr>
        <w:t xml:space="preserve">a foreign currency </w:t>
      </w:r>
      <w:r w:rsidRPr="008838CC">
        <w:rPr>
          <w:rFonts w:ascii="Verdana" w:hAnsi="Verdana"/>
          <w:color w:val="000000"/>
          <w:sz w:val="17"/>
          <w:szCs w:val="17"/>
        </w:rPr>
        <w:t>subsidiary SCR</w:t>
      </w:r>
      <w:r w:rsidR="001F4EF8" w:rsidRPr="008838CC">
        <w:rPr>
          <w:rFonts w:ascii="Verdana" w:hAnsi="Verdana"/>
          <w:color w:val="000000"/>
          <w:sz w:val="17"/>
          <w:szCs w:val="17"/>
        </w:rPr>
        <w:t xml:space="preserve"> or for solo undertakings who have allocated a pro-rata portion of their surplus to a currency in which they have foreign liabilities. </w:t>
      </w:r>
    </w:p>
    <w:p w14:paraId="30606FC1" w14:textId="38963FFF" w:rsidR="001F4EF8" w:rsidRPr="008838CC" w:rsidRDefault="001F4EF8" w:rsidP="007B72BE">
      <w:pPr>
        <w:spacing w:line="276" w:lineRule="auto"/>
        <w:jc w:val="both"/>
        <w:rPr>
          <w:rFonts w:ascii="Verdana" w:hAnsi="Verdana"/>
          <w:color w:val="000000"/>
          <w:sz w:val="17"/>
          <w:szCs w:val="17"/>
        </w:rPr>
      </w:pPr>
    </w:p>
    <w:p w14:paraId="7721DE91" w14:textId="56FAD66A" w:rsidR="001F4EF8" w:rsidRPr="008838CC" w:rsidRDefault="001F4EF8" w:rsidP="007B72BE">
      <w:pPr>
        <w:spacing w:line="276" w:lineRule="auto"/>
        <w:jc w:val="both"/>
        <w:rPr>
          <w:rFonts w:ascii="Verdana" w:hAnsi="Verdana"/>
          <w:color w:val="000000"/>
          <w:sz w:val="17"/>
          <w:szCs w:val="17"/>
        </w:rPr>
      </w:pPr>
      <w:r w:rsidRPr="008838CC">
        <w:rPr>
          <w:rFonts w:ascii="Verdana" w:hAnsi="Verdana"/>
          <w:color w:val="000000"/>
          <w:sz w:val="17"/>
          <w:szCs w:val="17"/>
        </w:rPr>
        <w:t>Insurance Europe’s proposal, outlined below, provides an adjustment to the currency risk submodule enables this change.</w:t>
      </w:r>
    </w:p>
    <w:p w14:paraId="70007E8A" w14:textId="34A349BF" w:rsidR="001F4EF8" w:rsidRPr="008838CC" w:rsidRDefault="001F4EF8" w:rsidP="007B72BE">
      <w:pPr>
        <w:spacing w:line="276" w:lineRule="auto"/>
        <w:jc w:val="both"/>
        <w:rPr>
          <w:rFonts w:ascii="Verdana" w:hAnsi="Verdana"/>
          <w:color w:val="000000"/>
          <w:sz w:val="17"/>
          <w:szCs w:val="17"/>
        </w:rPr>
      </w:pPr>
    </w:p>
    <w:p w14:paraId="0018FFF5" w14:textId="77777777" w:rsidR="001F4EF8" w:rsidRPr="008838CC" w:rsidRDefault="001F4EF8" w:rsidP="001F4EF8">
      <w:pPr>
        <w:autoSpaceDE w:val="0"/>
        <w:autoSpaceDN w:val="0"/>
        <w:adjustRightInd w:val="0"/>
        <w:jc w:val="both"/>
        <w:rPr>
          <w:rFonts w:ascii="Verdana" w:hAnsi="Verdana" w:cs="Verdana"/>
          <w:color w:val="000000"/>
          <w:sz w:val="17"/>
          <w:szCs w:val="17"/>
          <w:lang w:val="en-GB" w:eastAsia="en-GB"/>
        </w:rPr>
      </w:pPr>
      <w:r w:rsidRPr="008838CC">
        <w:rPr>
          <w:rFonts w:ascii="Verdana" w:hAnsi="Verdana" w:cs="Verdana"/>
          <w:b/>
          <w:bCs/>
          <w:color w:val="000000"/>
          <w:sz w:val="17"/>
          <w:szCs w:val="17"/>
          <w:lang w:val="en-GB" w:eastAsia="en-GB"/>
        </w:rPr>
        <w:t xml:space="preserve">Capital requirement for the risk of an increase/decrease in the value of the foreign currency against the group reporting currency shall be equal to </w:t>
      </w:r>
    </w:p>
    <w:p w14:paraId="46B3AF72" w14:textId="77777777" w:rsidR="001F4EF8" w:rsidRPr="008838CC" w:rsidRDefault="001F4EF8" w:rsidP="001F4EF8">
      <w:pPr>
        <w:autoSpaceDE w:val="0"/>
        <w:autoSpaceDN w:val="0"/>
        <w:adjustRightInd w:val="0"/>
        <w:jc w:val="both"/>
        <w:rPr>
          <w:rFonts w:ascii="Verdana" w:hAnsi="Verdana" w:cs="Verdana"/>
          <w:b/>
          <w:bCs/>
          <w:color w:val="000000"/>
          <w:sz w:val="17"/>
          <w:szCs w:val="17"/>
          <w:lang w:val="en-GB" w:eastAsia="en-GB"/>
        </w:rPr>
      </w:pPr>
    </w:p>
    <w:p w14:paraId="5A1FF80D" w14:textId="6D1B2DA9" w:rsidR="001F4EF8" w:rsidRPr="008838CC" w:rsidRDefault="001F4EF8" w:rsidP="001F4EF8">
      <w:pPr>
        <w:autoSpaceDE w:val="0"/>
        <w:autoSpaceDN w:val="0"/>
        <w:adjustRightInd w:val="0"/>
        <w:jc w:val="both"/>
        <w:rPr>
          <w:rFonts w:ascii="Verdana" w:hAnsi="Verdana" w:cs="Verdana"/>
          <w:color w:val="000000"/>
          <w:sz w:val="17"/>
          <w:szCs w:val="17"/>
          <w:lang w:val="en-GB" w:eastAsia="en-GB"/>
        </w:rPr>
      </w:pPr>
      <w:r w:rsidRPr="008838CC">
        <w:rPr>
          <w:rFonts w:ascii="Verdana" w:hAnsi="Verdana" w:cs="Verdana"/>
          <w:b/>
          <w:bCs/>
          <w:color w:val="000000"/>
          <w:sz w:val="17"/>
          <w:szCs w:val="17"/>
          <w:lang w:val="en-GB" w:eastAsia="en-GB"/>
        </w:rPr>
        <w:t xml:space="preserve">25% * [Max(0,(Expfi-LFXmaxfi))+Max(0,(LFXminfi-Expfi))] </w:t>
      </w:r>
    </w:p>
    <w:p w14:paraId="084FB4D4" w14:textId="77777777" w:rsidR="001F4EF8" w:rsidRPr="008838CC" w:rsidRDefault="001F4EF8" w:rsidP="001F4EF8">
      <w:pPr>
        <w:autoSpaceDE w:val="0"/>
        <w:autoSpaceDN w:val="0"/>
        <w:adjustRightInd w:val="0"/>
        <w:jc w:val="both"/>
        <w:rPr>
          <w:rFonts w:ascii="Verdana" w:hAnsi="Verdana" w:cs="Verdana"/>
          <w:color w:val="000000"/>
          <w:sz w:val="17"/>
          <w:szCs w:val="17"/>
          <w:lang w:val="en-GB" w:eastAsia="en-GB"/>
        </w:rPr>
      </w:pPr>
    </w:p>
    <w:p w14:paraId="177BDE59" w14:textId="71E20E69" w:rsidR="001F4EF8" w:rsidRPr="008838CC" w:rsidRDefault="001F4EF8" w:rsidP="001F4EF8">
      <w:pPr>
        <w:autoSpaceDE w:val="0"/>
        <w:autoSpaceDN w:val="0"/>
        <w:adjustRightInd w:val="0"/>
        <w:jc w:val="both"/>
        <w:rPr>
          <w:rFonts w:ascii="Verdana" w:hAnsi="Verdana" w:cs="Verdana"/>
          <w:color w:val="000000"/>
          <w:sz w:val="17"/>
          <w:szCs w:val="17"/>
          <w:lang w:val="en-GB" w:eastAsia="en-GB"/>
        </w:rPr>
      </w:pPr>
      <w:r w:rsidRPr="008838CC">
        <w:rPr>
          <w:rFonts w:ascii="Verdana" w:hAnsi="Verdana" w:cs="Verdana"/>
          <w:color w:val="000000"/>
          <w:sz w:val="17"/>
          <w:szCs w:val="17"/>
          <w:lang w:val="en-GB" w:eastAsia="en-GB"/>
        </w:rPr>
        <w:t xml:space="preserve">Where </w:t>
      </w:r>
    </w:p>
    <w:p w14:paraId="060DB25C" w14:textId="77777777" w:rsidR="001F4EF8" w:rsidRPr="008838CC" w:rsidRDefault="001F4EF8" w:rsidP="001F4EF8">
      <w:pPr>
        <w:autoSpaceDE w:val="0"/>
        <w:autoSpaceDN w:val="0"/>
        <w:adjustRightInd w:val="0"/>
        <w:jc w:val="both"/>
        <w:rPr>
          <w:rFonts w:ascii="Verdana" w:hAnsi="Verdana" w:cs="Verdana"/>
          <w:color w:val="000000"/>
          <w:sz w:val="17"/>
          <w:szCs w:val="17"/>
          <w:lang w:val="en-GB" w:eastAsia="en-GB"/>
        </w:rPr>
      </w:pPr>
      <w:r w:rsidRPr="008838CC">
        <w:rPr>
          <w:rFonts w:ascii="Verdana" w:hAnsi="Verdana" w:cs="Verdana"/>
          <w:b/>
          <w:bCs/>
          <w:color w:val="000000"/>
          <w:sz w:val="17"/>
          <w:szCs w:val="17"/>
          <w:lang w:val="en-GB" w:eastAsia="en-GB"/>
        </w:rPr>
        <w:t xml:space="preserve">Expfi </w:t>
      </w:r>
      <w:r w:rsidRPr="008838CC">
        <w:rPr>
          <w:rFonts w:ascii="Verdana" w:hAnsi="Verdana" w:cs="Verdana"/>
          <w:color w:val="000000"/>
          <w:sz w:val="17"/>
          <w:szCs w:val="17"/>
          <w:lang w:val="en-GB" w:eastAsia="en-GB"/>
        </w:rPr>
        <w:t xml:space="preserve">is the value of the aggregate asset exposure for foreign currency i </w:t>
      </w:r>
    </w:p>
    <w:p w14:paraId="56802579" w14:textId="77777777" w:rsidR="001F4EF8" w:rsidRPr="008838CC" w:rsidRDefault="001F4EF8" w:rsidP="001F4EF8">
      <w:pPr>
        <w:autoSpaceDE w:val="0"/>
        <w:autoSpaceDN w:val="0"/>
        <w:adjustRightInd w:val="0"/>
        <w:jc w:val="both"/>
        <w:rPr>
          <w:rFonts w:ascii="Verdana" w:hAnsi="Verdana" w:cs="Verdana"/>
          <w:color w:val="000000"/>
          <w:sz w:val="17"/>
          <w:szCs w:val="17"/>
          <w:lang w:val="en-GB" w:eastAsia="en-GB"/>
        </w:rPr>
      </w:pPr>
      <w:r w:rsidRPr="008838CC">
        <w:rPr>
          <w:rFonts w:ascii="Verdana" w:hAnsi="Verdana" w:cs="Verdana"/>
          <w:b/>
          <w:bCs/>
          <w:color w:val="000000"/>
          <w:sz w:val="17"/>
          <w:szCs w:val="17"/>
          <w:lang w:val="en-GB" w:eastAsia="en-GB"/>
        </w:rPr>
        <w:t xml:space="preserve">LFXminfi </w:t>
      </w:r>
      <w:r w:rsidRPr="008838CC">
        <w:rPr>
          <w:rFonts w:ascii="Verdana" w:hAnsi="Verdana" w:cs="Verdana"/>
          <w:color w:val="000000"/>
          <w:sz w:val="17"/>
          <w:szCs w:val="17"/>
          <w:lang w:val="en-GB" w:eastAsia="en-GB"/>
        </w:rPr>
        <w:t xml:space="preserve">= local Minimum Foreign Currency requirement = local liabilities + any local SCR </w:t>
      </w:r>
    </w:p>
    <w:p w14:paraId="0D2A79B0" w14:textId="77777777" w:rsidR="001F4EF8" w:rsidRPr="008838CC" w:rsidRDefault="001F4EF8" w:rsidP="001F4EF8">
      <w:pPr>
        <w:autoSpaceDE w:val="0"/>
        <w:autoSpaceDN w:val="0"/>
        <w:adjustRightInd w:val="0"/>
        <w:jc w:val="both"/>
        <w:rPr>
          <w:rFonts w:ascii="Verdana" w:hAnsi="Verdana" w:cs="Verdana"/>
          <w:color w:val="000000"/>
          <w:sz w:val="17"/>
          <w:szCs w:val="17"/>
          <w:lang w:val="en-GB" w:eastAsia="en-GB"/>
        </w:rPr>
      </w:pPr>
      <w:r w:rsidRPr="008838CC">
        <w:rPr>
          <w:rFonts w:ascii="Verdana" w:hAnsi="Verdana" w:cs="Verdana"/>
          <w:b/>
          <w:bCs/>
          <w:color w:val="000000"/>
          <w:sz w:val="17"/>
          <w:szCs w:val="17"/>
          <w:lang w:val="en-GB" w:eastAsia="en-GB"/>
        </w:rPr>
        <w:t xml:space="preserve">LFXmaxfi </w:t>
      </w:r>
      <w:r w:rsidRPr="008838CC">
        <w:rPr>
          <w:rFonts w:ascii="Verdana" w:hAnsi="Verdana" w:cs="Verdana"/>
          <w:color w:val="000000"/>
          <w:sz w:val="17"/>
          <w:szCs w:val="17"/>
          <w:lang w:val="en-GB" w:eastAsia="en-GB"/>
        </w:rPr>
        <w:t>=local Maximum Foreign Currency requirement = Total assets*{LFXminfi/</w:t>
      </w:r>
      <w:r w:rsidRPr="008838CC">
        <w:rPr>
          <w:rFonts w:ascii="Verdana" w:hAnsi="Verdana" w:cs="Cambria Math"/>
          <w:color w:val="000000"/>
          <w:sz w:val="17"/>
          <w:szCs w:val="17"/>
          <w:lang w:val="en-GB" w:eastAsia="en-GB"/>
        </w:rPr>
        <w:t>Σ</w:t>
      </w:r>
      <w:r w:rsidRPr="008838CC">
        <w:rPr>
          <w:rFonts w:ascii="Cambria Math" w:eastAsia="Cambria Math" w:hAnsi="Cambria Math" w:cs="Cambria Math"/>
          <w:color w:val="000000"/>
          <w:sz w:val="17"/>
          <w:szCs w:val="17"/>
          <w:lang w:val="en-GB" w:eastAsia="en-GB"/>
        </w:rPr>
        <w:t>𝐿𝐹𝑋𝑚𝑖𝑛𝑓𝑖𝑛𝑖</w:t>
      </w:r>
      <w:r w:rsidRPr="008838CC">
        <w:rPr>
          <w:rFonts w:ascii="Verdana" w:hAnsi="Verdana" w:cs="Cambria Math"/>
          <w:color w:val="000000"/>
          <w:sz w:val="17"/>
          <w:szCs w:val="17"/>
          <w:lang w:val="en-GB" w:eastAsia="en-GB"/>
        </w:rPr>
        <w:t>=1</w:t>
      </w:r>
      <w:r w:rsidRPr="008838CC">
        <w:rPr>
          <w:rFonts w:ascii="Verdana" w:hAnsi="Verdana" w:cs="Verdana"/>
          <w:color w:val="000000"/>
          <w:sz w:val="17"/>
          <w:szCs w:val="17"/>
          <w:lang w:val="en-GB" w:eastAsia="en-GB"/>
        </w:rPr>
        <w:t xml:space="preserve">} </w:t>
      </w:r>
    </w:p>
    <w:p w14:paraId="5746FCD2" w14:textId="77777777" w:rsidR="001F4EF8" w:rsidRPr="008838CC" w:rsidRDefault="001F4EF8" w:rsidP="001F4EF8">
      <w:pPr>
        <w:spacing w:line="276" w:lineRule="auto"/>
        <w:jc w:val="both"/>
        <w:rPr>
          <w:rFonts w:ascii="Verdana" w:hAnsi="Verdana" w:cs="Verdana"/>
          <w:color w:val="000000"/>
          <w:sz w:val="17"/>
          <w:szCs w:val="17"/>
          <w:lang w:val="en-GB" w:eastAsia="en-GB"/>
        </w:rPr>
      </w:pPr>
    </w:p>
    <w:p w14:paraId="54500C67" w14:textId="080C3481" w:rsidR="001F4EF8" w:rsidRPr="008838CC" w:rsidRDefault="001F4EF8" w:rsidP="001F4EF8">
      <w:pPr>
        <w:spacing w:line="276" w:lineRule="auto"/>
        <w:jc w:val="both"/>
        <w:rPr>
          <w:rFonts w:ascii="Verdana" w:hAnsi="Verdana"/>
          <w:color w:val="000000"/>
          <w:sz w:val="17"/>
          <w:szCs w:val="17"/>
        </w:rPr>
      </w:pPr>
      <w:r w:rsidRPr="008838CC">
        <w:rPr>
          <w:rFonts w:ascii="Verdana" w:hAnsi="Verdana" w:cs="Verdana"/>
          <w:color w:val="000000"/>
          <w:sz w:val="17"/>
          <w:szCs w:val="17"/>
          <w:lang w:val="en-GB" w:eastAsia="en-GB"/>
        </w:rPr>
        <w:t xml:space="preserve">The definition of the local SCR could be the level of capital at which the local supervisors would intervene. (ie similar to SCR for Solvency II) </w:t>
      </w:r>
    </w:p>
    <w:p w14:paraId="096F26FF" w14:textId="77777777" w:rsidR="007B72BE" w:rsidRPr="008838CC" w:rsidRDefault="007B72BE" w:rsidP="00644F0A">
      <w:pPr>
        <w:spacing w:line="276" w:lineRule="auto"/>
        <w:rPr>
          <w:rFonts w:ascii="Verdana" w:hAnsi="Verdana"/>
          <w:color w:val="000000"/>
          <w:sz w:val="17"/>
          <w:szCs w:val="17"/>
        </w:rPr>
      </w:pPr>
    </w:p>
    <w:p w14:paraId="0206854C" w14:textId="71F159B0" w:rsidR="001F4EF8" w:rsidRPr="00ED7487" w:rsidRDefault="001F4EF8" w:rsidP="000471F7">
      <w:pPr>
        <w:spacing w:line="276" w:lineRule="auto"/>
        <w:jc w:val="both"/>
        <w:rPr>
          <w:rFonts w:ascii="Verdana" w:hAnsi="Verdana"/>
          <w:b/>
          <w:i/>
          <w:color w:val="000000"/>
          <w:sz w:val="17"/>
          <w:szCs w:val="17"/>
        </w:rPr>
      </w:pPr>
      <w:r w:rsidRPr="00ED7487">
        <w:rPr>
          <w:rFonts w:ascii="Verdana" w:hAnsi="Verdana"/>
          <w:b/>
          <w:i/>
          <w:color w:val="000000"/>
          <w:sz w:val="17"/>
          <w:szCs w:val="17"/>
        </w:rPr>
        <w:t>Paragraphs 580-583</w:t>
      </w:r>
    </w:p>
    <w:p w14:paraId="2FEE58DD" w14:textId="7FD82C91" w:rsidR="00315438" w:rsidRPr="008838CC" w:rsidRDefault="00315438" w:rsidP="000471F7">
      <w:pPr>
        <w:spacing w:line="276" w:lineRule="auto"/>
        <w:jc w:val="both"/>
        <w:rPr>
          <w:rFonts w:ascii="Verdana" w:hAnsi="Verdana"/>
          <w:bCs/>
          <w:color w:val="000000"/>
          <w:sz w:val="17"/>
          <w:szCs w:val="17"/>
        </w:rPr>
      </w:pPr>
      <w:r w:rsidRPr="008838CC">
        <w:rPr>
          <w:rFonts w:ascii="Verdana" w:hAnsi="Verdana"/>
          <w:bCs/>
          <w:color w:val="000000"/>
          <w:sz w:val="17"/>
          <w:szCs w:val="17"/>
        </w:rPr>
        <w:t>Insurance Europe reiterates the flaws with the existing currency risk charge for groups through the following simplified example:</w:t>
      </w:r>
    </w:p>
    <w:p w14:paraId="3701C271" w14:textId="6BE61DFB" w:rsidR="00315438" w:rsidRPr="008838CC" w:rsidRDefault="00315438" w:rsidP="000471F7">
      <w:pPr>
        <w:spacing w:line="276" w:lineRule="auto"/>
        <w:jc w:val="both"/>
        <w:rPr>
          <w:rFonts w:ascii="Verdana" w:hAnsi="Verdana"/>
          <w:bCs/>
          <w:color w:val="000000"/>
          <w:sz w:val="17"/>
          <w:szCs w:val="17"/>
        </w:rPr>
      </w:pPr>
    </w:p>
    <w:p w14:paraId="65B20465" w14:textId="3E69BBBB" w:rsidR="0099441A" w:rsidRPr="008838CC" w:rsidRDefault="00072855" w:rsidP="000471F7">
      <w:pPr>
        <w:spacing w:line="276" w:lineRule="auto"/>
        <w:jc w:val="both"/>
        <w:rPr>
          <w:rFonts w:ascii="Verdana" w:hAnsi="Verdana"/>
          <w:bCs/>
          <w:color w:val="000000"/>
          <w:sz w:val="17"/>
          <w:szCs w:val="17"/>
        </w:rPr>
      </w:pPr>
      <w:r w:rsidRPr="008838CC">
        <w:rPr>
          <w:rFonts w:ascii="Verdana" w:hAnsi="Verdana"/>
          <w:bCs/>
          <w:color w:val="000000"/>
          <w:sz w:val="17"/>
          <w:szCs w:val="17"/>
        </w:rPr>
        <w:t>Consider a</w:t>
      </w:r>
      <w:r w:rsidR="00315438" w:rsidRPr="008838CC">
        <w:rPr>
          <w:rFonts w:ascii="Verdana" w:hAnsi="Verdana"/>
          <w:bCs/>
          <w:color w:val="000000"/>
          <w:sz w:val="17"/>
          <w:szCs w:val="17"/>
        </w:rPr>
        <w:t xml:space="preserve"> group with a foreign currency subsidiary which has a local </w:t>
      </w:r>
      <w:r w:rsidR="0012513F">
        <w:rPr>
          <w:rFonts w:ascii="Verdana" w:hAnsi="Verdana"/>
          <w:bCs/>
          <w:color w:val="000000"/>
          <w:sz w:val="17"/>
          <w:szCs w:val="17"/>
        </w:rPr>
        <w:t>(foreign currency)</w:t>
      </w:r>
      <w:r w:rsidR="00315438">
        <w:rPr>
          <w:rFonts w:ascii="Verdana" w:hAnsi="Verdana"/>
          <w:bCs/>
          <w:color w:val="000000"/>
          <w:sz w:val="17"/>
          <w:szCs w:val="17"/>
        </w:rPr>
        <w:t xml:space="preserve"> </w:t>
      </w:r>
      <w:r w:rsidR="00315438" w:rsidRPr="008838CC">
        <w:rPr>
          <w:rFonts w:ascii="Verdana" w:hAnsi="Verdana"/>
          <w:bCs/>
          <w:color w:val="000000"/>
          <w:sz w:val="17"/>
          <w:szCs w:val="17"/>
        </w:rPr>
        <w:t>SCR requirement</w:t>
      </w:r>
      <w:r w:rsidR="00BC66D5" w:rsidRPr="008838CC">
        <w:rPr>
          <w:rFonts w:ascii="Verdana" w:hAnsi="Verdana"/>
          <w:bCs/>
          <w:color w:val="000000"/>
          <w:sz w:val="17"/>
          <w:szCs w:val="17"/>
        </w:rPr>
        <w:t>. There are three choices for the currency management of the local SCR requirement</w:t>
      </w:r>
      <w:r w:rsidR="00315438" w:rsidRPr="008838CC">
        <w:rPr>
          <w:rFonts w:ascii="Verdana" w:hAnsi="Verdana"/>
          <w:bCs/>
          <w:color w:val="000000"/>
          <w:sz w:val="17"/>
          <w:szCs w:val="17"/>
        </w:rPr>
        <w:t xml:space="preserve">. </w:t>
      </w:r>
    </w:p>
    <w:p w14:paraId="2AF780BD" w14:textId="290BCE0D" w:rsidR="00315438" w:rsidRPr="008838CC" w:rsidRDefault="00315438" w:rsidP="00315438">
      <w:pPr>
        <w:pStyle w:val="Odsekzoznamu"/>
        <w:numPr>
          <w:ilvl w:val="0"/>
          <w:numId w:val="29"/>
        </w:numPr>
        <w:spacing w:line="276" w:lineRule="auto"/>
        <w:rPr>
          <w:bCs/>
          <w:color w:val="000000"/>
          <w:sz w:val="17"/>
          <w:szCs w:val="17"/>
        </w:rPr>
      </w:pPr>
      <w:r w:rsidRPr="008838CC">
        <w:rPr>
          <w:bCs/>
          <w:color w:val="000000"/>
          <w:sz w:val="17"/>
          <w:szCs w:val="17"/>
        </w:rPr>
        <w:t>It holds the assets backing the local SCR in the local currency and attracts a capital charge at group level.</w:t>
      </w:r>
    </w:p>
    <w:p w14:paraId="77BA72ED" w14:textId="5B7F3F6D" w:rsidR="00315438" w:rsidRPr="008838CC" w:rsidRDefault="00315438" w:rsidP="00315438">
      <w:pPr>
        <w:pStyle w:val="Odsekzoznamu"/>
        <w:numPr>
          <w:ilvl w:val="0"/>
          <w:numId w:val="29"/>
        </w:numPr>
        <w:spacing w:line="276" w:lineRule="auto"/>
        <w:rPr>
          <w:bCs/>
          <w:color w:val="000000"/>
          <w:sz w:val="17"/>
          <w:szCs w:val="17"/>
        </w:rPr>
      </w:pPr>
      <w:r w:rsidRPr="008838CC">
        <w:rPr>
          <w:bCs/>
          <w:color w:val="000000"/>
          <w:sz w:val="17"/>
          <w:szCs w:val="17"/>
        </w:rPr>
        <w:t>It holds the assets backing the local SCR in the group reporting currency and attracts a capital charge at subsidiary level.</w:t>
      </w:r>
    </w:p>
    <w:p w14:paraId="1F2FB75F" w14:textId="3CE9583F" w:rsidR="0099441A" w:rsidRPr="008838CC" w:rsidRDefault="00315438" w:rsidP="00072855">
      <w:pPr>
        <w:pStyle w:val="Odsekzoznamu"/>
        <w:numPr>
          <w:ilvl w:val="0"/>
          <w:numId w:val="29"/>
        </w:numPr>
        <w:spacing w:line="276" w:lineRule="auto"/>
        <w:rPr>
          <w:bCs/>
          <w:color w:val="000000"/>
          <w:sz w:val="17"/>
          <w:szCs w:val="17"/>
        </w:rPr>
      </w:pPr>
      <w:r w:rsidRPr="008838CC">
        <w:rPr>
          <w:bCs/>
          <w:color w:val="000000"/>
          <w:sz w:val="17"/>
          <w:szCs w:val="17"/>
        </w:rPr>
        <w:t xml:space="preserve">It </w:t>
      </w:r>
      <w:r w:rsidRPr="00315438">
        <w:rPr>
          <w:bCs/>
          <w:color w:val="000000"/>
          <w:sz w:val="17"/>
          <w:szCs w:val="17"/>
        </w:rPr>
        <w:t>hold</w:t>
      </w:r>
      <w:r w:rsidR="0012513F">
        <w:rPr>
          <w:bCs/>
          <w:color w:val="000000"/>
          <w:sz w:val="17"/>
          <w:szCs w:val="17"/>
        </w:rPr>
        <w:t>s</w:t>
      </w:r>
      <w:r w:rsidRPr="008838CC">
        <w:rPr>
          <w:bCs/>
          <w:color w:val="000000"/>
          <w:sz w:val="17"/>
          <w:szCs w:val="17"/>
        </w:rPr>
        <w:t xml:space="preserve"> the assets backing the local </w:t>
      </w:r>
      <w:r w:rsidR="0012513F">
        <w:rPr>
          <w:bCs/>
          <w:color w:val="000000"/>
          <w:sz w:val="17"/>
          <w:szCs w:val="17"/>
        </w:rPr>
        <w:t>SCR</w:t>
      </w:r>
      <w:r w:rsidRPr="008838CC">
        <w:rPr>
          <w:bCs/>
          <w:color w:val="000000"/>
          <w:sz w:val="17"/>
          <w:szCs w:val="17"/>
        </w:rPr>
        <w:t xml:space="preserve"> in the local currency but </w:t>
      </w:r>
      <w:r w:rsidR="0012513F">
        <w:rPr>
          <w:bCs/>
          <w:color w:val="000000"/>
          <w:sz w:val="17"/>
          <w:szCs w:val="17"/>
        </w:rPr>
        <w:t xml:space="preserve">currency </w:t>
      </w:r>
      <w:r w:rsidRPr="008838CC">
        <w:rPr>
          <w:bCs/>
          <w:color w:val="000000"/>
          <w:sz w:val="17"/>
          <w:szCs w:val="17"/>
        </w:rPr>
        <w:t>hedges the exposure at group level. This attracts no capital charge but leaves the group unnecessarily exposed to currency fluctuations.</w:t>
      </w:r>
    </w:p>
    <w:p w14:paraId="5B8902FA" w14:textId="77777777" w:rsidR="0099441A" w:rsidRPr="008838CC" w:rsidRDefault="0099441A" w:rsidP="000471F7">
      <w:pPr>
        <w:spacing w:line="276" w:lineRule="auto"/>
        <w:jc w:val="both"/>
        <w:rPr>
          <w:rFonts w:ascii="Verdana" w:hAnsi="Verdana"/>
          <w:bCs/>
          <w:color w:val="000000"/>
          <w:sz w:val="17"/>
          <w:szCs w:val="17"/>
        </w:rPr>
      </w:pPr>
    </w:p>
    <w:p w14:paraId="1408566D" w14:textId="495A80B5" w:rsidR="004A2540" w:rsidRPr="008838CC" w:rsidRDefault="00993B46" w:rsidP="00F252E1">
      <w:pPr>
        <w:spacing w:line="276" w:lineRule="auto"/>
        <w:jc w:val="both"/>
        <w:rPr>
          <w:rFonts w:ascii="Verdana" w:hAnsi="Verdana"/>
          <w:color w:val="000000"/>
          <w:sz w:val="17"/>
          <w:szCs w:val="17"/>
        </w:rPr>
      </w:pPr>
      <w:r w:rsidRPr="008838CC">
        <w:rPr>
          <w:rFonts w:ascii="Verdana" w:hAnsi="Verdana"/>
          <w:bCs/>
          <w:color w:val="000000"/>
          <w:sz w:val="17"/>
          <w:szCs w:val="17"/>
        </w:rPr>
        <w:t>The</w:t>
      </w:r>
      <w:r w:rsidR="00BC66D5" w:rsidRPr="008838CC">
        <w:rPr>
          <w:rFonts w:ascii="Verdana" w:hAnsi="Verdana"/>
          <w:bCs/>
          <w:color w:val="000000"/>
          <w:sz w:val="17"/>
          <w:szCs w:val="17"/>
        </w:rPr>
        <w:t xml:space="preserve"> only way to no receive a capital charge is to choose option 3. </w:t>
      </w:r>
      <w:r w:rsidRPr="008838CC">
        <w:rPr>
          <w:rFonts w:ascii="Verdana" w:hAnsi="Verdana"/>
          <w:bCs/>
          <w:color w:val="000000"/>
          <w:sz w:val="17"/>
          <w:szCs w:val="17"/>
        </w:rPr>
        <w:t xml:space="preserve"> </w:t>
      </w:r>
      <w:r w:rsidR="004A2540" w:rsidRPr="008838CC">
        <w:rPr>
          <w:rFonts w:ascii="Verdana" w:hAnsi="Verdana"/>
          <w:color w:val="000000"/>
          <w:sz w:val="17"/>
          <w:szCs w:val="17"/>
        </w:rPr>
        <w:t xml:space="preserve">Insurance Europe acknowledges that the hedging of the </w:t>
      </w:r>
      <w:r w:rsidR="00F252E1" w:rsidRPr="008838CC">
        <w:rPr>
          <w:rFonts w:ascii="Verdana" w:hAnsi="Verdana"/>
          <w:color w:val="000000"/>
          <w:sz w:val="17"/>
          <w:szCs w:val="17"/>
        </w:rPr>
        <w:t xml:space="preserve">foreign currency </w:t>
      </w:r>
      <w:r w:rsidR="004A2540" w:rsidRPr="008838CC">
        <w:rPr>
          <w:rFonts w:ascii="Verdana" w:hAnsi="Verdana"/>
          <w:color w:val="000000"/>
          <w:sz w:val="17"/>
          <w:szCs w:val="17"/>
        </w:rPr>
        <w:t xml:space="preserve">exposure at group level can </w:t>
      </w:r>
      <w:r w:rsidR="0012513F">
        <w:rPr>
          <w:rFonts w:ascii="Verdana" w:hAnsi="Verdana"/>
          <w:bCs/>
          <w:color w:val="000000"/>
          <w:sz w:val="17"/>
          <w:szCs w:val="17"/>
        </w:rPr>
        <w:t>mitigate</w:t>
      </w:r>
      <w:r w:rsidR="00F252E1" w:rsidRPr="008838CC">
        <w:rPr>
          <w:rFonts w:ascii="Verdana" w:hAnsi="Verdana"/>
          <w:color w:val="000000"/>
          <w:sz w:val="17"/>
          <w:szCs w:val="17"/>
        </w:rPr>
        <w:t xml:space="preserve"> capital requirements. However, it does not agree with EIOPA that this is solely a commercial decision. Entering into a currency hedging arrangement at group level to address technical inconsistencies in the SII framework effectively means the group has entered an unmatched currency position which can impact solvency position of the group.</w:t>
      </w:r>
    </w:p>
    <w:p w14:paraId="04351B96" w14:textId="72AA0897" w:rsidR="00F252E1" w:rsidRPr="008838CC" w:rsidRDefault="00F252E1" w:rsidP="00F252E1">
      <w:pPr>
        <w:spacing w:line="276" w:lineRule="auto"/>
        <w:jc w:val="both"/>
        <w:rPr>
          <w:rFonts w:ascii="Verdana" w:hAnsi="Verdana"/>
          <w:color w:val="000000"/>
          <w:sz w:val="17"/>
          <w:szCs w:val="17"/>
        </w:rPr>
      </w:pPr>
    </w:p>
    <w:p w14:paraId="00186E8A" w14:textId="1A9FA4F3" w:rsidR="00F252E1" w:rsidRPr="008838CC" w:rsidRDefault="00F252E1" w:rsidP="00F252E1">
      <w:pPr>
        <w:spacing w:line="276" w:lineRule="auto"/>
        <w:jc w:val="both"/>
        <w:rPr>
          <w:rFonts w:ascii="Verdana" w:hAnsi="Verdana"/>
          <w:color w:val="000000"/>
          <w:sz w:val="17"/>
          <w:szCs w:val="17"/>
        </w:rPr>
      </w:pPr>
      <w:r w:rsidRPr="008838CC">
        <w:rPr>
          <w:rFonts w:ascii="Verdana" w:hAnsi="Verdana"/>
          <w:color w:val="000000"/>
          <w:sz w:val="17"/>
          <w:szCs w:val="17"/>
        </w:rPr>
        <w:t xml:space="preserve">Consider the following </w:t>
      </w:r>
      <w:r w:rsidR="00BC66D5" w:rsidRPr="008838CC">
        <w:rPr>
          <w:rFonts w:ascii="Verdana" w:hAnsi="Verdana"/>
          <w:bCs/>
          <w:color w:val="000000"/>
          <w:sz w:val="17"/>
          <w:szCs w:val="17"/>
        </w:rPr>
        <w:t xml:space="preserve">simplified </w:t>
      </w:r>
      <w:r w:rsidRPr="008838CC">
        <w:rPr>
          <w:rFonts w:ascii="Verdana" w:hAnsi="Verdana"/>
          <w:color w:val="000000"/>
          <w:sz w:val="17"/>
          <w:szCs w:val="17"/>
        </w:rPr>
        <w:t>example</w:t>
      </w:r>
      <w:r w:rsidR="00260381" w:rsidRPr="008838CC">
        <w:rPr>
          <w:rFonts w:ascii="Verdana" w:hAnsi="Verdana"/>
          <w:color w:val="000000"/>
          <w:sz w:val="17"/>
          <w:szCs w:val="17"/>
        </w:rPr>
        <w:t xml:space="preserve"> which clearly </w:t>
      </w:r>
      <w:r w:rsidR="00B46098" w:rsidRPr="008838CC">
        <w:rPr>
          <w:rFonts w:ascii="Verdana" w:hAnsi="Verdana"/>
          <w:color w:val="000000"/>
          <w:sz w:val="17"/>
          <w:szCs w:val="17"/>
        </w:rPr>
        <w:t>demonstrates</w:t>
      </w:r>
      <w:r w:rsidR="00260381" w:rsidRPr="008838CC">
        <w:rPr>
          <w:rFonts w:ascii="Verdana" w:hAnsi="Verdana"/>
          <w:color w:val="000000"/>
          <w:sz w:val="17"/>
          <w:szCs w:val="17"/>
        </w:rPr>
        <w:t xml:space="preserve"> </w:t>
      </w:r>
      <w:r w:rsidR="00B46098" w:rsidRPr="008838CC">
        <w:rPr>
          <w:rFonts w:ascii="Verdana" w:hAnsi="Verdana"/>
          <w:color w:val="000000"/>
          <w:sz w:val="17"/>
          <w:szCs w:val="17"/>
        </w:rPr>
        <w:t>th</w:t>
      </w:r>
      <w:r w:rsidR="003225AE" w:rsidRPr="008838CC">
        <w:rPr>
          <w:rFonts w:ascii="Verdana" w:hAnsi="Verdana"/>
          <w:color w:val="000000"/>
          <w:sz w:val="17"/>
          <w:szCs w:val="17"/>
        </w:rPr>
        <w:t xml:space="preserve">at </w:t>
      </w:r>
      <w:r w:rsidR="00260381" w:rsidRPr="008838CC">
        <w:rPr>
          <w:rFonts w:ascii="Verdana" w:hAnsi="Verdana"/>
          <w:color w:val="000000"/>
          <w:sz w:val="17"/>
          <w:szCs w:val="17"/>
        </w:rPr>
        <w:t>curren</w:t>
      </w:r>
      <w:r w:rsidR="00B46098" w:rsidRPr="008838CC">
        <w:rPr>
          <w:rFonts w:ascii="Verdana" w:hAnsi="Verdana"/>
          <w:color w:val="000000"/>
          <w:sz w:val="17"/>
          <w:szCs w:val="17"/>
        </w:rPr>
        <w:t>c</w:t>
      </w:r>
      <w:r w:rsidR="00260381" w:rsidRPr="008838CC">
        <w:rPr>
          <w:rFonts w:ascii="Verdana" w:hAnsi="Verdana"/>
          <w:color w:val="000000"/>
          <w:sz w:val="17"/>
          <w:szCs w:val="17"/>
        </w:rPr>
        <w:t>y hedging at group level</w:t>
      </w:r>
      <w:r w:rsidR="003225AE" w:rsidRPr="008838CC">
        <w:rPr>
          <w:rFonts w:ascii="Verdana" w:hAnsi="Verdana"/>
          <w:color w:val="000000"/>
          <w:sz w:val="17"/>
          <w:szCs w:val="17"/>
        </w:rPr>
        <w:t xml:space="preserve"> is not </w:t>
      </w:r>
      <w:r w:rsidR="004E6E44" w:rsidRPr="008838CC">
        <w:rPr>
          <w:rFonts w:ascii="Verdana" w:hAnsi="Verdana"/>
          <w:color w:val="000000"/>
          <w:sz w:val="17"/>
          <w:szCs w:val="17"/>
        </w:rPr>
        <w:t>simply a commercial decision based on the cost of hedging</w:t>
      </w:r>
      <w:r w:rsidR="00260381" w:rsidRPr="008838CC">
        <w:rPr>
          <w:rFonts w:ascii="Verdana" w:hAnsi="Verdana"/>
          <w:color w:val="000000"/>
          <w:sz w:val="17"/>
          <w:szCs w:val="17"/>
        </w:rPr>
        <w:t xml:space="preserve">. </w:t>
      </w:r>
    </w:p>
    <w:p w14:paraId="0D208DFB" w14:textId="2CE42812" w:rsidR="00F252E1" w:rsidRPr="008838CC" w:rsidRDefault="00F252E1" w:rsidP="00F252E1">
      <w:pPr>
        <w:spacing w:line="276" w:lineRule="auto"/>
        <w:jc w:val="both"/>
        <w:rPr>
          <w:rFonts w:ascii="Verdana" w:hAnsi="Verdana"/>
          <w:color w:val="000000"/>
          <w:sz w:val="17"/>
          <w:szCs w:val="17"/>
        </w:rPr>
      </w:pPr>
    </w:p>
    <w:tbl>
      <w:tblPr>
        <w:tblStyle w:val="Mriekatabuky"/>
        <w:tblW w:w="0" w:type="auto"/>
        <w:tblLook w:val="04A0" w:firstRow="1" w:lastRow="0" w:firstColumn="1" w:lastColumn="0" w:noHBand="0" w:noVBand="1"/>
      </w:tblPr>
      <w:tblGrid>
        <w:gridCol w:w="3569"/>
        <w:gridCol w:w="2551"/>
        <w:gridCol w:w="2551"/>
        <w:gridCol w:w="2551"/>
      </w:tblGrid>
      <w:tr w:rsidR="00F252E1" w:rsidRPr="008838CC" w14:paraId="1255B294" w14:textId="77777777" w:rsidTr="00680782">
        <w:tc>
          <w:tcPr>
            <w:tcW w:w="3569" w:type="dxa"/>
            <w:shd w:val="clear" w:color="auto" w:fill="4472C4" w:themeFill="accent1"/>
          </w:tcPr>
          <w:p w14:paraId="1FB7BAF4" w14:textId="021475FF" w:rsidR="00F252E1" w:rsidRPr="008838CC" w:rsidRDefault="00310A5A" w:rsidP="00F252E1">
            <w:pPr>
              <w:spacing w:line="276" w:lineRule="auto"/>
              <w:jc w:val="both"/>
              <w:rPr>
                <w:rFonts w:ascii="Verdana" w:hAnsi="Verdana"/>
                <w:color w:val="FFFFFF" w:themeColor="background1"/>
                <w:sz w:val="17"/>
                <w:szCs w:val="17"/>
              </w:rPr>
            </w:pPr>
            <w:r w:rsidRPr="008838CC">
              <w:rPr>
                <w:rFonts w:ascii="Verdana" w:hAnsi="Verdana"/>
                <w:color w:val="FFFFFF" w:themeColor="background1"/>
                <w:sz w:val="17"/>
                <w:szCs w:val="17"/>
              </w:rPr>
              <w:t>All figures in €</w:t>
            </w:r>
          </w:p>
        </w:tc>
        <w:tc>
          <w:tcPr>
            <w:tcW w:w="2551" w:type="dxa"/>
            <w:shd w:val="clear" w:color="auto" w:fill="4472C4" w:themeFill="accent1"/>
          </w:tcPr>
          <w:p w14:paraId="668BF0DD" w14:textId="443D6FF1" w:rsidR="00F252E1" w:rsidRPr="008838CC" w:rsidRDefault="00F252E1" w:rsidP="00310A5A">
            <w:pPr>
              <w:spacing w:line="276" w:lineRule="auto"/>
              <w:jc w:val="center"/>
              <w:rPr>
                <w:rFonts w:ascii="Verdana" w:hAnsi="Verdana"/>
                <w:color w:val="FFFFFF" w:themeColor="background1"/>
                <w:sz w:val="17"/>
                <w:szCs w:val="17"/>
              </w:rPr>
            </w:pPr>
            <w:r w:rsidRPr="008838CC">
              <w:rPr>
                <w:rFonts w:ascii="Verdana" w:hAnsi="Verdana"/>
                <w:color w:val="FFFFFF" w:themeColor="background1"/>
                <w:sz w:val="17"/>
                <w:szCs w:val="17"/>
              </w:rPr>
              <w:t>€ subsidiary</w:t>
            </w:r>
          </w:p>
        </w:tc>
        <w:tc>
          <w:tcPr>
            <w:tcW w:w="2551" w:type="dxa"/>
            <w:tcBorders>
              <w:right w:val="single" w:sz="12" w:space="0" w:color="auto"/>
            </w:tcBorders>
            <w:shd w:val="clear" w:color="auto" w:fill="4472C4" w:themeFill="accent1"/>
          </w:tcPr>
          <w:p w14:paraId="21A44067" w14:textId="6805C01A" w:rsidR="00F252E1" w:rsidRPr="008838CC" w:rsidRDefault="00F252E1" w:rsidP="00310A5A">
            <w:pPr>
              <w:spacing w:line="276" w:lineRule="auto"/>
              <w:jc w:val="center"/>
              <w:rPr>
                <w:rFonts w:ascii="Verdana" w:hAnsi="Verdana"/>
                <w:color w:val="FFFFFF" w:themeColor="background1"/>
                <w:sz w:val="17"/>
                <w:szCs w:val="17"/>
              </w:rPr>
            </w:pPr>
            <w:r w:rsidRPr="008838CC">
              <w:rPr>
                <w:rFonts w:ascii="Verdana" w:hAnsi="Verdana"/>
                <w:color w:val="FFFFFF" w:themeColor="background1"/>
                <w:sz w:val="17"/>
                <w:szCs w:val="17"/>
              </w:rPr>
              <w:t>£ subsidiary</w:t>
            </w:r>
          </w:p>
        </w:tc>
        <w:tc>
          <w:tcPr>
            <w:tcW w:w="2551" w:type="dxa"/>
            <w:tcBorders>
              <w:left w:val="single" w:sz="12" w:space="0" w:color="auto"/>
            </w:tcBorders>
            <w:shd w:val="clear" w:color="auto" w:fill="4472C4" w:themeFill="accent1"/>
          </w:tcPr>
          <w:p w14:paraId="35477B65" w14:textId="5ECBF31D" w:rsidR="00F252E1" w:rsidRPr="008838CC" w:rsidRDefault="00F252E1" w:rsidP="00310A5A">
            <w:pPr>
              <w:spacing w:line="276" w:lineRule="auto"/>
              <w:jc w:val="center"/>
              <w:rPr>
                <w:rFonts w:ascii="Verdana" w:hAnsi="Verdana"/>
                <w:color w:val="FFFFFF" w:themeColor="background1"/>
                <w:sz w:val="17"/>
                <w:szCs w:val="17"/>
              </w:rPr>
            </w:pPr>
            <w:r w:rsidRPr="008838CC">
              <w:rPr>
                <w:rFonts w:ascii="Verdana" w:hAnsi="Verdana"/>
                <w:color w:val="FFFFFF" w:themeColor="background1"/>
                <w:sz w:val="17"/>
                <w:szCs w:val="17"/>
              </w:rPr>
              <w:t>Group</w:t>
            </w:r>
          </w:p>
        </w:tc>
      </w:tr>
      <w:tr w:rsidR="00F252E1" w:rsidRPr="008838CC" w14:paraId="62E69D01" w14:textId="77777777" w:rsidTr="00680782">
        <w:tc>
          <w:tcPr>
            <w:tcW w:w="3569" w:type="dxa"/>
          </w:tcPr>
          <w:p w14:paraId="7CB085EB" w14:textId="27C05237" w:rsidR="00F252E1" w:rsidRPr="008838CC" w:rsidRDefault="00F252E1" w:rsidP="00F252E1">
            <w:pPr>
              <w:spacing w:line="276" w:lineRule="auto"/>
              <w:jc w:val="both"/>
              <w:rPr>
                <w:rFonts w:ascii="Verdana" w:hAnsi="Verdana"/>
                <w:color w:val="000000"/>
                <w:sz w:val="17"/>
                <w:szCs w:val="17"/>
              </w:rPr>
            </w:pPr>
            <w:r w:rsidRPr="008838CC">
              <w:rPr>
                <w:rFonts w:ascii="Verdana" w:hAnsi="Verdana"/>
                <w:color w:val="000000"/>
                <w:sz w:val="17"/>
                <w:szCs w:val="17"/>
              </w:rPr>
              <w:t>Liabilities</w:t>
            </w:r>
          </w:p>
        </w:tc>
        <w:tc>
          <w:tcPr>
            <w:tcW w:w="2551" w:type="dxa"/>
          </w:tcPr>
          <w:p w14:paraId="1B0E8461" w14:textId="11FA497D" w:rsidR="00F252E1" w:rsidRPr="008838CC" w:rsidRDefault="00F252E1" w:rsidP="00310A5A">
            <w:pPr>
              <w:spacing w:line="276" w:lineRule="auto"/>
              <w:jc w:val="center"/>
              <w:rPr>
                <w:rFonts w:ascii="Verdana" w:hAnsi="Verdana"/>
                <w:color w:val="000000"/>
                <w:sz w:val="17"/>
                <w:szCs w:val="17"/>
              </w:rPr>
            </w:pPr>
            <w:r w:rsidRPr="008838CC">
              <w:rPr>
                <w:rFonts w:ascii="Verdana" w:hAnsi="Verdana"/>
                <w:color w:val="000000"/>
                <w:sz w:val="17"/>
                <w:szCs w:val="17"/>
              </w:rPr>
              <w:t>150</w:t>
            </w:r>
          </w:p>
        </w:tc>
        <w:tc>
          <w:tcPr>
            <w:tcW w:w="2551" w:type="dxa"/>
            <w:tcBorders>
              <w:right w:val="single" w:sz="12" w:space="0" w:color="auto"/>
            </w:tcBorders>
          </w:tcPr>
          <w:p w14:paraId="16F94865" w14:textId="323BF4DB" w:rsidR="00F252E1" w:rsidRPr="008838CC" w:rsidRDefault="00310A5A" w:rsidP="00310A5A">
            <w:pPr>
              <w:spacing w:line="276" w:lineRule="auto"/>
              <w:jc w:val="center"/>
              <w:rPr>
                <w:rFonts w:ascii="Verdana" w:hAnsi="Verdana"/>
                <w:color w:val="000000"/>
                <w:sz w:val="17"/>
                <w:szCs w:val="17"/>
              </w:rPr>
            </w:pPr>
            <w:r w:rsidRPr="008838CC">
              <w:rPr>
                <w:rFonts w:ascii="Verdana" w:hAnsi="Verdana"/>
                <w:color w:val="000000"/>
                <w:sz w:val="17"/>
                <w:szCs w:val="17"/>
              </w:rPr>
              <w:t>22</w:t>
            </w:r>
            <w:r w:rsidR="00F252E1" w:rsidRPr="008838CC">
              <w:rPr>
                <w:rFonts w:ascii="Verdana" w:hAnsi="Verdana"/>
                <w:color w:val="000000"/>
                <w:sz w:val="17"/>
                <w:szCs w:val="17"/>
              </w:rPr>
              <w:t>0</w:t>
            </w:r>
          </w:p>
        </w:tc>
        <w:tc>
          <w:tcPr>
            <w:tcW w:w="2551" w:type="dxa"/>
            <w:tcBorders>
              <w:left w:val="single" w:sz="12" w:space="0" w:color="auto"/>
            </w:tcBorders>
          </w:tcPr>
          <w:p w14:paraId="745B0548" w14:textId="79F72093" w:rsidR="00F252E1" w:rsidRPr="008838CC" w:rsidRDefault="00310A5A" w:rsidP="00310A5A">
            <w:pPr>
              <w:spacing w:line="276" w:lineRule="auto"/>
              <w:jc w:val="center"/>
              <w:rPr>
                <w:rFonts w:ascii="Verdana" w:hAnsi="Verdana"/>
                <w:color w:val="000000"/>
                <w:sz w:val="17"/>
                <w:szCs w:val="17"/>
              </w:rPr>
            </w:pPr>
            <w:r w:rsidRPr="008838CC">
              <w:rPr>
                <w:rFonts w:ascii="Verdana" w:hAnsi="Verdana"/>
                <w:color w:val="000000"/>
                <w:sz w:val="17"/>
                <w:szCs w:val="17"/>
              </w:rPr>
              <w:t>370</w:t>
            </w:r>
          </w:p>
        </w:tc>
      </w:tr>
      <w:tr w:rsidR="00F252E1" w:rsidRPr="008838CC" w14:paraId="7AE6D05B" w14:textId="77777777" w:rsidTr="00680782">
        <w:tc>
          <w:tcPr>
            <w:tcW w:w="3569" w:type="dxa"/>
          </w:tcPr>
          <w:p w14:paraId="44222753" w14:textId="52FA371A" w:rsidR="00F252E1" w:rsidRPr="008838CC" w:rsidRDefault="00F252E1" w:rsidP="00F252E1">
            <w:pPr>
              <w:spacing w:line="276" w:lineRule="auto"/>
              <w:jc w:val="both"/>
              <w:rPr>
                <w:rFonts w:ascii="Verdana" w:hAnsi="Verdana"/>
                <w:color w:val="000000"/>
                <w:sz w:val="17"/>
                <w:szCs w:val="17"/>
              </w:rPr>
            </w:pPr>
            <w:r w:rsidRPr="008838CC">
              <w:rPr>
                <w:rFonts w:ascii="Verdana" w:hAnsi="Verdana"/>
                <w:color w:val="000000"/>
                <w:sz w:val="17"/>
                <w:szCs w:val="17"/>
              </w:rPr>
              <w:t>Assets</w:t>
            </w:r>
          </w:p>
        </w:tc>
        <w:tc>
          <w:tcPr>
            <w:tcW w:w="2551" w:type="dxa"/>
          </w:tcPr>
          <w:p w14:paraId="6D4B6D92" w14:textId="04E22E9A" w:rsidR="00F252E1" w:rsidRPr="008838CC" w:rsidRDefault="00F252E1" w:rsidP="00310A5A">
            <w:pPr>
              <w:spacing w:line="276" w:lineRule="auto"/>
              <w:jc w:val="center"/>
              <w:rPr>
                <w:rFonts w:ascii="Verdana" w:hAnsi="Verdana"/>
                <w:color w:val="000000"/>
                <w:sz w:val="17"/>
                <w:szCs w:val="17"/>
              </w:rPr>
            </w:pPr>
            <w:r w:rsidRPr="008838CC">
              <w:rPr>
                <w:rFonts w:ascii="Verdana" w:hAnsi="Verdana"/>
                <w:color w:val="000000"/>
                <w:sz w:val="17"/>
                <w:szCs w:val="17"/>
              </w:rPr>
              <w:t>1</w:t>
            </w:r>
            <w:r w:rsidR="00310A5A" w:rsidRPr="008838CC">
              <w:rPr>
                <w:rFonts w:ascii="Verdana" w:hAnsi="Verdana"/>
                <w:color w:val="000000"/>
                <w:sz w:val="17"/>
                <w:szCs w:val="17"/>
              </w:rPr>
              <w:t>65</w:t>
            </w:r>
          </w:p>
        </w:tc>
        <w:tc>
          <w:tcPr>
            <w:tcW w:w="2551" w:type="dxa"/>
            <w:tcBorders>
              <w:right w:val="single" w:sz="12" w:space="0" w:color="auto"/>
            </w:tcBorders>
          </w:tcPr>
          <w:p w14:paraId="01B772C1" w14:textId="7248EBE9" w:rsidR="00F252E1" w:rsidRPr="008838CC" w:rsidRDefault="00310A5A" w:rsidP="00310A5A">
            <w:pPr>
              <w:spacing w:line="276" w:lineRule="auto"/>
              <w:jc w:val="center"/>
              <w:rPr>
                <w:rFonts w:ascii="Verdana" w:hAnsi="Verdana"/>
                <w:color w:val="000000"/>
                <w:sz w:val="17"/>
                <w:szCs w:val="17"/>
              </w:rPr>
            </w:pPr>
            <w:r w:rsidRPr="008838CC">
              <w:rPr>
                <w:rFonts w:ascii="Verdana" w:hAnsi="Verdana"/>
                <w:color w:val="000000"/>
                <w:sz w:val="17"/>
                <w:szCs w:val="17"/>
              </w:rPr>
              <w:t>2</w:t>
            </w:r>
            <w:r w:rsidR="00680782" w:rsidRPr="008838CC">
              <w:rPr>
                <w:rFonts w:ascii="Verdana" w:hAnsi="Verdana"/>
                <w:color w:val="000000"/>
                <w:sz w:val="17"/>
                <w:szCs w:val="17"/>
              </w:rPr>
              <w:t>50</w:t>
            </w:r>
          </w:p>
        </w:tc>
        <w:tc>
          <w:tcPr>
            <w:tcW w:w="2551" w:type="dxa"/>
            <w:tcBorders>
              <w:left w:val="single" w:sz="12" w:space="0" w:color="auto"/>
            </w:tcBorders>
          </w:tcPr>
          <w:p w14:paraId="75B9FB33" w14:textId="13439ABA" w:rsidR="00F252E1" w:rsidRPr="008838CC" w:rsidRDefault="00310A5A" w:rsidP="00310A5A">
            <w:pPr>
              <w:spacing w:line="276" w:lineRule="auto"/>
              <w:jc w:val="center"/>
              <w:rPr>
                <w:rFonts w:ascii="Verdana" w:hAnsi="Verdana"/>
                <w:color w:val="000000"/>
                <w:sz w:val="17"/>
                <w:szCs w:val="17"/>
              </w:rPr>
            </w:pPr>
            <w:r w:rsidRPr="008838CC">
              <w:rPr>
                <w:rFonts w:ascii="Verdana" w:hAnsi="Verdana"/>
                <w:color w:val="000000"/>
                <w:sz w:val="17"/>
                <w:szCs w:val="17"/>
              </w:rPr>
              <w:t>41</w:t>
            </w:r>
            <w:r w:rsidR="00680782" w:rsidRPr="008838CC">
              <w:rPr>
                <w:rFonts w:ascii="Verdana" w:hAnsi="Verdana"/>
                <w:color w:val="000000"/>
                <w:sz w:val="17"/>
                <w:szCs w:val="17"/>
              </w:rPr>
              <w:t>5</w:t>
            </w:r>
          </w:p>
        </w:tc>
      </w:tr>
      <w:tr w:rsidR="00F252E1" w:rsidRPr="008838CC" w14:paraId="4F7AF843" w14:textId="77777777" w:rsidTr="00680782">
        <w:tc>
          <w:tcPr>
            <w:tcW w:w="3569" w:type="dxa"/>
          </w:tcPr>
          <w:p w14:paraId="03D43B82" w14:textId="5C45A4B7" w:rsidR="00F252E1" w:rsidRPr="008838CC" w:rsidRDefault="00F252E1" w:rsidP="00F252E1">
            <w:pPr>
              <w:spacing w:line="276" w:lineRule="auto"/>
              <w:jc w:val="both"/>
              <w:rPr>
                <w:rFonts w:ascii="Verdana" w:hAnsi="Verdana"/>
                <w:b/>
                <w:color w:val="000000"/>
                <w:sz w:val="17"/>
                <w:szCs w:val="17"/>
              </w:rPr>
            </w:pPr>
            <w:r w:rsidRPr="008838CC">
              <w:rPr>
                <w:rFonts w:ascii="Verdana" w:hAnsi="Verdana"/>
                <w:b/>
                <w:color w:val="000000"/>
                <w:sz w:val="17"/>
                <w:szCs w:val="17"/>
              </w:rPr>
              <w:t>SCR</w:t>
            </w:r>
          </w:p>
        </w:tc>
        <w:tc>
          <w:tcPr>
            <w:tcW w:w="2551" w:type="dxa"/>
          </w:tcPr>
          <w:p w14:paraId="7FFB94DB" w14:textId="33C356B1" w:rsidR="00F252E1" w:rsidRPr="008838CC" w:rsidRDefault="00F252E1" w:rsidP="00310A5A">
            <w:pPr>
              <w:spacing w:line="276" w:lineRule="auto"/>
              <w:jc w:val="center"/>
              <w:rPr>
                <w:rFonts w:ascii="Verdana" w:hAnsi="Verdana"/>
                <w:b/>
                <w:color w:val="000000"/>
                <w:sz w:val="17"/>
                <w:szCs w:val="17"/>
              </w:rPr>
            </w:pPr>
            <w:r w:rsidRPr="008838CC">
              <w:rPr>
                <w:rFonts w:ascii="Verdana" w:hAnsi="Verdana"/>
                <w:b/>
                <w:color w:val="000000"/>
                <w:sz w:val="17"/>
                <w:szCs w:val="17"/>
              </w:rPr>
              <w:t>10</w:t>
            </w:r>
          </w:p>
        </w:tc>
        <w:tc>
          <w:tcPr>
            <w:tcW w:w="2551" w:type="dxa"/>
            <w:tcBorders>
              <w:right w:val="single" w:sz="12" w:space="0" w:color="auto"/>
            </w:tcBorders>
          </w:tcPr>
          <w:p w14:paraId="718AA352" w14:textId="726C562B" w:rsidR="00F252E1" w:rsidRPr="008838CC" w:rsidRDefault="00310A5A" w:rsidP="00310A5A">
            <w:pPr>
              <w:spacing w:line="276" w:lineRule="auto"/>
              <w:jc w:val="center"/>
              <w:rPr>
                <w:rFonts w:ascii="Verdana" w:hAnsi="Verdana"/>
                <w:b/>
                <w:color w:val="000000"/>
                <w:sz w:val="17"/>
                <w:szCs w:val="17"/>
              </w:rPr>
            </w:pPr>
            <w:r w:rsidRPr="008838CC">
              <w:rPr>
                <w:rFonts w:ascii="Verdana" w:hAnsi="Verdana"/>
                <w:b/>
                <w:color w:val="000000"/>
                <w:sz w:val="17"/>
                <w:szCs w:val="17"/>
              </w:rPr>
              <w:t>2</w:t>
            </w:r>
            <w:r w:rsidR="00680782" w:rsidRPr="008838CC">
              <w:rPr>
                <w:rFonts w:ascii="Verdana" w:hAnsi="Verdana"/>
                <w:b/>
                <w:color w:val="000000"/>
                <w:sz w:val="17"/>
                <w:szCs w:val="17"/>
              </w:rPr>
              <w:t>8</w:t>
            </w:r>
          </w:p>
        </w:tc>
        <w:tc>
          <w:tcPr>
            <w:tcW w:w="2551" w:type="dxa"/>
            <w:tcBorders>
              <w:left w:val="single" w:sz="12" w:space="0" w:color="auto"/>
            </w:tcBorders>
          </w:tcPr>
          <w:p w14:paraId="6EA8741A" w14:textId="53B739F6" w:rsidR="00F252E1" w:rsidRPr="008838CC" w:rsidRDefault="00680782" w:rsidP="00310A5A">
            <w:pPr>
              <w:spacing w:line="276" w:lineRule="auto"/>
              <w:jc w:val="center"/>
              <w:rPr>
                <w:rFonts w:ascii="Verdana" w:hAnsi="Verdana"/>
                <w:b/>
                <w:color w:val="000000"/>
                <w:sz w:val="17"/>
                <w:szCs w:val="17"/>
              </w:rPr>
            </w:pPr>
            <w:r w:rsidRPr="008838CC">
              <w:rPr>
                <w:rFonts w:ascii="Verdana" w:hAnsi="Verdana"/>
                <w:b/>
                <w:color w:val="000000"/>
                <w:sz w:val="17"/>
                <w:szCs w:val="17"/>
              </w:rPr>
              <w:t>38</w:t>
            </w:r>
          </w:p>
        </w:tc>
      </w:tr>
      <w:tr w:rsidR="00F252E1" w:rsidRPr="008838CC" w14:paraId="6C2200C2" w14:textId="77777777" w:rsidTr="00680782">
        <w:tc>
          <w:tcPr>
            <w:tcW w:w="3569" w:type="dxa"/>
          </w:tcPr>
          <w:p w14:paraId="3B93150E" w14:textId="6E5DBCBD" w:rsidR="00F252E1" w:rsidRPr="008838CC" w:rsidRDefault="00310A5A" w:rsidP="00F252E1">
            <w:pPr>
              <w:spacing w:line="276" w:lineRule="auto"/>
              <w:jc w:val="both"/>
              <w:rPr>
                <w:rFonts w:ascii="Verdana" w:hAnsi="Verdana"/>
                <w:b/>
                <w:color w:val="000000"/>
                <w:sz w:val="17"/>
                <w:szCs w:val="17"/>
              </w:rPr>
            </w:pPr>
            <w:r w:rsidRPr="008838CC">
              <w:rPr>
                <w:rFonts w:ascii="Verdana" w:hAnsi="Verdana"/>
                <w:b/>
                <w:color w:val="000000"/>
                <w:sz w:val="17"/>
                <w:szCs w:val="17"/>
              </w:rPr>
              <w:t>Own funds</w:t>
            </w:r>
          </w:p>
        </w:tc>
        <w:tc>
          <w:tcPr>
            <w:tcW w:w="2551" w:type="dxa"/>
          </w:tcPr>
          <w:p w14:paraId="149B9773" w14:textId="76A142CB" w:rsidR="00F252E1" w:rsidRPr="008838CC" w:rsidRDefault="00310A5A" w:rsidP="00310A5A">
            <w:pPr>
              <w:spacing w:line="276" w:lineRule="auto"/>
              <w:jc w:val="center"/>
              <w:rPr>
                <w:rFonts w:ascii="Verdana" w:hAnsi="Verdana"/>
                <w:b/>
                <w:color w:val="000000"/>
                <w:sz w:val="17"/>
                <w:szCs w:val="17"/>
              </w:rPr>
            </w:pPr>
            <w:r w:rsidRPr="008838CC">
              <w:rPr>
                <w:rFonts w:ascii="Verdana" w:hAnsi="Verdana"/>
                <w:b/>
                <w:color w:val="000000"/>
                <w:sz w:val="17"/>
                <w:szCs w:val="17"/>
              </w:rPr>
              <w:t>15</w:t>
            </w:r>
          </w:p>
        </w:tc>
        <w:tc>
          <w:tcPr>
            <w:tcW w:w="2551" w:type="dxa"/>
            <w:tcBorders>
              <w:right w:val="single" w:sz="12" w:space="0" w:color="auto"/>
            </w:tcBorders>
          </w:tcPr>
          <w:p w14:paraId="300DD6B1" w14:textId="1C759F58" w:rsidR="00F252E1" w:rsidRPr="008838CC" w:rsidRDefault="00680782" w:rsidP="00310A5A">
            <w:pPr>
              <w:spacing w:line="276" w:lineRule="auto"/>
              <w:jc w:val="center"/>
              <w:rPr>
                <w:rFonts w:ascii="Verdana" w:hAnsi="Verdana"/>
                <w:b/>
                <w:color w:val="000000"/>
                <w:sz w:val="17"/>
                <w:szCs w:val="17"/>
              </w:rPr>
            </w:pPr>
            <w:r w:rsidRPr="008838CC">
              <w:rPr>
                <w:rFonts w:ascii="Verdana" w:hAnsi="Verdana"/>
                <w:b/>
                <w:color w:val="000000"/>
                <w:sz w:val="17"/>
                <w:szCs w:val="17"/>
              </w:rPr>
              <w:t>30</w:t>
            </w:r>
          </w:p>
        </w:tc>
        <w:tc>
          <w:tcPr>
            <w:tcW w:w="2551" w:type="dxa"/>
            <w:tcBorders>
              <w:left w:val="single" w:sz="12" w:space="0" w:color="auto"/>
            </w:tcBorders>
          </w:tcPr>
          <w:p w14:paraId="1DF21BD2" w14:textId="1781181A" w:rsidR="00F252E1" w:rsidRPr="008838CC" w:rsidRDefault="00680782" w:rsidP="00310A5A">
            <w:pPr>
              <w:spacing w:line="276" w:lineRule="auto"/>
              <w:jc w:val="center"/>
              <w:rPr>
                <w:rFonts w:ascii="Verdana" w:hAnsi="Verdana"/>
                <w:b/>
                <w:color w:val="000000"/>
                <w:sz w:val="17"/>
                <w:szCs w:val="17"/>
              </w:rPr>
            </w:pPr>
            <w:r w:rsidRPr="008838CC">
              <w:rPr>
                <w:rFonts w:ascii="Verdana" w:hAnsi="Verdana"/>
                <w:b/>
                <w:color w:val="000000"/>
                <w:sz w:val="17"/>
                <w:szCs w:val="17"/>
              </w:rPr>
              <w:t>45</w:t>
            </w:r>
          </w:p>
        </w:tc>
      </w:tr>
      <w:tr w:rsidR="00F252E1" w:rsidRPr="008838CC" w14:paraId="4F19F490" w14:textId="77777777" w:rsidTr="00680782">
        <w:tc>
          <w:tcPr>
            <w:tcW w:w="3569" w:type="dxa"/>
          </w:tcPr>
          <w:p w14:paraId="3DF601AD" w14:textId="509C4753" w:rsidR="00F252E1" w:rsidRPr="008838CC" w:rsidRDefault="00310A5A" w:rsidP="00F252E1">
            <w:pPr>
              <w:spacing w:line="276" w:lineRule="auto"/>
              <w:jc w:val="both"/>
              <w:rPr>
                <w:rFonts w:ascii="Verdana" w:hAnsi="Verdana"/>
                <w:b/>
                <w:color w:val="000000"/>
                <w:sz w:val="17"/>
                <w:szCs w:val="17"/>
              </w:rPr>
            </w:pPr>
            <w:r w:rsidRPr="008838CC">
              <w:rPr>
                <w:rFonts w:ascii="Verdana" w:hAnsi="Verdana"/>
                <w:b/>
                <w:color w:val="000000"/>
                <w:sz w:val="17"/>
                <w:szCs w:val="17"/>
              </w:rPr>
              <w:t>SCR ratio</w:t>
            </w:r>
          </w:p>
        </w:tc>
        <w:tc>
          <w:tcPr>
            <w:tcW w:w="2551" w:type="dxa"/>
          </w:tcPr>
          <w:p w14:paraId="21AB31ED" w14:textId="5D90EBD0" w:rsidR="00F252E1" w:rsidRPr="008838CC" w:rsidRDefault="00310A5A" w:rsidP="00310A5A">
            <w:pPr>
              <w:spacing w:line="276" w:lineRule="auto"/>
              <w:jc w:val="center"/>
              <w:rPr>
                <w:rFonts w:ascii="Verdana" w:hAnsi="Verdana"/>
                <w:b/>
                <w:color w:val="000000"/>
                <w:sz w:val="17"/>
                <w:szCs w:val="17"/>
              </w:rPr>
            </w:pPr>
            <w:r w:rsidRPr="008838CC">
              <w:rPr>
                <w:rFonts w:ascii="Verdana" w:hAnsi="Verdana"/>
                <w:b/>
                <w:color w:val="000000"/>
                <w:sz w:val="17"/>
                <w:szCs w:val="17"/>
              </w:rPr>
              <w:t>150%</w:t>
            </w:r>
          </w:p>
        </w:tc>
        <w:tc>
          <w:tcPr>
            <w:tcW w:w="2551" w:type="dxa"/>
            <w:tcBorders>
              <w:right w:val="single" w:sz="12" w:space="0" w:color="auto"/>
            </w:tcBorders>
          </w:tcPr>
          <w:p w14:paraId="3FA7100A" w14:textId="3A87FD5C" w:rsidR="00F252E1" w:rsidRPr="008838CC" w:rsidRDefault="00310A5A" w:rsidP="00310A5A">
            <w:pPr>
              <w:spacing w:line="276" w:lineRule="auto"/>
              <w:jc w:val="center"/>
              <w:rPr>
                <w:rFonts w:ascii="Verdana" w:hAnsi="Verdana"/>
                <w:b/>
                <w:color w:val="000000"/>
                <w:sz w:val="17"/>
                <w:szCs w:val="17"/>
              </w:rPr>
            </w:pPr>
            <w:r w:rsidRPr="008838CC">
              <w:rPr>
                <w:rFonts w:ascii="Verdana" w:hAnsi="Verdana"/>
                <w:b/>
                <w:color w:val="000000"/>
                <w:sz w:val="17"/>
                <w:szCs w:val="17"/>
              </w:rPr>
              <w:t>1</w:t>
            </w:r>
            <w:r w:rsidR="00680782" w:rsidRPr="008838CC">
              <w:rPr>
                <w:rFonts w:ascii="Verdana" w:hAnsi="Verdana"/>
                <w:b/>
                <w:color w:val="000000"/>
                <w:sz w:val="17"/>
                <w:szCs w:val="17"/>
              </w:rPr>
              <w:t>07</w:t>
            </w:r>
            <w:r w:rsidRPr="008838CC">
              <w:rPr>
                <w:rFonts w:ascii="Verdana" w:hAnsi="Verdana"/>
                <w:b/>
                <w:color w:val="000000"/>
                <w:sz w:val="17"/>
                <w:szCs w:val="17"/>
              </w:rPr>
              <w:t>%</w:t>
            </w:r>
          </w:p>
        </w:tc>
        <w:tc>
          <w:tcPr>
            <w:tcW w:w="2551" w:type="dxa"/>
            <w:tcBorders>
              <w:left w:val="single" w:sz="12" w:space="0" w:color="auto"/>
            </w:tcBorders>
          </w:tcPr>
          <w:p w14:paraId="071F194B" w14:textId="52406D95" w:rsidR="00F252E1" w:rsidRPr="008838CC" w:rsidRDefault="00310A5A" w:rsidP="00310A5A">
            <w:pPr>
              <w:spacing w:line="276" w:lineRule="auto"/>
              <w:jc w:val="center"/>
              <w:rPr>
                <w:rFonts w:ascii="Verdana" w:hAnsi="Verdana"/>
                <w:b/>
                <w:color w:val="000000"/>
                <w:sz w:val="17"/>
                <w:szCs w:val="17"/>
              </w:rPr>
            </w:pPr>
            <w:r w:rsidRPr="008838CC">
              <w:rPr>
                <w:rFonts w:ascii="Verdana" w:hAnsi="Verdana"/>
                <w:b/>
                <w:color w:val="000000"/>
                <w:sz w:val="17"/>
                <w:szCs w:val="17"/>
              </w:rPr>
              <w:t>1</w:t>
            </w:r>
            <w:r w:rsidR="00680782" w:rsidRPr="008838CC">
              <w:rPr>
                <w:rFonts w:ascii="Verdana" w:hAnsi="Verdana"/>
                <w:b/>
                <w:color w:val="000000"/>
                <w:sz w:val="17"/>
                <w:szCs w:val="17"/>
              </w:rPr>
              <w:t>18</w:t>
            </w:r>
            <w:r w:rsidRPr="008838CC">
              <w:rPr>
                <w:rFonts w:ascii="Verdana" w:hAnsi="Verdana"/>
                <w:b/>
                <w:color w:val="000000"/>
                <w:sz w:val="17"/>
                <w:szCs w:val="17"/>
              </w:rPr>
              <w:t>%</w:t>
            </w:r>
          </w:p>
        </w:tc>
      </w:tr>
    </w:tbl>
    <w:p w14:paraId="47E2143A" w14:textId="7E7C0548" w:rsidR="00F252E1" w:rsidRPr="008838CC" w:rsidRDefault="00F252E1" w:rsidP="00F252E1">
      <w:pPr>
        <w:spacing w:line="276" w:lineRule="auto"/>
        <w:jc w:val="both"/>
        <w:rPr>
          <w:rFonts w:ascii="Verdana" w:hAnsi="Verdana"/>
          <w:color w:val="000000"/>
          <w:sz w:val="17"/>
          <w:szCs w:val="17"/>
        </w:rPr>
      </w:pPr>
    </w:p>
    <w:p w14:paraId="76E3A3E6" w14:textId="272C2A94" w:rsidR="00680782" w:rsidRPr="008838CC" w:rsidRDefault="00680782" w:rsidP="00F252E1">
      <w:pPr>
        <w:spacing w:line="276" w:lineRule="auto"/>
        <w:jc w:val="both"/>
        <w:rPr>
          <w:rFonts w:ascii="Verdana" w:hAnsi="Verdana"/>
          <w:color w:val="000000"/>
          <w:sz w:val="17"/>
          <w:szCs w:val="17"/>
        </w:rPr>
      </w:pPr>
      <w:r w:rsidRPr="008838CC">
        <w:rPr>
          <w:rFonts w:ascii="Verdana" w:hAnsi="Verdana"/>
          <w:color w:val="000000"/>
          <w:sz w:val="17"/>
          <w:szCs w:val="17"/>
        </w:rPr>
        <w:t xml:space="preserve">After 25% appreciation in £, compare the impact on the group of hedging the </w:t>
      </w:r>
      <w:r w:rsidR="00260381" w:rsidRPr="008838CC">
        <w:rPr>
          <w:rFonts w:ascii="Verdana" w:hAnsi="Verdana"/>
          <w:color w:val="000000"/>
          <w:sz w:val="17"/>
          <w:szCs w:val="17"/>
        </w:rPr>
        <w:t xml:space="preserve">UK-based subsidiary SCR </w:t>
      </w:r>
      <w:r w:rsidR="00B46098" w:rsidRPr="008838CC">
        <w:rPr>
          <w:rFonts w:ascii="Verdana" w:hAnsi="Verdana"/>
          <w:color w:val="000000"/>
          <w:sz w:val="17"/>
          <w:szCs w:val="17"/>
        </w:rPr>
        <w:t>exposure</w:t>
      </w:r>
      <w:r w:rsidR="00260381" w:rsidRPr="008838CC">
        <w:rPr>
          <w:rFonts w:ascii="Verdana" w:hAnsi="Verdana"/>
          <w:color w:val="000000"/>
          <w:sz w:val="17"/>
          <w:szCs w:val="17"/>
        </w:rPr>
        <w:t xml:space="preserve"> (ie hedging €28 of sterling exposure)</w:t>
      </w:r>
      <w:r w:rsidR="00B46098" w:rsidRPr="008838CC">
        <w:rPr>
          <w:rFonts w:ascii="Verdana" w:hAnsi="Verdana"/>
          <w:color w:val="000000"/>
          <w:sz w:val="17"/>
          <w:szCs w:val="17"/>
        </w:rPr>
        <w:t>.</w:t>
      </w:r>
    </w:p>
    <w:p w14:paraId="60D913AD" w14:textId="3374B250" w:rsidR="00F252E1" w:rsidRPr="008838CC" w:rsidRDefault="00F252E1" w:rsidP="00F252E1">
      <w:pPr>
        <w:spacing w:line="276" w:lineRule="auto"/>
        <w:jc w:val="both"/>
        <w:rPr>
          <w:rFonts w:ascii="Verdana" w:hAnsi="Verdana"/>
          <w:color w:val="000000"/>
          <w:sz w:val="17"/>
          <w:szCs w:val="17"/>
        </w:rPr>
      </w:pPr>
    </w:p>
    <w:tbl>
      <w:tblPr>
        <w:tblStyle w:val="Mriekatabuky"/>
        <w:tblW w:w="0" w:type="auto"/>
        <w:tblLook w:val="04A0" w:firstRow="1" w:lastRow="0" w:firstColumn="1" w:lastColumn="0" w:noHBand="0" w:noVBand="1"/>
      </w:tblPr>
      <w:tblGrid>
        <w:gridCol w:w="3569"/>
        <w:gridCol w:w="2551"/>
        <w:gridCol w:w="2551"/>
        <w:gridCol w:w="2551"/>
        <w:gridCol w:w="2551"/>
      </w:tblGrid>
      <w:tr w:rsidR="00680782" w:rsidRPr="008838CC" w14:paraId="699272AF" w14:textId="3D5E343B" w:rsidTr="00680782">
        <w:tc>
          <w:tcPr>
            <w:tcW w:w="3569" w:type="dxa"/>
            <w:shd w:val="clear" w:color="auto" w:fill="4472C4" w:themeFill="accent1"/>
          </w:tcPr>
          <w:p w14:paraId="102CD857" w14:textId="77777777" w:rsidR="00680782" w:rsidRPr="008838CC" w:rsidRDefault="00680782" w:rsidP="0051132B">
            <w:pPr>
              <w:spacing w:line="276" w:lineRule="auto"/>
              <w:jc w:val="both"/>
              <w:rPr>
                <w:rFonts w:ascii="Verdana" w:hAnsi="Verdana"/>
                <w:color w:val="FFFFFF" w:themeColor="background1"/>
                <w:sz w:val="17"/>
                <w:szCs w:val="17"/>
              </w:rPr>
            </w:pPr>
            <w:r w:rsidRPr="008838CC">
              <w:rPr>
                <w:rFonts w:ascii="Verdana" w:hAnsi="Verdana"/>
                <w:color w:val="FFFFFF" w:themeColor="background1"/>
                <w:sz w:val="17"/>
                <w:szCs w:val="17"/>
              </w:rPr>
              <w:t>All figures in €</w:t>
            </w:r>
          </w:p>
        </w:tc>
        <w:tc>
          <w:tcPr>
            <w:tcW w:w="2551" w:type="dxa"/>
            <w:shd w:val="clear" w:color="auto" w:fill="4472C4" w:themeFill="accent1"/>
          </w:tcPr>
          <w:p w14:paraId="2374372E" w14:textId="77777777" w:rsidR="00680782" w:rsidRPr="008838CC" w:rsidRDefault="00680782" w:rsidP="0051132B">
            <w:pPr>
              <w:spacing w:line="276" w:lineRule="auto"/>
              <w:jc w:val="center"/>
              <w:rPr>
                <w:rFonts w:ascii="Verdana" w:hAnsi="Verdana"/>
                <w:color w:val="FFFFFF" w:themeColor="background1"/>
                <w:sz w:val="17"/>
                <w:szCs w:val="17"/>
              </w:rPr>
            </w:pPr>
            <w:r w:rsidRPr="008838CC">
              <w:rPr>
                <w:rFonts w:ascii="Verdana" w:hAnsi="Verdana"/>
                <w:color w:val="FFFFFF" w:themeColor="background1"/>
                <w:sz w:val="17"/>
                <w:szCs w:val="17"/>
              </w:rPr>
              <w:t>€ subsidiary</w:t>
            </w:r>
          </w:p>
        </w:tc>
        <w:tc>
          <w:tcPr>
            <w:tcW w:w="2551" w:type="dxa"/>
            <w:tcBorders>
              <w:right w:val="single" w:sz="12" w:space="0" w:color="auto"/>
            </w:tcBorders>
            <w:shd w:val="clear" w:color="auto" w:fill="4472C4" w:themeFill="accent1"/>
          </w:tcPr>
          <w:p w14:paraId="3C75B4AE" w14:textId="77777777" w:rsidR="00680782" w:rsidRPr="008838CC" w:rsidRDefault="00680782" w:rsidP="0051132B">
            <w:pPr>
              <w:spacing w:line="276" w:lineRule="auto"/>
              <w:jc w:val="center"/>
              <w:rPr>
                <w:rFonts w:ascii="Verdana" w:hAnsi="Verdana"/>
                <w:color w:val="FFFFFF" w:themeColor="background1"/>
                <w:sz w:val="17"/>
                <w:szCs w:val="17"/>
              </w:rPr>
            </w:pPr>
            <w:r w:rsidRPr="008838CC">
              <w:rPr>
                <w:rFonts w:ascii="Verdana" w:hAnsi="Verdana"/>
                <w:color w:val="FFFFFF" w:themeColor="background1"/>
                <w:sz w:val="17"/>
                <w:szCs w:val="17"/>
              </w:rPr>
              <w:t>£ subsidiary</w:t>
            </w:r>
          </w:p>
        </w:tc>
        <w:tc>
          <w:tcPr>
            <w:tcW w:w="2551" w:type="dxa"/>
            <w:tcBorders>
              <w:left w:val="single" w:sz="12" w:space="0" w:color="auto"/>
            </w:tcBorders>
            <w:shd w:val="clear" w:color="auto" w:fill="4472C4" w:themeFill="accent1"/>
          </w:tcPr>
          <w:p w14:paraId="0AA1504E" w14:textId="52D5D17D" w:rsidR="00680782" w:rsidRPr="008838CC" w:rsidRDefault="00680782" w:rsidP="0051132B">
            <w:pPr>
              <w:spacing w:line="276" w:lineRule="auto"/>
              <w:jc w:val="center"/>
              <w:rPr>
                <w:rFonts w:ascii="Verdana" w:hAnsi="Verdana"/>
                <w:color w:val="FFFFFF" w:themeColor="background1"/>
                <w:sz w:val="17"/>
                <w:szCs w:val="17"/>
              </w:rPr>
            </w:pPr>
            <w:r w:rsidRPr="008838CC">
              <w:rPr>
                <w:rFonts w:ascii="Verdana" w:hAnsi="Verdana"/>
                <w:color w:val="FFFFFF" w:themeColor="background1"/>
                <w:sz w:val="17"/>
                <w:szCs w:val="17"/>
              </w:rPr>
              <w:t>Group – no hedge</w:t>
            </w:r>
          </w:p>
        </w:tc>
        <w:tc>
          <w:tcPr>
            <w:tcW w:w="2551" w:type="dxa"/>
            <w:shd w:val="clear" w:color="auto" w:fill="4472C4" w:themeFill="accent1"/>
          </w:tcPr>
          <w:p w14:paraId="620696FF" w14:textId="70B45C89" w:rsidR="00680782" w:rsidRPr="008838CC" w:rsidRDefault="00680782" w:rsidP="0051132B">
            <w:pPr>
              <w:spacing w:line="276" w:lineRule="auto"/>
              <w:jc w:val="center"/>
              <w:rPr>
                <w:rFonts w:ascii="Verdana" w:hAnsi="Verdana"/>
                <w:color w:val="FFFFFF" w:themeColor="background1"/>
                <w:sz w:val="17"/>
                <w:szCs w:val="17"/>
              </w:rPr>
            </w:pPr>
            <w:r w:rsidRPr="008838CC">
              <w:rPr>
                <w:rFonts w:ascii="Verdana" w:hAnsi="Verdana"/>
                <w:color w:val="FFFFFF" w:themeColor="background1"/>
                <w:sz w:val="17"/>
                <w:szCs w:val="17"/>
              </w:rPr>
              <w:t xml:space="preserve">Group </w:t>
            </w:r>
            <w:r w:rsidR="00BC66D5" w:rsidRPr="008838CC">
              <w:rPr>
                <w:rFonts w:ascii="Verdana" w:hAnsi="Verdana"/>
                <w:bCs/>
                <w:color w:val="FFFFFF" w:themeColor="background1"/>
                <w:sz w:val="17"/>
                <w:szCs w:val="17"/>
              </w:rPr>
              <w:t>–</w:t>
            </w:r>
            <w:r w:rsidRPr="008838CC">
              <w:rPr>
                <w:rFonts w:ascii="Verdana" w:hAnsi="Verdana"/>
                <w:bCs/>
                <w:color w:val="FFFFFF" w:themeColor="background1"/>
                <w:sz w:val="17"/>
                <w:szCs w:val="17"/>
              </w:rPr>
              <w:t xml:space="preserve"> </w:t>
            </w:r>
            <w:r w:rsidR="00BC66D5" w:rsidRPr="008838CC">
              <w:rPr>
                <w:rFonts w:ascii="Verdana" w:hAnsi="Verdana"/>
                <w:bCs/>
                <w:color w:val="FFFFFF" w:themeColor="background1"/>
                <w:sz w:val="17"/>
                <w:szCs w:val="17"/>
              </w:rPr>
              <w:t>FX</w:t>
            </w:r>
            <w:r w:rsidRPr="008838CC">
              <w:rPr>
                <w:rFonts w:ascii="Verdana" w:hAnsi="Verdana"/>
                <w:color w:val="FFFFFF" w:themeColor="background1"/>
                <w:sz w:val="17"/>
                <w:szCs w:val="17"/>
              </w:rPr>
              <w:t xml:space="preserve"> hedge</w:t>
            </w:r>
          </w:p>
        </w:tc>
      </w:tr>
      <w:tr w:rsidR="00680782" w:rsidRPr="008838CC" w14:paraId="706000F8" w14:textId="31DB8D21" w:rsidTr="00680782">
        <w:tc>
          <w:tcPr>
            <w:tcW w:w="3569" w:type="dxa"/>
          </w:tcPr>
          <w:p w14:paraId="3246A62D" w14:textId="77777777" w:rsidR="00680782" w:rsidRPr="008838CC" w:rsidRDefault="00680782" w:rsidP="0051132B">
            <w:pPr>
              <w:spacing w:line="276" w:lineRule="auto"/>
              <w:jc w:val="both"/>
              <w:rPr>
                <w:rFonts w:ascii="Verdana" w:hAnsi="Verdana"/>
                <w:color w:val="000000"/>
                <w:sz w:val="17"/>
                <w:szCs w:val="17"/>
              </w:rPr>
            </w:pPr>
            <w:r w:rsidRPr="008838CC">
              <w:rPr>
                <w:rFonts w:ascii="Verdana" w:hAnsi="Verdana"/>
                <w:color w:val="000000"/>
                <w:sz w:val="17"/>
                <w:szCs w:val="17"/>
              </w:rPr>
              <w:t>Liabilities</w:t>
            </w:r>
          </w:p>
        </w:tc>
        <w:tc>
          <w:tcPr>
            <w:tcW w:w="2551" w:type="dxa"/>
          </w:tcPr>
          <w:p w14:paraId="5B61D6D3" w14:textId="77777777" w:rsidR="00680782" w:rsidRPr="008838CC" w:rsidRDefault="00680782" w:rsidP="0051132B">
            <w:pPr>
              <w:spacing w:line="276" w:lineRule="auto"/>
              <w:jc w:val="center"/>
              <w:rPr>
                <w:rFonts w:ascii="Verdana" w:hAnsi="Verdana"/>
                <w:color w:val="000000"/>
                <w:sz w:val="17"/>
                <w:szCs w:val="17"/>
              </w:rPr>
            </w:pPr>
            <w:r w:rsidRPr="008838CC">
              <w:rPr>
                <w:rFonts w:ascii="Verdana" w:hAnsi="Verdana"/>
                <w:color w:val="000000"/>
                <w:sz w:val="17"/>
                <w:szCs w:val="17"/>
              </w:rPr>
              <w:t>150</w:t>
            </w:r>
          </w:p>
        </w:tc>
        <w:tc>
          <w:tcPr>
            <w:tcW w:w="2551" w:type="dxa"/>
            <w:tcBorders>
              <w:right w:val="single" w:sz="12" w:space="0" w:color="auto"/>
            </w:tcBorders>
          </w:tcPr>
          <w:p w14:paraId="537B4B9F" w14:textId="582D89E6" w:rsidR="00680782" w:rsidRPr="008838CC" w:rsidRDefault="00680782" w:rsidP="0051132B">
            <w:pPr>
              <w:spacing w:line="276" w:lineRule="auto"/>
              <w:jc w:val="center"/>
              <w:rPr>
                <w:rFonts w:ascii="Verdana" w:hAnsi="Verdana"/>
                <w:color w:val="000000"/>
                <w:sz w:val="17"/>
                <w:szCs w:val="17"/>
              </w:rPr>
            </w:pPr>
            <w:r w:rsidRPr="008838CC">
              <w:rPr>
                <w:rFonts w:ascii="Verdana" w:hAnsi="Verdana"/>
                <w:color w:val="000000"/>
                <w:sz w:val="17"/>
                <w:szCs w:val="17"/>
              </w:rPr>
              <w:t>275</w:t>
            </w:r>
          </w:p>
        </w:tc>
        <w:tc>
          <w:tcPr>
            <w:tcW w:w="2551" w:type="dxa"/>
            <w:tcBorders>
              <w:left w:val="single" w:sz="12" w:space="0" w:color="auto"/>
            </w:tcBorders>
          </w:tcPr>
          <w:p w14:paraId="3C10ECFA" w14:textId="08F591B9" w:rsidR="00680782" w:rsidRPr="008838CC" w:rsidRDefault="00680782" w:rsidP="0051132B">
            <w:pPr>
              <w:spacing w:line="276" w:lineRule="auto"/>
              <w:jc w:val="center"/>
              <w:rPr>
                <w:rFonts w:ascii="Verdana" w:hAnsi="Verdana"/>
                <w:color w:val="000000"/>
                <w:sz w:val="17"/>
                <w:szCs w:val="17"/>
              </w:rPr>
            </w:pPr>
            <w:r w:rsidRPr="008838CC">
              <w:rPr>
                <w:rFonts w:ascii="Verdana" w:hAnsi="Verdana"/>
                <w:color w:val="000000"/>
                <w:sz w:val="17"/>
                <w:szCs w:val="17"/>
              </w:rPr>
              <w:t>425</w:t>
            </w:r>
          </w:p>
        </w:tc>
        <w:tc>
          <w:tcPr>
            <w:tcW w:w="2551" w:type="dxa"/>
          </w:tcPr>
          <w:p w14:paraId="4EC1F252" w14:textId="04B72853" w:rsidR="00680782" w:rsidRPr="008838CC" w:rsidRDefault="00260381" w:rsidP="0051132B">
            <w:pPr>
              <w:spacing w:line="276" w:lineRule="auto"/>
              <w:jc w:val="center"/>
              <w:rPr>
                <w:rFonts w:ascii="Verdana" w:hAnsi="Verdana"/>
                <w:color w:val="000000"/>
                <w:sz w:val="17"/>
                <w:szCs w:val="17"/>
              </w:rPr>
            </w:pPr>
            <w:r w:rsidRPr="008838CC">
              <w:rPr>
                <w:rFonts w:ascii="Verdana" w:hAnsi="Verdana"/>
                <w:color w:val="000000"/>
                <w:sz w:val="17"/>
                <w:szCs w:val="17"/>
              </w:rPr>
              <w:t>425</w:t>
            </w:r>
          </w:p>
        </w:tc>
      </w:tr>
      <w:tr w:rsidR="00680782" w:rsidRPr="008838CC" w14:paraId="5BB9A476" w14:textId="017A0AA3" w:rsidTr="00680782">
        <w:tc>
          <w:tcPr>
            <w:tcW w:w="3569" w:type="dxa"/>
          </w:tcPr>
          <w:p w14:paraId="2E12153E" w14:textId="77777777" w:rsidR="00680782" w:rsidRPr="008838CC" w:rsidRDefault="00680782" w:rsidP="0051132B">
            <w:pPr>
              <w:spacing w:line="276" w:lineRule="auto"/>
              <w:jc w:val="both"/>
              <w:rPr>
                <w:rFonts w:ascii="Verdana" w:hAnsi="Verdana"/>
                <w:color w:val="000000"/>
                <w:sz w:val="17"/>
                <w:szCs w:val="17"/>
              </w:rPr>
            </w:pPr>
            <w:r w:rsidRPr="008838CC">
              <w:rPr>
                <w:rFonts w:ascii="Verdana" w:hAnsi="Verdana"/>
                <w:color w:val="000000"/>
                <w:sz w:val="17"/>
                <w:szCs w:val="17"/>
              </w:rPr>
              <w:t>Assets</w:t>
            </w:r>
          </w:p>
        </w:tc>
        <w:tc>
          <w:tcPr>
            <w:tcW w:w="2551" w:type="dxa"/>
          </w:tcPr>
          <w:p w14:paraId="06C5BBC7" w14:textId="77777777" w:rsidR="00680782" w:rsidRPr="008838CC" w:rsidRDefault="00680782" w:rsidP="0051132B">
            <w:pPr>
              <w:spacing w:line="276" w:lineRule="auto"/>
              <w:jc w:val="center"/>
              <w:rPr>
                <w:rFonts w:ascii="Verdana" w:hAnsi="Verdana"/>
                <w:color w:val="000000"/>
                <w:sz w:val="17"/>
                <w:szCs w:val="17"/>
              </w:rPr>
            </w:pPr>
            <w:r w:rsidRPr="008838CC">
              <w:rPr>
                <w:rFonts w:ascii="Verdana" w:hAnsi="Verdana"/>
                <w:color w:val="000000"/>
                <w:sz w:val="17"/>
                <w:szCs w:val="17"/>
              </w:rPr>
              <w:t>165</w:t>
            </w:r>
          </w:p>
        </w:tc>
        <w:tc>
          <w:tcPr>
            <w:tcW w:w="2551" w:type="dxa"/>
            <w:tcBorders>
              <w:right w:val="single" w:sz="12" w:space="0" w:color="auto"/>
            </w:tcBorders>
          </w:tcPr>
          <w:p w14:paraId="6AC16302" w14:textId="441B59D2" w:rsidR="00680782" w:rsidRPr="008838CC" w:rsidRDefault="00680782" w:rsidP="0051132B">
            <w:pPr>
              <w:spacing w:line="276" w:lineRule="auto"/>
              <w:jc w:val="center"/>
              <w:rPr>
                <w:rFonts w:ascii="Verdana" w:hAnsi="Verdana"/>
                <w:color w:val="000000"/>
                <w:sz w:val="17"/>
                <w:szCs w:val="17"/>
              </w:rPr>
            </w:pPr>
            <w:r w:rsidRPr="008838CC">
              <w:rPr>
                <w:rFonts w:ascii="Verdana" w:hAnsi="Verdana"/>
                <w:color w:val="000000"/>
                <w:sz w:val="17"/>
                <w:szCs w:val="17"/>
              </w:rPr>
              <w:t>312.5</w:t>
            </w:r>
          </w:p>
        </w:tc>
        <w:tc>
          <w:tcPr>
            <w:tcW w:w="2551" w:type="dxa"/>
            <w:tcBorders>
              <w:left w:val="single" w:sz="12" w:space="0" w:color="auto"/>
            </w:tcBorders>
          </w:tcPr>
          <w:p w14:paraId="180039E4" w14:textId="79F68F81" w:rsidR="00680782" w:rsidRPr="008838CC" w:rsidRDefault="00680782" w:rsidP="0051132B">
            <w:pPr>
              <w:spacing w:line="276" w:lineRule="auto"/>
              <w:jc w:val="center"/>
              <w:rPr>
                <w:rFonts w:ascii="Verdana" w:hAnsi="Verdana"/>
                <w:color w:val="000000"/>
                <w:sz w:val="17"/>
                <w:szCs w:val="17"/>
              </w:rPr>
            </w:pPr>
            <w:r w:rsidRPr="008838CC">
              <w:rPr>
                <w:rFonts w:ascii="Verdana" w:hAnsi="Verdana"/>
                <w:color w:val="000000"/>
                <w:sz w:val="17"/>
                <w:szCs w:val="17"/>
              </w:rPr>
              <w:t>477.5</w:t>
            </w:r>
          </w:p>
        </w:tc>
        <w:tc>
          <w:tcPr>
            <w:tcW w:w="2551" w:type="dxa"/>
          </w:tcPr>
          <w:p w14:paraId="41F6B055" w14:textId="7D3F0457" w:rsidR="00680782" w:rsidRPr="008838CC" w:rsidRDefault="00260381" w:rsidP="0051132B">
            <w:pPr>
              <w:spacing w:line="276" w:lineRule="auto"/>
              <w:jc w:val="center"/>
              <w:rPr>
                <w:rFonts w:ascii="Verdana" w:hAnsi="Verdana"/>
                <w:color w:val="000000"/>
                <w:sz w:val="17"/>
                <w:szCs w:val="17"/>
              </w:rPr>
            </w:pPr>
            <w:r w:rsidRPr="008838CC">
              <w:rPr>
                <w:rFonts w:ascii="Verdana" w:hAnsi="Verdana"/>
                <w:color w:val="000000"/>
                <w:sz w:val="17"/>
                <w:szCs w:val="17"/>
              </w:rPr>
              <w:t>470.5*</w:t>
            </w:r>
          </w:p>
        </w:tc>
      </w:tr>
      <w:tr w:rsidR="00680782" w:rsidRPr="008838CC" w14:paraId="1D642972" w14:textId="2FD791A9" w:rsidTr="00680782">
        <w:tc>
          <w:tcPr>
            <w:tcW w:w="3569" w:type="dxa"/>
          </w:tcPr>
          <w:p w14:paraId="7BE72B64" w14:textId="77777777" w:rsidR="00680782" w:rsidRPr="008838CC" w:rsidRDefault="00680782" w:rsidP="0051132B">
            <w:pPr>
              <w:spacing w:line="276" w:lineRule="auto"/>
              <w:jc w:val="both"/>
              <w:rPr>
                <w:rFonts w:ascii="Verdana" w:hAnsi="Verdana"/>
                <w:b/>
                <w:color w:val="000000"/>
                <w:sz w:val="17"/>
                <w:szCs w:val="17"/>
              </w:rPr>
            </w:pPr>
            <w:r w:rsidRPr="008838CC">
              <w:rPr>
                <w:rFonts w:ascii="Verdana" w:hAnsi="Verdana"/>
                <w:b/>
                <w:color w:val="000000"/>
                <w:sz w:val="17"/>
                <w:szCs w:val="17"/>
              </w:rPr>
              <w:t>SCR</w:t>
            </w:r>
          </w:p>
        </w:tc>
        <w:tc>
          <w:tcPr>
            <w:tcW w:w="2551" w:type="dxa"/>
          </w:tcPr>
          <w:p w14:paraId="6E788413" w14:textId="77777777"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10</w:t>
            </w:r>
          </w:p>
        </w:tc>
        <w:tc>
          <w:tcPr>
            <w:tcW w:w="2551" w:type="dxa"/>
            <w:tcBorders>
              <w:right w:val="single" w:sz="12" w:space="0" w:color="auto"/>
            </w:tcBorders>
          </w:tcPr>
          <w:p w14:paraId="206FCAB6" w14:textId="11EF085F"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35</w:t>
            </w:r>
          </w:p>
        </w:tc>
        <w:tc>
          <w:tcPr>
            <w:tcW w:w="2551" w:type="dxa"/>
            <w:tcBorders>
              <w:left w:val="single" w:sz="12" w:space="0" w:color="auto"/>
            </w:tcBorders>
          </w:tcPr>
          <w:p w14:paraId="7BC05AB1" w14:textId="2F6FE530"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45</w:t>
            </w:r>
          </w:p>
        </w:tc>
        <w:tc>
          <w:tcPr>
            <w:tcW w:w="2551" w:type="dxa"/>
          </w:tcPr>
          <w:p w14:paraId="7BFBCB18" w14:textId="09AFDD70" w:rsidR="00680782" w:rsidRPr="008838CC" w:rsidRDefault="00260381" w:rsidP="0051132B">
            <w:pPr>
              <w:spacing w:line="276" w:lineRule="auto"/>
              <w:jc w:val="center"/>
              <w:rPr>
                <w:rFonts w:ascii="Verdana" w:hAnsi="Verdana"/>
                <w:b/>
                <w:color w:val="000000"/>
                <w:sz w:val="17"/>
                <w:szCs w:val="17"/>
              </w:rPr>
            </w:pPr>
            <w:r w:rsidRPr="008838CC">
              <w:rPr>
                <w:rFonts w:ascii="Verdana" w:hAnsi="Verdana"/>
                <w:b/>
                <w:color w:val="000000"/>
                <w:sz w:val="17"/>
                <w:szCs w:val="17"/>
              </w:rPr>
              <w:t>45</w:t>
            </w:r>
          </w:p>
        </w:tc>
      </w:tr>
      <w:tr w:rsidR="00680782" w:rsidRPr="008838CC" w14:paraId="0A4B06D9" w14:textId="05AB5B99" w:rsidTr="00680782">
        <w:trPr>
          <w:trHeight w:val="85"/>
        </w:trPr>
        <w:tc>
          <w:tcPr>
            <w:tcW w:w="3569" w:type="dxa"/>
          </w:tcPr>
          <w:p w14:paraId="2696B8AE" w14:textId="77777777" w:rsidR="00680782" w:rsidRPr="008838CC" w:rsidRDefault="00680782" w:rsidP="0051132B">
            <w:pPr>
              <w:spacing w:line="276" w:lineRule="auto"/>
              <w:jc w:val="both"/>
              <w:rPr>
                <w:rFonts w:ascii="Verdana" w:hAnsi="Verdana"/>
                <w:b/>
                <w:color w:val="000000"/>
                <w:sz w:val="17"/>
                <w:szCs w:val="17"/>
              </w:rPr>
            </w:pPr>
            <w:r w:rsidRPr="008838CC">
              <w:rPr>
                <w:rFonts w:ascii="Verdana" w:hAnsi="Verdana"/>
                <w:b/>
                <w:color w:val="000000"/>
                <w:sz w:val="17"/>
                <w:szCs w:val="17"/>
              </w:rPr>
              <w:t>Own funds</w:t>
            </w:r>
          </w:p>
        </w:tc>
        <w:tc>
          <w:tcPr>
            <w:tcW w:w="2551" w:type="dxa"/>
          </w:tcPr>
          <w:p w14:paraId="7F37C2E0" w14:textId="77777777"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15</w:t>
            </w:r>
          </w:p>
        </w:tc>
        <w:tc>
          <w:tcPr>
            <w:tcW w:w="2551" w:type="dxa"/>
            <w:tcBorders>
              <w:right w:val="single" w:sz="12" w:space="0" w:color="auto"/>
            </w:tcBorders>
          </w:tcPr>
          <w:p w14:paraId="193BF926" w14:textId="3E58B753"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37.5</w:t>
            </w:r>
          </w:p>
        </w:tc>
        <w:tc>
          <w:tcPr>
            <w:tcW w:w="2551" w:type="dxa"/>
            <w:tcBorders>
              <w:left w:val="single" w:sz="12" w:space="0" w:color="auto"/>
            </w:tcBorders>
          </w:tcPr>
          <w:p w14:paraId="2CD1DE54" w14:textId="18A6D539"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52.5</w:t>
            </w:r>
          </w:p>
        </w:tc>
        <w:tc>
          <w:tcPr>
            <w:tcW w:w="2551" w:type="dxa"/>
          </w:tcPr>
          <w:p w14:paraId="19E5A412" w14:textId="293B5073" w:rsidR="00680782" w:rsidRPr="008838CC" w:rsidRDefault="00260381" w:rsidP="0051132B">
            <w:pPr>
              <w:spacing w:line="276" w:lineRule="auto"/>
              <w:jc w:val="center"/>
              <w:rPr>
                <w:rFonts w:ascii="Verdana" w:hAnsi="Verdana"/>
                <w:b/>
                <w:color w:val="000000"/>
                <w:sz w:val="17"/>
                <w:szCs w:val="17"/>
              </w:rPr>
            </w:pPr>
            <w:r w:rsidRPr="008838CC">
              <w:rPr>
                <w:rFonts w:ascii="Verdana" w:hAnsi="Verdana"/>
                <w:b/>
                <w:color w:val="000000"/>
                <w:sz w:val="17"/>
                <w:szCs w:val="17"/>
              </w:rPr>
              <w:t>45.5</w:t>
            </w:r>
          </w:p>
        </w:tc>
      </w:tr>
      <w:tr w:rsidR="00680782" w:rsidRPr="008838CC" w14:paraId="28013567" w14:textId="19D415D1" w:rsidTr="00680782">
        <w:tc>
          <w:tcPr>
            <w:tcW w:w="3569" w:type="dxa"/>
          </w:tcPr>
          <w:p w14:paraId="7B526D7F" w14:textId="77777777" w:rsidR="00680782" w:rsidRPr="008838CC" w:rsidRDefault="00680782" w:rsidP="0051132B">
            <w:pPr>
              <w:spacing w:line="276" w:lineRule="auto"/>
              <w:jc w:val="both"/>
              <w:rPr>
                <w:rFonts w:ascii="Verdana" w:hAnsi="Verdana"/>
                <w:b/>
                <w:color w:val="000000"/>
                <w:sz w:val="17"/>
                <w:szCs w:val="17"/>
              </w:rPr>
            </w:pPr>
            <w:r w:rsidRPr="008838CC">
              <w:rPr>
                <w:rFonts w:ascii="Verdana" w:hAnsi="Verdana"/>
                <w:b/>
                <w:color w:val="000000"/>
                <w:sz w:val="17"/>
                <w:szCs w:val="17"/>
              </w:rPr>
              <w:t>SCR ratio</w:t>
            </w:r>
          </w:p>
        </w:tc>
        <w:tc>
          <w:tcPr>
            <w:tcW w:w="2551" w:type="dxa"/>
          </w:tcPr>
          <w:p w14:paraId="243FA9F5" w14:textId="77777777"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150%</w:t>
            </w:r>
          </w:p>
        </w:tc>
        <w:tc>
          <w:tcPr>
            <w:tcW w:w="2551" w:type="dxa"/>
            <w:tcBorders>
              <w:right w:val="single" w:sz="12" w:space="0" w:color="auto"/>
            </w:tcBorders>
          </w:tcPr>
          <w:p w14:paraId="3967E98E" w14:textId="13076021"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107%</w:t>
            </w:r>
          </w:p>
        </w:tc>
        <w:tc>
          <w:tcPr>
            <w:tcW w:w="2551" w:type="dxa"/>
            <w:tcBorders>
              <w:left w:val="single" w:sz="12" w:space="0" w:color="auto"/>
            </w:tcBorders>
          </w:tcPr>
          <w:p w14:paraId="6277C659" w14:textId="77777777" w:rsidR="00680782" w:rsidRPr="008838CC" w:rsidRDefault="00680782" w:rsidP="0051132B">
            <w:pPr>
              <w:spacing w:line="276" w:lineRule="auto"/>
              <w:jc w:val="center"/>
              <w:rPr>
                <w:rFonts w:ascii="Verdana" w:hAnsi="Verdana"/>
                <w:b/>
                <w:color w:val="000000"/>
                <w:sz w:val="17"/>
                <w:szCs w:val="17"/>
              </w:rPr>
            </w:pPr>
            <w:r w:rsidRPr="008838CC">
              <w:rPr>
                <w:rFonts w:ascii="Verdana" w:hAnsi="Verdana"/>
                <w:b/>
                <w:color w:val="000000"/>
                <w:sz w:val="17"/>
                <w:szCs w:val="17"/>
              </w:rPr>
              <w:t>117%</w:t>
            </w:r>
          </w:p>
        </w:tc>
        <w:tc>
          <w:tcPr>
            <w:tcW w:w="2551" w:type="dxa"/>
          </w:tcPr>
          <w:p w14:paraId="7855AD24" w14:textId="7E8BEF71" w:rsidR="00680782" w:rsidRPr="008838CC" w:rsidRDefault="00260381" w:rsidP="0051132B">
            <w:pPr>
              <w:spacing w:line="276" w:lineRule="auto"/>
              <w:jc w:val="center"/>
              <w:rPr>
                <w:rFonts w:ascii="Verdana" w:hAnsi="Verdana"/>
                <w:b/>
                <w:color w:val="000000"/>
                <w:sz w:val="17"/>
                <w:szCs w:val="17"/>
              </w:rPr>
            </w:pPr>
            <w:r w:rsidRPr="008838CC">
              <w:rPr>
                <w:rFonts w:ascii="Verdana" w:hAnsi="Verdana"/>
                <w:b/>
                <w:color w:val="000000"/>
                <w:sz w:val="17"/>
                <w:szCs w:val="17"/>
              </w:rPr>
              <w:t>101%</w:t>
            </w:r>
          </w:p>
        </w:tc>
      </w:tr>
    </w:tbl>
    <w:p w14:paraId="1EE98493" w14:textId="22CF9246" w:rsidR="00F252E1" w:rsidRPr="008838CC" w:rsidRDefault="00F252E1" w:rsidP="00F252E1">
      <w:pPr>
        <w:spacing w:line="276" w:lineRule="auto"/>
        <w:jc w:val="both"/>
        <w:rPr>
          <w:rFonts w:ascii="Verdana" w:hAnsi="Verdana"/>
          <w:color w:val="000000"/>
          <w:sz w:val="17"/>
          <w:szCs w:val="17"/>
        </w:rPr>
      </w:pPr>
    </w:p>
    <w:p w14:paraId="102B54FC" w14:textId="3562413C" w:rsidR="00260381" w:rsidRPr="008838CC" w:rsidRDefault="00260381" w:rsidP="00F252E1">
      <w:pPr>
        <w:spacing w:line="276" w:lineRule="auto"/>
        <w:jc w:val="both"/>
        <w:rPr>
          <w:rFonts w:ascii="Verdana" w:hAnsi="Verdana"/>
          <w:color w:val="000000"/>
          <w:sz w:val="17"/>
          <w:szCs w:val="17"/>
        </w:rPr>
      </w:pPr>
      <w:r w:rsidRPr="008838CC">
        <w:rPr>
          <w:rFonts w:ascii="Verdana" w:hAnsi="Verdana"/>
          <w:color w:val="000000"/>
          <w:sz w:val="17"/>
          <w:szCs w:val="17"/>
        </w:rPr>
        <w:t xml:space="preserve">*Calculated either </w:t>
      </w:r>
      <w:r w:rsidRPr="008838CC">
        <w:rPr>
          <w:rFonts w:ascii="Verdana" w:hAnsi="Verdana"/>
          <w:bCs/>
          <w:color w:val="000000"/>
          <w:sz w:val="17"/>
          <w:szCs w:val="17"/>
        </w:rPr>
        <w:t>a</w:t>
      </w:r>
      <w:r w:rsidR="00BC66D5" w:rsidRPr="008838CC">
        <w:rPr>
          <w:rFonts w:ascii="Verdana" w:hAnsi="Verdana"/>
          <w:bCs/>
          <w:color w:val="000000"/>
          <w:sz w:val="17"/>
          <w:szCs w:val="17"/>
        </w:rPr>
        <w:t>s</w:t>
      </w:r>
      <w:r w:rsidRPr="008838CC">
        <w:rPr>
          <w:rFonts w:ascii="Verdana" w:hAnsi="Verdana"/>
          <w:color w:val="000000"/>
          <w:sz w:val="17"/>
          <w:szCs w:val="17"/>
        </w:rPr>
        <w:t xml:space="preserve"> 477.5- (28*0.25)=470.5</w:t>
      </w:r>
      <w:r w:rsidR="00BC66D5" w:rsidRPr="008838CC">
        <w:rPr>
          <w:rFonts w:ascii="Verdana" w:hAnsi="Verdana"/>
          <w:bCs/>
          <w:color w:val="000000"/>
          <w:sz w:val="17"/>
          <w:szCs w:val="17"/>
        </w:rPr>
        <w:t xml:space="preserve"> or a</w:t>
      </w:r>
      <w:r w:rsidRPr="008838CC">
        <w:rPr>
          <w:rFonts w:ascii="Verdana" w:hAnsi="Verdana"/>
          <w:bCs/>
          <w:color w:val="000000"/>
          <w:sz w:val="17"/>
          <w:szCs w:val="17"/>
        </w:rPr>
        <w:t>lternatively</w:t>
      </w:r>
      <w:r w:rsidRPr="008838CC">
        <w:rPr>
          <w:rFonts w:ascii="Verdana" w:hAnsi="Verdana"/>
          <w:color w:val="000000"/>
          <w:sz w:val="17"/>
          <w:szCs w:val="17"/>
        </w:rPr>
        <w:t>, 165 + ((250-28)*1.25)+28 = 470.5</w:t>
      </w:r>
    </w:p>
    <w:p w14:paraId="156D6C2C" w14:textId="1B8557EF" w:rsidR="00BC66D5" w:rsidRPr="008838CC" w:rsidRDefault="00BC66D5" w:rsidP="00F252E1">
      <w:pPr>
        <w:spacing w:line="276" w:lineRule="auto"/>
        <w:jc w:val="both"/>
        <w:rPr>
          <w:rFonts w:ascii="Verdana" w:hAnsi="Verdana"/>
          <w:bCs/>
          <w:color w:val="000000"/>
          <w:sz w:val="17"/>
          <w:szCs w:val="17"/>
        </w:rPr>
      </w:pPr>
    </w:p>
    <w:p w14:paraId="658B3B8C" w14:textId="732F9398" w:rsidR="00BC66D5" w:rsidRPr="008838CC" w:rsidRDefault="00BC66D5" w:rsidP="00F252E1">
      <w:pPr>
        <w:spacing w:line="276" w:lineRule="auto"/>
        <w:jc w:val="both"/>
        <w:rPr>
          <w:rFonts w:ascii="Verdana" w:hAnsi="Verdana"/>
          <w:bCs/>
          <w:color w:val="000000"/>
          <w:sz w:val="17"/>
          <w:szCs w:val="17"/>
        </w:rPr>
      </w:pPr>
      <w:r w:rsidRPr="008838CC">
        <w:rPr>
          <w:rFonts w:ascii="Verdana" w:hAnsi="Verdana"/>
          <w:bCs/>
          <w:color w:val="000000"/>
          <w:sz w:val="17"/>
          <w:szCs w:val="17"/>
        </w:rPr>
        <w:t xml:space="preserve">The </w:t>
      </w:r>
      <w:r w:rsidR="009F11D7" w:rsidRPr="008838CC">
        <w:rPr>
          <w:rFonts w:ascii="Verdana" w:hAnsi="Verdana"/>
          <w:bCs/>
          <w:color w:val="000000"/>
          <w:sz w:val="17"/>
          <w:szCs w:val="17"/>
        </w:rPr>
        <w:t xml:space="preserve">inconsistency in the framework relates to the </w:t>
      </w:r>
      <w:r w:rsidRPr="008838CC">
        <w:rPr>
          <w:rFonts w:ascii="Verdana" w:hAnsi="Verdana"/>
          <w:bCs/>
          <w:color w:val="000000"/>
          <w:sz w:val="17"/>
          <w:szCs w:val="17"/>
        </w:rPr>
        <w:t xml:space="preserve">artificial nature of the “reporting currency” in the context of currency risk management. The </w:t>
      </w:r>
      <w:r w:rsidR="000D2F9C" w:rsidRPr="008838CC">
        <w:rPr>
          <w:rFonts w:ascii="Verdana" w:hAnsi="Verdana"/>
          <w:bCs/>
          <w:color w:val="000000"/>
          <w:sz w:val="17"/>
          <w:szCs w:val="17"/>
        </w:rPr>
        <w:t>reporting currency</w:t>
      </w:r>
      <w:r w:rsidRPr="008838CC">
        <w:rPr>
          <w:rFonts w:ascii="Verdana" w:hAnsi="Verdana"/>
          <w:bCs/>
          <w:color w:val="000000"/>
          <w:sz w:val="17"/>
          <w:szCs w:val="17"/>
        </w:rPr>
        <w:t xml:space="preserve"> do</w:t>
      </w:r>
      <w:r w:rsidR="000D2F9C" w:rsidRPr="008838CC">
        <w:rPr>
          <w:rFonts w:ascii="Verdana" w:hAnsi="Verdana"/>
          <w:bCs/>
          <w:color w:val="000000"/>
          <w:sz w:val="17"/>
          <w:szCs w:val="17"/>
        </w:rPr>
        <w:t>es</w:t>
      </w:r>
      <w:r w:rsidRPr="008838CC">
        <w:rPr>
          <w:rFonts w:ascii="Verdana" w:hAnsi="Verdana"/>
          <w:bCs/>
          <w:color w:val="000000"/>
          <w:sz w:val="17"/>
          <w:szCs w:val="17"/>
        </w:rPr>
        <w:t xml:space="preserve"> not reflect the economic risks to which an undertaking is exposed.</w:t>
      </w:r>
    </w:p>
    <w:p w14:paraId="0CBAD1E1" w14:textId="7AEEBABC" w:rsidR="004A2540" w:rsidRPr="008838CC" w:rsidRDefault="004A2540" w:rsidP="004A2540">
      <w:pPr>
        <w:spacing w:line="276" w:lineRule="auto"/>
        <w:rPr>
          <w:rFonts w:ascii="Verdana" w:hAnsi="Verdana"/>
          <w:color w:val="000000"/>
          <w:sz w:val="17"/>
          <w:szCs w:val="17"/>
        </w:rPr>
      </w:pPr>
    </w:p>
    <w:p w14:paraId="337EBC41" w14:textId="280DAAA8" w:rsidR="00260381" w:rsidRPr="008838CC" w:rsidRDefault="004E7F32" w:rsidP="004E7F32">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Europe’s </w:t>
      </w:r>
      <w:r w:rsidRPr="008838CC">
        <w:rPr>
          <w:rFonts w:ascii="Verdana" w:hAnsi="Verdana"/>
          <w:bCs/>
          <w:color w:val="000000"/>
          <w:sz w:val="17"/>
          <w:szCs w:val="17"/>
        </w:rPr>
        <w:t>propos</w:t>
      </w:r>
      <w:r w:rsidR="002B23E5" w:rsidRPr="008838CC">
        <w:rPr>
          <w:rFonts w:ascii="Verdana" w:hAnsi="Verdana"/>
          <w:bCs/>
          <w:color w:val="000000"/>
          <w:sz w:val="17"/>
          <w:szCs w:val="17"/>
        </w:rPr>
        <w:t>al</w:t>
      </w:r>
      <w:r w:rsidRPr="008838CC">
        <w:rPr>
          <w:rFonts w:ascii="Verdana" w:hAnsi="Verdana"/>
          <w:color w:val="000000"/>
          <w:sz w:val="17"/>
          <w:szCs w:val="17"/>
        </w:rPr>
        <w:t xml:space="preserve"> provides a solution which can be used for both groups and solo enties. It enables the application of economically sensible and justifiable risk management strategies which theoretically allows undertakings to protect either their surplus position or SCR ratio against changes in currency. </w:t>
      </w:r>
    </w:p>
    <w:p w14:paraId="79DE2EBB" w14:textId="27BC4DC9" w:rsidR="002F1DB2" w:rsidRPr="008838CC" w:rsidRDefault="002F1DB2" w:rsidP="004E7F32">
      <w:pPr>
        <w:spacing w:line="276" w:lineRule="auto"/>
        <w:jc w:val="both"/>
        <w:rPr>
          <w:rFonts w:ascii="Verdana" w:hAnsi="Verdana"/>
          <w:color w:val="000000"/>
          <w:sz w:val="17"/>
          <w:szCs w:val="17"/>
        </w:rPr>
      </w:pPr>
    </w:p>
    <w:p w14:paraId="7E00DC6D" w14:textId="0C11B609" w:rsidR="002F1DB2" w:rsidRPr="008838CC" w:rsidRDefault="002F1DB2" w:rsidP="004E7F32">
      <w:pPr>
        <w:spacing w:line="276" w:lineRule="auto"/>
        <w:jc w:val="both"/>
        <w:rPr>
          <w:rFonts w:ascii="Verdana" w:hAnsi="Verdana"/>
          <w:color w:val="000000"/>
          <w:sz w:val="17"/>
          <w:szCs w:val="17"/>
        </w:rPr>
      </w:pPr>
      <w:commentRangeStart w:id="23"/>
      <w:r w:rsidRPr="008838CC">
        <w:rPr>
          <w:rFonts w:ascii="Verdana" w:hAnsi="Verdana"/>
          <w:color w:val="000000"/>
          <w:sz w:val="17"/>
          <w:szCs w:val="17"/>
        </w:rPr>
        <w:t xml:space="preserve">EIOPA has rejected the Insurance Europe proposal, claiming it is overstates the diversification benefit. </w:t>
      </w:r>
      <w:commentRangeEnd w:id="23"/>
      <w:r w:rsidR="00E13947" w:rsidRPr="008838CC">
        <w:rPr>
          <w:rStyle w:val="Odkaznakomentr"/>
          <w:rFonts w:ascii="Verdana" w:hAnsi="Verdana"/>
          <w:sz w:val="17"/>
          <w:szCs w:val="17"/>
        </w:rPr>
        <w:commentReference w:id="23"/>
      </w:r>
    </w:p>
    <w:p w14:paraId="45D33EEE" w14:textId="77777777" w:rsidR="005369B9" w:rsidRPr="008838CC" w:rsidRDefault="005369B9" w:rsidP="00644F0A">
      <w:pPr>
        <w:spacing w:line="276" w:lineRule="auto"/>
        <w:rPr>
          <w:rFonts w:ascii="Verdana" w:hAnsi="Verdana"/>
          <w:b/>
          <w:color w:val="000000"/>
          <w:sz w:val="17"/>
          <w:szCs w:val="17"/>
          <w:u w:val="single"/>
        </w:rPr>
      </w:pPr>
    </w:p>
    <w:p w14:paraId="0E5670C6" w14:textId="0504CDF4"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9.4.1</w:t>
      </w:r>
      <w:r w:rsidR="006D18EF" w:rsidRPr="008838CC">
        <w:rPr>
          <w:rFonts w:ascii="Verdana" w:hAnsi="Verdana"/>
          <w:b/>
          <w:color w:val="000000"/>
          <w:sz w:val="17"/>
          <w:szCs w:val="17"/>
          <w:u w:val="single"/>
        </w:rPr>
        <w:t xml:space="preserve"> Analysis</w:t>
      </w:r>
    </w:p>
    <w:p w14:paraId="684D0B1B" w14:textId="3F91A172" w:rsidR="00B46098" w:rsidRPr="008838CC" w:rsidRDefault="00B46098" w:rsidP="00B46098">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t>
      </w:r>
      <w:r w:rsidR="00FF12FA" w:rsidRPr="008838CC">
        <w:rPr>
          <w:rFonts w:ascii="Verdana" w:hAnsi="Verdana"/>
          <w:color w:val="000000"/>
          <w:sz w:val="17"/>
          <w:szCs w:val="17"/>
        </w:rPr>
        <w:t>notes</w:t>
      </w:r>
      <w:r w:rsidRPr="008838CC">
        <w:rPr>
          <w:rFonts w:ascii="Verdana" w:hAnsi="Verdana"/>
          <w:color w:val="000000"/>
          <w:sz w:val="17"/>
          <w:szCs w:val="17"/>
        </w:rPr>
        <w:t xml:space="preserve"> that the analysis provided by EIOPA relates to the distribution of </w:t>
      </w:r>
      <w:r w:rsidRPr="008838CC">
        <w:rPr>
          <w:rFonts w:ascii="Verdana" w:hAnsi="Verdana"/>
          <w:color w:val="000000"/>
          <w:sz w:val="17"/>
          <w:szCs w:val="17"/>
          <w:u w:val="single"/>
        </w:rPr>
        <w:t xml:space="preserve">all assets </w:t>
      </w:r>
      <w:r w:rsidRPr="008838CC">
        <w:rPr>
          <w:rFonts w:ascii="Verdana" w:hAnsi="Verdana"/>
          <w:color w:val="000000"/>
          <w:sz w:val="17"/>
          <w:szCs w:val="17"/>
        </w:rPr>
        <w:t>by currency</w:t>
      </w:r>
      <w:r w:rsidR="004E6E44" w:rsidRPr="008838CC">
        <w:rPr>
          <w:rFonts w:ascii="Verdana" w:hAnsi="Verdana"/>
          <w:color w:val="000000"/>
          <w:sz w:val="17"/>
          <w:szCs w:val="17"/>
        </w:rPr>
        <w:t>, not the group own funds</w:t>
      </w:r>
      <w:r w:rsidRPr="008838CC">
        <w:rPr>
          <w:rFonts w:ascii="Verdana" w:hAnsi="Verdana"/>
          <w:color w:val="000000"/>
          <w:sz w:val="17"/>
          <w:szCs w:val="17"/>
        </w:rPr>
        <w:t xml:space="preserve">. This information does not provide sufficient insight into the impact of </w:t>
      </w:r>
      <w:r w:rsidR="00FF12FA" w:rsidRPr="008838CC">
        <w:rPr>
          <w:rFonts w:ascii="Verdana" w:hAnsi="Verdana"/>
          <w:color w:val="000000"/>
          <w:sz w:val="17"/>
          <w:szCs w:val="17"/>
        </w:rPr>
        <w:t xml:space="preserve">currency risk submodule at group level to be useful in assessing its appropriateness. </w:t>
      </w:r>
    </w:p>
    <w:p w14:paraId="04B2161D" w14:textId="1F9E4CEB" w:rsidR="00B46098" w:rsidRPr="008838CC" w:rsidRDefault="00B46098" w:rsidP="00B46098">
      <w:pPr>
        <w:spacing w:line="276" w:lineRule="auto"/>
        <w:jc w:val="both"/>
        <w:rPr>
          <w:rFonts w:ascii="Verdana" w:hAnsi="Verdana"/>
          <w:b/>
          <w:color w:val="000000"/>
          <w:sz w:val="17"/>
          <w:szCs w:val="17"/>
          <w:u w:val="single"/>
        </w:rPr>
      </w:pPr>
    </w:p>
    <w:p w14:paraId="25312091" w14:textId="5ED75FE8"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9.4.2</w:t>
      </w:r>
      <w:r w:rsidR="006D18EF" w:rsidRPr="008838CC">
        <w:rPr>
          <w:rFonts w:ascii="Verdana" w:hAnsi="Verdana"/>
          <w:b/>
          <w:color w:val="000000"/>
          <w:sz w:val="17"/>
          <w:szCs w:val="17"/>
          <w:u w:val="single"/>
        </w:rPr>
        <w:t xml:space="preserve"> EIOPA’s advice</w:t>
      </w:r>
    </w:p>
    <w:p w14:paraId="4E0F71E6" w14:textId="26B792D9" w:rsidR="00FF12FA" w:rsidRPr="008838CC" w:rsidRDefault="00FF12FA" w:rsidP="00FF12FA">
      <w:pPr>
        <w:spacing w:line="276" w:lineRule="auto"/>
        <w:jc w:val="both"/>
        <w:rPr>
          <w:rFonts w:ascii="Verdana" w:hAnsi="Verdana"/>
          <w:color w:val="000000"/>
          <w:sz w:val="17"/>
          <w:szCs w:val="17"/>
        </w:rPr>
      </w:pPr>
      <w:r w:rsidRPr="008838CC">
        <w:rPr>
          <w:rFonts w:ascii="Verdana" w:hAnsi="Verdana"/>
          <w:color w:val="000000"/>
          <w:sz w:val="17"/>
          <w:szCs w:val="17"/>
        </w:rPr>
        <w:t>Insurance Europe does not believe that EIOPA’s proposal remedies the technical inconsistencies which are to be found in the treatment of currency risk at group level</w:t>
      </w:r>
      <w:r w:rsidR="00E81BC8" w:rsidRPr="008838CC">
        <w:rPr>
          <w:rFonts w:ascii="Verdana" w:hAnsi="Verdana"/>
          <w:bCs/>
          <w:color w:val="000000"/>
          <w:sz w:val="17"/>
          <w:szCs w:val="17"/>
        </w:rPr>
        <w:t>, described in section 9.3</w:t>
      </w:r>
      <w:r w:rsidRPr="008838CC">
        <w:rPr>
          <w:rFonts w:ascii="Verdana" w:hAnsi="Verdana"/>
          <w:bCs/>
          <w:color w:val="000000"/>
          <w:sz w:val="17"/>
          <w:szCs w:val="17"/>
        </w:rPr>
        <w:t xml:space="preserve">. </w:t>
      </w:r>
      <w:r w:rsidR="00E81BC8" w:rsidRPr="008838CC">
        <w:rPr>
          <w:rFonts w:ascii="Verdana" w:hAnsi="Verdana"/>
          <w:bCs/>
          <w:color w:val="000000"/>
          <w:sz w:val="17"/>
          <w:szCs w:val="17"/>
        </w:rPr>
        <w:t>As noted, similar</w:t>
      </w:r>
      <w:r w:rsidRPr="008838CC">
        <w:rPr>
          <w:rFonts w:ascii="Verdana" w:hAnsi="Verdana"/>
          <w:color w:val="000000"/>
          <w:sz w:val="17"/>
          <w:szCs w:val="17"/>
        </w:rPr>
        <w:t xml:space="preserve"> issues are can also be found in the treatment of currency risk for solo entities which write foreign currency business through branches.</w:t>
      </w:r>
    </w:p>
    <w:p w14:paraId="1ACD3943" w14:textId="5B6C5DB7" w:rsidR="00FF12FA" w:rsidRPr="008838CC" w:rsidRDefault="00FF12FA" w:rsidP="00FF12FA">
      <w:pPr>
        <w:spacing w:line="276" w:lineRule="auto"/>
        <w:jc w:val="both"/>
        <w:rPr>
          <w:rFonts w:ascii="Verdana" w:hAnsi="Verdana"/>
          <w:color w:val="000000"/>
          <w:sz w:val="17"/>
          <w:szCs w:val="17"/>
        </w:rPr>
      </w:pPr>
    </w:p>
    <w:p w14:paraId="67542532" w14:textId="622CB098" w:rsidR="00FF12FA" w:rsidRPr="008838CC" w:rsidRDefault="00FF12FA" w:rsidP="00FF12FA">
      <w:pPr>
        <w:spacing w:line="276" w:lineRule="auto"/>
        <w:jc w:val="both"/>
        <w:rPr>
          <w:rFonts w:ascii="Verdana" w:hAnsi="Verdana"/>
          <w:b/>
          <w:color w:val="000000"/>
          <w:sz w:val="17"/>
          <w:szCs w:val="17"/>
          <w:u w:val="single"/>
        </w:rPr>
      </w:pPr>
      <w:r w:rsidRPr="008838CC">
        <w:rPr>
          <w:rFonts w:ascii="Verdana" w:hAnsi="Verdana"/>
          <w:color w:val="000000"/>
          <w:sz w:val="17"/>
          <w:szCs w:val="17"/>
        </w:rPr>
        <w:t xml:space="preserve">Insurance Europe does not agree that the current standard formula approach can be viewed as an appropriate trade-off between simplicity and risk-sensitivity. It believes that EIOPA should </w:t>
      </w:r>
      <w:r w:rsidR="004E6E44" w:rsidRPr="008838CC">
        <w:rPr>
          <w:rFonts w:ascii="Verdana" w:hAnsi="Verdana"/>
          <w:color w:val="000000"/>
          <w:sz w:val="17"/>
          <w:szCs w:val="17"/>
        </w:rPr>
        <w:t>fully</w:t>
      </w:r>
      <w:r w:rsidRPr="008838CC">
        <w:rPr>
          <w:rFonts w:ascii="Verdana" w:hAnsi="Verdana"/>
          <w:color w:val="000000"/>
          <w:sz w:val="17"/>
          <w:szCs w:val="17"/>
        </w:rPr>
        <w:t xml:space="preserve"> investigate the issue, as mandated to do so by the Commission, conduct robust analysis and develop a </w:t>
      </w:r>
      <w:r w:rsidR="004E6E44" w:rsidRPr="008838CC">
        <w:rPr>
          <w:rFonts w:ascii="Verdana" w:hAnsi="Verdana"/>
          <w:color w:val="000000"/>
          <w:sz w:val="17"/>
          <w:szCs w:val="17"/>
        </w:rPr>
        <w:t>proper</w:t>
      </w:r>
      <w:r w:rsidRPr="008838CC">
        <w:rPr>
          <w:rFonts w:ascii="Verdana" w:hAnsi="Verdana"/>
          <w:color w:val="000000"/>
          <w:sz w:val="17"/>
          <w:szCs w:val="17"/>
        </w:rPr>
        <w:t xml:space="preserve"> solution. Insurance Europe stands ready to assist EIOPA with the further development of its proposal to meet the all stakeholders</w:t>
      </w:r>
      <w:r w:rsidR="00E81BC8" w:rsidRPr="008838CC">
        <w:rPr>
          <w:rFonts w:ascii="Verdana" w:hAnsi="Verdana"/>
          <w:bCs/>
          <w:color w:val="000000"/>
          <w:sz w:val="17"/>
          <w:szCs w:val="17"/>
        </w:rPr>
        <w:t>‘</w:t>
      </w:r>
      <w:r w:rsidRPr="008838CC">
        <w:rPr>
          <w:rFonts w:ascii="Verdana" w:hAnsi="Verdana"/>
          <w:color w:val="000000"/>
          <w:sz w:val="17"/>
          <w:szCs w:val="17"/>
        </w:rPr>
        <w:t xml:space="preserve"> needs.</w:t>
      </w:r>
    </w:p>
    <w:p w14:paraId="52EF586B" w14:textId="77777777" w:rsidR="00BC66D5" w:rsidRPr="008838CC" w:rsidRDefault="00BC66D5" w:rsidP="00A441FC">
      <w:pPr>
        <w:pStyle w:val="Nadpis1"/>
        <w:rPr>
          <w:sz w:val="17"/>
          <w:szCs w:val="17"/>
        </w:rPr>
      </w:pPr>
    </w:p>
    <w:p w14:paraId="509C6939" w14:textId="77777777" w:rsidR="00BC66D5" w:rsidRPr="008838CC" w:rsidRDefault="00BC66D5" w:rsidP="00A441FC">
      <w:pPr>
        <w:pStyle w:val="Nadpis1"/>
        <w:rPr>
          <w:sz w:val="17"/>
          <w:szCs w:val="17"/>
        </w:rPr>
      </w:pPr>
    </w:p>
    <w:p w14:paraId="68BB1CD6" w14:textId="77777777" w:rsidR="00A441FC" w:rsidRPr="008838CC" w:rsidRDefault="00A441FC" w:rsidP="00A441FC">
      <w:pPr>
        <w:pStyle w:val="Nadpis1"/>
        <w:rPr>
          <w:sz w:val="17"/>
          <w:szCs w:val="17"/>
          <w:lang w:eastAsia="en-GB"/>
        </w:rPr>
      </w:pPr>
      <w:r w:rsidRPr="008838CC">
        <w:rPr>
          <w:sz w:val="17"/>
          <w:szCs w:val="17"/>
        </w:rPr>
        <w:br w:type="page"/>
      </w:r>
      <w:bookmarkStart w:id="24" w:name="_Toc497908649"/>
      <w:commentRangeStart w:id="25"/>
      <w:r w:rsidRPr="008838CC">
        <w:rPr>
          <w:sz w:val="17"/>
          <w:szCs w:val="17"/>
        </w:rPr>
        <w:t xml:space="preserve">10. </w:t>
      </w:r>
      <w:r w:rsidR="0018577F" w:rsidRPr="008838CC">
        <w:rPr>
          <w:sz w:val="17"/>
          <w:szCs w:val="17"/>
        </w:rPr>
        <w:t>Unrated debts</w:t>
      </w:r>
      <w:bookmarkEnd w:id="24"/>
      <w:commentRangeEnd w:id="25"/>
      <w:r w:rsidR="007B21E0" w:rsidRPr="008838CC">
        <w:rPr>
          <w:rStyle w:val="Odkaznakomentr"/>
          <w:b w:val="0"/>
          <w:bCs w:val="0"/>
          <w:color w:val="auto"/>
          <w:sz w:val="17"/>
          <w:szCs w:val="17"/>
          <w:u w:val="none"/>
          <w:lang w:val="de-DE"/>
        </w:rPr>
        <w:commentReference w:id="25"/>
      </w:r>
    </w:p>
    <w:p w14:paraId="6D4E267D" w14:textId="60A107CF" w:rsidR="00644F0A" w:rsidRPr="00E45283" w:rsidRDefault="00644F0A" w:rsidP="002B23E5">
      <w:pPr>
        <w:spacing w:line="276" w:lineRule="auto"/>
        <w:jc w:val="both"/>
        <w:rPr>
          <w:rFonts w:ascii="Verdana" w:hAnsi="Verdana"/>
          <w:b/>
          <w:color w:val="000000"/>
          <w:sz w:val="17"/>
          <w:szCs w:val="17"/>
          <w:u w:val="single"/>
        </w:rPr>
      </w:pPr>
      <w:r w:rsidRPr="00E45283">
        <w:rPr>
          <w:rFonts w:ascii="Verdana" w:hAnsi="Verdana"/>
          <w:b/>
          <w:color w:val="000000"/>
          <w:sz w:val="17"/>
          <w:szCs w:val="17"/>
          <w:u w:val="single"/>
        </w:rPr>
        <w:t>10.1</w:t>
      </w:r>
      <w:r w:rsidR="00E45283" w:rsidRPr="00FA0FFD">
        <w:rPr>
          <w:rFonts w:ascii="Verdana" w:hAnsi="Verdana"/>
          <w:b/>
          <w:color w:val="000000"/>
          <w:sz w:val="17"/>
          <w:szCs w:val="17"/>
          <w:u w:val="single"/>
        </w:rPr>
        <w:t xml:space="preserve"> Call for advice</w:t>
      </w:r>
    </w:p>
    <w:p w14:paraId="6806C99A" w14:textId="61DCB124" w:rsidR="00BA5B45" w:rsidRPr="008838CC" w:rsidRDefault="00BA5B45" w:rsidP="002B23E5">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welcomes the EC request for advice </w:t>
      </w:r>
      <w:r w:rsidR="00555E2F" w:rsidRPr="008838CC">
        <w:rPr>
          <w:rFonts w:ascii="Verdana" w:hAnsi="Verdana"/>
          <w:color w:val="000000"/>
          <w:sz w:val="17"/>
          <w:szCs w:val="17"/>
        </w:rPr>
        <w:t>on how unrated debt could receive, as a proxy, the credit rating of rated debt should a set of criteria be met.</w:t>
      </w:r>
    </w:p>
    <w:p w14:paraId="6A84A22B" w14:textId="7EEA2274" w:rsidR="00555E2F" w:rsidRPr="008838CC" w:rsidRDefault="00555E2F" w:rsidP="002B23E5">
      <w:pPr>
        <w:spacing w:line="276" w:lineRule="auto"/>
        <w:jc w:val="both"/>
        <w:rPr>
          <w:rFonts w:ascii="Verdana" w:hAnsi="Verdana"/>
          <w:color w:val="000000"/>
          <w:sz w:val="17"/>
          <w:szCs w:val="17"/>
        </w:rPr>
      </w:pPr>
    </w:p>
    <w:p w14:paraId="4F308AAE" w14:textId="3ACF782A" w:rsidR="00555E2F" w:rsidRPr="008838CC" w:rsidRDefault="00555E2F" w:rsidP="002B23E5">
      <w:pPr>
        <w:spacing w:line="276" w:lineRule="auto"/>
        <w:jc w:val="both"/>
        <w:rPr>
          <w:rFonts w:ascii="Verdana" w:hAnsi="Verdana"/>
          <w:color w:val="000000"/>
          <w:sz w:val="17"/>
          <w:szCs w:val="17"/>
        </w:rPr>
      </w:pPr>
      <w:r w:rsidRPr="008838CC">
        <w:rPr>
          <w:rFonts w:ascii="Verdana" w:hAnsi="Verdana"/>
          <w:color w:val="000000"/>
          <w:sz w:val="17"/>
          <w:szCs w:val="17"/>
        </w:rPr>
        <w:t xml:space="preserve">While Insurance Europe appreciates the EC request for “clear and conclusive“ criteria, it urges EIOPA to prioritise applicability over complexity. </w:t>
      </w:r>
      <w:r w:rsidR="00B03349" w:rsidRPr="008838CC">
        <w:rPr>
          <w:rFonts w:ascii="Verdana" w:hAnsi="Verdana"/>
          <w:color w:val="000000"/>
          <w:sz w:val="17"/>
          <w:szCs w:val="17"/>
        </w:rPr>
        <w:t>Specifically, Insurance Europe would like to refer, as an anecdote, to the recent work done in the area of infrastructure project finance and corporates. As previously highlighted, the industry very much welcomed the identification of infrastructure as a separate asset class with a tailored prudential treatment. Unfortunately, the practical application of the identification criteria are proving to be extremely challenging in practice, due to their extensive and often ambiguous nature. In fact, a number of investors have indicated that the burden and effort of checking projects agains the long list of elligibility criteria is sometimes not justified by the reduction in capital requirement. It should be avoided that, in the case of corporate debt, a long list of elligibility criteria makes the framework not applicable</w:t>
      </w:r>
      <w:r w:rsidR="00AB1794" w:rsidRPr="008838CC">
        <w:rPr>
          <w:rFonts w:ascii="Verdana" w:hAnsi="Verdana"/>
          <w:color w:val="000000"/>
          <w:sz w:val="17"/>
          <w:szCs w:val="17"/>
        </w:rPr>
        <w:t xml:space="preserve"> in practice</w:t>
      </w:r>
      <w:r w:rsidR="00B03349" w:rsidRPr="008838CC">
        <w:rPr>
          <w:rFonts w:ascii="Verdana" w:hAnsi="Verdana"/>
          <w:color w:val="000000"/>
          <w:sz w:val="17"/>
          <w:szCs w:val="17"/>
        </w:rPr>
        <w:t xml:space="preserve">. </w:t>
      </w:r>
    </w:p>
    <w:p w14:paraId="659DD9D7" w14:textId="77777777" w:rsidR="00BA5B45" w:rsidRPr="008838CC" w:rsidRDefault="00BA5B45" w:rsidP="00644F0A">
      <w:pPr>
        <w:spacing w:line="276" w:lineRule="auto"/>
        <w:rPr>
          <w:rFonts w:ascii="Verdana" w:hAnsi="Verdana"/>
          <w:b/>
          <w:color w:val="000000"/>
          <w:sz w:val="17"/>
          <w:szCs w:val="17"/>
          <w:u w:val="single"/>
        </w:rPr>
      </w:pPr>
    </w:p>
    <w:p w14:paraId="6A278710"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10.2</w:t>
      </w:r>
    </w:p>
    <w:p w14:paraId="0975622F"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10.3</w:t>
      </w:r>
    </w:p>
    <w:p w14:paraId="774451BA"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10.4.1</w:t>
      </w:r>
    </w:p>
    <w:p w14:paraId="130056AB"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10.4.2.1</w:t>
      </w:r>
    </w:p>
    <w:p w14:paraId="0F09889C"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10.4.2.2</w:t>
      </w:r>
    </w:p>
    <w:p w14:paraId="7BCA7BC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10.4.2.3</w:t>
      </w:r>
    </w:p>
    <w:p w14:paraId="21FB3020"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10.4.2.4</w:t>
      </w:r>
    </w:p>
    <w:p w14:paraId="3C72035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10.4.2.5</w:t>
      </w:r>
    </w:p>
    <w:p w14:paraId="7CF6A732"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10.4.3</w:t>
      </w:r>
    </w:p>
    <w:p w14:paraId="1D7928C5" w14:textId="77777777" w:rsidR="00A441FC" w:rsidRPr="008838CC" w:rsidRDefault="00A441FC" w:rsidP="00A441FC">
      <w:pPr>
        <w:pStyle w:val="Nadpis1"/>
        <w:rPr>
          <w:sz w:val="17"/>
          <w:szCs w:val="17"/>
          <w:lang w:eastAsia="en-GB"/>
        </w:rPr>
      </w:pPr>
      <w:r w:rsidRPr="008838CC">
        <w:rPr>
          <w:sz w:val="17"/>
          <w:szCs w:val="17"/>
        </w:rPr>
        <w:br w:type="page"/>
      </w:r>
      <w:bookmarkStart w:id="26" w:name="_Toc497908650"/>
      <w:commentRangeStart w:id="27"/>
      <w:r w:rsidRPr="008838CC">
        <w:rPr>
          <w:sz w:val="17"/>
          <w:szCs w:val="17"/>
        </w:rPr>
        <w:t xml:space="preserve">11. </w:t>
      </w:r>
      <w:r w:rsidR="0018577F" w:rsidRPr="008838CC">
        <w:rPr>
          <w:sz w:val="17"/>
          <w:szCs w:val="17"/>
        </w:rPr>
        <w:t>Unlisted equity</w:t>
      </w:r>
      <w:bookmarkEnd w:id="26"/>
      <w:r w:rsidRPr="008838CC">
        <w:rPr>
          <w:sz w:val="17"/>
          <w:szCs w:val="17"/>
        </w:rPr>
        <w:t xml:space="preserve"> </w:t>
      </w:r>
      <w:commentRangeEnd w:id="27"/>
      <w:r w:rsidR="00CA1237">
        <w:rPr>
          <w:rStyle w:val="Odkaznakomentr"/>
          <w:rFonts w:ascii="Times New Roman" w:hAnsi="Times New Roman"/>
          <w:b w:val="0"/>
          <w:bCs w:val="0"/>
          <w:color w:val="auto"/>
          <w:u w:val="none"/>
          <w:lang w:val="de-DE"/>
        </w:rPr>
        <w:commentReference w:id="27"/>
      </w:r>
    </w:p>
    <w:p w14:paraId="3A196524" w14:textId="77777777" w:rsidR="00BD0B6E" w:rsidRPr="008838CC" w:rsidRDefault="00BD0B6E" w:rsidP="00644F0A">
      <w:pPr>
        <w:spacing w:line="276" w:lineRule="auto"/>
        <w:rPr>
          <w:rFonts w:ascii="Verdana" w:hAnsi="Verdana"/>
          <w:b/>
          <w:color w:val="000000"/>
          <w:sz w:val="17"/>
          <w:szCs w:val="17"/>
          <w:u w:val="single"/>
        </w:rPr>
      </w:pPr>
    </w:p>
    <w:p w14:paraId="4C1DCDEE" w14:textId="5D461615" w:rsidR="00644F0A"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11.1</w:t>
      </w:r>
      <w:r w:rsidR="00FA0FFD">
        <w:rPr>
          <w:rFonts w:ascii="Verdana" w:hAnsi="Verdana"/>
          <w:b/>
          <w:color w:val="000000"/>
          <w:sz w:val="17"/>
          <w:szCs w:val="17"/>
          <w:u w:val="single"/>
        </w:rPr>
        <w:t xml:space="preserve"> Call for advice</w:t>
      </w:r>
    </w:p>
    <w:p w14:paraId="4744D9EE" w14:textId="77777777" w:rsidR="008B1EE7" w:rsidRDefault="008B1EE7" w:rsidP="00644F0A">
      <w:pPr>
        <w:spacing w:line="276" w:lineRule="auto"/>
        <w:rPr>
          <w:rFonts w:ascii="Verdana" w:hAnsi="Verdana"/>
          <w:b/>
          <w:color w:val="000000"/>
          <w:sz w:val="17"/>
          <w:szCs w:val="17"/>
          <w:u w:val="single"/>
        </w:rPr>
      </w:pPr>
    </w:p>
    <w:p w14:paraId="691FA0CC" w14:textId="581043A8" w:rsidR="008B1EE7" w:rsidRPr="008838CC" w:rsidRDefault="008B1EE7" w:rsidP="008B1EE7">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welcomes the EC request for advice </w:t>
      </w:r>
      <w:r>
        <w:rPr>
          <w:rFonts w:ascii="Verdana" w:hAnsi="Verdana"/>
          <w:color w:val="000000"/>
          <w:sz w:val="17"/>
          <w:szCs w:val="17"/>
        </w:rPr>
        <w:t>on how unlisted equity</w:t>
      </w:r>
      <w:r w:rsidRPr="008838CC">
        <w:rPr>
          <w:rFonts w:ascii="Verdana" w:hAnsi="Verdana"/>
          <w:color w:val="000000"/>
          <w:sz w:val="17"/>
          <w:szCs w:val="17"/>
        </w:rPr>
        <w:t xml:space="preserve"> could receive, as a proxy, the </w:t>
      </w:r>
      <w:r>
        <w:rPr>
          <w:rFonts w:ascii="Verdana" w:hAnsi="Verdana"/>
          <w:color w:val="000000"/>
          <w:sz w:val="17"/>
          <w:szCs w:val="17"/>
        </w:rPr>
        <w:t>capital charge of listed equity</w:t>
      </w:r>
      <w:r w:rsidRPr="008838CC">
        <w:rPr>
          <w:rFonts w:ascii="Verdana" w:hAnsi="Verdana"/>
          <w:color w:val="000000"/>
          <w:sz w:val="17"/>
          <w:szCs w:val="17"/>
        </w:rPr>
        <w:t xml:space="preserve"> should a set of criteria be met.</w:t>
      </w:r>
    </w:p>
    <w:p w14:paraId="7D68A86B" w14:textId="77777777" w:rsidR="008B1EE7" w:rsidRPr="008838CC" w:rsidRDefault="008B1EE7" w:rsidP="008B1EE7">
      <w:pPr>
        <w:spacing w:line="276" w:lineRule="auto"/>
        <w:jc w:val="both"/>
        <w:rPr>
          <w:rFonts w:ascii="Verdana" w:hAnsi="Verdana"/>
          <w:color w:val="000000"/>
          <w:sz w:val="17"/>
          <w:szCs w:val="17"/>
        </w:rPr>
      </w:pPr>
    </w:p>
    <w:p w14:paraId="331209CE" w14:textId="77777777" w:rsidR="008B1EE7" w:rsidRPr="008838CC" w:rsidRDefault="008B1EE7" w:rsidP="008B1EE7">
      <w:pPr>
        <w:spacing w:line="276" w:lineRule="auto"/>
        <w:jc w:val="both"/>
        <w:rPr>
          <w:rFonts w:ascii="Verdana" w:hAnsi="Verdana"/>
          <w:color w:val="000000"/>
          <w:sz w:val="17"/>
          <w:szCs w:val="17"/>
        </w:rPr>
      </w:pPr>
      <w:r w:rsidRPr="008838CC">
        <w:rPr>
          <w:rFonts w:ascii="Verdana" w:hAnsi="Verdana"/>
          <w:color w:val="000000"/>
          <w:sz w:val="17"/>
          <w:szCs w:val="17"/>
        </w:rPr>
        <w:t xml:space="preserve">While Insurance Europe appreciates the EC request for “clear and conclusive“ criteria, it urges EIOPA to prioritise applicability over complexity. Specifically, Insurance Europe would like to refer, as an anecdote, to the recent work done in the area of infrastructure project finance and corporates. As previously highlighted, the industry very much welcomed the identification of infrastructure as a separate asset class with a tailored prudential treatment. Unfortunately, the practical application of the identification criteria are proving to be extremely challenging in practice, due to their extensive and often ambiguous nature. In fact, a number of investors have indicated that the burden and effort of checking projects agains the long list of elligibility criteria is sometimes not justified by the reduction in capital requirement. It should be avoided that, in the case of corporate debt, a long list of elligibility criteria makes the framework not applicable in practice. </w:t>
      </w:r>
    </w:p>
    <w:p w14:paraId="560F0445" w14:textId="77777777" w:rsidR="008B1EE7" w:rsidRPr="008838CC" w:rsidRDefault="008B1EE7" w:rsidP="008B1EE7">
      <w:pPr>
        <w:spacing w:line="276" w:lineRule="auto"/>
        <w:rPr>
          <w:rFonts w:ascii="Verdana" w:hAnsi="Verdana"/>
          <w:b/>
          <w:color w:val="000000"/>
          <w:sz w:val="17"/>
          <w:szCs w:val="17"/>
          <w:u w:val="single"/>
        </w:rPr>
      </w:pPr>
    </w:p>
    <w:p w14:paraId="742B9421" w14:textId="77777777" w:rsidR="008B1EE7" w:rsidRPr="008838CC" w:rsidRDefault="008B1EE7" w:rsidP="00644F0A">
      <w:pPr>
        <w:spacing w:line="276" w:lineRule="auto"/>
        <w:rPr>
          <w:rFonts w:ascii="Verdana" w:hAnsi="Verdana"/>
          <w:b/>
          <w:color w:val="000000"/>
          <w:sz w:val="17"/>
          <w:szCs w:val="17"/>
          <w:u w:val="single"/>
        </w:rPr>
      </w:pPr>
    </w:p>
    <w:p w14:paraId="2E71FE6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11.2</w:t>
      </w:r>
    </w:p>
    <w:p w14:paraId="663A62B4"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11.3</w:t>
      </w:r>
    </w:p>
    <w:p w14:paraId="68E97BB0"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11.4.1</w:t>
      </w:r>
    </w:p>
    <w:p w14:paraId="603B092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11.4.2</w:t>
      </w:r>
    </w:p>
    <w:p w14:paraId="53DAB418"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11.4.3</w:t>
      </w:r>
    </w:p>
    <w:p w14:paraId="083BECE4" w14:textId="77777777" w:rsidR="00A441FC" w:rsidRPr="008838CC" w:rsidRDefault="00A441FC" w:rsidP="00A441FC">
      <w:pPr>
        <w:pStyle w:val="Nadpis1"/>
        <w:rPr>
          <w:sz w:val="17"/>
          <w:szCs w:val="17"/>
          <w:lang w:eastAsia="en-GB"/>
        </w:rPr>
      </w:pPr>
      <w:r w:rsidRPr="008838CC">
        <w:rPr>
          <w:sz w:val="17"/>
          <w:szCs w:val="17"/>
        </w:rPr>
        <w:br w:type="page"/>
      </w:r>
      <w:bookmarkStart w:id="28" w:name="_Toc497908651"/>
      <w:r w:rsidRPr="008838CC">
        <w:rPr>
          <w:sz w:val="17"/>
          <w:szCs w:val="17"/>
        </w:rPr>
        <w:t xml:space="preserve">12. </w:t>
      </w:r>
      <w:r w:rsidR="0018577F" w:rsidRPr="008838CC">
        <w:rPr>
          <w:sz w:val="17"/>
          <w:szCs w:val="17"/>
        </w:rPr>
        <w:t>Strategic equity investments</w:t>
      </w:r>
      <w:bookmarkEnd w:id="28"/>
    </w:p>
    <w:p w14:paraId="7DFB9714" w14:textId="14EF2606"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12.1</w:t>
      </w:r>
      <w:r w:rsidR="00FA0FFD">
        <w:rPr>
          <w:rFonts w:ascii="Verdana" w:hAnsi="Verdana"/>
          <w:b/>
          <w:color w:val="000000"/>
          <w:sz w:val="17"/>
          <w:szCs w:val="17"/>
          <w:u w:val="single"/>
        </w:rPr>
        <w:t xml:space="preserve"> Call for advice</w:t>
      </w:r>
    </w:p>
    <w:p w14:paraId="3612C446" w14:textId="3592816F" w:rsidR="00FA3DAB" w:rsidRPr="008838CC" w:rsidRDefault="00FA3DAB" w:rsidP="00644F0A">
      <w:pPr>
        <w:spacing w:line="276" w:lineRule="auto"/>
        <w:rPr>
          <w:rFonts w:ascii="Verdana" w:hAnsi="Verdana"/>
          <w:color w:val="000000"/>
          <w:sz w:val="17"/>
          <w:szCs w:val="17"/>
        </w:rPr>
      </w:pPr>
      <w:r w:rsidRPr="008838CC">
        <w:rPr>
          <w:rFonts w:ascii="Verdana" w:hAnsi="Verdana"/>
          <w:color w:val="000000"/>
          <w:sz w:val="17"/>
          <w:szCs w:val="17"/>
        </w:rPr>
        <w:t>Insurance Europe welcomes the EC request for information on strategic participation</w:t>
      </w:r>
      <w:r w:rsidR="00FA0FFD">
        <w:rPr>
          <w:rFonts w:ascii="Verdana" w:hAnsi="Verdana"/>
          <w:color w:val="000000"/>
          <w:sz w:val="17"/>
          <w:szCs w:val="17"/>
        </w:rPr>
        <w:t>s</w:t>
      </w:r>
      <w:r w:rsidRPr="008838CC">
        <w:rPr>
          <w:rFonts w:ascii="Verdana" w:hAnsi="Verdana"/>
          <w:color w:val="000000"/>
          <w:sz w:val="17"/>
          <w:szCs w:val="17"/>
        </w:rPr>
        <w:t xml:space="preserve"> and on how the related qualifying criteria are applied in practice. </w:t>
      </w:r>
    </w:p>
    <w:p w14:paraId="533CA051" w14:textId="77777777" w:rsidR="008D1B44" w:rsidRPr="008838CC" w:rsidRDefault="008D1B44" w:rsidP="008D1B44">
      <w:pPr>
        <w:spacing w:line="276" w:lineRule="auto"/>
        <w:rPr>
          <w:rFonts w:ascii="Verdana" w:hAnsi="Verdana"/>
          <w:color w:val="000000"/>
          <w:sz w:val="17"/>
          <w:szCs w:val="17"/>
        </w:rPr>
      </w:pPr>
    </w:p>
    <w:p w14:paraId="644CD497" w14:textId="57DF347E" w:rsidR="008D1B44" w:rsidRPr="008838CC" w:rsidRDefault="008D1B44" w:rsidP="008D1B44">
      <w:pPr>
        <w:spacing w:line="276" w:lineRule="auto"/>
        <w:rPr>
          <w:rFonts w:ascii="Verdana" w:hAnsi="Verdana"/>
          <w:color w:val="000000"/>
          <w:sz w:val="17"/>
          <w:szCs w:val="17"/>
        </w:rPr>
      </w:pPr>
      <w:r w:rsidRPr="008838CC">
        <w:rPr>
          <w:rFonts w:ascii="Verdana" w:hAnsi="Verdana"/>
          <w:sz w:val="17"/>
          <w:szCs w:val="17"/>
        </w:rPr>
        <w:t xml:space="preserve">While the Commission has not asked EIOPA to propose changes to the current Solvency II criteria for strategic participations, Insurance Europe would like to take the opportunity to make the </w:t>
      </w:r>
      <w:commentRangeStart w:id="29"/>
      <w:r w:rsidRPr="008838CC">
        <w:rPr>
          <w:rFonts w:ascii="Verdana" w:hAnsi="Verdana"/>
          <w:sz w:val="17"/>
          <w:szCs w:val="17"/>
        </w:rPr>
        <w:t xml:space="preserve">following suggestions </w:t>
      </w:r>
      <w:commentRangeEnd w:id="29"/>
      <w:r w:rsidR="004D1A13" w:rsidRPr="008838CC">
        <w:rPr>
          <w:rStyle w:val="Odkaznakomentr"/>
          <w:rFonts w:ascii="Verdana" w:hAnsi="Verdana"/>
          <w:sz w:val="17"/>
          <w:szCs w:val="17"/>
        </w:rPr>
        <w:commentReference w:id="29"/>
      </w:r>
      <w:r w:rsidRPr="008838CC">
        <w:rPr>
          <w:rFonts w:ascii="Verdana" w:hAnsi="Verdana"/>
          <w:sz w:val="17"/>
          <w:szCs w:val="17"/>
        </w:rPr>
        <w:t>which, in its view, would improve the framework.</w:t>
      </w:r>
    </w:p>
    <w:p w14:paraId="61564E12" w14:textId="57445B87" w:rsidR="00AC4EFC" w:rsidRPr="008838CC" w:rsidRDefault="00AC4EFC" w:rsidP="008D1B44">
      <w:pPr>
        <w:pStyle w:val="Normlnywebov"/>
        <w:rPr>
          <w:rFonts w:ascii="Verdana" w:hAnsi="Verdana"/>
          <w:b/>
          <w:sz w:val="17"/>
          <w:szCs w:val="17"/>
          <w:u w:val="single"/>
        </w:rPr>
      </w:pPr>
      <w:r w:rsidRPr="008838CC">
        <w:rPr>
          <w:rFonts w:ascii="Verdana" w:hAnsi="Verdana"/>
          <w:b/>
          <w:sz w:val="17"/>
          <w:szCs w:val="17"/>
          <w:u w:val="single"/>
        </w:rPr>
        <w:t xml:space="preserve">Proposal 1: </w:t>
      </w:r>
      <w:r w:rsidR="00603AB4" w:rsidRPr="008838CC">
        <w:rPr>
          <w:rFonts w:ascii="Verdana" w:hAnsi="Verdana"/>
          <w:b/>
          <w:sz w:val="17"/>
          <w:szCs w:val="17"/>
          <w:u w:val="single"/>
        </w:rPr>
        <w:t>Amendments</w:t>
      </w:r>
      <w:r w:rsidRPr="008838CC">
        <w:rPr>
          <w:rFonts w:ascii="Verdana" w:hAnsi="Verdana"/>
          <w:b/>
          <w:sz w:val="17"/>
          <w:szCs w:val="17"/>
          <w:u w:val="single"/>
        </w:rPr>
        <w:t xml:space="preserve"> to the criteria for </w:t>
      </w:r>
      <w:r w:rsidR="00603AB4" w:rsidRPr="008838CC">
        <w:rPr>
          <w:rFonts w:ascii="Verdana" w:hAnsi="Verdana"/>
          <w:b/>
          <w:sz w:val="17"/>
          <w:szCs w:val="17"/>
          <w:u w:val="single"/>
        </w:rPr>
        <w:t>strategic participations</w:t>
      </w:r>
      <w:r w:rsidRPr="008838CC">
        <w:rPr>
          <w:rFonts w:ascii="Verdana" w:hAnsi="Verdana"/>
          <w:b/>
          <w:sz w:val="17"/>
          <w:szCs w:val="17"/>
          <w:u w:val="single"/>
        </w:rPr>
        <w:t xml:space="preserve"> in Article 171 of the Solvency II Delegated Regulation</w:t>
      </w:r>
    </w:p>
    <w:p w14:paraId="06B84FD1" w14:textId="77777777" w:rsidR="001F2053" w:rsidRPr="008838CC" w:rsidRDefault="001F2053" w:rsidP="001F2053">
      <w:pPr>
        <w:pStyle w:val="Normlnywebov"/>
        <w:rPr>
          <w:rFonts w:ascii="Verdana" w:hAnsi="Verdana"/>
          <w:sz w:val="17"/>
          <w:szCs w:val="17"/>
        </w:rPr>
      </w:pPr>
      <w:r w:rsidRPr="008838CC">
        <w:rPr>
          <w:rFonts w:ascii="Verdana" w:hAnsi="Verdana"/>
          <w:sz w:val="17"/>
          <w:szCs w:val="17"/>
        </w:rPr>
        <w:t xml:space="preserve">Insurance Europe highlights that the approach of evaluating strategic participations on the basis of lower volatility and a high holding threshold is not appropriate. A lower forward-looking short term volatility is not a valid criterion as it does not reflect the actual risks of such assets for insurers who take a long-term strategic view, and is extremely difficult to demonstrate in practice – as the EIOPA analysis confirms. </w:t>
      </w:r>
    </w:p>
    <w:p w14:paraId="67DAB674" w14:textId="77777777" w:rsidR="001F2053" w:rsidRPr="008838CC" w:rsidRDefault="001F2053" w:rsidP="001F2053">
      <w:pPr>
        <w:pStyle w:val="Normlnywebov"/>
        <w:rPr>
          <w:rFonts w:ascii="Verdana" w:hAnsi="Verdana"/>
          <w:sz w:val="17"/>
          <w:szCs w:val="17"/>
        </w:rPr>
      </w:pPr>
      <w:r w:rsidRPr="008838CC">
        <w:rPr>
          <w:rFonts w:ascii="Verdana" w:hAnsi="Verdana"/>
          <w:sz w:val="17"/>
          <w:szCs w:val="17"/>
        </w:rPr>
        <w:t xml:space="preserve">Instead, Insurance Europe believes that the qualifying criteria should be built on the strong links between the insurer and the investee company. Emphasis should be put on the long-term holding capacity of the insurer and its commitment in the activity of the investee company. </w:t>
      </w:r>
    </w:p>
    <w:p w14:paraId="72849E50" w14:textId="1D6C0AF1" w:rsidR="008D1B44" w:rsidRPr="008838CC" w:rsidRDefault="008D1B44" w:rsidP="008D1B44">
      <w:pPr>
        <w:pStyle w:val="Normlnywebov"/>
        <w:rPr>
          <w:rFonts w:ascii="Verdana" w:hAnsi="Verdana"/>
          <w:sz w:val="17"/>
          <w:szCs w:val="17"/>
        </w:rPr>
      </w:pPr>
      <w:r w:rsidRPr="008838CC">
        <w:rPr>
          <w:rFonts w:ascii="Verdana" w:hAnsi="Verdana"/>
          <w:sz w:val="17"/>
          <w:szCs w:val="17"/>
        </w:rPr>
        <w:t>Insurance Europe suggests that Article 171 of the Solvency II Delegated Regulation should be reviewed as follows:</w:t>
      </w:r>
    </w:p>
    <w:p w14:paraId="64BA4DC2" w14:textId="77777777" w:rsidR="008D1B44" w:rsidRPr="008838CC" w:rsidRDefault="008D1B44" w:rsidP="008E45C1">
      <w:pPr>
        <w:pStyle w:val="Normlnywebov"/>
        <w:numPr>
          <w:ilvl w:val="0"/>
          <w:numId w:val="15"/>
        </w:numPr>
        <w:rPr>
          <w:rFonts w:ascii="Verdana" w:hAnsi="Verdana"/>
          <w:sz w:val="17"/>
          <w:szCs w:val="17"/>
        </w:rPr>
      </w:pPr>
      <w:r w:rsidRPr="008838CC">
        <w:rPr>
          <w:rFonts w:ascii="Verdana" w:hAnsi="Verdana"/>
          <w:b/>
          <w:sz w:val="17"/>
          <w:szCs w:val="17"/>
        </w:rPr>
        <w:t>The minimum ownership &amp; control threshold for an investment to qualify as a strategic participation should be reduced from 20% to 10%</w:t>
      </w:r>
      <w:r w:rsidRPr="008838CC">
        <w:rPr>
          <w:rFonts w:ascii="Verdana" w:hAnsi="Verdana"/>
          <w:sz w:val="17"/>
          <w:szCs w:val="17"/>
        </w:rPr>
        <w:t>. This could be done by applying the criteria for ‘qualifying holding’ as defined in Article 13 (21) of the Solvency II Directive, rather than the criteria for ‘participation’ (as defined in Article 13 (20)).</w:t>
      </w:r>
    </w:p>
    <w:p w14:paraId="5A45FE7D" w14:textId="77777777" w:rsidR="008D1B44" w:rsidRPr="008838CC" w:rsidRDefault="008D1B44" w:rsidP="008E45C1">
      <w:pPr>
        <w:pStyle w:val="Normlnywebov"/>
        <w:numPr>
          <w:ilvl w:val="0"/>
          <w:numId w:val="15"/>
        </w:numPr>
        <w:rPr>
          <w:rFonts w:ascii="Verdana" w:hAnsi="Verdana"/>
          <w:sz w:val="17"/>
          <w:szCs w:val="17"/>
        </w:rPr>
      </w:pPr>
      <w:r w:rsidRPr="008838CC">
        <w:rPr>
          <w:rFonts w:ascii="Verdana" w:hAnsi="Verdana"/>
          <w:b/>
          <w:sz w:val="17"/>
          <w:szCs w:val="17"/>
        </w:rPr>
        <w:t>The criterion in Article 171 (a), requiring the demonstration of lower volatility in the next 12 months after acquisition, should be removed</w:t>
      </w:r>
      <w:r w:rsidRPr="008838CC">
        <w:rPr>
          <w:rFonts w:ascii="Verdana" w:hAnsi="Verdana"/>
          <w:sz w:val="17"/>
          <w:szCs w:val="17"/>
        </w:rPr>
        <w:t xml:space="preserve">. As the EIOPA analysis shows, this criterion is very difficult to be applied in practice. In addition, Insurance Europe believes that the criterion comes into contradiction with the long-term horizon associated with the nature of strategic participations. The investor’s willingness to hold over the long term cannot be tested via the one-year volatility metric. Therefore, Insurance Europe believes that a criterion aimed at testing the commitment of the (re)insurer in the activity of the investee should be added. </w:t>
      </w:r>
    </w:p>
    <w:p w14:paraId="4A40FAA5" w14:textId="77777777" w:rsidR="008D1B44" w:rsidRPr="008838CC" w:rsidRDefault="008D1B44" w:rsidP="008D1B44">
      <w:pPr>
        <w:pStyle w:val="Normlnywebov"/>
        <w:rPr>
          <w:rFonts w:ascii="Verdana" w:hAnsi="Verdana"/>
          <w:sz w:val="17"/>
          <w:szCs w:val="17"/>
        </w:rPr>
      </w:pPr>
      <w:r w:rsidRPr="008838CC">
        <w:rPr>
          <w:rFonts w:ascii="Verdana" w:hAnsi="Verdana"/>
          <w:sz w:val="17"/>
          <w:szCs w:val="17"/>
        </w:rPr>
        <w:t xml:space="preserve">The following </w:t>
      </w:r>
      <w:r w:rsidRPr="008838CC">
        <w:rPr>
          <w:rFonts w:ascii="Verdana" w:hAnsi="Verdana"/>
          <w:b/>
          <w:sz w:val="17"/>
          <w:szCs w:val="17"/>
        </w:rPr>
        <w:t xml:space="preserve">redrafting </w:t>
      </w:r>
      <w:r w:rsidRPr="008838CC">
        <w:rPr>
          <w:rFonts w:ascii="Verdana" w:hAnsi="Verdana"/>
          <w:sz w:val="17"/>
          <w:szCs w:val="17"/>
        </w:rPr>
        <w:t xml:space="preserve">is suggested for Article 171 of the Delegated Regulation: </w:t>
      </w:r>
    </w:p>
    <w:p w14:paraId="39DC61BC" w14:textId="77777777" w:rsidR="008D1B44" w:rsidRPr="008838CC" w:rsidRDefault="008D1B44" w:rsidP="008D1B44">
      <w:pPr>
        <w:pStyle w:val="Normlnywebov"/>
        <w:rPr>
          <w:rFonts w:ascii="Verdana" w:hAnsi="Verdana"/>
          <w:sz w:val="17"/>
          <w:szCs w:val="17"/>
        </w:rPr>
      </w:pPr>
      <w:r w:rsidRPr="008838CC">
        <w:rPr>
          <w:rFonts w:ascii="Verdana" w:hAnsi="Verdana"/>
          <w:i/>
          <w:iCs/>
          <w:sz w:val="17"/>
          <w:szCs w:val="17"/>
        </w:rPr>
        <w:t xml:space="preserve">[...] equity investments of a strategic nature shall mean equity investments for which the </w:t>
      </w:r>
      <w:r w:rsidRPr="008838CC">
        <w:rPr>
          <w:rFonts w:ascii="Verdana" w:hAnsi="Verdana"/>
          <w:i/>
          <w:iCs/>
          <w:strike/>
          <w:sz w:val="17"/>
          <w:szCs w:val="17"/>
        </w:rPr>
        <w:t>participating</w:t>
      </w:r>
      <w:r w:rsidRPr="008838CC">
        <w:rPr>
          <w:rFonts w:ascii="Verdana" w:hAnsi="Verdana"/>
          <w:i/>
          <w:iCs/>
          <w:sz w:val="17"/>
          <w:szCs w:val="17"/>
        </w:rPr>
        <w:t xml:space="preserve"> insurance or reinsurance undertaking </w:t>
      </w:r>
      <w:r w:rsidRPr="008838CC">
        <w:rPr>
          <w:rFonts w:ascii="Verdana" w:hAnsi="Verdana"/>
          <w:i/>
          <w:iCs/>
          <w:sz w:val="17"/>
          <w:szCs w:val="17"/>
          <w:u w:val="single"/>
        </w:rPr>
        <w:t>that owns a qualifying holding in another undertaking</w:t>
      </w:r>
      <w:r w:rsidRPr="008838CC">
        <w:rPr>
          <w:rFonts w:ascii="Verdana" w:hAnsi="Verdana"/>
          <w:i/>
          <w:iCs/>
          <w:sz w:val="17"/>
          <w:szCs w:val="17"/>
        </w:rPr>
        <w:t xml:space="preserve"> demonstrates the following: </w:t>
      </w:r>
    </w:p>
    <w:p w14:paraId="569E4250" w14:textId="77777777" w:rsidR="008D1B44" w:rsidRPr="008838CC" w:rsidRDefault="008D1B44" w:rsidP="008D1B44">
      <w:pPr>
        <w:pStyle w:val="Normlnywebov"/>
        <w:rPr>
          <w:rFonts w:ascii="Verdana" w:hAnsi="Verdana"/>
          <w:strike/>
          <w:sz w:val="17"/>
          <w:szCs w:val="17"/>
        </w:rPr>
      </w:pPr>
      <w:r w:rsidRPr="008838CC">
        <w:rPr>
          <w:rFonts w:ascii="Verdana" w:hAnsi="Verdana"/>
          <w:i/>
          <w:iCs/>
          <w:strike/>
          <w:sz w:val="17"/>
          <w:szCs w:val="17"/>
        </w:rPr>
        <w:t xml:space="preserve">(a) that the value of the equity investment is likely to be materially less volatile for the following 12 months than the value of other equities over the same period as a result of both the nature of the investment and the influence exercised by the participating undertaking in the related undertaking; </w:t>
      </w:r>
    </w:p>
    <w:p w14:paraId="1062C8D0" w14:textId="77777777" w:rsidR="008D1B44" w:rsidRPr="008838CC" w:rsidRDefault="008D1B44" w:rsidP="008D1B44">
      <w:pPr>
        <w:pStyle w:val="Normlnywebov"/>
        <w:rPr>
          <w:rFonts w:ascii="Verdana" w:hAnsi="Verdana"/>
          <w:i/>
          <w:iCs/>
          <w:sz w:val="17"/>
          <w:szCs w:val="17"/>
        </w:rPr>
      </w:pPr>
      <w:r w:rsidRPr="008838CC">
        <w:rPr>
          <w:rFonts w:ascii="Verdana" w:hAnsi="Verdana"/>
          <w:i/>
          <w:iCs/>
          <w:sz w:val="17"/>
          <w:szCs w:val="17"/>
        </w:rPr>
        <w:t>(b) the nature of the investment is strategic, considering all relevant factors, including:</w:t>
      </w:r>
    </w:p>
    <w:p w14:paraId="38BE8D8F" w14:textId="77777777" w:rsidR="008D1B44" w:rsidRPr="008838CC" w:rsidRDefault="008D1B44" w:rsidP="008D1B44">
      <w:pPr>
        <w:pStyle w:val="Normlnywebov"/>
        <w:ind w:left="709"/>
        <w:rPr>
          <w:rFonts w:ascii="Verdana" w:hAnsi="Verdana"/>
          <w:strike/>
          <w:sz w:val="17"/>
          <w:szCs w:val="17"/>
        </w:rPr>
      </w:pPr>
      <w:r w:rsidRPr="008838CC">
        <w:rPr>
          <w:rFonts w:ascii="Verdana" w:hAnsi="Verdana"/>
          <w:i/>
          <w:iCs/>
          <w:sz w:val="17"/>
          <w:szCs w:val="17"/>
        </w:rPr>
        <w:t>(i) the existence of a clear decisive strategy to continue holding the qualifying holding for long period;</w:t>
      </w:r>
      <w:r w:rsidRPr="008838CC">
        <w:rPr>
          <w:rFonts w:ascii="Verdana" w:hAnsi="Verdana"/>
          <w:i/>
          <w:iCs/>
          <w:sz w:val="17"/>
          <w:szCs w:val="17"/>
        </w:rPr>
        <w:br/>
        <w:t>(ii) the consistency of the strategy referred to) with the main policies guiding or limiting the actions of the undertaking;</w:t>
      </w:r>
      <w:r w:rsidRPr="008838CC">
        <w:rPr>
          <w:rFonts w:ascii="Verdana" w:hAnsi="Verdana"/>
          <w:i/>
          <w:iCs/>
          <w:sz w:val="17"/>
          <w:szCs w:val="17"/>
        </w:rPr>
        <w:br/>
        <w:t xml:space="preserve">(iii) the </w:t>
      </w:r>
      <w:r w:rsidRPr="008838CC">
        <w:rPr>
          <w:rFonts w:ascii="Verdana" w:hAnsi="Verdana"/>
          <w:i/>
          <w:iCs/>
          <w:strike/>
          <w:sz w:val="17"/>
          <w:szCs w:val="17"/>
        </w:rPr>
        <w:t xml:space="preserve">participating </w:t>
      </w:r>
      <w:r w:rsidRPr="008838CC">
        <w:rPr>
          <w:rFonts w:ascii="Verdana" w:hAnsi="Verdana"/>
          <w:i/>
          <w:iCs/>
          <w:sz w:val="17"/>
          <w:szCs w:val="17"/>
        </w:rPr>
        <w:t xml:space="preserve">undertaking's ability to continue holding the </w:t>
      </w:r>
      <w:r w:rsidRPr="008838CC">
        <w:rPr>
          <w:rFonts w:ascii="Verdana" w:hAnsi="Verdana"/>
          <w:i/>
          <w:iCs/>
          <w:strike/>
          <w:sz w:val="17"/>
          <w:szCs w:val="17"/>
        </w:rPr>
        <w:t xml:space="preserve">participation </w:t>
      </w:r>
      <w:r w:rsidRPr="008838CC">
        <w:rPr>
          <w:rFonts w:ascii="Verdana" w:hAnsi="Verdana"/>
          <w:i/>
          <w:iCs/>
          <w:sz w:val="17"/>
          <w:szCs w:val="17"/>
          <w:u w:val="single"/>
        </w:rPr>
        <w:t>qualifying holding</w:t>
      </w:r>
      <w:r w:rsidRPr="008838CC">
        <w:rPr>
          <w:rFonts w:ascii="Verdana" w:hAnsi="Verdana"/>
          <w:i/>
          <w:iCs/>
          <w:sz w:val="17"/>
          <w:szCs w:val="17"/>
        </w:rPr>
        <w:t xml:space="preserve"> in the related undertaking for long period;</w:t>
      </w:r>
      <w:r w:rsidRPr="008838CC">
        <w:rPr>
          <w:rFonts w:ascii="Verdana" w:hAnsi="Verdana"/>
          <w:i/>
          <w:iCs/>
          <w:sz w:val="17"/>
          <w:szCs w:val="17"/>
        </w:rPr>
        <w:br/>
        <w:t>(iv) the existence of a durable link;</w:t>
      </w:r>
      <w:r w:rsidRPr="008838CC">
        <w:rPr>
          <w:rFonts w:ascii="Verdana" w:hAnsi="Verdana"/>
          <w:i/>
          <w:iCs/>
          <w:sz w:val="17"/>
          <w:szCs w:val="17"/>
        </w:rPr>
        <w:br/>
        <w:t xml:space="preserve">(v) </w:t>
      </w:r>
      <w:r w:rsidRPr="008838CC">
        <w:rPr>
          <w:rFonts w:ascii="Verdana" w:hAnsi="Verdana"/>
          <w:i/>
          <w:iCs/>
          <w:sz w:val="17"/>
          <w:szCs w:val="17"/>
          <w:u w:val="single"/>
        </w:rPr>
        <w:t>the commitment of the insurance or reinsurance undertaking in the company’s activities where a qualifying holding is held</w:t>
      </w:r>
      <w:r w:rsidRPr="008838CC">
        <w:rPr>
          <w:rFonts w:ascii="Verdana" w:hAnsi="Verdana"/>
          <w:i/>
          <w:iCs/>
          <w:sz w:val="17"/>
          <w:szCs w:val="17"/>
        </w:rPr>
        <w:br/>
        <w:t xml:space="preserve">(vi) where the insurance or reinsurance </w:t>
      </w:r>
      <w:r w:rsidRPr="008838CC">
        <w:rPr>
          <w:rFonts w:ascii="Verdana" w:hAnsi="Verdana"/>
          <w:i/>
          <w:iCs/>
          <w:strike/>
          <w:sz w:val="17"/>
          <w:szCs w:val="17"/>
        </w:rPr>
        <w:t>participating</w:t>
      </w:r>
      <w:r w:rsidRPr="008838CC">
        <w:rPr>
          <w:rFonts w:ascii="Verdana" w:hAnsi="Verdana"/>
          <w:i/>
          <w:iCs/>
          <w:sz w:val="17"/>
          <w:szCs w:val="17"/>
        </w:rPr>
        <w:t xml:space="preserve"> company that </w:t>
      </w:r>
      <w:r w:rsidRPr="008838CC">
        <w:rPr>
          <w:rFonts w:ascii="Verdana" w:hAnsi="Verdana"/>
          <w:i/>
          <w:iCs/>
          <w:sz w:val="17"/>
          <w:szCs w:val="17"/>
          <w:u w:val="single"/>
        </w:rPr>
        <w:t>owns the qualifying holding</w:t>
      </w:r>
      <w:r w:rsidRPr="008838CC">
        <w:rPr>
          <w:rFonts w:ascii="Verdana" w:hAnsi="Verdana"/>
          <w:i/>
          <w:iCs/>
          <w:sz w:val="17"/>
          <w:szCs w:val="17"/>
        </w:rPr>
        <w:t xml:space="preserve"> is part of a group, the consistency of such strategy with the main policies guiding or limiting the actions of the group. </w:t>
      </w:r>
    </w:p>
    <w:p w14:paraId="7EE07A1A" w14:textId="5EBB2873" w:rsidR="008E45C1" w:rsidRPr="008838CC" w:rsidRDefault="00AC4EFC" w:rsidP="008E45C1">
      <w:pPr>
        <w:pStyle w:val="Normlnywebov"/>
        <w:rPr>
          <w:rFonts w:ascii="Verdana" w:hAnsi="Verdana"/>
          <w:b/>
          <w:sz w:val="17"/>
          <w:szCs w:val="17"/>
          <w:u w:val="single"/>
        </w:rPr>
      </w:pPr>
      <w:r w:rsidRPr="008838CC">
        <w:rPr>
          <w:rFonts w:ascii="Verdana" w:hAnsi="Verdana"/>
          <w:b/>
          <w:sz w:val="17"/>
          <w:szCs w:val="17"/>
          <w:u w:val="single"/>
        </w:rPr>
        <w:t xml:space="preserve">Proposal 2: </w:t>
      </w:r>
      <w:r w:rsidR="00603AB4" w:rsidRPr="008838CC">
        <w:rPr>
          <w:rFonts w:ascii="Verdana" w:hAnsi="Verdana"/>
          <w:b/>
          <w:sz w:val="17"/>
          <w:szCs w:val="17"/>
          <w:u w:val="single"/>
        </w:rPr>
        <w:t>Amendments</w:t>
      </w:r>
      <w:r w:rsidRPr="008838CC">
        <w:rPr>
          <w:rFonts w:ascii="Verdana" w:hAnsi="Verdana"/>
          <w:b/>
          <w:sz w:val="17"/>
          <w:szCs w:val="17"/>
          <w:u w:val="single"/>
        </w:rPr>
        <w:t xml:space="preserve"> to the criteria for </w:t>
      </w:r>
      <w:r w:rsidR="00603AB4" w:rsidRPr="008838CC">
        <w:rPr>
          <w:rFonts w:ascii="Verdana" w:hAnsi="Verdana"/>
          <w:b/>
          <w:sz w:val="17"/>
          <w:szCs w:val="17"/>
          <w:u w:val="single"/>
        </w:rPr>
        <w:t>strategic participations</w:t>
      </w:r>
      <w:r w:rsidRPr="008838CC">
        <w:rPr>
          <w:rFonts w:ascii="Verdana" w:hAnsi="Verdana"/>
          <w:b/>
          <w:sz w:val="17"/>
          <w:szCs w:val="17"/>
          <w:u w:val="single"/>
        </w:rPr>
        <w:t xml:space="preserve"> in Article 171 of the Solvency II Delegated Regulation</w:t>
      </w:r>
    </w:p>
    <w:p w14:paraId="04B92691" w14:textId="77777777" w:rsidR="008E45C1" w:rsidRPr="008838CC" w:rsidRDefault="008E45C1" w:rsidP="008E45C1">
      <w:pPr>
        <w:autoSpaceDE w:val="0"/>
        <w:autoSpaceDN w:val="0"/>
        <w:adjustRightInd w:val="0"/>
        <w:rPr>
          <w:rFonts w:ascii="Verdana" w:hAnsi="Verdana"/>
          <w:sz w:val="17"/>
          <w:szCs w:val="17"/>
          <w:lang w:eastAsia="fr-FR"/>
        </w:rPr>
      </w:pPr>
      <w:r w:rsidRPr="008838CC">
        <w:rPr>
          <w:rFonts w:ascii="Verdana" w:hAnsi="Verdana"/>
          <w:sz w:val="17"/>
          <w:szCs w:val="17"/>
          <w:lang w:eastAsia="fr-FR"/>
        </w:rPr>
        <w:t>The long-term holding capacity of insurers in relation to equity investments should be taken into account in Solvency II. One way to achieve that is to create a specific risk module with specific treatment based on objective conditions ensuring long term holding and management of these assets, as proposed above.</w:t>
      </w:r>
    </w:p>
    <w:p w14:paraId="21C32CCC" w14:textId="77777777" w:rsidR="008E45C1" w:rsidRPr="008838CC" w:rsidRDefault="008E45C1" w:rsidP="008E45C1">
      <w:pPr>
        <w:autoSpaceDE w:val="0"/>
        <w:autoSpaceDN w:val="0"/>
        <w:adjustRightInd w:val="0"/>
        <w:rPr>
          <w:rFonts w:ascii="Verdana" w:hAnsi="Verdana"/>
          <w:sz w:val="17"/>
          <w:szCs w:val="17"/>
          <w:lang w:eastAsia="fr-FR"/>
        </w:rPr>
      </w:pPr>
    </w:p>
    <w:p w14:paraId="4E094A8A" w14:textId="5CBCE6F9" w:rsidR="008E45C1" w:rsidRPr="008838CC" w:rsidRDefault="008E45C1" w:rsidP="008E45C1">
      <w:pPr>
        <w:autoSpaceDE w:val="0"/>
        <w:autoSpaceDN w:val="0"/>
        <w:adjustRightInd w:val="0"/>
        <w:rPr>
          <w:rFonts w:ascii="Verdana" w:hAnsi="Verdana"/>
          <w:sz w:val="17"/>
          <w:szCs w:val="17"/>
          <w:lang w:eastAsia="fr-FR"/>
        </w:rPr>
      </w:pPr>
      <w:r w:rsidRPr="008838CC">
        <w:rPr>
          <w:rFonts w:ascii="Verdana" w:hAnsi="Verdana"/>
          <w:sz w:val="17"/>
          <w:szCs w:val="17"/>
          <w:lang w:eastAsia="fr-FR"/>
        </w:rPr>
        <w:t>An additional risk sub-module for Type 3 equities should be added in Article 168 of the Delegated Regulation.</w:t>
      </w:r>
    </w:p>
    <w:p w14:paraId="557D5D02" w14:textId="77777777" w:rsidR="008E45C1" w:rsidRPr="008838CC" w:rsidRDefault="008E45C1" w:rsidP="008E45C1">
      <w:pPr>
        <w:autoSpaceDE w:val="0"/>
        <w:autoSpaceDN w:val="0"/>
        <w:adjustRightInd w:val="0"/>
        <w:rPr>
          <w:rFonts w:ascii="Verdana" w:hAnsi="Verdana"/>
          <w:sz w:val="17"/>
          <w:szCs w:val="17"/>
          <w:lang w:eastAsia="fr-FR"/>
        </w:rPr>
      </w:pPr>
    </w:p>
    <w:p w14:paraId="4565FD81" w14:textId="77777777" w:rsidR="008E45C1" w:rsidRPr="008838CC" w:rsidRDefault="008E45C1" w:rsidP="008E45C1">
      <w:pPr>
        <w:autoSpaceDE w:val="0"/>
        <w:autoSpaceDN w:val="0"/>
        <w:adjustRightInd w:val="0"/>
        <w:rPr>
          <w:rFonts w:ascii="Verdana" w:hAnsi="Verdana"/>
          <w:sz w:val="17"/>
          <w:szCs w:val="17"/>
          <w:lang w:eastAsia="fr-FR"/>
        </w:rPr>
      </w:pPr>
      <w:r w:rsidRPr="008838CC">
        <w:rPr>
          <w:rFonts w:ascii="Verdana" w:hAnsi="Verdana"/>
          <w:sz w:val="17"/>
          <w:szCs w:val="17"/>
          <w:lang w:eastAsia="fr-FR"/>
        </w:rPr>
        <w:t xml:space="preserve">Qualification for Type 3 equity treatment should be contingent on the weighted average duration of the liabilities exceeding an average of 6 years. This treatment is based on the same methodology introduced in the Solvency II Directive for the </w:t>
      </w:r>
      <w:hyperlink r:id="rId15" w:history="1">
        <w:r w:rsidRPr="008838CC">
          <w:rPr>
            <w:rStyle w:val="Hypertextovprepojenie"/>
            <w:rFonts w:ascii="Verdana" w:hAnsi="Verdana"/>
            <w:sz w:val="17"/>
            <w:szCs w:val="17"/>
          </w:rPr>
          <w:t>duration- based approach</w:t>
        </w:r>
      </w:hyperlink>
      <w:r w:rsidRPr="008838CC">
        <w:rPr>
          <w:rFonts w:ascii="Verdana" w:hAnsi="Verdana"/>
          <w:sz w:val="17"/>
          <w:szCs w:val="17"/>
          <w:lang w:eastAsia="fr-FR"/>
        </w:rPr>
        <w:t>.</w:t>
      </w:r>
    </w:p>
    <w:p w14:paraId="74BB074A" w14:textId="77777777" w:rsidR="008E45C1" w:rsidRPr="008838CC" w:rsidRDefault="008E45C1" w:rsidP="008E45C1">
      <w:pPr>
        <w:autoSpaceDE w:val="0"/>
        <w:autoSpaceDN w:val="0"/>
        <w:adjustRightInd w:val="0"/>
        <w:rPr>
          <w:rFonts w:ascii="Verdana" w:hAnsi="Verdana"/>
          <w:sz w:val="17"/>
          <w:szCs w:val="17"/>
          <w:lang w:eastAsia="fr-FR"/>
        </w:rPr>
      </w:pPr>
    </w:p>
    <w:p w14:paraId="4613A263" w14:textId="77777777" w:rsidR="008E45C1" w:rsidRPr="008838CC" w:rsidRDefault="008E45C1" w:rsidP="008E45C1">
      <w:pPr>
        <w:autoSpaceDE w:val="0"/>
        <w:autoSpaceDN w:val="0"/>
        <w:adjustRightInd w:val="0"/>
        <w:rPr>
          <w:rFonts w:ascii="Verdana" w:hAnsi="Verdana"/>
          <w:sz w:val="17"/>
          <w:szCs w:val="17"/>
          <w:lang w:eastAsia="fr-FR"/>
        </w:rPr>
      </w:pPr>
      <w:r w:rsidRPr="008838CC">
        <w:rPr>
          <w:rFonts w:ascii="Verdana" w:hAnsi="Verdana"/>
          <w:sz w:val="17"/>
          <w:szCs w:val="17"/>
          <w:lang w:eastAsia="fr-FR"/>
        </w:rPr>
        <w:t>Type 3 equities shall refer to an equity holding or portfolio, held directly or indirectly, for which an insurer can demonstrate its willingness and ability to manage and hold it over the long-term.</w:t>
      </w:r>
    </w:p>
    <w:p w14:paraId="7A497738" w14:textId="77777777" w:rsidR="008E45C1" w:rsidRPr="008838CC" w:rsidRDefault="008E45C1" w:rsidP="008E45C1">
      <w:pPr>
        <w:pStyle w:val="CEABullet-Level1"/>
        <w:numPr>
          <w:ilvl w:val="0"/>
          <w:numId w:val="17"/>
        </w:numPr>
        <w:adjustRightInd w:val="0"/>
        <w:rPr>
          <w:lang w:eastAsia="fr-FR"/>
        </w:rPr>
      </w:pPr>
      <w:r w:rsidRPr="008838CC">
        <w:rPr>
          <w:lang w:eastAsia="fr-FR"/>
        </w:rPr>
        <w:t xml:space="preserve">The undertaking’s long-term holding capacity in relation to the equity portfolio shall be demonstrated by a prospective liquidity analysis. </w:t>
      </w:r>
    </w:p>
    <w:p w14:paraId="6F6F9594" w14:textId="77777777" w:rsidR="008E45C1" w:rsidRPr="008838CC" w:rsidRDefault="008E45C1" w:rsidP="008E45C1">
      <w:pPr>
        <w:pStyle w:val="CEABullet-Level1"/>
        <w:numPr>
          <w:ilvl w:val="0"/>
          <w:numId w:val="17"/>
        </w:numPr>
        <w:adjustRightInd w:val="0"/>
        <w:rPr>
          <w:lang w:eastAsia="fr-FR"/>
        </w:rPr>
      </w:pPr>
      <w:r w:rsidRPr="008838CC">
        <w:rPr>
          <w:lang w:eastAsia="fr-FR"/>
        </w:rPr>
        <w:t>The demonstration can be based on criteria of ability of holding the equity portfolio over the long term are met even in stressed market conditions and described in the Own Risk and Solvency Assessment (ORSA)</w:t>
      </w:r>
    </w:p>
    <w:p w14:paraId="26CA40E2" w14:textId="77777777" w:rsidR="008E45C1" w:rsidRPr="008838CC" w:rsidRDefault="008E45C1" w:rsidP="008E45C1">
      <w:pPr>
        <w:pStyle w:val="CEABullet-Level1"/>
        <w:numPr>
          <w:ilvl w:val="0"/>
          <w:numId w:val="17"/>
        </w:numPr>
        <w:adjustRightInd w:val="0"/>
        <w:rPr>
          <w:lang w:eastAsia="fr-FR"/>
        </w:rPr>
      </w:pPr>
      <w:r w:rsidRPr="008838CC">
        <w:rPr>
          <w:lang w:eastAsia="fr-FR"/>
        </w:rPr>
        <w:t>This is envisioned as a comparison between a deterministic scenario, projecting future financial flows under normal operating conditions and a stressed scenario, with shocks applied to the following variables: mortality, decrease in premiums and financial income, increase in incurred costs and an increase in lapse rate (ie discontinuance of a large portion of insurance policies).</w:t>
      </w:r>
    </w:p>
    <w:p w14:paraId="3827EA28" w14:textId="77777777" w:rsidR="008E45C1" w:rsidRPr="008838CC" w:rsidRDefault="008E45C1" w:rsidP="008E45C1">
      <w:pPr>
        <w:autoSpaceDE w:val="0"/>
        <w:autoSpaceDN w:val="0"/>
        <w:adjustRightInd w:val="0"/>
        <w:rPr>
          <w:rFonts w:ascii="Verdana" w:hAnsi="Verdana"/>
          <w:sz w:val="17"/>
          <w:szCs w:val="17"/>
          <w:lang w:eastAsia="fr-FR"/>
        </w:rPr>
      </w:pPr>
    </w:p>
    <w:p w14:paraId="6E4EC204" w14:textId="77777777" w:rsidR="008E45C1" w:rsidRPr="008838CC" w:rsidRDefault="008E45C1" w:rsidP="008E45C1">
      <w:pPr>
        <w:autoSpaceDE w:val="0"/>
        <w:autoSpaceDN w:val="0"/>
        <w:adjustRightInd w:val="0"/>
        <w:rPr>
          <w:rFonts w:ascii="Verdana" w:hAnsi="Verdana"/>
          <w:sz w:val="17"/>
          <w:szCs w:val="17"/>
          <w:lang w:eastAsia="fr-FR"/>
        </w:rPr>
      </w:pPr>
      <w:r w:rsidRPr="008838CC">
        <w:rPr>
          <w:rFonts w:ascii="Verdana" w:hAnsi="Verdana"/>
          <w:sz w:val="17"/>
          <w:szCs w:val="17"/>
          <w:lang w:eastAsia="fr-FR"/>
        </w:rPr>
        <w:t>The undertaking shall provide the following information to the competent authority to further demonstrate the long-term nature of the equity investment strategy:</w:t>
      </w:r>
    </w:p>
    <w:p w14:paraId="5E760A37" w14:textId="77777777" w:rsidR="008E45C1" w:rsidRPr="008838CC" w:rsidRDefault="008E45C1" w:rsidP="008E45C1">
      <w:pPr>
        <w:pStyle w:val="CEABullet-Level1"/>
        <w:numPr>
          <w:ilvl w:val="0"/>
          <w:numId w:val="18"/>
        </w:numPr>
        <w:adjustRightInd w:val="0"/>
        <w:rPr>
          <w:lang w:eastAsia="fr-FR"/>
        </w:rPr>
      </w:pPr>
      <w:r w:rsidRPr="008838CC">
        <w:rPr>
          <w:lang w:eastAsia="fr-FR"/>
        </w:rPr>
        <w:t>Investment policy, investment rules and arrangements with asset manager</w:t>
      </w:r>
    </w:p>
    <w:p w14:paraId="7172B612" w14:textId="77777777" w:rsidR="008E45C1" w:rsidRPr="008838CC" w:rsidRDefault="008E45C1" w:rsidP="008E45C1">
      <w:pPr>
        <w:pStyle w:val="CEABullet-Level1"/>
        <w:numPr>
          <w:ilvl w:val="0"/>
          <w:numId w:val="18"/>
        </w:numPr>
        <w:adjustRightInd w:val="0"/>
        <w:rPr>
          <w:lang w:eastAsia="fr-FR"/>
        </w:rPr>
      </w:pPr>
      <w:r w:rsidRPr="008838CC">
        <w:rPr>
          <w:lang w:eastAsia="fr-FR"/>
        </w:rPr>
        <w:t>Asset-liability management policy</w:t>
      </w:r>
    </w:p>
    <w:p w14:paraId="58BFC56D" w14:textId="77777777" w:rsidR="008E45C1" w:rsidRPr="008838CC" w:rsidRDefault="008E45C1" w:rsidP="008E45C1">
      <w:pPr>
        <w:pStyle w:val="CEABullet-Level1"/>
        <w:numPr>
          <w:ilvl w:val="0"/>
          <w:numId w:val="18"/>
        </w:numPr>
        <w:adjustRightInd w:val="0"/>
        <w:rPr>
          <w:lang w:eastAsia="fr-FR"/>
        </w:rPr>
      </w:pPr>
      <w:r w:rsidRPr="008838CC">
        <w:rPr>
          <w:lang w:eastAsia="fr-FR"/>
        </w:rPr>
        <w:t>Description of the internal process and procedures in place to ensure the long-term nature of the equity portfolio</w:t>
      </w:r>
    </w:p>
    <w:p w14:paraId="5005CE39" w14:textId="77777777" w:rsidR="008E45C1" w:rsidRPr="008838CC" w:rsidRDefault="008E45C1" w:rsidP="008E45C1">
      <w:pPr>
        <w:autoSpaceDE w:val="0"/>
        <w:autoSpaceDN w:val="0"/>
        <w:adjustRightInd w:val="0"/>
        <w:rPr>
          <w:rFonts w:ascii="Verdana" w:hAnsi="Verdana"/>
          <w:sz w:val="17"/>
          <w:szCs w:val="17"/>
          <w:lang w:eastAsia="fr-FR"/>
        </w:rPr>
      </w:pPr>
    </w:p>
    <w:p w14:paraId="09C54291" w14:textId="77777777" w:rsidR="008E45C1" w:rsidRPr="008838CC" w:rsidRDefault="008E45C1" w:rsidP="008E45C1">
      <w:pPr>
        <w:autoSpaceDE w:val="0"/>
        <w:autoSpaceDN w:val="0"/>
        <w:adjustRightInd w:val="0"/>
        <w:rPr>
          <w:rFonts w:ascii="Verdana" w:hAnsi="Verdana"/>
          <w:sz w:val="17"/>
          <w:szCs w:val="17"/>
          <w:lang w:eastAsia="fr-FR"/>
        </w:rPr>
      </w:pPr>
      <w:r w:rsidRPr="008838CC">
        <w:rPr>
          <w:rFonts w:ascii="Verdana" w:hAnsi="Verdana"/>
          <w:sz w:val="17"/>
          <w:szCs w:val="17"/>
          <w:lang w:eastAsia="fr-FR"/>
        </w:rPr>
        <w:t>The capital requirement for type 3 equities shall be equal to the loss in the basic own funds that would result from an instantaneous decrease in the value of type 3 equities. This instantaneous decrease shall be based on the following formula:</w:t>
      </w:r>
    </w:p>
    <w:p w14:paraId="6F9770B1" w14:textId="77777777" w:rsidR="008E45C1" w:rsidRPr="008838CC" w:rsidRDefault="008E45C1" w:rsidP="008E45C1">
      <w:pPr>
        <w:autoSpaceDE w:val="0"/>
        <w:autoSpaceDN w:val="0"/>
        <w:adjustRightInd w:val="0"/>
        <w:rPr>
          <w:rFonts w:ascii="Verdana" w:hAnsi="Verdana" w:cs="Courier New"/>
          <w:sz w:val="17"/>
          <w:szCs w:val="17"/>
          <w:lang w:eastAsia="fr-FR"/>
        </w:rPr>
      </w:pPr>
    </w:p>
    <w:p w14:paraId="1FCB2319" w14:textId="77777777" w:rsidR="008E45C1" w:rsidRPr="008838CC" w:rsidRDefault="008E45C1" w:rsidP="008E45C1">
      <w:pPr>
        <w:autoSpaceDE w:val="0"/>
        <w:autoSpaceDN w:val="0"/>
        <w:adjustRightInd w:val="0"/>
        <w:rPr>
          <w:rFonts w:ascii="Verdana" w:eastAsiaTheme="minorHAnsi" w:hAnsi="Verdana"/>
          <w:sz w:val="17"/>
          <w:szCs w:val="17"/>
          <w:lang w:eastAsia="fr-FR"/>
        </w:rPr>
      </w:pPr>
      <m:oMathPara>
        <m:oMath>
          <m:r>
            <w:rPr>
              <w:rFonts w:ascii="Cambria Math" w:hAnsi="Cambria Math"/>
              <w:sz w:val="17"/>
              <w:szCs w:val="17"/>
              <w:lang w:eastAsia="fr-FR"/>
            </w:rPr>
            <m:t>Ins</m:t>
          </m:r>
          <m:r>
            <w:rPr>
              <w:rFonts w:ascii="Cambria Math" w:hAnsi="Cambria Math" w:cs="Cambria Math"/>
              <w:sz w:val="17"/>
              <w:szCs w:val="17"/>
              <w:lang w:eastAsia="fr-FR"/>
            </w:rPr>
            <m:t>t</m:t>
          </m:r>
          <m:r>
            <w:rPr>
              <w:rFonts w:ascii="Cambria Math" w:hAnsi="Cambria Math"/>
              <w:sz w:val="17"/>
              <w:szCs w:val="17"/>
              <w:lang w:eastAsia="fr-FR"/>
            </w:rPr>
            <m:t>_Decrease  (incl sym_adj)=</m:t>
          </m:r>
          <m:d>
            <m:dPr>
              <m:ctrlPr>
                <w:rPr>
                  <w:rFonts w:ascii="Cambria Math" w:hAnsi="Cambria Math"/>
                  <w:i/>
                  <w:sz w:val="17"/>
                  <w:szCs w:val="17"/>
                  <w:lang w:eastAsia="fr-FR"/>
                </w:rPr>
              </m:ctrlPr>
            </m:dPr>
            <m:e>
              <m:r>
                <w:rPr>
                  <w:rFonts w:ascii="Cambria Math" w:hAnsi="Cambria Math"/>
                  <w:sz w:val="17"/>
                  <w:szCs w:val="17"/>
                  <w:lang w:eastAsia="fr-FR"/>
                </w:rPr>
                <m:t>39%+sym_adj</m:t>
              </m:r>
            </m:e>
          </m:d>
          <m:r>
            <w:rPr>
              <w:rFonts w:ascii="Cambria Math" w:hAnsi="Cambria Math"/>
              <w:sz w:val="17"/>
              <w:szCs w:val="17"/>
              <w:lang w:eastAsia="fr-FR"/>
            </w:rPr>
            <m:t>-</m:t>
          </m:r>
          <m:f>
            <m:fPr>
              <m:ctrlPr>
                <w:rPr>
                  <w:rFonts w:ascii="Cambria Math" w:hAnsi="Cambria Math"/>
                  <w:i/>
                  <w:sz w:val="17"/>
                  <w:szCs w:val="17"/>
                  <w:lang w:eastAsia="fr-FR"/>
                </w:rPr>
              </m:ctrlPr>
            </m:fPr>
            <m:num>
              <m:d>
                <m:dPr>
                  <m:ctrlPr>
                    <w:rPr>
                      <w:rFonts w:ascii="Cambria Math" w:hAnsi="Cambria Math"/>
                      <w:i/>
                      <w:sz w:val="17"/>
                      <w:szCs w:val="17"/>
                      <w:lang w:eastAsia="fr-FR"/>
                    </w:rPr>
                  </m:ctrlPr>
                </m:dPr>
                <m:e>
                  <m:r>
                    <w:rPr>
                      <w:rFonts w:ascii="Cambria Math" w:hAnsi="Cambria Math"/>
                      <w:sz w:val="17"/>
                      <w:szCs w:val="17"/>
                      <w:lang w:eastAsia="fr-FR"/>
                    </w:rPr>
                    <m:t>39%+sym_adj</m:t>
                  </m:r>
                </m:e>
              </m:d>
              <m:r>
                <w:rPr>
                  <w:rFonts w:ascii="Cambria Math" w:hAnsi="Cambria Math"/>
                  <w:sz w:val="17"/>
                  <w:szCs w:val="17"/>
                  <w:lang w:eastAsia="fr-FR"/>
                </w:rPr>
                <m:t>-22%</m:t>
              </m:r>
            </m:num>
            <m:den>
              <m:r>
                <w:rPr>
                  <w:rFonts w:ascii="Cambria Math" w:hAnsi="Cambria Math"/>
                  <w:sz w:val="17"/>
                  <w:szCs w:val="17"/>
                  <w:lang w:eastAsia="fr-FR"/>
                </w:rPr>
                <m:t>6</m:t>
              </m:r>
            </m:den>
          </m:f>
          <m:r>
            <w:rPr>
              <w:rFonts w:ascii="Cambria Math" w:hAnsi="Cambria Math"/>
              <w:sz w:val="17"/>
              <w:szCs w:val="17"/>
              <w:lang w:eastAsia="fr-FR"/>
            </w:rPr>
            <m:t xml:space="preserve"> ×(average_duration -6)</m:t>
          </m:r>
        </m:oMath>
      </m:oMathPara>
    </w:p>
    <w:p w14:paraId="4F0E4608" w14:textId="77777777" w:rsidR="008E45C1" w:rsidRPr="008838CC" w:rsidRDefault="008E45C1" w:rsidP="008E45C1">
      <w:pPr>
        <w:autoSpaceDE w:val="0"/>
        <w:autoSpaceDN w:val="0"/>
        <w:adjustRightInd w:val="0"/>
        <w:rPr>
          <w:rFonts w:ascii="Verdana" w:hAnsi="Verdana"/>
          <w:sz w:val="17"/>
          <w:szCs w:val="17"/>
          <w:lang w:eastAsia="fr-FR"/>
        </w:rPr>
      </w:pPr>
    </w:p>
    <w:p w14:paraId="7066045C" w14:textId="23326F97" w:rsidR="008E45C1" w:rsidRPr="008838CC" w:rsidRDefault="008E45C1" w:rsidP="00644F0A">
      <w:pPr>
        <w:spacing w:line="276" w:lineRule="auto"/>
        <w:rPr>
          <w:rFonts w:ascii="Verdana" w:hAnsi="Verdana"/>
          <w:color w:val="000000"/>
          <w:sz w:val="17"/>
          <w:szCs w:val="17"/>
        </w:rPr>
      </w:pPr>
    </w:p>
    <w:p w14:paraId="2CEFFFC2" w14:textId="77777777" w:rsidR="00FA3DAB" w:rsidRPr="008838CC" w:rsidRDefault="00FA3DAB" w:rsidP="00644F0A">
      <w:pPr>
        <w:spacing w:line="276" w:lineRule="auto"/>
        <w:rPr>
          <w:rFonts w:ascii="Verdana" w:hAnsi="Verdana"/>
          <w:b/>
          <w:color w:val="000000"/>
          <w:sz w:val="17"/>
          <w:szCs w:val="17"/>
          <w:u w:val="single"/>
        </w:rPr>
      </w:pPr>
    </w:p>
    <w:p w14:paraId="37DFD992"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12.2</w:t>
      </w:r>
    </w:p>
    <w:p w14:paraId="154B9B0E" w14:textId="77777777" w:rsidR="00923C96" w:rsidRPr="008838CC" w:rsidRDefault="00923C96" w:rsidP="00644F0A">
      <w:pPr>
        <w:spacing w:line="276" w:lineRule="auto"/>
        <w:rPr>
          <w:rFonts w:ascii="Verdana" w:hAnsi="Verdana"/>
          <w:b/>
          <w:color w:val="000000"/>
          <w:sz w:val="17"/>
          <w:szCs w:val="17"/>
          <w:u w:val="single"/>
        </w:rPr>
      </w:pPr>
    </w:p>
    <w:p w14:paraId="21AA80E5" w14:textId="7981E83F"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12.3</w:t>
      </w:r>
      <w:r w:rsidR="00FA0FFD">
        <w:rPr>
          <w:rFonts w:ascii="Verdana" w:hAnsi="Verdana"/>
          <w:b/>
          <w:color w:val="000000"/>
          <w:sz w:val="17"/>
          <w:szCs w:val="17"/>
          <w:u w:val="single"/>
        </w:rPr>
        <w:t xml:space="preserve"> Responses provided by NSAs on strategic equity investments</w:t>
      </w:r>
    </w:p>
    <w:p w14:paraId="44411F4F" w14:textId="5AF67CC3" w:rsidR="00FA3DAB" w:rsidRPr="008838CC" w:rsidRDefault="00FA3DAB" w:rsidP="00644F0A">
      <w:pPr>
        <w:spacing w:line="276" w:lineRule="auto"/>
        <w:rPr>
          <w:rFonts w:ascii="Verdana" w:hAnsi="Verdana"/>
          <w:color w:val="000000"/>
          <w:sz w:val="17"/>
          <w:szCs w:val="17"/>
        </w:rPr>
      </w:pPr>
      <w:r w:rsidRPr="008838CC">
        <w:rPr>
          <w:rFonts w:ascii="Verdana" w:hAnsi="Verdana"/>
          <w:color w:val="000000"/>
          <w:sz w:val="17"/>
          <w:szCs w:val="17"/>
        </w:rPr>
        <w:t>Insurance Europe welcomes the investigation made by EIOPA into how the criteria for strategic participations are applied in practice. Emerging feedback from NSAs confirms in fact some of</w:t>
      </w:r>
      <w:r w:rsidR="00387D7F" w:rsidRPr="008838CC">
        <w:rPr>
          <w:rFonts w:ascii="Verdana" w:hAnsi="Verdana"/>
          <w:color w:val="000000"/>
          <w:sz w:val="17"/>
          <w:szCs w:val="17"/>
        </w:rPr>
        <w:t xml:space="preserve"> </w:t>
      </w:r>
      <w:r w:rsidRPr="008838CC">
        <w:rPr>
          <w:rFonts w:ascii="Verdana" w:hAnsi="Verdana"/>
          <w:color w:val="000000"/>
          <w:sz w:val="17"/>
          <w:szCs w:val="17"/>
        </w:rPr>
        <w:t>the difficulties that undertaking</w:t>
      </w:r>
      <w:r w:rsidR="00387D7F" w:rsidRPr="008838CC">
        <w:rPr>
          <w:rFonts w:ascii="Verdana" w:hAnsi="Verdana"/>
          <w:color w:val="000000"/>
          <w:sz w:val="17"/>
          <w:szCs w:val="17"/>
        </w:rPr>
        <w:t>s</w:t>
      </w:r>
      <w:r w:rsidRPr="008838CC">
        <w:rPr>
          <w:rFonts w:ascii="Verdana" w:hAnsi="Verdana"/>
          <w:color w:val="000000"/>
          <w:sz w:val="17"/>
          <w:szCs w:val="17"/>
        </w:rPr>
        <w:t xml:space="preserve"> face in practice when it comes to validating the „strategic participation“ status of an asset holding against the prescribed criteria.</w:t>
      </w:r>
    </w:p>
    <w:p w14:paraId="4AF76421" w14:textId="6C45CA20" w:rsidR="00387D7F" w:rsidRPr="008838CC" w:rsidRDefault="00387D7F" w:rsidP="00387D7F">
      <w:pPr>
        <w:pStyle w:val="Normlnywebov"/>
        <w:rPr>
          <w:rFonts w:ascii="Verdana" w:hAnsi="Verdana"/>
          <w:sz w:val="17"/>
          <w:szCs w:val="17"/>
        </w:rPr>
      </w:pPr>
      <w:r w:rsidRPr="008838CC">
        <w:rPr>
          <w:rFonts w:ascii="Verdana" w:hAnsi="Verdana"/>
          <w:color w:val="000000"/>
          <w:sz w:val="17"/>
          <w:szCs w:val="17"/>
          <w:lang w:val="de-DE" w:eastAsia="de-DE"/>
        </w:rPr>
        <w:t xml:space="preserve">As previously highlighted, Insurance Europe believes that </w:t>
      </w:r>
      <w:r w:rsidRPr="008838CC">
        <w:rPr>
          <w:rFonts w:ascii="Verdana" w:hAnsi="Verdana"/>
          <w:sz w:val="17"/>
          <w:szCs w:val="17"/>
        </w:rPr>
        <w:t xml:space="preserve">the qualifying holding criteria for the strategic participations introduced in Solvency II are restrictive and inconsistent with market reality and the nature of these assets. </w:t>
      </w:r>
      <w:r w:rsidR="00B5515C" w:rsidRPr="008838CC">
        <w:rPr>
          <w:rFonts w:ascii="Verdana" w:hAnsi="Verdana"/>
          <w:sz w:val="17"/>
          <w:szCs w:val="17"/>
        </w:rPr>
        <w:t>Please refer to answer to comments above on how the framework can be improved by adjusting the criteria.</w:t>
      </w:r>
    </w:p>
    <w:p w14:paraId="251F9647"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12.3.1</w:t>
      </w:r>
    </w:p>
    <w:p w14:paraId="4C98DE48" w14:textId="77777777" w:rsidR="004A6BE2" w:rsidRPr="008838CC" w:rsidRDefault="004A6BE2" w:rsidP="00644F0A">
      <w:pPr>
        <w:spacing w:line="276" w:lineRule="auto"/>
        <w:rPr>
          <w:rFonts w:ascii="Verdana" w:hAnsi="Verdana"/>
          <w:b/>
          <w:color w:val="000000"/>
          <w:sz w:val="17"/>
          <w:szCs w:val="17"/>
          <w:u w:val="single"/>
        </w:rPr>
      </w:pPr>
    </w:p>
    <w:p w14:paraId="47D4E767"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12.3.2</w:t>
      </w:r>
    </w:p>
    <w:p w14:paraId="7F2C8D23" w14:textId="77777777" w:rsidR="004A6BE2" w:rsidRPr="008838CC" w:rsidRDefault="004A6BE2" w:rsidP="00644F0A">
      <w:pPr>
        <w:spacing w:line="276" w:lineRule="auto"/>
        <w:rPr>
          <w:rFonts w:ascii="Verdana" w:hAnsi="Verdana"/>
          <w:b/>
          <w:color w:val="000000"/>
          <w:sz w:val="17"/>
          <w:szCs w:val="17"/>
          <w:u w:val="single"/>
        </w:rPr>
      </w:pPr>
    </w:p>
    <w:p w14:paraId="4DBE2A71" w14:textId="033B0235"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12.3.3</w:t>
      </w:r>
      <w:r w:rsidR="00FA0FFD">
        <w:rPr>
          <w:rFonts w:ascii="Verdana" w:hAnsi="Verdana"/>
          <w:b/>
          <w:color w:val="000000"/>
          <w:sz w:val="17"/>
          <w:szCs w:val="17"/>
          <w:u w:val="single"/>
        </w:rPr>
        <w:t xml:space="preserve"> Quantitative analysis</w:t>
      </w:r>
    </w:p>
    <w:p w14:paraId="51725413" w14:textId="582D6810" w:rsidR="004A6BE2" w:rsidRPr="008838CC" w:rsidRDefault="004A6BE2" w:rsidP="00644F0A">
      <w:pPr>
        <w:spacing w:line="276" w:lineRule="auto"/>
        <w:rPr>
          <w:rFonts w:ascii="Verdana" w:hAnsi="Verdana"/>
          <w:color w:val="000000"/>
          <w:sz w:val="17"/>
          <w:szCs w:val="17"/>
        </w:rPr>
      </w:pPr>
      <w:r w:rsidRPr="008838CC">
        <w:rPr>
          <w:rFonts w:ascii="Verdana" w:hAnsi="Verdana"/>
          <w:color w:val="000000"/>
          <w:sz w:val="17"/>
          <w:szCs w:val="17"/>
        </w:rPr>
        <w:t>Insurance Europe welcomes recognition of the strong link betwenn the investment amount and the holding period.</w:t>
      </w:r>
    </w:p>
    <w:p w14:paraId="136F0A98" w14:textId="77777777" w:rsidR="00A441FC" w:rsidRPr="008838CC" w:rsidRDefault="00A441FC" w:rsidP="00A441FC">
      <w:pPr>
        <w:pStyle w:val="Nadpis1"/>
        <w:rPr>
          <w:sz w:val="17"/>
          <w:szCs w:val="17"/>
          <w:lang w:eastAsia="en-GB"/>
        </w:rPr>
      </w:pPr>
      <w:r w:rsidRPr="008838CC">
        <w:rPr>
          <w:sz w:val="17"/>
          <w:szCs w:val="17"/>
        </w:rPr>
        <w:br w:type="page"/>
      </w:r>
      <w:bookmarkStart w:id="30" w:name="_Toc497908652"/>
      <w:r w:rsidRPr="008838CC">
        <w:rPr>
          <w:sz w:val="17"/>
          <w:szCs w:val="17"/>
        </w:rPr>
        <w:t xml:space="preserve">13. Simplification of </w:t>
      </w:r>
      <w:r w:rsidR="0018577F" w:rsidRPr="008838CC">
        <w:rPr>
          <w:sz w:val="17"/>
          <w:szCs w:val="17"/>
        </w:rPr>
        <w:t>counterparty default risk</w:t>
      </w:r>
      <w:bookmarkEnd w:id="30"/>
    </w:p>
    <w:p w14:paraId="25F61F05" w14:textId="335A9603"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13.1</w:t>
      </w:r>
      <w:r w:rsidR="006C6FF6" w:rsidRPr="008838CC">
        <w:rPr>
          <w:rFonts w:ascii="Verdana" w:hAnsi="Verdana"/>
          <w:b/>
          <w:color w:val="000000"/>
          <w:sz w:val="17"/>
          <w:szCs w:val="17"/>
          <w:u w:val="single"/>
        </w:rPr>
        <w:t xml:space="preserve"> Call for advice</w:t>
      </w:r>
    </w:p>
    <w:p w14:paraId="7487CD18" w14:textId="22D6E90E" w:rsidR="009D7CD3" w:rsidRPr="008838CC" w:rsidRDefault="009D7CD3" w:rsidP="00531E62">
      <w:pPr>
        <w:spacing w:line="276" w:lineRule="auto"/>
        <w:jc w:val="both"/>
        <w:rPr>
          <w:rFonts w:ascii="Verdana" w:hAnsi="Verdana"/>
          <w:color w:val="000000"/>
          <w:sz w:val="17"/>
          <w:szCs w:val="17"/>
        </w:rPr>
      </w:pPr>
      <w:r w:rsidRPr="008838CC">
        <w:rPr>
          <w:rFonts w:ascii="Verdana" w:hAnsi="Verdana"/>
          <w:color w:val="000000"/>
          <w:sz w:val="17"/>
          <w:szCs w:val="17"/>
        </w:rPr>
        <w:t>Insurance Europe welcome the Commission’s request for EIOPA to assess if the complexity of the counterparty default risk submodule is proportionate to the nature, scale and complexity of these risks and to develop a simpler structure, where appropriate.</w:t>
      </w:r>
    </w:p>
    <w:p w14:paraId="29B795D4" w14:textId="1F83F03B" w:rsidR="009D7CD3" w:rsidRPr="008838CC" w:rsidRDefault="009D7CD3" w:rsidP="00531E62">
      <w:pPr>
        <w:spacing w:line="276" w:lineRule="auto"/>
        <w:jc w:val="both"/>
        <w:rPr>
          <w:rFonts w:ascii="Verdana" w:hAnsi="Verdana"/>
          <w:color w:val="000000"/>
          <w:sz w:val="17"/>
          <w:szCs w:val="17"/>
        </w:rPr>
      </w:pPr>
    </w:p>
    <w:p w14:paraId="23A3C2EE" w14:textId="4670D180" w:rsidR="009D7CD3" w:rsidRPr="008838CC" w:rsidRDefault="009D7CD3" w:rsidP="00531E62">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is disappointed that EIOPA has not elected to simplify the overall structure of the submodule. The evidence put forward by EIOPA </w:t>
      </w:r>
      <w:r w:rsidR="00982D25" w:rsidRPr="008838CC">
        <w:rPr>
          <w:rFonts w:ascii="Verdana" w:hAnsi="Verdana"/>
          <w:color w:val="000000"/>
          <w:sz w:val="17"/>
          <w:szCs w:val="17"/>
        </w:rPr>
        <w:t xml:space="preserve">(eg the extensive use of simplifications, EIOPA’s assertion that “counterparty default risk is not a major risk”) </w:t>
      </w:r>
      <w:r w:rsidRPr="008838CC">
        <w:rPr>
          <w:rFonts w:ascii="Verdana" w:hAnsi="Verdana"/>
          <w:color w:val="000000"/>
          <w:sz w:val="17"/>
          <w:szCs w:val="17"/>
        </w:rPr>
        <w:t xml:space="preserve">supports </w:t>
      </w:r>
      <w:r w:rsidR="00531E62" w:rsidRPr="008838CC">
        <w:rPr>
          <w:rFonts w:ascii="Verdana" w:hAnsi="Verdana"/>
          <w:bCs/>
          <w:color w:val="000000"/>
          <w:sz w:val="17"/>
          <w:szCs w:val="17"/>
        </w:rPr>
        <w:t>thorough</w:t>
      </w:r>
      <w:r w:rsidRPr="008838CC">
        <w:rPr>
          <w:rFonts w:ascii="Verdana" w:hAnsi="Verdana"/>
          <w:color w:val="000000"/>
          <w:sz w:val="17"/>
          <w:szCs w:val="17"/>
        </w:rPr>
        <w:t xml:space="preserve"> simplification to the structure of t</w:t>
      </w:r>
      <w:r w:rsidR="00982D25" w:rsidRPr="008838CC">
        <w:rPr>
          <w:rFonts w:ascii="Verdana" w:hAnsi="Verdana"/>
          <w:color w:val="000000"/>
          <w:sz w:val="17"/>
          <w:szCs w:val="17"/>
        </w:rPr>
        <w:t>he submodule.</w:t>
      </w:r>
      <w:r w:rsidR="0091137C" w:rsidRPr="008838CC">
        <w:rPr>
          <w:rFonts w:ascii="Verdana" w:hAnsi="Verdana"/>
          <w:bCs/>
          <w:color w:val="000000"/>
          <w:sz w:val="17"/>
          <w:szCs w:val="17"/>
        </w:rPr>
        <w:t xml:space="preserve"> Insurance Europe further believes that changes to the derivatives markets and, in particular, the introduction of EMIR substantiates the proposal for a fundamental evaluation of this submodule.</w:t>
      </w:r>
    </w:p>
    <w:p w14:paraId="00C7B54F" w14:textId="3A316ED3" w:rsidR="00982D25" w:rsidRPr="008838CC" w:rsidRDefault="00982D25" w:rsidP="00531E62">
      <w:pPr>
        <w:spacing w:line="276" w:lineRule="auto"/>
        <w:jc w:val="both"/>
        <w:rPr>
          <w:rFonts w:ascii="Verdana" w:hAnsi="Verdana"/>
          <w:color w:val="000000"/>
          <w:sz w:val="17"/>
          <w:szCs w:val="17"/>
        </w:rPr>
      </w:pPr>
    </w:p>
    <w:p w14:paraId="15755FF5" w14:textId="7D16C9F0" w:rsidR="00982D25" w:rsidRPr="008838CC" w:rsidRDefault="00862D23" w:rsidP="00E129E7">
      <w:pPr>
        <w:spacing w:line="276" w:lineRule="auto"/>
        <w:jc w:val="both"/>
        <w:rPr>
          <w:rFonts w:ascii="Verdana" w:hAnsi="Verdana"/>
          <w:color w:val="000000"/>
          <w:sz w:val="17"/>
          <w:szCs w:val="17"/>
        </w:rPr>
      </w:pPr>
      <w:r w:rsidRPr="008838CC">
        <w:rPr>
          <w:rFonts w:ascii="Verdana" w:hAnsi="Verdana"/>
          <w:bCs/>
          <w:color w:val="000000"/>
          <w:sz w:val="17"/>
          <w:szCs w:val="17"/>
        </w:rPr>
        <w:t xml:space="preserve">However, Insurance Europe </w:t>
      </w:r>
      <w:r w:rsidR="00662531" w:rsidRPr="008838CC">
        <w:rPr>
          <w:rFonts w:ascii="Verdana" w:hAnsi="Verdana"/>
          <w:bCs/>
          <w:color w:val="000000"/>
          <w:sz w:val="17"/>
          <w:szCs w:val="17"/>
        </w:rPr>
        <w:t xml:space="preserve">acknowledges EIOPA’s efforts in the development of </w:t>
      </w:r>
      <w:r w:rsidR="00280C3E" w:rsidRPr="008838CC">
        <w:rPr>
          <w:rFonts w:ascii="Verdana" w:hAnsi="Verdana"/>
          <w:bCs/>
          <w:color w:val="000000"/>
          <w:sz w:val="17"/>
          <w:szCs w:val="17"/>
        </w:rPr>
        <w:t xml:space="preserve">a number of </w:t>
      </w:r>
      <w:r w:rsidR="00662531" w:rsidRPr="008838CC">
        <w:rPr>
          <w:rFonts w:ascii="Verdana" w:hAnsi="Verdana"/>
          <w:bCs/>
          <w:color w:val="000000"/>
          <w:sz w:val="17"/>
          <w:szCs w:val="17"/>
        </w:rPr>
        <w:t xml:space="preserve">optional and prudent </w:t>
      </w:r>
      <w:r w:rsidR="00280C3E" w:rsidRPr="008838CC">
        <w:rPr>
          <w:rFonts w:ascii="Verdana" w:hAnsi="Verdana"/>
          <w:bCs/>
          <w:color w:val="000000"/>
          <w:sz w:val="17"/>
          <w:szCs w:val="17"/>
        </w:rPr>
        <w:t xml:space="preserve">simplifications </w:t>
      </w:r>
      <w:r w:rsidR="00662531" w:rsidRPr="008838CC">
        <w:rPr>
          <w:rFonts w:ascii="Verdana" w:hAnsi="Verdana"/>
          <w:bCs/>
          <w:color w:val="000000"/>
          <w:sz w:val="17"/>
          <w:szCs w:val="17"/>
        </w:rPr>
        <w:t>as well as c</w:t>
      </w:r>
      <w:r w:rsidR="00E129E7" w:rsidRPr="008838CC">
        <w:rPr>
          <w:rFonts w:ascii="Verdana" w:hAnsi="Verdana"/>
          <w:bCs/>
          <w:color w:val="000000"/>
          <w:sz w:val="17"/>
          <w:szCs w:val="17"/>
        </w:rPr>
        <w:t xml:space="preserve">larifications </w:t>
      </w:r>
      <w:r w:rsidR="00662531" w:rsidRPr="008838CC">
        <w:rPr>
          <w:rFonts w:ascii="Verdana" w:hAnsi="Verdana"/>
          <w:bCs/>
          <w:color w:val="000000"/>
          <w:sz w:val="17"/>
          <w:szCs w:val="17"/>
        </w:rPr>
        <w:t xml:space="preserve">on the existing criteria </w:t>
      </w:r>
      <w:r w:rsidR="007B72BE" w:rsidRPr="008838CC">
        <w:rPr>
          <w:rFonts w:ascii="Verdana" w:hAnsi="Verdana"/>
          <w:bCs/>
          <w:color w:val="000000"/>
          <w:sz w:val="17"/>
          <w:szCs w:val="17"/>
        </w:rPr>
        <w:t>within s</w:t>
      </w:r>
      <w:r w:rsidR="00662531" w:rsidRPr="008838CC">
        <w:rPr>
          <w:rFonts w:ascii="Verdana" w:hAnsi="Verdana"/>
          <w:bCs/>
          <w:color w:val="000000"/>
          <w:sz w:val="17"/>
          <w:szCs w:val="17"/>
        </w:rPr>
        <w:t>ubmodule</w:t>
      </w:r>
      <w:r w:rsidR="007E17D8">
        <w:rPr>
          <w:rFonts w:ascii="Verdana" w:hAnsi="Verdana"/>
          <w:bCs/>
          <w:color w:val="000000"/>
          <w:sz w:val="17"/>
          <w:szCs w:val="17"/>
        </w:rPr>
        <w:t>s</w:t>
      </w:r>
      <w:r w:rsidR="00E129E7" w:rsidRPr="008838CC">
        <w:rPr>
          <w:rFonts w:ascii="Verdana" w:hAnsi="Verdana"/>
          <w:bCs/>
          <w:color w:val="000000"/>
          <w:sz w:val="17"/>
          <w:szCs w:val="17"/>
        </w:rPr>
        <w:t xml:space="preserve">. These </w:t>
      </w:r>
      <w:r w:rsidR="00662531" w:rsidRPr="008838CC">
        <w:rPr>
          <w:rFonts w:ascii="Verdana" w:hAnsi="Verdana"/>
          <w:bCs/>
          <w:color w:val="000000"/>
          <w:sz w:val="17"/>
          <w:szCs w:val="17"/>
        </w:rPr>
        <w:t>proposals should</w:t>
      </w:r>
      <w:r w:rsidR="00E129E7" w:rsidRPr="008838CC">
        <w:rPr>
          <w:rFonts w:ascii="Verdana" w:hAnsi="Verdana"/>
          <w:bCs/>
          <w:color w:val="000000"/>
          <w:sz w:val="17"/>
          <w:szCs w:val="17"/>
        </w:rPr>
        <w:t xml:space="preserve"> reduce the calculati</w:t>
      </w:r>
      <w:r w:rsidR="00662531" w:rsidRPr="008838CC">
        <w:rPr>
          <w:rFonts w:ascii="Verdana" w:hAnsi="Verdana"/>
          <w:bCs/>
          <w:color w:val="000000"/>
          <w:sz w:val="17"/>
          <w:szCs w:val="17"/>
        </w:rPr>
        <w:t xml:space="preserve">on burden for some undertakings but Insurance Europe notes that the inclusion of excessive prudence may discourage </w:t>
      </w:r>
      <w:r w:rsidR="0091137C" w:rsidRPr="008838CC">
        <w:rPr>
          <w:rFonts w:ascii="Verdana" w:hAnsi="Verdana"/>
          <w:bCs/>
          <w:color w:val="000000"/>
          <w:sz w:val="17"/>
          <w:szCs w:val="17"/>
        </w:rPr>
        <w:t xml:space="preserve">their </w:t>
      </w:r>
      <w:r w:rsidR="00662531" w:rsidRPr="008838CC">
        <w:rPr>
          <w:rFonts w:ascii="Verdana" w:hAnsi="Verdana"/>
          <w:bCs/>
          <w:color w:val="000000"/>
          <w:sz w:val="17"/>
          <w:szCs w:val="17"/>
        </w:rPr>
        <w:t>widespread usage.</w:t>
      </w:r>
    </w:p>
    <w:p w14:paraId="5A7708F5" w14:textId="312F9353" w:rsidR="009D7CD3" w:rsidRPr="008838CC" w:rsidRDefault="009D7CD3" w:rsidP="00E129E7">
      <w:pPr>
        <w:spacing w:line="276" w:lineRule="auto"/>
        <w:jc w:val="both"/>
        <w:rPr>
          <w:rFonts w:ascii="Verdana" w:hAnsi="Verdana"/>
          <w:color w:val="000000"/>
          <w:sz w:val="17"/>
          <w:szCs w:val="17"/>
        </w:rPr>
      </w:pPr>
    </w:p>
    <w:p w14:paraId="03102C8B" w14:textId="10C9F123" w:rsidR="009D7CD3" w:rsidRPr="008838CC" w:rsidRDefault="00E129E7" w:rsidP="00E129E7">
      <w:pPr>
        <w:spacing w:line="276" w:lineRule="auto"/>
        <w:jc w:val="both"/>
        <w:rPr>
          <w:rFonts w:ascii="Verdana" w:hAnsi="Verdana"/>
          <w:color w:val="000000"/>
          <w:sz w:val="17"/>
          <w:szCs w:val="17"/>
        </w:rPr>
      </w:pPr>
      <w:r w:rsidRPr="008838CC">
        <w:rPr>
          <w:rFonts w:ascii="Verdana" w:hAnsi="Verdana"/>
          <w:color w:val="000000"/>
          <w:sz w:val="17"/>
          <w:szCs w:val="17"/>
        </w:rPr>
        <w:t>Further comments on EIOPA’s advice are provided below.</w:t>
      </w:r>
    </w:p>
    <w:p w14:paraId="2E3493DF" w14:textId="77777777" w:rsidR="00E129E7" w:rsidRPr="008838CC" w:rsidRDefault="00E129E7" w:rsidP="00E129E7">
      <w:pPr>
        <w:spacing w:line="276" w:lineRule="auto"/>
        <w:jc w:val="both"/>
        <w:rPr>
          <w:rFonts w:ascii="Verdana" w:hAnsi="Verdana"/>
          <w:color w:val="000000"/>
          <w:sz w:val="17"/>
          <w:szCs w:val="17"/>
        </w:rPr>
      </w:pPr>
    </w:p>
    <w:p w14:paraId="6E10C653" w14:textId="77758DA0"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13.2</w:t>
      </w:r>
      <w:r w:rsidR="006C6FF6" w:rsidRPr="008838CC">
        <w:rPr>
          <w:rFonts w:ascii="Verdana" w:hAnsi="Verdana"/>
          <w:b/>
          <w:color w:val="000000"/>
          <w:sz w:val="17"/>
          <w:szCs w:val="17"/>
          <w:u w:val="single"/>
        </w:rPr>
        <w:t xml:space="preserve"> Legal basis</w:t>
      </w:r>
    </w:p>
    <w:p w14:paraId="40FFC1EA" w14:textId="77777777" w:rsidR="00E129E7" w:rsidRPr="008838CC" w:rsidRDefault="00E129E7" w:rsidP="00644F0A">
      <w:pPr>
        <w:spacing w:line="276" w:lineRule="auto"/>
        <w:rPr>
          <w:rFonts w:ascii="Verdana" w:hAnsi="Verdana"/>
          <w:b/>
          <w:color w:val="000000"/>
          <w:sz w:val="17"/>
          <w:szCs w:val="17"/>
          <w:u w:val="single"/>
        </w:rPr>
      </w:pPr>
    </w:p>
    <w:p w14:paraId="1495513F" w14:textId="14DAC4DE" w:rsidR="00644F0A" w:rsidRPr="008838CC" w:rsidRDefault="00644F0A" w:rsidP="00644F0A">
      <w:pPr>
        <w:spacing w:line="276" w:lineRule="auto"/>
        <w:rPr>
          <w:rFonts w:ascii="Verdana" w:hAnsi="Verdana"/>
          <w:b/>
          <w:color w:val="000000"/>
          <w:sz w:val="17"/>
          <w:szCs w:val="17"/>
          <w:u w:val="single"/>
        </w:rPr>
      </w:pPr>
      <w:commentRangeStart w:id="31"/>
      <w:r w:rsidRPr="008838CC">
        <w:rPr>
          <w:rFonts w:ascii="Verdana" w:hAnsi="Verdana"/>
          <w:b/>
          <w:color w:val="000000"/>
          <w:sz w:val="17"/>
          <w:szCs w:val="17"/>
          <w:u w:val="single"/>
        </w:rPr>
        <w:t>13.3</w:t>
      </w:r>
      <w:r w:rsidR="00196DEF" w:rsidRPr="008838CC">
        <w:rPr>
          <w:rFonts w:ascii="Verdana" w:hAnsi="Verdana"/>
          <w:b/>
          <w:color w:val="000000"/>
          <w:sz w:val="17"/>
          <w:szCs w:val="17"/>
          <w:u w:val="single"/>
        </w:rPr>
        <w:t xml:space="preserve"> Feedback statement on the main comments </w:t>
      </w:r>
      <w:r w:rsidR="00196DEF" w:rsidRPr="005C7A2E">
        <w:rPr>
          <w:rFonts w:ascii="Verdana" w:hAnsi="Verdana"/>
          <w:b/>
          <w:color w:val="000000"/>
          <w:sz w:val="17"/>
          <w:szCs w:val="17"/>
          <w:u w:val="single"/>
          <w:lang w:val="en-GB"/>
        </w:rPr>
        <w:t>received</w:t>
      </w:r>
      <w:r w:rsidR="00196DEF" w:rsidRPr="008838CC">
        <w:rPr>
          <w:rFonts w:ascii="Verdana" w:hAnsi="Verdana"/>
          <w:b/>
          <w:color w:val="000000"/>
          <w:sz w:val="17"/>
          <w:szCs w:val="17"/>
          <w:u w:val="single"/>
        </w:rPr>
        <w:t xml:space="preserve"> to the discussion paper</w:t>
      </w:r>
      <w:commentRangeEnd w:id="31"/>
      <w:r w:rsidR="00DF15D3" w:rsidRPr="008838CC">
        <w:rPr>
          <w:rStyle w:val="Odkaznakomentr"/>
          <w:rFonts w:ascii="Verdana" w:hAnsi="Verdana"/>
          <w:sz w:val="17"/>
          <w:szCs w:val="17"/>
        </w:rPr>
        <w:commentReference w:id="31"/>
      </w:r>
    </w:p>
    <w:p w14:paraId="5147C4AF" w14:textId="64963AEA" w:rsidR="0008777A" w:rsidRPr="008838CC" w:rsidRDefault="002A38B8" w:rsidP="00644F0A">
      <w:pPr>
        <w:spacing w:line="276" w:lineRule="auto"/>
        <w:rPr>
          <w:rFonts w:ascii="Verdana" w:hAnsi="Verdana"/>
          <w:b/>
          <w:color w:val="000000"/>
          <w:sz w:val="17"/>
          <w:szCs w:val="17"/>
        </w:rPr>
      </w:pPr>
      <w:r w:rsidRPr="008838CC">
        <w:rPr>
          <w:rFonts w:ascii="Verdana" w:hAnsi="Verdana"/>
          <w:b/>
          <w:color w:val="000000"/>
          <w:sz w:val="17"/>
          <w:szCs w:val="17"/>
        </w:rPr>
        <w:t>Paragraphs 935-938</w:t>
      </w:r>
    </w:p>
    <w:p w14:paraId="725EFF18" w14:textId="7096E238" w:rsidR="002A38B8" w:rsidRPr="008838CC" w:rsidRDefault="002A38B8"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would welcome </w:t>
      </w:r>
      <w:r w:rsidR="00662531" w:rsidRPr="008838CC">
        <w:rPr>
          <w:rFonts w:ascii="Verdana" w:hAnsi="Verdana"/>
          <w:color w:val="000000"/>
          <w:sz w:val="17"/>
          <w:szCs w:val="17"/>
        </w:rPr>
        <w:t xml:space="preserve">further </w:t>
      </w:r>
      <w:r w:rsidRPr="008838CC">
        <w:rPr>
          <w:rFonts w:ascii="Verdana" w:hAnsi="Verdana"/>
          <w:color w:val="000000"/>
          <w:sz w:val="17"/>
          <w:szCs w:val="17"/>
        </w:rPr>
        <w:t xml:space="preserve">clarification on the application of the simplification detailed in Article 110 of the Delegated Regulation. </w:t>
      </w:r>
    </w:p>
    <w:p w14:paraId="3450A900" w14:textId="26101C0C" w:rsidR="002A38B8" w:rsidRPr="008838CC" w:rsidRDefault="002A38B8" w:rsidP="00644F0A">
      <w:pPr>
        <w:spacing w:line="276" w:lineRule="auto"/>
        <w:rPr>
          <w:rFonts w:ascii="Verdana" w:hAnsi="Verdana"/>
          <w:color w:val="000000"/>
          <w:sz w:val="17"/>
          <w:szCs w:val="17"/>
        </w:rPr>
      </w:pPr>
    </w:p>
    <w:p w14:paraId="5310D053" w14:textId="0150321E" w:rsidR="002A38B8" w:rsidRPr="008838CC" w:rsidRDefault="002A38B8" w:rsidP="00644F0A">
      <w:pPr>
        <w:spacing w:line="276" w:lineRule="auto"/>
        <w:rPr>
          <w:rFonts w:ascii="Verdana" w:hAnsi="Verdana"/>
          <w:b/>
          <w:color w:val="000000"/>
          <w:sz w:val="17"/>
          <w:szCs w:val="17"/>
          <w:u w:val="single"/>
        </w:rPr>
      </w:pPr>
      <w:r w:rsidRPr="008838CC">
        <w:rPr>
          <w:rFonts w:ascii="Verdana" w:hAnsi="Verdana"/>
          <w:b/>
          <w:color w:val="000000"/>
          <w:sz w:val="17"/>
          <w:szCs w:val="17"/>
        </w:rPr>
        <w:t>Paragraphs 939-940</w:t>
      </w:r>
    </w:p>
    <w:p w14:paraId="2CD26B0A" w14:textId="365C86DF" w:rsidR="0008777A" w:rsidRPr="008838CC" w:rsidRDefault="002A38B8" w:rsidP="00EB2536">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welcomes </w:t>
      </w:r>
      <w:r w:rsidR="00EB2536" w:rsidRPr="008838CC">
        <w:rPr>
          <w:rFonts w:ascii="Verdana" w:hAnsi="Verdana"/>
          <w:color w:val="000000"/>
          <w:sz w:val="17"/>
          <w:szCs w:val="17"/>
        </w:rPr>
        <w:t xml:space="preserve">EIOPA’s proposal to introduce an optional simplification to address the difficulties encountered in assessing whether a reinsurance counterparty has more than 60% of its assets pledged as collateral. However, it believes that the simplification should be based on qualitative factors, such as the credit rating of the reinsurer, rather than effectively assuming all reinsurers have over 60% of their assets pledged as collateral. </w:t>
      </w:r>
    </w:p>
    <w:p w14:paraId="3B90467A" w14:textId="0A2EED93" w:rsidR="00EB2536" w:rsidRPr="008838CC" w:rsidRDefault="00EB2536" w:rsidP="00EB2536">
      <w:pPr>
        <w:spacing w:line="276" w:lineRule="auto"/>
        <w:jc w:val="both"/>
        <w:rPr>
          <w:rFonts w:ascii="Verdana" w:hAnsi="Verdana"/>
          <w:color w:val="000000"/>
          <w:sz w:val="17"/>
          <w:szCs w:val="17"/>
        </w:rPr>
      </w:pPr>
    </w:p>
    <w:p w14:paraId="0D306410" w14:textId="5A516986" w:rsidR="00EB2536" w:rsidRPr="008838CC" w:rsidRDefault="00EB2536" w:rsidP="00644F0A">
      <w:pPr>
        <w:spacing w:line="276" w:lineRule="auto"/>
        <w:rPr>
          <w:rFonts w:ascii="Verdana" w:hAnsi="Verdana"/>
          <w:b/>
          <w:color w:val="000000"/>
          <w:sz w:val="17"/>
          <w:szCs w:val="17"/>
        </w:rPr>
      </w:pPr>
      <w:r w:rsidRPr="008838CC">
        <w:rPr>
          <w:rFonts w:ascii="Verdana" w:hAnsi="Verdana"/>
          <w:b/>
          <w:color w:val="000000"/>
          <w:sz w:val="17"/>
          <w:szCs w:val="17"/>
        </w:rPr>
        <w:t>Paragraph</w:t>
      </w:r>
      <w:r w:rsidR="001702CE" w:rsidRPr="008838CC">
        <w:rPr>
          <w:rFonts w:ascii="Verdana" w:hAnsi="Verdana"/>
          <w:b/>
          <w:color w:val="000000"/>
          <w:sz w:val="17"/>
          <w:szCs w:val="17"/>
        </w:rPr>
        <w:t>s</w:t>
      </w:r>
      <w:r w:rsidRPr="008838CC">
        <w:rPr>
          <w:rFonts w:ascii="Verdana" w:hAnsi="Verdana"/>
          <w:b/>
          <w:color w:val="000000"/>
          <w:sz w:val="17"/>
          <w:szCs w:val="17"/>
        </w:rPr>
        <w:t xml:space="preserve"> 945-950</w:t>
      </w:r>
    </w:p>
    <w:p w14:paraId="0E50AB8E" w14:textId="11C8C50A" w:rsidR="00EB2536" w:rsidRPr="008838CC" w:rsidRDefault="00EB2536" w:rsidP="00662531">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welcomes clarification </w:t>
      </w:r>
      <w:r w:rsidR="00662531" w:rsidRPr="008838CC">
        <w:rPr>
          <w:rFonts w:ascii="Verdana" w:hAnsi="Verdana"/>
          <w:color w:val="000000"/>
          <w:sz w:val="17"/>
          <w:szCs w:val="17"/>
        </w:rPr>
        <w:t>on</w:t>
      </w:r>
      <w:r w:rsidRPr="008838CC">
        <w:rPr>
          <w:rFonts w:ascii="Verdana" w:hAnsi="Verdana"/>
          <w:color w:val="000000"/>
          <w:sz w:val="17"/>
          <w:szCs w:val="17"/>
        </w:rPr>
        <w:t xml:space="preserve"> the assumptions that should be used in the calculation of the hypothetical SCR and</w:t>
      </w:r>
      <w:r w:rsidR="00662531" w:rsidRPr="008838CC">
        <w:rPr>
          <w:rFonts w:ascii="Verdana" w:hAnsi="Verdana"/>
          <w:color w:val="000000"/>
          <w:sz w:val="17"/>
          <w:szCs w:val="17"/>
        </w:rPr>
        <w:t>,</w:t>
      </w:r>
      <w:r w:rsidRPr="008838CC">
        <w:rPr>
          <w:rFonts w:ascii="Verdana" w:hAnsi="Verdana"/>
          <w:color w:val="000000"/>
          <w:sz w:val="17"/>
          <w:szCs w:val="17"/>
        </w:rPr>
        <w:t xml:space="preserve"> in particular, </w:t>
      </w:r>
      <w:r w:rsidR="00C313D0" w:rsidRPr="008838CC">
        <w:rPr>
          <w:rFonts w:ascii="Verdana" w:hAnsi="Verdana"/>
          <w:color w:val="000000"/>
          <w:sz w:val="17"/>
          <w:szCs w:val="17"/>
        </w:rPr>
        <w:t xml:space="preserve">how the life, health and non-life submodules should be aggregated and whether correlation factors are to be used. </w:t>
      </w:r>
    </w:p>
    <w:p w14:paraId="041211A5" w14:textId="77777777" w:rsidR="001702CE" w:rsidRPr="008838CC" w:rsidRDefault="001702CE" w:rsidP="00662531">
      <w:pPr>
        <w:spacing w:line="276" w:lineRule="auto"/>
        <w:jc w:val="both"/>
        <w:rPr>
          <w:rFonts w:ascii="Verdana" w:hAnsi="Verdana"/>
          <w:color w:val="000000"/>
          <w:sz w:val="17"/>
          <w:szCs w:val="17"/>
        </w:rPr>
      </w:pPr>
    </w:p>
    <w:p w14:paraId="2329A50E" w14:textId="338CF744" w:rsidR="00C313D0" w:rsidRPr="008838CC" w:rsidRDefault="00C313D0" w:rsidP="00644F0A">
      <w:pPr>
        <w:spacing w:line="276" w:lineRule="auto"/>
        <w:rPr>
          <w:rFonts w:ascii="Verdana" w:hAnsi="Verdana"/>
          <w:b/>
          <w:color w:val="000000"/>
          <w:sz w:val="17"/>
          <w:szCs w:val="17"/>
        </w:rPr>
      </w:pPr>
      <w:r w:rsidRPr="008838CC">
        <w:rPr>
          <w:rFonts w:ascii="Verdana" w:hAnsi="Verdana"/>
          <w:b/>
          <w:color w:val="000000"/>
          <w:sz w:val="17"/>
          <w:szCs w:val="17"/>
        </w:rPr>
        <w:t>Paragraph</w:t>
      </w:r>
      <w:r w:rsidR="001702CE" w:rsidRPr="008838CC">
        <w:rPr>
          <w:rFonts w:ascii="Verdana" w:hAnsi="Verdana"/>
          <w:b/>
          <w:color w:val="000000"/>
          <w:sz w:val="17"/>
          <w:szCs w:val="17"/>
        </w:rPr>
        <w:t>s</w:t>
      </w:r>
      <w:r w:rsidRPr="008838CC">
        <w:rPr>
          <w:rFonts w:ascii="Verdana" w:hAnsi="Verdana"/>
          <w:b/>
          <w:color w:val="000000"/>
          <w:sz w:val="17"/>
          <w:szCs w:val="17"/>
        </w:rPr>
        <w:t xml:space="preserve"> 951-953</w:t>
      </w:r>
      <w:r w:rsidR="001702CE" w:rsidRPr="008838CC">
        <w:rPr>
          <w:rFonts w:ascii="Verdana" w:hAnsi="Verdana"/>
          <w:b/>
          <w:color w:val="000000"/>
          <w:sz w:val="17"/>
          <w:szCs w:val="17"/>
        </w:rPr>
        <w:t xml:space="preserve"> &amp; paragraphs 1022-1027</w:t>
      </w:r>
    </w:p>
    <w:p w14:paraId="24E2EA92" w14:textId="2B484E1B" w:rsidR="00C313D0" w:rsidRPr="008838CC" w:rsidRDefault="00C313D0" w:rsidP="00C313D0">
      <w:pPr>
        <w:spacing w:line="276" w:lineRule="auto"/>
        <w:jc w:val="both"/>
        <w:rPr>
          <w:rFonts w:ascii="Verdana" w:hAnsi="Verdana"/>
          <w:color w:val="000000"/>
          <w:sz w:val="17"/>
          <w:szCs w:val="17"/>
        </w:rPr>
      </w:pPr>
      <w:commentRangeStart w:id="32"/>
      <w:r w:rsidRPr="008838CC">
        <w:rPr>
          <w:rFonts w:ascii="Verdana" w:hAnsi="Verdana"/>
          <w:color w:val="000000"/>
          <w:sz w:val="17"/>
          <w:szCs w:val="17"/>
        </w:rPr>
        <w:t xml:space="preserve">Insurance Europe welcomes the inclusion of a closed-form optional simplification for the calculation of the risk-mitigating effect of reinsurance arrangements. </w:t>
      </w:r>
      <w:commentRangeEnd w:id="32"/>
      <w:r w:rsidR="00F177C6" w:rsidRPr="008838CC">
        <w:rPr>
          <w:rStyle w:val="Odkaznakomentr"/>
          <w:rFonts w:ascii="Verdana" w:hAnsi="Verdana"/>
          <w:sz w:val="17"/>
          <w:szCs w:val="17"/>
        </w:rPr>
        <w:commentReference w:id="32"/>
      </w:r>
    </w:p>
    <w:p w14:paraId="194F9088" w14:textId="3D506D75" w:rsidR="00EB2536" w:rsidRPr="008838CC" w:rsidRDefault="00EB2536" w:rsidP="00644F0A">
      <w:pPr>
        <w:spacing w:line="276" w:lineRule="auto"/>
        <w:rPr>
          <w:rFonts w:ascii="Verdana" w:hAnsi="Verdana"/>
          <w:b/>
          <w:color w:val="000000"/>
          <w:sz w:val="17"/>
          <w:szCs w:val="17"/>
          <w:u w:val="single"/>
        </w:rPr>
      </w:pPr>
    </w:p>
    <w:p w14:paraId="51840276" w14:textId="6957D8E3" w:rsidR="00C313D0" w:rsidRPr="008838CC" w:rsidRDefault="00C313D0" w:rsidP="00644F0A">
      <w:pPr>
        <w:spacing w:line="276" w:lineRule="auto"/>
        <w:rPr>
          <w:rFonts w:ascii="Verdana" w:hAnsi="Verdana"/>
          <w:b/>
          <w:color w:val="000000"/>
          <w:sz w:val="17"/>
          <w:szCs w:val="17"/>
        </w:rPr>
      </w:pPr>
      <w:r w:rsidRPr="008838CC">
        <w:rPr>
          <w:rFonts w:ascii="Verdana" w:hAnsi="Verdana"/>
          <w:b/>
          <w:color w:val="000000"/>
          <w:sz w:val="17"/>
          <w:szCs w:val="17"/>
        </w:rPr>
        <w:t>Paragraph</w:t>
      </w:r>
      <w:r w:rsidR="001702CE" w:rsidRPr="008838CC">
        <w:rPr>
          <w:rFonts w:ascii="Verdana" w:hAnsi="Verdana"/>
          <w:b/>
          <w:color w:val="000000"/>
          <w:sz w:val="17"/>
          <w:szCs w:val="17"/>
        </w:rPr>
        <w:t>s</w:t>
      </w:r>
      <w:r w:rsidRPr="008838CC">
        <w:rPr>
          <w:rFonts w:ascii="Verdana" w:hAnsi="Verdana"/>
          <w:b/>
          <w:color w:val="000000"/>
          <w:sz w:val="17"/>
          <w:szCs w:val="17"/>
        </w:rPr>
        <w:t xml:space="preserve"> 954-962</w:t>
      </w:r>
    </w:p>
    <w:p w14:paraId="12E49A1A" w14:textId="77777777" w:rsidR="00BD74A4" w:rsidRPr="008838CC" w:rsidRDefault="00C313D0" w:rsidP="00C313D0">
      <w:pPr>
        <w:spacing w:line="276" w:lineRule="auto"/>
        <w:jc w:val="both"/>
        <w:rPr>
          <w:rFonts w:ascii="Verdana" w:hAnsi="Verdana"/>
          <w:color w:val="000000"/>
          <w:sz w:val="17"/>
          <w:szCs w:val="17"/>
        </w:rPr>
      </w:pPr>
      <w:commentRangeStart w:id="33"/>
      <w:r w:rsidRPr="008838CC">
        <w:rPr>
          <w:rFonts w:ascii="Verdana" w:hAnsi="Verdana"/>
          <w:color w:val="000000"/>
          <w:sz w:val="17"/>
          <w:szCs w:val="17"/>
        </w:rPr>
        <w:t>Insurance Europe welcomes the inclusion of an optional simplification to address the issue of the step-change which arises when the standard deviation of type 1 exposures exceeds 7%.</w:t>
      </w:r>
      <w:commentRangeEnd w:id="33"/>
      <w:r w:rsidR="006C6FF6" w:rsidRPr="008838CC">
        <w:rPr>
          <w:rStyle w:val="Odkaznakomentr"/>
          <w:rFonts w:ascii="Verdana" w:hAnsi="Verdana"/>
          <w:sz w:val="17"/>
          <w:szCs w:val="17"/>
        </w:rPr>
        <w:commentReference w:id="33"/>
      </w:r>
      <w:r w:rsidRPr="008838CC">
        <w:rPr>
          <w:rFonts w:ascii="Verdana" w:hAnsi="Verdana"/>
          <w:color w:val="000000"/>
          <w:sz w:val="17"/>
          <w:szCs w:val="17"/>
        </w:rPr>
        <w:t xml:space="preserve"> </w:t>
      </w:r>
      <w:r w:rsidR="00F177C6" w:rsidRPr="008838CC">
        <w:rPr>
          <w:rFonts w:ascii="Verdana" w:hAnsi="Verdana"/>
          <w:color w:val="000000"/>
          <w:sz w:val="17"/>
          <w:szCs w:val="17"/>
        </w:rPr>
        <w:t xml:space="preserve"> </w:t>
      </w:r>
      <w:r w:rsidR="00662531" w:rsidRPr="008838CC">
        <w:rPr>
          <w:rFonts w:ascii="Verdana" w:hAnsi="Verdana"/>
          <w:color w:val="000000"/>
          <w:sz w:val="17"/>
          <w:szCs w:val="17"/>
        </w:rPr>
        <w:t>This would provide continuity of the calculation for undertakings which exhibit standard deviation of type 1 exposures of around 7%</w:t>
      </w:r>
      <w:r w:rsidR="00BD74A4" w:rsidRPr="008838CC">
        <w:rPr>
          <w:rFonts w:ascii="Verdana" w:hAnsi="Verdana"/>
          <w:color w:val="000000"/>
          <w:sz w:val="17"/>
          <w:szCs w:val="17"/>
        </w:rPr>
        <w:t xml:space="preserve">. </w:t>
      </w:r>
    </w:p>
    <w:p w14:paraId="6EB4966A" w14:textId="77777777" w:rsidR="00BD74A4" w:rsidRPr="008838CC" w:rsidRDefault="00BD74A4" w:rsidP="00C313D0">
      <w:pPr>
        <w:spacing w:line="276" w:lineRule="auto"/>
        <w:jc w:val="both"/>
        <w:rPr>
          <w:rFonts w:ascii="Verdana" w:hAnsi="Verdana"/>
          <w:color w:val="000000"/>
          <w:sz w:val="17"/>
          <w:szCs w:val="17"/>
        </w:rPr>
      </w:pPr>
    </w:p>
    <w:p w14:paraId="1BD4768C" w14:textId="17B14C5D" w:rsidR="00C313D0" w:rsidRPr="008838CC" w:rsidRDefault="00BD74A4" w:rsidP="00C313D0">
      <w:pPr>
        <w:spacing w:line="276" w:lineRule="auto"/>
        <w:jc w:val="both"/>
        <w:rPr>
          <w:rFonts w:ascii="Verdana" w:hAnsi="Verdana"/>
          <w:color w:val="000000"/>
          <w:sz w:val="17"/>
          <w:szCs w:val="17"/>
        </w:rPr>
      </w:pPr>
      <w:r w:rsidRPr="008838CC">
        <w:rPr>
          <w:rFonts w:ascii="Verdana" w:hAnsi="Verdana"/>
          <w:color w:val="000000"/>
          <w:sz w:val="17"/>
          <w:szCs w:val="17"/>
        </w:rPr>
        <w:t xml:space="preserve">However, to remove the dicontinuity, the proposed simplification merely assumes the higher, 5x factor applies to the lower volatility sector (S≤0.07·T) as well as the mid-sector (0.2T≥S&gt;0.07·T). Insurance Europe believes a reformulation of the calculation would have been preferable to remove </w:t>
      </w:r>
      <w:r w:rsidR="0091137C" w:rsidRPr="008838CC">
        <w:rPr>
          <w:rFonts w:ascii="Verdana" w:hAnsi="Verdana"/>
          <w:color w:val="000000"/>
          <w:sz w:val="17"/>
          <w:szCs w:val="17"/>
        </w:rPr>
        <w:t xml:space="preserve">the discontinuity. Changes in counterparty exposures, eg the implementation of EMIR for derivatives, and the additional information available to EIOPA since the formulation of this submodule support </w:t>
      </w:r>
      <w:r w:rsidR="00107B21" w:rsidRPr="008838CC">
        <w:rPr>
          <w:rFonts w:ascii="Verdana" w:hAnsi="Verdana"/>
          <w:color w:val="000000"/>
          <w:sz w:val="17"/>
          <w:szCs w:val="17"/>
        </w:rPr>
        <w:t xml:space="preserve">further </w:t>
      </w:r>
      <w:r w:rsidR="0091137C" w:rsidRPr="008838CC">
        <w:rPr>
          <w:rFonts w:ascii="Verdana" w:hAnsi="Verdana"/>
          <w:color w:val="000000"/>
          <w:sz w:val="17"/>
          <w:szCs w:val="17"/>
        </w:rPr>
        <w:t xml:space="preserve">investigation </w:t>
      </w:r>
      <w:r w:rsidR="00107B21" w:rsidRPr="008838CC">
        <w:rPr>
          <w:rFonts w:ascii="Verdana" w:hAnsi="Verdana"/>
          <w:color w:val="000000"/>
          <w:sz w:val="17"/>
          <w:szCs w:val="17"/>
        </w:rPr>
        <w:t>of this issue</w:t>
      </w:r>
      <w:r w:rsidR="0091137C" w:rsidRPr="008838CC">
        <w:rPr>
          <w:rFonts w:ascii="Verdana" w:hAnsi="Verdana"/>
          <w:color w:val="000000"/>
          <w:sz w:val="17"/>
          <w:szCs w:val="17"/>
        </w:rPr>
        <w:t>.</w:t>
      </w:r>
      <w:r w:rsidR="00C313D0" w:rsidRPr="008838CC">
        <w:rPr>
          <w:rFonts w:ascii="Verdana" w:hAnsi="Verdana"/>
          <w:color w:val="000000"/>
          <w:sz w:val="17"/>
          <w:szCs w:val="17"/>
        </w:rPr>
        <w:t xml:space="preserve"> </w:t>
      </w:r>
    </w:p>
    <w:p w14:paraId="7D1E0463" w14:textId="38CA9D1D" w:rsidR="00C313D0" w:rsidRPr="008838CC" w:rsidRDefault="00C313D0" w:rsidP="00644F0A">
      <w:pPr>
        <w:spacing w:line="276" w:lineRule="auto"/>
        <w:rPr>
          <w:rFonts w:ascii="Verdana" w:hAnsi="Verdana"/>
          <w:b/>
          <w:color w:val="000000"/>
          <w:sz w:val="17"/>
          <w:szCs w:val="17"/>
          <w:u w:val="single"/>
        </w:rPr>
      </w:pPr>
    </w:p>
    <w:p w14:paraId="4FFA46D6" w14:textId="370BF5DD" w:rsidR="00C313D0"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13.4</w:t>
      </w:r>
      <w:r w:rsidR="00DF15D3" w:rsidRPr="008838CC">
        <w:rPr>
          <w:rFonts w:ascii="Verdana" w:hAnsi="Verdana"/>
          <w:b/>
          <w:color w:val="000000"/>
          <w:sz w:val="17"/>
          <w:szCs w:val="17"/>
          <w:u w:val="single"/>
        </w:rPr>
        <w:t xml:space="preserve"> Advice</w:t>
      </w:r>
    </w:p>
    <w:p w14:paraId="3F5A915D" w14:textId="74EAE6D6"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13.4.1</w:t>
      </w:r>
      <w:r w:rsidR="00DF15D3" w:rsidRPr="008838CC">
        <w:rPr>
          <w:rFonts w:ascii="Verdana" w:hAnsi="Verdana"/>
          <w:b/>
          <w:color w:val="000000"/>
          <w:sz w:val="17"/>
          <w:szCs w:val="17"/>
          <w:u w:val="single"/>
        </w:rPr>
        <w:t xml:space="preserve"> Previous advice</w:t>
      </w:r>
    </w:p>
    <w:p w14:paraId="10876E76" w14:textId="2B5906E8"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13.4.2</w:t>
      </w:r>
      <w:r w:rsidR="00DF15D3" w:rsidRPr="008838CC">
        <w:rPr>
          <w:rFonts w:ascii="Verdana" w:hAnsi="Verdana"/>
          <w:b/>
          <w:color w:val="000000"/>
          <w:sz w:val="17"/>
          <w:szCs w:val="17"/>
          <w:u w:val="single"/>
        </w:rPr>
        <w:t xml:space="preserve"> Analysis</w:t>
      </w:r>
    </w:p>
    <w:p w14:paraId="116ACE26" w14:textId="3D85B868" w:rsidR="00DF15D3" w:rsidRPr="008838CC" w:rsidRDefault="00DF15D3" w:rsidP="00644F0A">
      <w:pPr>
        <w:spacing w:line="276" w:lineRule="auto"/>
        <w:rPr>
          <w:rFonts w:ascii="Verdana" w:hAnsi="Verdana"/>
          <w:b/>
          <w:color w:val="000000"/>
          <w:sz w:val="17"/>
          <w:szCs w:val="17"/>
        </w:rPr>
      </w:pPr>
      <w:r w:rsidRPr="008838CC">
        <w:rPr>
          <w:rFonts w:ascii="Verdana" w:hAnsi="Verdana"/>
          <w:b/>
          <w:color w:val="000000"/>
          <w:sz w:val="17"/>
          <w:szCs w:val="17"/>
        </w:rPr>
        <w:t>Paragraph 968-</w:t>
      </w:r>
      <w:r w:rsidR="00632832" w:rsidRPr="008838CC">
        <w:rPr>
          <w:rFonts w:ascii="Verdana" w:hAnsi="Verdana"/>
          <w:b/>
          <w:color w:val="000000"/>
          <w:sz w:val="17"/>
          <w:szCs w:val="17"/>
        </w:rPr>
        <w:t>982</w:t>
      </w:r>
    </w:p>
    <w:p w14:paraId="1336E7BD" w14:textId="01A0FFF5" w:rsidR="00472F88" w:rsidRPr="008838CC" w:rsidRDefault="00DF15D3" w:rsidP="00632832">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 xml:space="preserve">In Insurance Europe’s opinion, EIOPA’s </w:t>
      </w:r>
      <w:r w:rsidR="00A91EFC" w:rsidRPr="008838CC">
        <w:rPr>
          <w:rFonts w:ascii="Verdana" w:hAnsi="Verdana"/>
          <w:color w:val="000000"/>
          <w:sz w:val="17"/>
          <w:szCs w:val="17"/>
          <w:lang w:val="en-GB"/>
        </w:rPr>
        <w:t xml:space="preserve">analysis shows that the complexity of the </w:t>
      </w:r>
      <w:r w:rsidRPr="008838CC">
        <w:rPr>
          <w:rFonts w:ascii="Verdana" w:hAnsi="Verdana"/>
          <w:color w:val="000000"/>
          <w:sz w:val="17"/>
          <w:szCs w:val="17"/>
          <w:lang w:val="en-GB"/>
        </w:rPr>
        <w:t xml:space="preserve">counterparty default risk module is </w:t>
      </w:r>
      <w:r w:rsidR="00A91EFC" w:rsidRPr="008838CC">
        <w:rPr>
          <w:rFonts w:ascii="Verdana" w:hAnsi="Verdana"/>
          <w:color w:val="000000"/>
          <w:sz w:val="17"/>
          <w:szCs w:val="17"/>
          <w:lang w:val="en-GB"/>
        </w:rPr>
        <w:t xml:space="preserve">not </w:t>
      </w:r>
      <w:r w:rsidRPr="008838CC">
        <w:rPr>
          <w:rFonts w:ascii="Verdana" w:hAnsi="Verdana"/>
          <w:color w:val="000000"/>
          <w:sz w:val="17"/>
          <w:szCs w:val="17"/>
          <w:lang w:val="en-GB"/>
        </w:rPr>
        <w:t xml:space="preserve">proportionate to the nature, scale and complexity of </w:t>
      </w:r>
      <w:r w:rsidR="00603AB4" w:rsidRPr="008838CC">
        <w:rPr>
          <w:rFonts w:ascii="Verdana" w:hAnsi="Verdana"/>
          <w:color w:val="000000"/>
          <w:sz w:val="17"/>
          <w:szCs w:val="17"/>
          <w:lang w:val="en-GB"/>
        </w:rPr>
        <w:t>these</w:t>
      </w:r>
      <w:r w:rsidRPr="008838CC">
        <w:rPr>
          <w:rFonts w:ascii="Verdana" w:hAnsi="Verdana"/>
          <w:color w:val="000000"/>
          <w:sz w:val="17"/>
          <w:szCs w:val="17"/>
          <w:lang w:val="en-GB"/>
        </w:rPr>
        <w:t xml:space="preserve"> risks</w:t>
      </w:r>
      <w:r w:rsidR="00472F88" w:rsidRPr="008838CC">
        <w:rPr>
          <w:rFonts w:ascii="Verdana" w:hAnsi="Verdana"/>
          <w:color w:val="000000"/>
          <w:sz w:val="17"/>
          <w:szCs w:val="17"/>
          <w:lang w:val="en-GB"/>
        </w:rPr>
        <w:t>. The analysis clearly shows that the counterparty default risk is</w:t>
      </w:r>
      <w:r w:rsidR="0091137C" w:rsidRPr="008838CC">
        <w:rPr>
          <w:rFonts w:ascii="Verdana" w:hAnsi="Verdana"/>
          <w:color w:val="000000"/>
          <w:sz w:val="17"/>
          <w:szCs w:val="17"/>
          <w:lang w:val="en-GB"/>
        </w:rPr>
        <w:t xml:space="preserve"> not a key driver of the SCR for the majority of undertaking</w:t>
      </w:r>
      <w:r w:rsidR="00C14EFC" w:rsidRPr="008838CC">
        <w:rPr>
          <w:rFonts w:ascii="Verdana" w:hAnsi="Verdana"/>
          <w:color w:val="000000"/>
          <w:sz w:val="17"/>
          <w:szCs w:val="17"/>
          <w:lang w:val="en-GB"/>
        </w:rPr>
        <w:t>s</w:t>
      </w:r>
      <w:r w:rsidR="00632832" w:rsidRPr="008838CC">
        <w:rPr>
          <w:rFonts w:ascii="Verdana" w:hAnsi="Verdana"/>
          <w:color w:val="000000"/>
          <w:sz w:val="17"/>
          <w:szCs w:val="17"/>
          <w:lang w:val="en-GB"/>
        </w:rPr>
        <w:t xml:space="preserve"> but, a</w:t>
      </w:r>
      <w:r w:rsidR="00472F88" w:rsidRPr="008838CC">
        <w:rPr>
          <w:rFonts w:ascii="Verdana" w:hAnsi="Verdana"/>
          <w:color w:val="000000"/>
          <w:sz w:val="17"/>
          <w:szCs w:val="17"/>
          <w:lang w:val="en-GB"/>
        </w:rPr>
        <w:t xml:space="preserve">s noted by EIOPA, the counterparty default risk submodule is reported to be the most burdensome module compared </w:t>
      </w:r>
      <w:r w:rsidR="00632832" w:rsidRPr="008838CC">
        <w:rPr>
          <w:rFonts w:ascii="Verdana" w:hAnsi="Verdana"/>
          <w:color w:val="000000"/>
          <w:sz w:val="17"/>
          <w:szCs w:val="17"/>
          <w:lang w:val="en-GB"/>
        </w:rPr>
        <w:t>t</w:t>
      </w:r>
      <w:r w:rsidR="00472F88" w:rsidRPr="008838CC">
        <w:rPr>
          <w:rFonts w:ascii="Verdana" w:hAnsi="Verdana"/>
          <w:color w:val="000000"/>
          <w:sz w:val="17"/>
          <w:szCs w:val="17"/>
          <w:lang w:val="en-GB"/>
        </w:rPr>
        <w:t>o</w:t>
      </w:r>
      <w:r w:rsidR="00632832" w:rsidRPr="008838CC">
        <w:rPr>
          <w:rFonts w:ascii="Verdana" w:hAnsi="Verdana"/>
          <w:color w:val="000000"/>
          <w:sz w:val="17"/>
          <w:szCs w:val="17"/>
          <w:lang w:val="en-GB"/>
        </w:rPr>
        <w:t xml:space="preserve"> the </w:t>
      </w:r>
      <w:r w:rsidR="007E17D8">
        <w:rPr>
          <w:rFonts w:ascii="Verdana" w:hAnsi="Verdana"/>
          <w:color w:val="000000"/>
          <w:sz w:val="17"/>
          <w:szCs w:val="17"/>
          <w:lang w:val="en-GB"/>
        </w:rPr>
        <w:t>level</w:t>
      </w:r>
      <w:r w:rsidR="007E17D8" w:rsidRPr="008838CC">
        <w:rPr>
          <w:rFonts w:ascii="Verdana" w:hAnsi="Verdana"/>
          <w:color w:val="000000"/>
          <w:sz w:val="17"/>
          <w:szCs w:val="17"/>
          <w:lang w:val="en-GB"/>
        </w:rPr>
        <w:t xml:space="preserve"> </w:t>
      </w:r>
      <w:r w:rsidR="00632832" w:rsidRPr="008838CC">
        <w:rPr>
          <w:rFonts w:ascii="Verdana" w:hAnsi="Verdana"/>
          <w:color w:val="000000"/>
          <w:sz w:val="17"/>
          <w:szCs w:val="17"/>
          <w:lang w:val="en-GB"/>
        </w:rPr>
        <w:t>of the capital requirements.</w:t>
      </w:r>
    </w:p>
    <w:p w14:paraId="414CDA21" w14:textId="00BCCA5E" w:rsidR="00472F88" w:rsidRPr="008838CC" w:rsidRDefault="00472F88" w:rsidP="00632832">
      <w:pPr>
        <w:spacing w:line="276" w:lineRule="auto"/>
        <w:jc w:val="both"/>
        <w:rPr>
          <w:rFonts w:ascii="Verdana" w:hAnsi="Verdana"/>
          <w:color w:val="000000"/>
          <w:sz w:val="17"/>
          <w:szCs w:val="17"/>
          <w:lang w:val="en-GB"/>
        </w:rPr>
      </w:pPr>
    </w:p>
    <w:p w14:paraId="65AC3A3C" w14:textId="3B6DFACC" w:rsidR="00632832" w:rsidRPr="008838CC" w:rsidRDefault="00632832" w:rsidP="00632832">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Insurance Europe agrees with EIOPA that the f</w:t>
      </w:r>
      <w:r w:rsidR="001702CE" w:rsidRPr="008838CC">
        <w:rPr>
          <w:rFonts w:ascii="Verdana" w:hAnsi="Verdana"/>
          <w:color w:val="000000"/>
          <w:sz w:val="17"/>
          <w:szCs w:val="17"/>
          <w:lang w:val="en-GB"/>
        </w:rPr>
        <w:t>ind</w:t>
      </w:r>
      <w:r w:rsidRPr="008838CC">
        <w:rPr>
          <w:rFonts w:ascii="Verdana" w:hAnsi="Verdana"/>
          <w:color w:val="000000"/>
          <w:sz w:val="17"/>
          <w:szCs w:val="17"/>
          <w:lang w:val="en-GB"/>
        </w:rPr>
        <w:t>ings of its analysis underline the complexity of the submodule.</w:t>
      </w:r>
    </w:p>
    <w:p w14:paraId="310E4912" w14:textId="68634017" w:rsidR="00632832" w:rsidRPr="008838CC" w:rsidRDefault="00632832" w:rsidP="00632832">
      <w:pPr>
        <w:spacing w:line="276" w:lineRule="auto"/>
        <w:jc w:val="both"/>
        <w:rPr>
          <w:rFonts w:ascii="Verdana" w:hAnsi="Verdana"/>
          <w:color w:val="000000"/>
          <w:sz w:val="17"/>
          <w:szCs w:val="17"/>
          <w:lang w:val="en-GB"/>
        </w:rPr>
      </w:pPr>
    </w:p>
    <w:p w14:paraId="429EA692" w14:textId="1BF1900A" w:rsidR="00632832" w:rsidRPr="008838CC" w:rsidRDefault="00632832" w:rsidP="00632832">
      <w:pPr>
        <w:spacing w:line="276" w:lineRule="auto"/>
        <w:jc w:val="both"/>
        <w:rPr>
          <w:rFonts w:ascii="Verdana" w:hAnsi="Verdana"/>
          <w:b/>
          <w:color w:val="000000"/>
          <w:sz w:val="17"/>
          <w:szCs w:val="17"/>
          <w:lang w:val="en-GB"/>
        </w:rPr>
      </w:pPr>
      <w:r w:rsidRPr="008838CC">
        <w:rPr>
          <w:rFonts w:ascii="Verdana" w:hAnsi="Verdana"/>
          <w:b/>
          <w:color w:val="000000"/>
          <w:sz w:val="17"/>
          <w:szCs w:val="17"/>
          <w:lang w:val="en-GB"/>
        </w:rPr>
        <w:t>Paragraph 983-1010</w:t>
      </w:r>
    </w:p>
    <w:p w14:paraId="7D16D3B0" w14:textId="77777777" w:rsidR="00FA1C9B" w:rsidRPr="008838CC" w:rsidRDefault="007262A9" w:rsidP="00632832">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 xml:space="preserve">Insurance Europe welcomes EIOPA’s analysis of the use of derivatives and the recognition that </w:t>
      </w:r>
      <w:r w:rsidR="00FA1C9B" w:rsidRPr="008838CC">
        <w:rPr>
          <w:rFonts w:ascii="Verdana" w:hAnsi="Verdana"/>
          <w:color w:val="000000"/>
          <w:sz w:val="17"/>
          <w:szCs w:val="17"/>
          <w:lang w:val="en-GB"/>
        </w:rPr>
        <w:t xml:space="preserve">it is valid for </w:t>
      </w:r>
      <w:r w:rsidRPr="008838CC">
        <w:rPr>
          <w:rFonts w:ascii="Verdana" w:hAnsi="Verdana"/>
          <w:color w:val="000000"/>
          <w:sz w:val="17"/>
          <w:szCs w:val="17"/>
          <w:lang w:val="en-GB"/>
        </w:rPr>
        <w:t xml:space="preserve">undertakings </w:t>
      </w:r>
      <w:r w:rsidR="00FA1C9B" w:rsidRPr="008838CC">
        <w:rPr>
          <w:rFonts w:ascii="Verdana" w:hAnsi="Verdana"/>
          <w:color w:val="000000"/>
          <w:sz w:val="17"/>
          <w:szCs w:val="17"/>
          <w:lang w:val="en-GB"/>
        </w:rPr>
        <w:t>to use</w:t>
      </w:r>
      <w:r w:rsidRPr="008838CC">
        <w:rPr>
          <w:rFonts w:ascii="Verdana" w:hAnsi="Verdana"/>
          <w:color w:val="000000"/>
          <w:sz w:val="17"/>
          <w:szCs w:val="17"/>
          <w:lang w:val="en-GB"/>
        </w:rPr>
        <w:t xml:space="preserve"> both long and short positions</w:t>
      </w:r>
      <w:r w:rsidR="00FA1C9B" w:rsidRPr="008838CC">
        <w:rPr>
          <w:rFonts w:ascii="Verdana" w:hAnsi="Verdana"/>
          <w:color w:val="000000"/>
          <w:sz w:val="17"/>
          <w:szCs w:val="17"/>
          <w:lang w:val="en-GB"/>
        </w:rPr>
        <w:t xml:space="preserve"> to hedge their exposures.</w:t>
      </w:r>
    </w:p>
    <w:p w14:paraId="3E885063" w14:textId="77777777" w:rsidR="00FA1C9B" w:rsidRPr="008838CC" w:rsidRDefault="00FA1C9B" w:rsidP="00632832">
      <w:pPr>
        <w:spacing w:line="276" w:lineRule="auto"/>
        <w:jc w:val="both"/>
        <w:rPr>
          <w:rFonts w:ascii="Verdana" w:hAnsi="Verdana"/>
          <w:color w:val="000000"/>
          <w:sz w:val="17"/>
          <w:szCs w:val="17"/>
          <w:lang w:val="en-GB"/>
        </w:rPr>
      </w:pPr>
    </w:p>
    <w:p w14:paraId="5CEF478D" w14:textId="13A988C7" w:rsidR="001702CE" w:rsidRPr="008838CC" w:rsidRDefault="00FA1C9B" w:rsidP="00632832">
      <w:pPr>
        <w:spacing w:line="276" w:lineRule="auto"/>
        <w:jc w:val="both"/>
        <w:rPr>
          <w:rFonts w:ascii="Verdana" w:hAnsi="Verdana"/>
          <w:color w:val="000000"/>
          <w:sz w:val="17"/>
          <w:szCs w:val="17"/>
          <w:lang w:val="en-GB"/>
        </w:rPr>
      </w:pPr>
      <w:r w:rsidRPr="008838CC">
        <w:rPr>
          <w:rFonts w:ascii="Verdana" w:hAnsi="Verdana"/>
          <w:color w:val="000000"/>
          <w:sz w:val="17"/>
          <w:szCs w:val="17"/>
          <w:lang w:val="en-GB"/>
        </w:rPr>
        <w:t xml:space="preserve">It </w:t>
      </w:r>
      <w:r w:rsidR="001702CE" w:rsidRPr="008838CC">
        <w:rPr>
          <w:rFonts w:ascii="Verdana" w:hAnsi="Verdana"/>
          <w:color w:val="000000"/>
          <w:sz w:val="17"/>
          <w:szCs w:val="17"/>
          <w:lang w:val="en-GB"/>
        </w:rPr>
        <w:t>supports</w:t>
      </w:r>
      <w:r w:rsidRPr="008838CC">
        <w:rPr>
          <w:rFonts w:ascii="Verdana" w:hAnsi="Verdana"/>
          <w:color w:val="000000"/>
          <w:sz w:val="17"/>
          <w:szCs w:val="17"/>
          <w:lang w:val="en-GB"/>
        </w:rPr>
        <w:t xml:space="preserve"> EIOPA’s proposal to define a </w:t>
      </w:r>
      <w:r w:rsidR="001702CE" w:rsidRPr="008838CC">
        <w:rPr>
          <w:rFonts w:ascii="Verdana" w:hAnsi="Verdana"/>
          <w:color w:val="000000"/>
          <w:sz w:val="17"/>
          <w:szCs w:val="17"/>
          <w:lang w:val="en-GB"/>
        </w:rPr>
        <w:t>“r</w:t>
      </w:r>
      <w:r w:rsidRPr="008838CC">
        <w:rPr>
          <w:rFonts w:ascii="Verdana" w:hAnsi="Verdana"/>
          <w:color w:val="000000"/>
          <w:sz w:val="17"/>
          <w:szCs w:val="17"/>
          <w:lang w:val="en-GB"/>
        </w:rPr>
        <w:t>isk-mitigating derivative</w:t>
      </w:r>
      <w:r w:rsidR="001702CE" w:rsidRPr="008838CC">
        <w:rPr>
          <w:rFonts w:ascii="Verdana" w:hAnsi="Verdana"/>
          <w:color w:val="000000"/>
          <w:sz w:val="17"/>
          <w:szCs w:val="17"/>
          <w:lang w:val="en-GB"/>
        </w:rPr>
        <w:t>”</w:t>
      </w:r>
      <w:r w:rsidRPr="008838CC">
        <w:rPr>
          <w:rFonts w:ascii="Verdana" w:hAnsi="Verdana"/>
          <w:color w:val="000000"/>
          <w:sz w:val="17"/>
          <w:szCs w:val="17"/>
          <w:lang w:val="en-GB"/>
        </w:rPr>
        <w:t xml:space="preserve"> as a der</w:t>
      </w:r>
      <w:r w:rsidR="001702CE" w:rsidRPr="008838CC">
        <w:rPr>
          <w:rFonts w:ascii="Verdana" w:hAnsi="Verdana"/>
          <w:color w:val="000000"/>
          <w:sz w:val="17"/>
          <w:szCs w:val="17"/>
          <w:lang w:val="en-GB"/>
        </w:rPr>
        <w:t>ivative which is part of a well-</w:t>
      </w:r>
      <w:r w:rsidRPr="008838CC">
        <w:rPr>
          <w:rFonts w:ascii="Verdana" w:hAnsi="Verdana"/>
          <w:color w:val="000000"/>
          <w:sz w:val="17"/>
          <w:szCs w:val="17"/>
          <w:lang w:val="en-GB"/>
        </w:rPr>
        <w:t>defined hedging strat</w:t>
      </w:r>
      <w:r w:rsidR="001702CE" w:rsidRPr="008838CC">
        <w:rPr>
          <w:rFonts w:ascii="Verdana" w:hAnsi="Verdana"/>
          <w:color w:val="000000"/>
          <w:sz w:val="17"/>
          <w:szCs w:val="17"/>
          <w:lang w:val="en-GB"/>
        </w:rPr>
        <w:t>e</w:t>
      </w:r>
      <w:r w:rsidRPr="008838CC">
        <w:rPr>
          <w:rFonts w:ascii="Verdana" w:hAnsi="Verdana"/>
          <w:color w:val="000000"/>
          <w:sz w:val="17"/>
          <w:szCs w:val="17"/>
          <w:lang w:val="en-GB"/>
        </w:rPr>
        <w:t>gy</w:t>
      </w:r>
      <w:r w:rsidR="001702CE" w:rsidRPr="008838CC">
        <w:rPr>
          <w:rFonts w:ascii="Verdana" w:hAnsi="Verdana"/>
          <w:color w:val="000000"/>
          <w:sz w:val="17"/>
          <w:szCs w:val="17"/>
          <w:lang w:val="en-GB"/>
        </w:rPr>
        <w:t xml:space="preserve"> </w:t>
      </w:r>
      <w:r w:rsidR="004A7B3A" w:rsidRPr="008838CC">
        <w:rPr>
          <w:rFonts w:ascii="Verdana" w:hAnsi="Verdana"/>
          <w:color w:val="000000"/>
          <w:sz w:val="17"/>
          <w:szCs w:val="17"/>
          <w:lang w:val="en-GB"/>
        </w:rPr>
        <w:t xml:space="preserve">because it </w:t>
      </w:r>
      <w:r w:rsidR="001702CE" w:rsidRPr="008838CC">
        <w:rPr>
          <w:rFonts w:ascii="Verdana" w:hAnsi="Verdana"/>
          <w:color w:val="000000"/>
          <w:sz w:val="17"/>
          <w:szCs w:val="17"/>
          <w:lang w:val="en-GB"/>
        </w:rPr>
        <w:t>provides a more accurate representation of economic reality.</w:t>
      </w:r>
    </w:p>
    <w:p w14:paraId="40667D2D" w14:textId="77777777" w:rsidR="001702CE" w:rsidRPr="008838CC" w:rsidRDefault="001702CE" w:rsidP="00632832">
      <w:pPr>
        <w:spacing w:line="276" w:lineRule="auto"/>
        <w:jc w:val="both"/>
        <w:rPr>
          <w:rFonts w:ascii="Verdana" w:hAnsi="Verdana"/>
          <w:color w:val="000000"/>
          <w:sz w:val="17"/>
          <w:szCs w:val="17"/>
          <w:lang w:val="en-GB"/>
        </w:rPr>
      </w:pPr>
    </w:p>
    <w:p w14:paraId="1D2F8968" w14:textId="4E1126A6" w:rsidR="00632832" w:rsidRPr="008838CC" w:rsidRDefault="001702CE" w:rsidP="00632832">
      <w:pPr>
        <w:spacing w:line="276" w:lineRule="auto"/>
        <w:jc w:val="both"/>
        <w:rPr>
          <w:rFonts w:ascii="Verdana" w:hAnsi="Verdana"/>
          <w:b/>
          <w:color w:val="000000"/>
          <w:sz w:val="17"/>
          <w:szCs w:val="17"/>
          <w:lang w:val="en-GB"/>
        </w:rPr>
      </w:pPr>
      <w:r w:rsidRPr="008838CC">
        <w:rPr>
          <w:rFonts w:ascii="Verdana" w:hAnsi="Verdana"/>
          <w:b/>
          <w:color w:val="000000"/>
          <w:sz w:val="17"/>
          <w:szCs w:val="17"/>
          <w:lang w:val="en-GB"/>
        </w:rPr>
        <w:t>Paragraph 1011-1021</w:t>
      </w:r>
    </w:p>
    <w:p w14:paraId="343DBBEE" w14:textId="26825850" w:rsidR="001702CE" w:rsidRPr="008838CC" w:rsidRDefault="001702CE" w:rsidP="00632832">
      <w:pPr>
        <w:spacing w:line="276" w:lineRule="auto"/>
        <w:jc w:val="both"/>
        <w:rPr>
          <w:rFonts w:ascii="Verdana" w:hAnsi="Verdana"/>
          <w:b/>
          <w:color w:val="000000"/>
          <w:sz w:val="17"/>
          <w:szCs w:val="17"/>
          <w:lang w:val="en-GB"/>
        </w:rPr>
      </w:pPr>
      <w:r w:rsidRPr="008838CC">
        <w:rPr>
          <w:rFonts w:ascii="Verdana" w:hAnsi="Verdana"/>
          <w:color w:val="000000"/>
          <w:sz w:val="17"/>
          <w:szCs w:val="17"/>
          <w:lang w:val="en-GB"/>
        </w:rPr>
        <w:t xml:space="preserve">Insurance Europe agrees with EIOPA that the counterparty default risk submodule should be refined to take into consideration any contractual netting arrangements. The proposal to calculate the LGD and risk-mitigating effect on the single name exposure and not on each individual derivative appears to be a sensible approach. Insurance Europe welcomes further detail on the specificities of this proposal. </w:t>
      </w:r>
    </w:p>
    <w:p w14:paraId="631CA660" w14:textId="77777777" w:rsidR="00DF15D3" w:rsidRPr="008838CC" w:rsidRDefault="00DF15D3" w:rsidP="00644F0A">
      <w:pPr>
        <w:spacing w:line="276" w:lineRule="auto"/>
        <w:rPr>
          <w:rFonts w:ascii="Verdana" w:hAnsi="Verdana"/>
          <w:b/>
          <w:color w:val="000000"/>
          <w:sz w:val="17"/>
          <w:szCs w:val="17"/>
          <w:u w:val="single"/>
        </w:rPr>
      </w:pPr>
    </w:p>
    <w:p w14:paraId="36A557E5" w14:textId="4A2D77BF"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13.4.3</w:t>
      </w:r>
      <w:r w:rsidR="00DF15D3" w:rsidRPr="008838CC">
        <w:rPr>
          <w:rFonts w:ascii="Verdana" w:hAnsi="Verdana"/>
          <w:b/>
          <w:color w:val="000000"/>
          <w:sz w:val="17"/>
          <w:szCs w:val="17"/>
          <w:u w:val="single"/>
        </w:rPr>
        <w:t xml:space="preserve"> EIOPA’s advice</w:t>
      </w:r>
    </w:p>
    <w:p w14:paraId="32A64BB1" w14:textId="281BC713" w:rsidR="00910195" w:rsidRPr="008838CC" w:rsidRDefault="00910195" w:rsidP="00644F0A">
      <w:pPr>
        <w:spacing w:line="276" w:lineRule="auto"/>
        <w:rPr>
          <w:rFonts w:ascii="Verdana" w:hAnsi="Verdana"/>
          <w:color w:val="000000"/>
          <w:sz w:val="17"/>
          <w:szCs w:val="17"/>
        </w:rPr>
      </w:pPr>
      <w:r w:rsidRPr="008838CC">
        <w:rPr>
          <w:rFonts w:ascii="Verdana" w:hAnsi="Verdana"/>
          <w:color w:val="000000"/>
          <w:sz w:val="17"/>
          <w:szCs w:val="17"/>
        </w:rPr>
        <w:t xml:space="preserve">Detailed comment on EIOPA’s proposals has been included in the previous section, please refer to these for supporting comments to the summary below. </w:t>
      </w:r>
    </w:p>
    <w:p w14:paraId="7521D648" w14:textId="243452EC" w:rsidR="001702CE" w:rsidRPr="008838CC" w:rsidRDefault="00910195" w:rsidP="00F116CE">
      <w:pPr>
        <w:pStyle w:val="Nadpis1"/>
        <w:jc w:val="both"/>
        <w:rPr>
          <w:sz w:val="17"/>
          <w:szCs w:val="17"/>
          <w:u w:val="none"/>
        </w:rPr>
      </w:pPr>
      <w:r w:rsidRPr="008838CC">
        <w:rPr>
          <w:sz w:val="17"/>
          <w:szCs w:val="17"/>
          <w:u w:val="none"/>
        </w:rPr>
        <w:t>P</w:t>
      </w:r>
      <w:r w:rsidR="001702CE" w:rsidRPr="008838CC">
        <w:rPr>
          <w:sz w:val="17"/>
          <w:szCs w:val="17"/>
          <w:u w:val="none"/>
        </w:rPr>
        <w:t>aragraph 1030-1034</w:t>
      </w:r>
    </w:p>
    <w:p w14:paraId="6A926A21" w14:textId="03AA87E7" w:rsidR="00AE55F2" w:rsidRPr="008838CC" w:rsidRDefault="001702CE" w:rsidP="004A7B3A">
      <w:pPr>
        <w:jc w:val="both"/>
        <w:rPr>
          <w:rFonts w:ascii="Verdana" w:hAnsi="Verdana"/>
          <w:color w:val="000000"/>
          <w:sz w:val="17"/>
          <w:szCs w:val="17"/>
          <w:lang w:val="en-GB"/>
        </w:rPr>
      </w:pPr>
      <w:r w:rsidRPr="008838CC">
        <w:rPr>
          <w:rFonts w:ascii="Verdana" w:hAnsi="Verdana"/>
          <w:color w:val="000000"/>
          <w:sz w:val="17"/>
          <w:szCs w:val="17"/>
          <w:lang w:val="en-GB"/>
        </w:rPr>
        <w:t>Insurance Europe reiterates that</w:t>
      </w:r>
      <w:r w:rsidR="004A7B3A" w:rsidRPr="008838CC">
        <w:rPr>
          <w:rFonts w:ascii="Verdana" w:hAnsi="Verdana"/>
          <w:color w:val="000000"/>
          <w:sz w:val="17"/>
          <w:szCs w:val="17"/>
          <w:lang w:val="en-GB"/>
        </w:rPr>
        <w:t xml:space="preserve"> </w:t>
      </w:r>
      <w:r w:rsidRPr="008838CC">
        <w:rPr>
          <w:rFonts w:ascii="Verdana" w:hAnsi="Verdana"/>
          <w:color w:val="000000"/>
          <w:sz w:val="17"/>
          <w:szCs w:val="17"/>
          <w:lang w:val="en-GB"/>
        </w:rPr>
        <w:t xml:space="preserve">the complexity of the counterparty default risk submodule is </w:t>
      </w:r>
      <w:r w:rsidR="00AE55F2" w:rsidRPr="008838CC">
        <w:rPr>
          <w:rFonts w:ascii="Verdana" w:hAnsi="Verdana"/>
          <w:color w:val="000000"/>
          <w:sz w:val="17"/>
          <w:szCs w:val="17"/>
          <w:lang w:val="en-GB"/>
        </w:rPr>
        <w:t xml:space="preserve">not </w:t>
      </w:r>
      <w:r w:rsidRPr="008838CC">
        <w:rPr>
          <w:rFonts w:ascii="Verdana" w:hAnsi="Verdana"/>
          <w:color w:val="000000"/>
          <w:sz w:val="17"/>
          <w:szCs w:val="17"/>
          <w:lang w:val="en-GB"/>
        </w:rPr>
        <w:t>proportionate t</w:t>
      </w:r>
      <w:r w:rsidR="00AE55F2" w:rsidRPr="008838CC">
        <w:rPr>
          <w:rFonts w:ascii="Verdana" w:hAnsi="Verdana"/>
          <w:color w:val="000000"/>
          <w:sz w:val="17"/>
          <w:szCs w:val="17"/>
          <w:lang w:val="en-GB"/>
        </w:rPr>
        <w:t>o the nature, scale and complexity of the risks. EIOPA’s analysis supports this assessment.</w:t>
      </w:r>
    </w:p>
    <w:p w14:paraId="0E78CCB1" w14:textId="0D35E431" w:rsidR="00AE55F2" w:rsidRPr="008838CC" w:rsidRDefault="00AE55F2" w:rsidP="004A7B3A">
      <w:pPr>
        <w:pStyle w:val="Nadpis1"/>
        <w:jc w:val="both"/>
        <w:rPr>
          <w:sz w:val="17"/>
          <w:szCs w:val="17"/>
          <w:u w:val="none"/>
        </w:rPr>
      </w:pPr>
      <w:r w:rsidRPr="008838CC">
        <w:rPr>
          <w:sz w:val="17"/>
          <w:szCs w:val="17"/>
          <w:u w:val="none"/>
        </w:rPr>
        <w:t>Paragraph 1044-1048</w:t>
      </w:r>
    </w:p>
    <w:p w14:paraId="760E4985" w14:textId="4F03BF5E" w:rsidR="00AE55F2" w:rsidRPr="008838CC" w:rsidRDefault="00AE55F2" w:rsidP="004A7B3A">
      <w:pPr>
        <w:jc w:val="both"/>
        <w:rPr>
          <w:rFonts w:ascii="Verdana" w:hAnsi="Verdana"/>
          <w:color w:val="000000"/>
          <w:sz w:val="17"/>
          <w:szCs w:val="17"/>
          <w:lang w:val="en-GB"/>
        </w:rPr>
      </w:pPr>
      <w:r w:rsidRPr="008838CC">
        <w:rPr>
          <w:rFonts w:ascii="Verdana" w:hAnsi="Verdana"/>
          <w:color w:val="000000"/>
          <w:sz w:val="17"/>
          <w:szCs w:val="17"/>
          <w:lang w:val="en-GB"/>
        </w:rPr>
        <w:t>Insurance Europe welcomes EIOPA’s proposal to define a risk-mitigating technique as a hedging strategy where it would be sufficient for the hedging strategy as a whole to meet the requirements of a risk-mitigating technique rather than each individual derivative.</w:t>
      </w:r>
    </w:p>
    <w:p w14:paraId="5DD16844" w14:textId="4F6462EC" w:rsidR="00AE55F2" w:rsidRPr="008838CC" w:rsidRDefault="00AE55F2" w:rsidP="004A7B3A">
      <w:pPr>
        <w:jc w:val="both"/>
        <w:rPr>
          <w:rFonts w:ascii="Verdana" w:hAnsi="Verdana"/>
          <w:bCs/>
          <w:color w:val="000000"/>
          <w:sz w:val="17"/>
          <w:szCs w:val="17"/>
          <w:lang w:val="en-GB"/>
        </w:rPr>
      </w:pPr>
    </w:p>
    <w:p w14:paraId="5933E414" w14:textId="15F14847" w:rsidR="00AE55F2" w:rsidRPr="008838CC" w:rsidRDefault="00AE55F2" w:rsidP="004A7B3A">
      <w:pPr>
        <w:jc w:val="both"/>
        <w:rPr>
          <w:rFonts w:ascii="Verdana" w:hAnsi="Verdana"/>
          <w:b/>
          <w:bCs/>
          <w:color w:val="000000"/>
          <w:sz w:val="17"/>
          <w:szCs w:val="17"/>
          <w:lang w:val="en-GB"/>
        </w:rPr>
      </w:pPr>
      <w:r w:rsidRPr="008838CC">
        <w:rPr>
          <w:rFonts w:ascii="Verdana" w:hAnsi="Verdana"/>
          <w:b/>
          <w:bCs/>
          <w:color w:val="000000"/>
          <w:sz w:val="17"/>
          <w:szCs w:val="17"/>
          <w:lang w:val="en-GB"/>
        </w:rPr>
        <w:t>Paragraph 1049-1056</w:t>
      </w:r>
    </w:p>
    <w:p w14:paraId="4E5FB5FF" w14:textId="0437B75A" w:rsidR="00AE55F2" w:rsidRPr="008838CC" w:rsidRDefault="00AE55F2" w:rsidP="004A7B3A">
      <w:pPr>
        <w:jc w:val="both"/>
        <w:rPr>
          <w:rFonts w:ascii="Verdana" w:hAnsi="Verdana"/>
          <w:b/>
          <w:sz w:val="17"/>
          <w:szCs w:val="17"/>
        </w:rPr>
      </w:pPr>
      <w:r w:rsidRPr="008838CC">
        <w:rPr>
          <w:rFonts w:ascii="Verdana" w:hAnsi="Verdana"/>
          <w:color w:val="000000"/>
          <w:sz w:val="17"/>
          <w:szCs w:val="17"/>
          <w:lang w:val="en-GB"/>
        </w:rPr>
        <w:t xml:space="preserve">Insurance Europe supports the </w:t>
      </w:r>
      <w:r w:rsidR="00910195" w:rsidRPr="008838CC">
        <w:rPr>
          <w:rFonts w:ascii="Verdana" w:hAnsi="Verdana"/>
          <w:color w:val="000000"/>
          <w:sz w:val="17"/>
          <w:szCs w:val="17"/>
          <w:lang w:val="en-GB"/>
        </w:rPr>
        <w:t>recognition of contractual netting arrangements and the proposal to alter calculation to reflect the economic reality of the contractual netting arrangements</w:t>
      </w:r>
      <w:r w:rsidR="00910195" w:rsidRPr="008838CC">
        <w:rPr>
          <w:rFonts w:ascii="Verdana" w:hAnsi="Verdana"/>
          <w:b/>
          <w:sz w:val="17"/>
          <w:szCs w:val="17"/>
        </w:rPr>
        <w:t xml:space="preserve">. </w:t>
      </w:r>
    </w:p>
    <w:p w14:paraId="4B666748" w14:textId="7A19B882" w:rsidR="00910195" w:rsidRPr="008838CC" w:rsidRDefault="00910195" w:rsidP="004A7B3A">
      <w:pPr>
        <w:jc w:val="both"/>
        <w:rPr>
          <w:rFonts w:ascii="Verdana" w:hAnsi="Verdana"/>
          <w:sz w:val="17"/>
          <w:szCs w:val="17"/>
          <w:lang w:val="en-GB"/>
        </w:rPr>
      </w:pPr>
    </w:p>
    <w:p w14:paraId="47C84A4A" w14:textId="1EE448CE" w:rsidR="00910195" w:rsidRPr="008838CC" w:rsidRDefault="00910195" w:rsidP="004A7B3A">
      <w:pPr>
        <w:jc w:val="both"/>
        <w:rPr>
          <w:rFonts w:ascii="Verdana" w:hAnsi="Verdana"/>
          <w:b/>
          <w:bCs/>
          <w:color w:val="000000"/>
          <w:sz w:val="17"/>
          <w:szCs w:val="17"/>
          <w:lang w:val="en-GB"/>
        </w:rPr>
      </w:pPr>
      <w:r w:rsidRPr="008838CC">
        <w:rPr>
          <w:rFonts w:ascii="Verdana" w:hAnsi="Verdana"/>
          <w:b/>
          <w:bCs/>
          <w:color w:val="000000"/>
          <w:sz w:val="17"/>
          <w:szCs w:val="17"/>
          <w:lang w:val="en-GB"/>
        </w:rPr>
        <w:t>Paragraph 1057</w:t>
      </w:r>
    </w:p>
    <w:p w14:paraId="36C9BCA3" w14:textId="76E7A08A" w:rsidR="00910195" w:rsidRPr="008838CC" w:rsidRDefault="00910195" w:rsidP="004A7B3A">
      <w:pPr>
        <w:jc w:val="both"/>
        <w:rPr>
          <w:rFonts w:ascii="Verdana" w:hAnsi="Verdana"/>
          <w:color w:val="000000"/>
          <w:sz w:val="17"/>
          <w:szCs w:val="17"/>
          <w:lang w:val="en-GB"/>
        </w:rPr>
      </w:pPr>
      <w:r w:rsidRPr="008838CC">
        <w:rPr>
          <w:rFonts w:ascii="Verdana" w:hAnsi="Verdana"/>
          <w:color w:val="000000"/>
          <w:sz w:val="17"/>
          <w:szCs w:val="17"/>
          <w:lang w:val="en-GB"/>
        </w:rPr>
        <w:t>Insurance Europe would welcome clarification on the intended calculation of the hypothetical SCR.</w:t>
      </w:r>
    </w:p>
    <w:p w14:paraId="2F06C0B3" w14:textId="62032955" w:rsidR="00910195" w:rsidRPr="008838CC" w:rsidRDefault="00910195" w:rsidP="004A7B3A">
      <w:pPr>
        <w:jc w:val="both"/>
        <w:rPr>
          <w:rFonts w:ascii="Verdana" w:hAnsi="Verdana"/>
          <w:color w:val="000000"/>
          <w:sz w:val="17"/>
          <w:szCs w:val="17"/>
          <w:lang w:val="en-GB"/>
        </w:rPr>
      </w:pPr>
    </w:p>
    <w:p w14:paraId="2E55872F" w14:textId="555BDF8D" w:rsidR="00910195" w:rsidRPr="008838CC" w:rsidRDefault="00910195" w:rsidP="004A7B3A">
      <w:pPr>
        <w:jc w:val="both"/>
        <w:rPr>
          <w:rFonts w:ascii="Verdana" w:hAnsi="Verdana"/>
          <w:b/>
          <w:color w:val="000000"/>
          <w:sz w:val="17"/>
          <w:szCs w:val="17"/>
          <w:lang w:val="en-GB"/>
        </w:rPr>
      </w:pPr>
      <w:r w:rsidRPr="008838CC">
        <w:rPr>
          <w:rFonts w:ascii="Verdana" w:hAnsi="Verdana"/>
          <w:b/>
          <w:color w:val="000000"/>
          <w:sz w:val="17"/>
          <w:szCs w:val="17"/>
          <w:lang w:val="en-GB"/>
        </w:rPr>
        <w:t>Paragraph 1058-1066</w:t>
      </w:r>
    </w:p>
    <w:p w14:paraId="25C4A5A9" w14:textId="27DF080D" w:rsidR="00AE55F2" w:rsidRPr="008838CC" w:rsidRDefault="00910195" w:rsidP="004A7B3A">
      <w:pPr>
        <w:jc w:val="both"/>
        <w:rPr>
          <w:rFonts w:ascii="Verdana" w:hAnsi="Verdana"/>
          <w:color w:val="000000"/>
          <w:sz w:val="17"/>
          <w:szCs w:val="17"/>
          <w:lang w:val="en-GB"/>
        </w:rPr>
      </w:pPr>
      <w:r w:rsidRPr="008838CC">
        <w:rPr>
          <w:rFonts w:ascii="Verdana" w:hAnsi="Verdana"/>
          <w:color w:val="000000"/>
          <w:sz w:val="17"/>
          <w:szCs w:val="17"/>
          <w:lang w:val="en-GB"/>
        </w:rPr>
        <w:t>Insurance Europe welcomes simplifications to the counterparty default risk submodule to reduce the calculation burden but notes that</w:t>
      </w:r>
      <w:r w:rsidR="00D822C7" w:rsidRPr="008838CC">
        <w:rPr>
          <w:rFonts w:ascii="Verdana" w:hAnsi="Verdana"/>
          <w:color w:val="000000"/>
          <w:sz w:val="17"/>
          <w:szCs w:val="17"/>
          <w:lang w:val="en-GB"/>
        </w:rPr>
        <w:t xml:space="preserve"> the inclusion of high margins of prudence inherent in these calculations may discourage their widespread usage.</w:t>
      </w:r>
    </w:p>
    <w:p w14:paraId="17BFF9A4" w14:textId="77777777" w:rsidR="00D822C7" w:rsidRPr="008838CC" w:rsidRDefault="00D822C7" w:rsidP="004A7B3A">
      <w:pPr>
        <w:jc w:val="both"/>
        <w:rPr>
          <w:rFonts w:ascii="Verdana" w:hAnsi="Verdana"/>
          <w:b/>
          <w:color w:val="000000"/>
          <w:sz w:val="17"/>
          <w:szCs w:val="17"/>
          <w:lang w:val="en-GB"/>
        </w:rPr>
      </w:pPr>
    </w:p>
    <w:p w14:paraId="4A086101" w14:textId="5622FFE6" w:rsidR="00D822C7" w:rsidRPr="008838CC" w:rsidRDefault="00D822C7" w:rsidP="004A7B3A">
      <w:pPr>
        <w:jc w:val="both"/>
        <w:rPr>
          <w:rFonts w:ascii="Verdana" w:hAnsi="Verdana"/>
          <w:b/>
          <w:color w:val="000000"/>
          <w:sz w:val="17"/>
          <w:szCs w:val="17"/>
          <w:lang w:val="en-GB"/>
        </w:rPr>
      </w:pPr>
      <w:r w:rsidRPr="008838CC">
        <w:rPr>
          <w:rFonts w:ascii="Verdana" w:hAnsi="Verdana"/>
          <w:b/>
          <w:color w:val="000000"/>
          <w:sz w:val="17"/>
          <w:szCs w:val="17"/>
          <w:lang w:val="en-GB"/>
        </w:rPr>
        <w:t>Paragraph 1068</w:t>
      </w:r>
    </w:p>
    <w:p w14:paraId="32449EFC" w14:textId="1F9706B9" w:rsidR="00D822C7" w:rsidRPr="008838CC" w:rsidRDefault="00D822C7" w:rsidP="004A7B3A">
      <w:pPr>
        <w:jc w:val="both"/>
        <w:rPr>
          <w:rFonts w:ascii="Verdana" w:hAnsi="Verdana"/>
          <w:color w:val="000000"/>
          <w:sz w:val="17"/>
          <w:szCs w:val="17"/>
          <w:lang w:val="en-GB"/>
        </w:rPr>
      </w:pPr>
      <w:r w:rsidRPr="008838CC">
        <w:rPr>
          <w:rFonts w:ascii="Verdana" w:hAnsi="Verdana"/>
          <w:color w:val="000000"/>
          <w:sz w:val="17"/>
          <w:szCs w:val="17"/>
          <w:lang w:val="en-GB"/>
        </w:rPr>
        <w:t xml:space="preserve">Insurance Europe </w:t>
      </w:r>
      <w:r w:rsidR="00603AB4" w:rsidRPr="008838CC">
        <w:rPr>
          <w:rFonts w:ascii="Verdana" w:hAnsi="Verdana"/>
          <w:color w:val="000000"/>
          <w:sz w:val="17"/>
          <w:szCs w:val="17"/>
          <w:lang w:val="en-GB"/>
        </w:rPr>
        <w:t>welcomes</w:t>
      </w:r>
      <w:r w:rsidRPr="008838CC">
        <w:rPr>
          <w:rFonts w:ascii="Verdana" w:hAnsi="Verdana"/>
          <w:color w:val="000000"/>
          <w:sz w:val="17"/>
          <w:szCs w:val="17"/>
          <w:lang w:val="en-GB"/>
        </w:rPr>
        <w:t xml:space="preserve"> additional clarification on the existing simplified calculation, detailed in Article 110 of the Delegated Regulation.</w:t>
      </w:r>
    </w:p>
    <w:p w14:paraId="4AB42C6F" w14:textId="36C80658" w:rsidR="00D822C7" w:rsidRPr="008838CC" w:rsidRDefault="00D822C7" w:rsidP="00AE55F2">
      <w:pPr>
        <w:rPr>
          <w:rFonts w:ascii="Verdana" w:hAnsi="Verdana"/>
          <w:color w:val="000000"/>
          <w:sz w:val="17"/>
          <w:szCs w:val="17"/>
          <w:lang w:val="en-GB"/>
        </w:rPr>
      </w:pPr>
    </w:p>
    <w:p w14:paraId="7DE89B9B" w14:textId="77777777" w:rsidR="00D822C7" w:rsidRPr="008838CC" w:rsidRDefault="00D822C7" w:rsidP="00AE55F2">
      <w:pPr>
        <w:pStyle w:val="Nadpis1"/>
        <w:jc w:val="both"/>
        <w:rPr>
          <w:sz w:val="17"/>
          <w:szCs w:val="17"/>
        </w:rPr>
      </w:pPr>
    </w:p>
    <w:p w14:paraId="0029BA6C" w14:textId="77777777" w:rsidR="00230F04" w:rsidRPr="008838CC" w:rsidRDefault="00A441FC" w:rsidP="00AE55F2">
      <w:pPr>
        <w:pStyle w:val="Nadpis1"/>
        <w:jc w:val="both"/>
        <w:rPr>
          <w:sz w:val="17"/>
          <w:szCs w:val="17"/>
          <w:lang w:eastAsia="en-GB"/>
        </w:rPr>
      </w:pPr>
      <w:r w:rsidRPr="008838CC">
        <w:rPr>
          <w:sz w:val="17"/>
          <w:szCs w:val="17"/>
        </w:rPr>
        <w:br w:type="page"/>
      </w:r>
      <w:bookmarkStart w:id="34" w:name="_Toc497908653"/>
      <w:r w:rsidR="00230F04" w:rsidRPr="008838CC">
        <w:rPr>
          <w:sz w:val="17"/>
          <w:szCs w:val="17"/>
        </w:rPr>
        <w:t xml:space="preserve">14. </w:t>
      </w:r>
      <w:r w:rsidR="0018577F" w:rsidRPr="008838CC">
        <w:rPr>
          <w:sz w:val="17"/>
          <w:szCs w:val="17"/>
        </w:rPr>
        <w:t>Treatment of exposures to CCPs and changes resulting from EMIR</w:t>
      </w:r>
      <w:bookmarkEnd w:id="34"/>
    </w:p>
    <w:p w14:paraId="5BE1669F" w14:textId="25BD4FFE"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14.1</w:t>
      </w:r>
      <w:r w:rsidR="007E17D8">
        <w:rPr>
          <w:rFonts w:ascii="Verdana" w:hAnsi="Verdana"/>
          <w:b/>
          <w:color w:val="000000"/>
          <w:sz w:val="17"/>
          <w:szCs w:val="17"/>
          <w:u w:val="single"/>
        </w:rPr>
        <w:t xml:space="preserve"> Call for advice</w:t>
      </w:r>
    </w:p>
    <w:p w14:paraId="5680F1CC" w14:textId="74B71BCF" w:rsidR="00E907ED" w:rsidRPr="008838CC" w:rsidRDefault="00AF2733" w:rsidP="004F612B">
      <w:pPr>
        <w:spacing w:line="276" w:lineRule="auto"/>
        <w:jc w:val="both"/>
        <w:rPr>
          <w:rFonts w:ascii="Verdana" w:hAnsi="Verdana"/>
          <w:color w:val="000000"/>
          <w:sz w:val="17"/>
          <w:szCs w:val="17"/>
        </w:rPr>
      </w:pPr>
      <w:r w:rsidRPr="008838CC">
        <w:rPr>
          <w:rFonts w:ascii="Verdana" w:hAnsi="Verdana"/>
          <w:color w:val="000000"/>
          <w:sz w:val="17"/>
          <w:szCs w:val="17"/>
        </w:rPr>
        <w:t>Insurance Europe welcomes the EC request for advice on the treatment of derivatives in Solvency II, to allow for the reflection of the post-EMIR derivatives regulatory environment.</w:t>
      </w:r>
    </w:p>
    <w:p w14:paraId="2FB2D9B9" w14:textId="3851748C" w:rsidR="00AF2733" w:rsidRPr="008838CC" w:rsidRDefault="00AF2733" w:rsidP="004F612B">
      <w:pPr>
        <w:spacing w:line="276" w:lineRule="auto"/>
        <w:jc w:val="both"/>
        <w:rPr>
          <w:rFonts w:ascii="Verdana" w:hAnsi="Verdana"/>
          <w:color w:val="000000"/>
          <w:sz w:val="17"/>
          <w:szCs w:val="17"/>
        </w:rPr>
      </w:pPr>
    </w:p>
    <w:p w14:paraId="27F0F46E" w14:textId="688E92AC" w:rsidR="00AF2733" w:rsidRPr="008838CC" w:rsidRDefault="00AF2733" w:rsidP="004F612B">
      <w:pPr>
        <w:spacing w:line="276" w:lineRule="auto"/>
        <w:jc w:val="both"/>
        <w:rPr>
          <w:rFonts w:ascii="Verdana" w:hAnsi="Verdana"/>
          <w:color w:val="000000"/>
          <w:sz w:val="17"/>
          <w:szCs w:val="17"/>
        </w:rPr>
      </w:pPr>
      <w:r w:rsidRPr="008838CC">
        <w:rPr>
          <w:rFonts w:ascii="Verdana" w:hAnsi="Verdana"/>
          <w:color w:val="000000"/>
          <w:sz w:val="17"/>
          <w:szCs w:val="17"/>
        </w:rPr>
        <w:t xml:space="preserve">While the Commission asks EIOPA to propose changes for cleared derivatives, the call for advice itself does not imply that the current treatment of non-cleared, ie OTC derivatives, is correct. </w:t>
      </w:r>
      <w:r w:rsidR="0084503C" w:rsidRPr="008838CC">
        <w:rPr>
          <w:rFonts w:ascii="Verdana" w:hAnsi="Verdana"/>
          <w:color w:val="000000"/>
          <w:sz w:val="17"/>
          <w:szCs w:val="17"/>
        </w:rPr>
        <w:t xml:space="preserve">Insurance Europe strongly believes that the current assumptions for the OTC environment, in particular the 10% recovery rate, </w:t>
      </w:r>
      <w:r w:rsidR="007E17D8">
        <w:rPr>
          <w:rFonts w:ascii="Verdana" w:hAnsi="Verdana"/>
          <w:color w:val="000000"/>
          <w:sz w:val="17"/>
          <w:szCs w:val="17"/>
        </w:rPr>
        <w:t>are</w:t>
      </w:r>
      <w:r w:rsidR="0084503C" w:rsidRPr="008838CC">
        <w:rPr>
          <w:rFonts w:ascii="Verdana" w:hAnsi="Verdana"/>
          <w:color w:val="000000"/>
          <w:sz w:val="17"/>
          <w:szCs w:val="17"/>
        </w:rPr>
        <w:t xml:space="preserve"> not reflective of the post-EMIR environment</w:t>
      </w:r>
      <w:r w:rsidR="0059292B" w:rsidRPr="008838CC">
        <w:rPr>
          <w:rFonts w:ascii="Verdana" w:hAnsi="Verdana"/>
          <w:color w:val="000000"/>
          <w:sz w:val="17"/>
          <w:szCs w:val="17"/>
        </w:rPr>
        <w:t>, which imposes strong collateralisation requirements</w:t>
      </w:r>
      <w:r w:rsidR="007E17D8">
        <w:rPr>
          <w:rFonts w:ascii="Verdana" w:hAnsi="Verdana"/>
          <w:color w:val="000000"/>
          <w:sz w:val="17"/>
          <w:szCs w:val="17"/>
        </w:rPr>
        <w:t xml:space="preserve"> on both OTC and centrally cleared derivatives</w:t>
      </w:r>
      <w:r w:rsidR="0084503C" w:rsidRPr="008838CC">
        <w:rPr>
          <w:rFonts w:ascii="Verdana" w:hAnsi="Verdana"/>
          <w:color w:val="000000"/>
          <w:sz w:val="17"/>
          <w:szCs w:val="17"/>
        </w:rPr>
        <w:t xml:space="preserve">. </w:t>
      </w:r>
      <w:r w:rsidR="001B768A" w:rsidRPr="008838CC">
        <w:rPr>
          <w:rFonts w:ascii="Verdana" w:hAnsi="Verdana"/>
          <w:color w:val="000000"/>
          <w:sz w:val="17"/>
          <w:szCs w:val="17"/>
        </w:rPr>
        <w:t xml:space="preserve">EIOPA iself has not presented any research/reports that prove the 10% recovery rate is accurate. </w:t>
      </w:r>
      <w:r w:rsidR="0084503C" w:rsidRPr="008838CC">
        <w:rPr>
          <w:rFonts w:ascii="Verdana" w:hAnsi="Verdana"/>
          <w:color w:val="000000"/>
          <w:sz w:val="17"/>
          <w:szCs w:val="17"/>
        </w:rPr>
        <w:t>It is important that EIOPA investigates this, in particular as EIOPA takes the OTC capital requirement as a starting point for reviewing the capital requirement of cleared derivatives.</w:t>
      </w:r>
    </w:p>
    <w:p w14:paraId="10476A5A" w14:textId="7058EDAA" w:rsidR="0084503C" w:rsidRPr="008838CC" w:rsidRDefault="0084503C" w:rsidP="004F612B">
      <w:pPr>
        <w:spacing w:line="276" w:lineRule="auto"/>
        <w:jc w:val="both"/>
        <w:rPr>
          <w:rFonts w:ascii="Verdana" w:hAnsi="Verdana"/>
          <w:color w:val="000000"/>
          <w:sz w:val="17"/>
          <w:szCs w:val="17"/>
        </w:rPr>
      </w:pPr>
    </w:p>
    <w:p w14:paraId="1EA2773D" w14:textId="4C434567" w:rsidR="0084503C" w:rsidRPr="008838CC" w:rsidRDefault="0084503C" w:rsidP="004F612B">
      <w:pPr>
        <w:spacing w:line="276" w:lineRule="auto"/>
        <w:jc w:val="both"/>
        <w:rPr>
          <w:rFonts w:ascii="Verdana" w:hAnsi="Verdana"/>
          <w:color w:val="000000"/>
          <w:sz w:val="17"/>
          <w:szCs w:val="17"/>
        </w:rPr>
      </w:pPr>
      <w:r w:rsidRPr="008838CC">
        <w:rPr>
          <w:rFonts w:ascii="Verdana" w:hAnsi="Verdana"/>
          <w:color w:val="000000"/>
          <w:sz w:val="17"/>
          <w:szCs w:val="17"/>
        </w:rPr>
        <w:t>Insurance Europe therefore believes that EIOPA’s analysis is missing an investigat</w:t>
      </w:r>
      <w:r w:rsidR="0059292B" w:rsidRPr="008838CC">
        <w:rPr>
          <w:rFonts w:ascii="Verdana" w:hAnsi="Verdana"/>
          <w:color w:val="000000"/>
          <w:sz w:val="17"/>
          <w:szCs w:val="17"/>
        </w:rPr>
        <w:t>ion of whether the current parameters for OTC derivatives are correct. Once this analysis is done and an appropriate calibration is justified, the OTC derivatives capital charges can be used as a starting point for deriving the capital charges for cleared derivatives.</w:t>
      </w:r>
    </w:p>
    <w:p w14:paraId="1C62F3E8" w14:textId="7079DDF2" w:rsidR="00AF2733" w:rsidRPr="008838CC" w:rsidRDefault="00AF2733" w:rsidP="00644F0A">
      <w:pPr>
        <w:spacing w:line="276" w:lineRule="auto"/>
        <w:rPr>
          <w:rFonts w:ascii="Verdana" w:hAnsi="Verdana"/>
          <w:color w:val="000000"/>
          <w:sz w:val="17"/>
          <w:szCs w:val="17"/>
        </w:rPr>
      </w:pPr>
    </w:p>
    <w:p w14:paraId="0E447897" w14:textId="77777777" w:rsidR="00AF2733" w:rsidRPr="008838CC" w:rsidRDefault="00AF2733" w:rsidP="00644F0A">
      <w:pPr>
        <w:spacing w:line="276" w:lineRule="auto"/>
        <w:rPr>
          <w:rFonts w:ascii="Verdana" w:hAnsi="Verdana"/>
          <w:color w:val="000000"/>
          <w:sz w:val="17"/>
          <w:szCs w:val="17"/>
        </w:rPr>
      </w:pPr>
    </w:p>
    <w:p w14:paraId="712AD41A"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14.2</w:t>
      </w:r>
    </w:p>
    <w:p w14:paraId="1317D8B8" w14:textId="163CFBBD"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14.3</w:t>
      </w:r>
      <w:r w:rsidR="007E17D8">
        <w:rPr>
          <w:rFonts w:ascii="Verdana" w:hAnsi="Verdana"/>
          <w:b/>
          <w:color w:val="000000"/>
          <w:sz w:val="17"/>
          <w:szCs w:val="17"/>
          <w:u w:val="single"/>
        </w:rPr>
        <w:t xml:space="preserve"> Feedback statement on the main comments received to the discussion paper</w:t>
      </w:r>
    </w:p>
    <w:p w14:paraId="61FA2457" w14:textId="59E70EF7" w:rsidR="002470A2" w:rsidRPr="008838CC" w:rsidRDefault="002470A2" w:rsidP="00644F0A">
      <w:pPr>
        <w:spacing w:line="276" w:lineRule="auto"/>
        <w:rPr>
          <w:rFonts w:ascii="Verdana" w:hAnsi="Verdana"/>
          <w:b/>
          <w:color w:val="000000"/>
          <w:sz w:val="17"/>
          <w:szCs w:val="17"/>
          <w:u w:val="single"/>
        </w:rPr>
      </w:pPr>
    </w:p>
    <w:p w14:paraId="1035F299" w14:textId="5D70651B" w:rsidR="002470A2" w:rsidRPr="007E17D8" w:rsidRDefault="002470A2" w:rsidP="00644F0A">
      <w:pPr>
        <w:spacing w:line="276" w:lineRule="auto"/>
        <w:rPr>
          <w:rFonts w:ascii="Verdana" w:hAnsi="Verdana"/>
          <w:b/>
          <w:i/>
          <w:color w:val="000000"/>
          <w:sz w:val="17"/>
          <w:szCs w:val="17"/>
        </w:rPr>
      </w:pPr>
      <w:r w:rsidRPr="007E17D8">
        <w:rPr>
          <w:rFonts w:ascii="Verdana" w:hAnsi="Verdana"/>
          <w:b/>
          <w:i/>
          <w:color w:val="000000"/>
          <w:sz w:val="17"/>
          <w:szCs w:val="17"/>
        </w:rPr>
        <w:t>Paragraph 1079</w:t>
      </w:r>
    </w:p>
    <w:p w14:paraId="3BE3A20A" w14:textId="19FBD84E" w:rsidR="002470A2" w:rsidRPr="008838CC" w:rsidRDefault="00AF2388" w:rsidP="004F612B">
      <w:pPr>
        <w:spacing w:line="276" w:lineRule="auto"/>
        <w:jc w:val="both"/>
        <w:rPr>
          <w:rFonts w:ascii="Verdana" w:hAnsi="Verdana"/>
          <w:color w:val="000000"/>
          <w:sz w:val="17"/>
          <w:szCs w:val="17"/>
        </w:rPr>
      </w:pPr>
      <w:r w:rsidRPr="008838CC">
        <w:rPr>
          <w:rFonts w:ascii="Verdana" w:hAnsi="Verdana"/>
          <w:color w:val="000000"/>
          <w:sz w:val="17"/>
          <w:szCs w:val="17"/>
        </w:rPr>
        <w:t>Insurance Europe appreciates EIOPA’s concern of having weaker requirement</w:t>
      </w:r>
      <w:r w:rsidR="001B6E8F">
        <w:rPr>
          <w:rFonts w:ascii="Verdana" w:hAnsi="Verdana"/>
          <w:color w:val="000000"/>
          <w:sz w:val="17"/>
          <w:szCs w:val="17"/>
        </w:rPr>
        <w:t>s</w:t>
      </w:r>
      <w:r w:rsidRPr="008838CC">
        <w:rPr>
          <w:rFonts w:ascii="Verdana" w:hAnsi="Verdana"/>
          <w:color w:val="000000"/>
          <w:sz w:val="17"/>
          <w:szCs w:val="17"/>
        </w:rPr>
        <w:t xml:space="preserve"> for insurers vs banks. However, more tailored requirements, aimed at making the framework </w:t>
      </w:r>
      <w:r w:rsidR="001B6E8F">
        <w:rPr>
          <w:rFonts w:ascii="Verdana" w:hAnsi="Verdana"/>
          <w:color w:val="000000"/>
          <w:sz w:val="17"/>
          <w:szCs w:val="17"/>
        </w:rPr>
        <w:t>more fit for purpose</w:t>
      </w:r>
      <w:r w:rsidRPr="008838CC">
        <w:rPr>
          <w:rFonts w:ascii="Verdana" w:hAnsi="Verdana"/>
          <w:color w:val="000000"/>
          <w:sz w:val="17"/>
          <w:szCs w:val="17"/>
        </w:rPr>
        <w:t>, would not necessarily mean weaker. Therefor</w:t>
      </w:r>
      <w:r w:rsidR="001B6E8F">
        <w:rPr>
          <w:rFonts w:ascii="Verdana" w:hAnsi="Verdana"/>
          <w:color w:val="000000"/>
          <w:sz w:val="17"/>
          <w:szCs w:val="17"/>
        </w:rPr>
        <w:t>e</w:t>
      </w:r>
      <w:r w:rsidRPr="008838CC">
        <w:rPr>
          <w:rFonts w:ascii="Verdana" w:hAnsi="Verdana"/>
          <w:color w:val="000000"/>
          <w:sz w:val="17"/>
          <w:szCs w:val="17"/>
        </w:rPr>
        <w:t xml:space="preserve"> Insurance Europe believes that, while consistency between banking and insurance is welcome, it should not prevent EIOPA from adjusting requirements where adjustments would make the framework more </w:t>
      </w:r>
      <w:r w:rsidR="001B6E8F">
        <w:rPr>
          <w:rFonts w:ascii="Verdana" w:hAnsi="Verdana"/>
          <w:color w:val="000000"/>
          <w:sz w:val="17"/>
          <w:szCs w:val="17"/>
        </w:rPr>
        <w:t>appropriate and applicable</w:t>
      </w:r>
      <w:r w:rsidRPr="008838CC">
        <w:rPr>
          <w:rFonts w:ascii="Verdana" w:hAnsi="Verdana"/>
          <w:color w:val="000000"/>
          <w:sz w:val="17"/>
          <w:szCs w:val="17"/>
        </w:rPr>
        <w:t>. Concretely, Insurance Europe notes that some adjustments to the CRR criteria in Article 305 are needed to make the approach workable for insurers.</w:t>
      </w:r>
      <w:r w:rsidR="00AB3FAE" w:rsidRPr="008838CC">
        <w:rPr>
          <w:rFonts w:ascii="Verdana" w:hAnsi="Verdana"/>
          <w:color w:val="000000"/>
          <w:sz w:val="17"/>
          <w:szCs w:val="17"/>
        </w:rPr>
        <w:t xml:space="preserve"> </w:t>
      </w:r>
    </w:p>
    <w:p w14:paraId="4BC5C01A" w14:textId="26503AF8" w:rsidR="00AB3FAE" w:rsidRPr="008838CC" w:rsidRDefault="00AB3FAE" w:rsidP="004F612B">
      <w:pPr>
        <w:spacing w:line="276" w:lineRule="auto"/>
        <w:jc w:val="both"/>
        <w:rPr>
          <w:rFonts w:ascii="Verdana" w:hAnsi="Verdana"/>
          <w:color w:val="000000"/>
          <w:sz w:val="17"/>
          <w:szCs w:val="17"/>
        </w:rPr>
      </w:pPr>
    </w:p>
    <w:p w14:paraId="6EF2F99B" w14:textId="38D9D5CE" w:rsidR="00AB3FAE" w:rsidRPr="008838CC" w:rsidRDefault="00AB3FAE" w:rsidP="004F612B">
      <w:pPr>
        <w:spacing w:line="276" w:lineRule="auto"/>
        <w:jc w:val="both"/>
        <w:rPr>
          <w:rFonts w:ascii="Verdana" w:hAnsi="Verdana"/>
          <w:color w:val="000000"/>
          <w:sz w:val="17"/>
          <w:szCs w:val="17"/>
        </w:rPr>
      </w:pPr>
      <w:r w:rsidRPr="008838CC">
        <w:rPr>
          <w:rFonts w:ascii="Verdana" w:hAnsi="Verdana"/>
          <w:color w:val="000000"/>
          <w:sz w:val="17"/>
          <w:szCs w:val="17"/>
        </w:rPr>
        <w:t>In fact, EIOPA itself argues that comparability of capital levels is not aimed at because of the structural differences in frameworks and business models. Insurance Europe believes that the same argument could be used to justify lack of full co</w:t>
      </w:r>
      <w:r w:rsidR="001B6E8F">
        <w:rPr>
          <w:rFonts w:ascii="Verdana" w:hAnsi="Verdana"/>
          <w:color w:val="000000"/>
          <w:sz w:val="17"/>
          <w:szCs w:val="17"/>
        </w:rPr>
        <w:t>nsistency</w:t>
      </w:r>
      <w:r w:rsidRPr="008838CC">
        <w:rPr>
          <w:rFonts w:ascii="Verdana" w:hAnsi="Verdana"/>
          <w:color w:val="000000"/>
          <w:sz w:val="17"/>
          <w:szCs w:val="17"/>
        </w:rPr>
        <w:t xml:space="preserve"> in </w:t>
      </w:r>
      <w:r w:rsidR="001B6E8F">
        <w:rPr>
          <w:rFonts w:ascii="Verdana" w:hAnsi="Verdana"/>
          <w:color w:val="000000"/>
          <w:sz w:val="17"/>
          <w:szCs w:val="17"/>
        </w:rPr>
        <w:t>the identification</w:t>
      </w:r>
      <w:r w:rsidRPr="008838CC">
        <w:rPr>
          <w:rFonts w:ascii="Verdana" w:hAnsi="Verdana"/>
          <w:color w:val="000000"/>
          <w:sz w:val="17"/>
          <w:szCs w:val="17"/>
        </w:rPr>
        <w:t xml:space="preserve"> of criteria (ie Article 305 of CRR).</w:t>
      </w:r>
    </w:p>
    <w:p w14:paraId="6939988C" w14:textId="6658DC34" w:rsidR="002470A2" w:rsidRPr="008838CC" w:rsidRDefault="002470A2" w:rsidP="00644F0A">
      <w:pPr>
        <w:spacing w:line="276" w:lineRule="auto"/>
        <w:rPr>
          <w:rFonts w:ascii="Verdana" w:hAnsi="Verdana"/>
          <w:b/>
          <w:color w:val="000000"/>
          <w:sz w:val="17"/>
          <w:szCs w:val="17"/>
          <w:u w:val="single"/>
        </w:rPr>
      </w:pPr>
    </w:p>
    <w:p w14:paraId="7A049AB1" w14:textId="77777777" w:rsidR="002470A2" w:rsidRPr="008838CC" w:rsidRDefault="002470A2" w:rsidP="00644F0A">
      <w:pPr>
        <w:spacing w:line="276" w:lineRule="auto"/>
        <w:rPr>
          <w:rFonts w:ascii="Verdana" w:hAnsi="Verdana"/>
          <w:b/>
          <w:color w:val="000000"/>
          <w:sz w:val="17"/>
          <w:szCs w:val="17"/>
          <w:u w:val="single"/>
        </w:rPr>
      </w:pPr>
    </w:p>
    <w:p w14:paraId="14E1B448"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14.4.1</w:t>
      </w:r>
    </w:p>
    <w:p w14:paraId="31CDF2CB" w14:textId="03170D3F"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14.4.2</w:t>
      </w:r>
      <w:r w:rsidR="001B6E8F">
        <w:rPr>
          <w:rFonts w:ascii="Verdana" w:hAnsi="Verdana"/>
          <w:b/>
          <w:color w:val="000000"/>
          <w:sz w:val="17"/>
          <w:szCs w:val="17"/>
          <w:u w:val="single"/>
        </w:rPr>
        <w:t xml:space="preserve"> </w:t>
      </w:r>
      <w:r w:rsidR="00B64F05">
        <w:rPr>
          <w:rFonts w:ascii="Verdana" w:hAnsi="Verdana"/>
          <w:b/>
          <w:color w:val="000000"/>
          <w:sz w:val="17"/>
          <w:szCs w:val="17"/>
          <w:u w:val="single"/>
        </w:rPr>
        <w:t>Analysis</w:t>
      </w:r>
    </w:p>
    <w:p w14:paraId="06D64A55" w14:textId="38CA95BD" w:rsidR="00DD53AE" w:rsidRPr="008838CC" w:rsidRDefault="00DD53AE" w:rsidP="00644F0A">
      <w:pPr>
        <w:spacing w:line="276" w:lineRule="auto"/>
        <w:rPr>
          <w:rFonts w:ascii="Verdana" w:hAnsi="Verdana"/>
          <w:b/>
          <w:color w:val="000000"/>
          <w:sz w:val="17"/>
          <w:szCs w:val="17"/>
          <w:u w:val="single"/>
        </w:rPr>
      </w:pPr>
    </w:p>
    <w:p w14:paraId="4EDF4EB3" w14:textId="76E64001" w:rsidR="005E21F2" w:rsidRPr="00B64F05" w:rsidRDefault="005E21F2" w:rsidP="00644F0A">
      <w:pPr>
        <w:spacing w:line="276" w:lineRule="auto"/>
        <w:rPr>
          <w:rFonts w:ascii="Verdana" w:hAnsi="Verdana"/>
          <w:b/>
          <w:i/>
          <w:color w:val="000000"/>
          <w:sz w:val="17"/>
          <w:szCs w:val="17"/>
        </w:rPr>
      </w:pPr>
      <w:r w:rsidRPr="00B64F05">
        <w:rPr>
          <w:rFonts w:ascii="Verdana" w:hAnsi="Verdana"/>
          <w:b/>
          <w:i/>
          <w:color w:val="000000"/>
          <w:sz w:val="17"/>
          <w:szCs w:val="17"/>
        </w:rPr>
        <w:t>Paragraphs 1117 and 1118</w:t>
      </w:r>
    </w:p>
    <w:p w14:paraId="13C843CB" w14:textId="6E106026" w:rsidR="00DD53AE" w:rsidRPr="008838CC" w:rsidRDefault="005E21F2"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notes that EIOPA </w:t>
      </w:r>
      <w:r w:rsidR="00B64F05">
        <w:rPr>
          <w:rFonts w:ascii="Verdana" w:hAnsi="Verdana"/>
          <w:color w:val="000000"/>
          <w:sz w:val="17"/>
          <w:szCs w:val="17"/>
        </w:rPr>
        <w:t>introduces prudence in the framework</w:t>
      </w:r>
      <w:r w:rsidRPr="008838CC">
        <w:rPr>
          <w:rFonts w:ascii="Verdana" w:hAnsi="Verdana"/>
          <w:color w:val="000000"/>
          <w:sz w:val="17"/>
          <w:szCs w:val="17"/>
        </w:rPr>
        <w:t xml:space="preserve"> by taking a 4% reference value for CCP</w:t>
      </w:r>
      <w:r w:rsidR="00B64F05">
        <w:rPr>
          <w:rFonts w:ascii="Verdana" w:hAnsi="Verdana"/>
          <w:color w:val="000000"/>
          <w:sz w:val="17"/>
          <w:szCs w:val="17"/>
        </w:rPr>
        <w:t xml:space="preserve"> vs OTC</w:t>
      </w:r>
      <w:r w:rsidRPr="008838CC">
        <w:rPr>
          <w:rFonts w:ascii="Verdana" w:hAnsi="Verdana"/>
          <w:color w:val="000000"/>
          <w:sz w:val="17"/>
          <w:szCs w:val="17"/>
        </w:rPr>
        <w:t xml:space="preserve"> credit charge</w:t>
      </w:r>
      <w:r w:rsidR="00B64F05">
        <w:rPr>
          <w:rFonts w:ascii="Verdana" w:hAnsi="Verdana"/>
          <w:color w:val="000000"/>
          <w:sz w:val="17"/>
          <w:szCs w:val="17"/>
        </w:rPr>
        <w:t>s</w:t>
      </w:r>
      <w:r w:rsidRPr="008838CC">
        <w:rPr>
          <w:rFonts w:ascii="Verdana" w:hAnsi="Verdana"/>
          <w:color w:val="000000"/>
          <w:sz w:val="17"/>
          <w:szCs w:val="17"/>
        </w:rPr>
        <w:t xml:space="preserve">, given that, in the banking case, the ratio is always lower than 4%. This margin of prudence should </w:t>
      </w:r>
      <w:r w:rsidR="00B64F05">
        <w:rPr>
          <w:rFonts w:ascii="Verdana" w:hAnsi="Verdana"/>
          <w:color w:val="000000"/>
          <w:sz w:val="17"/>
          <w:szCs w:val="17"/>
        </w:rPr>
        <w:t>not be ignored</w:t>
      </w:r>
      <w:r w:rsidRPr="008838CC">
        <w:rPr>
          <w:rFonts w:ascii="Verdana" w:hAnsi="Verdana"/>
          <w:color w:val="000000"/>
          <w:sz w:val="17"/>
          <w:szCs w:val="17"/>
        </w:rPr>
        <w:t xml:space="preserve">, </w:t>
      </w:r>
      <w:r w:rsidR="00B64F05">
        <w:rPr>
          <w:rFonts w:ascii="Verdana" w:hAnsi="Verdana"/>
          <w:color w:val="000000"/>
          <w:sz w:val="17"/>
          <w:szCs w:val="17"/>
        </w:rPr>
        <w:t xml:space="preserve">for example </w:t>
      </w:r>
      <w:r w:rsidR="00297D9B" w:rsidRPr="008838CC">
        <w:rPr>
          <w:rFonts w:ascii="Verdana" w:hAnsi="Verdana"/>
          <w:color w:val="000000"/>
          <w:sz w:val="17"/>
          <w:szCs w:val="17"/>
        </w:rPr>
        <w:t>when considering potential adjustments to the criteria.</w:t>
      </w:r>
    </w:p>
    <w:p w14:paraId="10C3987B" w14:textId="04C5587D" w:rsidR="00C03D83" w:rsidRPr="008838CC" w:rsidRDefault="00C03D83" w:rsidP="00644F0A">
      <w:pPr>
        <w:spacing w:line="276" w:lineRule="auto"/>
        <w:rPr>
          <w:rFonts w:ascii="Verdana" w:hAnsi="Verdana"/>
          <w:color w:val="000000"/>
          <w:sz w:val="17"/>
          <w:szCs w:val="17"/>
        </w:rPr>
      </w:pPr>
    </w:p>
    <w:p w14:paraId="21E05EDF" w14:textId="09BEE04B" w:rsidR="00C03D83" w:rsidRPr="00B64F05" w:rsidRDefault="00C03D83" w:rsidP="00644F0A">
      <w:pPr>
        <w:spacing w:line="276" w:lineRule="auto"/>
        <w:rPr>
          <w:rFonts w:ascii="Verdana" w:hAnsi="Verdana"/>
          <w:b/>
          <w:i/>
          <w:color w:val="000000"/>
          <w:sz w:val="17"/>
          <w:szCs w:val="17"/>
          <w:u w:val="single"/>
        </w:rPr>
      </w:pPr>
      <w:r w:rsidRPr="00B64F05">
        <w:rPr>
          <w:rFonts w:ascii="Verdana" w:hAnsi="Verdana"/>
          <w:b/>
          <w:i/>
          <w:color w:val="000000"/>
          <w:sz w:val="17"/>
          <w:szCs w:val="17"/>
        </w:rPr>
        <w:t>Paragraph 1120</w:t>
      </w:r>
    </w:p>
    <w:p w14:paraId="0F98C176" w14:textId="16AEA7C7" w:rsidR="000F1B7A" w:rsidRPr="008838CC" w:rsidRDefault="000F1B7A" w:rsidP="000F1B7A">
      <w:pPr>
        <w:spacing w:line="276" w:lineRule="auto"/>
        <w:jc w:val="both"/>
        <w:rPr>
          <w:rFonts w:ascii="Verdana" w:hAnsi="Verdana"/>
          <w:color w:val="000000"/>
          <w:sz w:val="17"/>
          <w:szCs w:val="17"/>
        </w:rPr>
      </w:pPr>
      <w:r w:rsidRPr="008838CC">
        <w:rPr>
          <w:rFonts w:ascii="Verdana" w:hAnsi="Verdana"/>
          <w:color w:val="000000"/>
          <w:sz w:val="17"/>
          <w:szCs w:val="17"/>
        </w:rPr>
        <w:t xml:space="preserve">Insurance Europe strongly believes that the current assumptions for the OTC environment, in particular the 10% recovery rate, </w:t>
      </w:r>
      <w:r w:rsidR="00B64F05">
        <w:rPr>
          <w:rFonts w:ascii="Verdana" w:hAnsi="Verdana"/>
          <w:color w:val="000000"/>
          <w:sz w:val="17"/>
          <w:szCs w:val="17"/>
        </w:rPr>
        <w:t>are</w:t>
      </w:r>
      <w:r w:rsidRPr="008838CC">
        <w:rPr>
          <w:rFonts w:ascii="Verdana" w:hAnsi="Verdana"/>
          <w:color w:val="000000"/>
          <w:sz w:val="17"/>
          <w:szCs w:val="17"/>
        </w:rPr>
        <w:t xml:space="preserve"> not reflective of the post-EMIR environment, which imposes strong collateralisation requirements. EIOPA iself has not presented any research/reports that prove the 10% recovery rate is accurate. It is important that EIOPA investigates this, in particular as EIOPA takes the OTC capital requirement as a starting point for reviewing the capital requirement of cleared derivatives.</w:t>
      </w:r>
    </w:p>
    <w:p w14:paraId="1D939023" w14:textId="77777777" w:rsidR="00DD53AE" w:rsidRPr="008838CC" w:rsidRDefault="00DD53AE" w:rsidP="00644F0A">
      <w:pPr>
        <w:spacing w:line="276" w:lineRule="auto"/>
        <w:rPr>
          <w:rFonts w:ascii="Verdana" w:hAnsi="Verdana"/>
          <w:b/>
          <w:color w:val="000000"/>
          <w:sz w:val="17"/>
          <w:szCs w:val="17"/>
          <w:u w:val="single"/>
        </w:rPr>
      </w:pPr>
    </w:p>
    <w:p w14:paraId="0445716D" w14:textId="0E04EB97" w:rsidR="000F1B7A" w:rsidRPr="00B64F05" w:rsidRDefault="000F1B7A" w:rsidP="000F1B7A">
      <w:pPr>
        <w:spacing w:line="276" w:lineRule="auto"/>
        <w:rPr>
          <w:rFonts w:ascii="Verdana" w:hAnsi="Verdana"/>
          <w:b/>
          <w:i/>
          <w:color w:val="000000"/>
          <w:sz w:val="17"/>
          <w:szCs w:val="17"/>
        </w:rPr>
      </w:pPr>
      <w:r w:rsidRPr="00B64F05">
        <w:rPr>
          <w:rFonts w:ascii="Verdana" w:hAnsi="Verdana"/>
          <w:b/>
          <w:i/>
          <w:color w:val="000000"/>
          <w:sz w:val="17"/>
          <w:szCs w:val="17"/>
        </w:rPr>
        <w:t>Paragraph 1122</w:t>
      </w:r>
    </w:p>
    <w:p w14:paraId="23998D53" w14:textId="4FB6EB35" w:rsidR="004560AF" w:rsidRPr="008838CC" w:rsidRDefault="000F1B7A" w:rsidP="00644F0A">
      <w:pPr>
        <w:spacing w:line="276" w:lineRule="auto"/>
        <w:rPr>
          <w:rFonts w:ascii="Verdana" w:hAnsi="Verdana"/>
          <w:color w:val="000000"/>
          <w:sz w:val="17"/>
          <w:szCs w:val="17"/>
        </w:rPr>
      </w:pPr>
      <w:r w:rsidRPr="008838CC">
        <w:rPr>
          <w:rFonts w:ascii="Verdana" w:hAnsi="Verdana"/>
          <w:color w:val="000000"/>
          <w:sz w:val="17"/>
          <w:szCs w:val="17"/>
        </w:rPr>
        <w:t>While Insurance Europe appreciates that, mathematically, there a</w:t>
      </w:r>
      <w:r w:rsidR="00B64F05">
        <w:rPr>
          <w:rFonts w:ascii="Verdana" w:hAnsi="Verdana"/>
          <w:color w:val="000000"/>
          <w:sz w:val="17"/>
          <w:szCs w:val="17"/>
        </w:rPr>
        <w:t xml:space="preserve">re a number of combinations of possible levels </w:t>
      </w:r>
      <w:r w:rsidRPr="008838CC">
        <w:rPr>
          <w:rFonts w:ascii="Verdana" w:hAnsi="Verdana"/>
          <w:color w:val="000000"/>
          <w:sz w:val="17"/>
          <w:szCs w:val="17"/>
        </w:rPr>
        <w:t xml:space="preserve">for </w:t>
      </w:r>
      <w:r w:rsidR="00B64F05">
        <w:rPr>
          <w:rFonts w:ascii="Verdana" w:hAnsi="Verdana"/>
          <w:color w:val="000000"/>
          <w:sz w:val="17"/>
          <w:szCs w:val="17"/>
        </w:rPr>
        <w:t xml:space="preserve">the </w:t>
      </w:r>
      <w:r w:rsidRPr="008838CC">
        <w:rPr>
          <w:rFonts w:ascii="Verdana" w:hAnsi="Verdana"/>
          <w:color w:val="000000"/>
          <w:sz w:val="17"/>
          <w:szCs w:val="17"/>
        </w:rPr>
        <w:t xml:space="preserve">recovery rate and </w:t>
      </w:r>
      <w:r w:rsidR="00B64F05">
        <w:rPr>
          <w:rFonts w:ascii="Verdana" w:hAnsi="Verdana"/>
          <w:color w:val="000000"/>
          <w:sz w:val="17"/>
          <w:szCs w:val="17"/>
        </w:rPr>
        <w:t xml:space="preserve">the </w:t>
      </w:r>
      <w:r w:rsidRPr="008838CC">
        <w:rPr>
          <w:rFonts w:ascii="Verdana" w:hAnsi="Verdana"/>
          <w:color w:val="000000"/>
          <w:sz w:val="17"/>
          <w:szCs w:val="17"/>
        </w:rPr>
        <w:t>probability of default that would lead to the targeted 4%, it believes that EIOPA should emphasise the economic meaning of the parameters. For example, it makes economic sense that the recovery rate is adjusted significantly above the current 10%</w:t>
      </w:r>
      <w:r w:rsidR="005651BB">
        <w:rPr>
          <w:rFonts w:ascii="Verdana" w:hAnsi="Verdana"/>
          <w:color w:val="000000"/>
          <w:sz w:val="17"/>
          <w:szCs w:val="17"/>
        </w:rPr>
        <w:t>, which is an extremely low rate that ultimately questions whether the OTC derivatives reform has achieved ist objective of making the derivatives market safer</w:t>
      </w:r>
      <w:r w:rsidRPr="008838CC">
        <w:rPr>
          <w:rFonts w:ascii="Verdana" w:hAnsi="Verdana"/>
          <w:color w:val="000000"/>
          <w:sz w:val="17"/>
          <w:szCs w:val="17"/>
        </w:rPr>
        <w:t xml:space="preserve">. </w:t>
      </w:r>
    </w:p>
    <w:p w14:paraId="32845940" w14:textId="46BD3CB5" w:rsidR="004560AF" w:rsidRPr="008838CC" w:rsidRDefault="004560AF" w:rsidP="00644F0A">
      <w:pPr>
        <w:spacing w:line="276" w:lineRule="auto"/>
        <w:rPr>
          <w:rFonts w:ascii="Verdana" w:hAnsi="Verdana"/>
          <w:b/>
          <w:color w:val="000000"/>
          <w:sz w:val="17"/>
          <w:szCs w:val="17"/>
          <w:u w:val="single"/>
        </w:rPr>
      </w:pPr>
    </w:p>
    <w:p w14:paraId="63538E53" w14:textId="3C90BB9E" w:rsidR="00556D5D" w:rsidRPr="00796143" w:rsidRDefault="00556D5D" w:rsidP="00556D5D">
      <w:pPr>
        <w:spacing w:line="276" w:lineRule="auto"/>
        <w:rPr>
          <w:rFonts w:ascii="Verdana" w:hAnsi="Verdana"/>
          <w:b/>
          <w:i/>
          <w:color w:val="000000"/>
          <w:sz w:val="17"/>
          <w:szCs w:val="17"/>
        </w:rPr>
      </w:pPr>
      <w:commentRangeStart w:id="35"/>
      <w:r w:rsidRPr="00796143">
        <w:rPr>
          <w:rFonts w:ascii="Verdana" w:hAnsi="Verdana"/>
          <w:b/>
          <w:i/>
          <w:color w:val="000000"/>
          <w:sz w:val="17"/>
          <w:szCs w:val="17"/>
        </w:rPr>
        <w:t>Paragraph 1126</w:t>
      </w:r>
      <w:commentRangeEnd w:id="35"/>
      <w:r w:rsidRPr="00796143">
        <w:rPr>
          <w:rStyle w:val="Odkaznakomentr"/>
          <w:rFonts w:ascii="Verdana" w:hAnsi="Verdana"/>
          <w:i/>
          <w:sz w:val="17"/>
          <w:szCs w:val="17"/>
        </w:rPr>
        <w:commentReference w:id="35"/>
      </w:r>
    </w:p>
    <w:p w14:paraId="177A70B2" w14:textId="71731E21" w:rsidR="00556D5D" w:rsidRPr="008838CC" w:rsidRDefault="00556D5D" w:rsidP="00556D5D">
      <w:pPr>
        <w:spacing w:line="276" w:lineRule="auto"/>
        <w:rPr>
          <w:rFonts w:ascii="Verdana" w:hAnsi="Verdana"/>
          <w:color w:val="000000"/>
          <w:sz w:val="17"/>
          <w:szCs w:val="17"/>
        </w:rPr>
      </w:pPr>
      <w:r w:rsidRPr="008838CC">
        <w:rPr>
          <w:rFonts w:ascii="Verdana" w:hAnsi="Verdana"/>
          <w:color w:val="000000"/>
          <w:sz w:val="17"/>
          <w:szCs w:val="17"/>
        </w:rPr>
        <w:t>As already noted in the response to the Discussion Paper in early 2017, Insurance Europe believes that some adjustments to Article 305 of CRR are necessary to make the framework workable for the insurance sector. Specifically:</w:t>
      </w:r>
    </w:p>
    <w:p w14:paraId="6857D26B" w14:textId="59801855" w:rsidR="00556D5D" w:rsidRPr="008838CC" w:rsidRDefault="00556D5D" w:rsidP="00556D5D">
      <w:pPr>
        <w:spacing w:line="276" w:lineRule="auto"/>
        <w:rPr>
          <w:rFonts w:ascii="Verdana" w:hAnsi="Verdana"/>
          <w:b/>
          <w:color w:val="000000"/>
          <w:sz w:val="17"/>
          <w:szCs w:val="17"/>
        </w:rPr>
      </w:pPr>
    </w:p>
    <w:p w14:paraId="4B61D966" w14:textId="77777777" w:rsidR="00556D5D" w:rsidRPr="008838CC" w:rsidRDefault="00556D5D" w:rsidP="00556D5D">
      <w:pPr>
        <w:pStyle w:val="Odsekzoznamu"/>
        <w:numPr>
          <w:ilvl w:val="0"/>
          <w:numId w:val="24"/>
        </w:numPr>
        <w:autoSpaceDE w:val="0"/>
        <w:autoSpaceDN w:val="0"/>
        <w:adjustRightInd w:val="0"/>
        <w:rPr>
          <w:rFonts w:cs="Verdana"/>
          <w:color w:val="000000"/>
          <w:sz w:val="17"/>
          <w:szCs w:val="17"/>
          <w:lang w:eastAsia="en-GB"/>
        </w:rPr>
      </w:pPr>
      <w:r w:rsidRPr="008838CC">
        <w:rPr>
          <w:rFonts w:cs="Verdana"/>
          <w:color w:val="000000"/>
          <w:sz w:val="17"/>
          <w:szCs w:val="17"/>
          <w:lang w:eastAsia="en-GB"/>
        </w:rPr>
        <w:t xml:space="preserve">Regarding Article 305 (2) (c) CRR, Insurance Europe would like to point out that, at this stage, insurers do not usually obtain independent legal opinions on consequences of CCP default. In fact, a recent EBA and ESMA report on the implementation of CRR (in relation to EMIR) points out that the concept of “legal opinion” did not work properly in the past and adjustments to Article 305 CRR are required. </w:t>
      </w:r>
    </w:p>
    <w:p w14:paraId="766FDF36" w14:textId="0D748D6A" w:rsidR="00556D5D" w:rsidRPr="008838CC" w:rsidRDefault="00556D5D" w:rsidP="00556D5D">
      <w:pPr>
        <w:pStyle w:val="Odsekzoznamu"/>
        <w:numPr>
          <w:ilvl w:val="0"/>
          <w:numId w:val="24"/>
        </w:numPr>
        <w:autoSpaceDE w:val="0"/>
        <w:autoSpaceDN w:val="0"/>
        <w:adjustRightInd w:val="0"/>
        <w:rPr>
          <w:rFonts w:cs="Verdana"/>
          <w:color w:val="000000"/>
          <w:sz w:val="17"/>
          <w:szCs w:val="17"/>
          <w:lang w:eastAsia="en-GB"/>
        </w:rPr>
      </w:pPr>
      <w:r w:rsidRPr="008838CC">
        <w:rPr>
          <w:rFonts w:cs="Verdana"/>
          <w:color w:val="000000"/>
          <w:sz w:val="17"/>
          <w:szCs w:val="17"/>
          <w:lang w:eastAsia="en-GB"/>
        </w:rPr>
        <w:t xml:space="preserve">The current proposal by the European Commission for an adaptation to Article 305 CRR (“CRR II”) would still pose significant challenges to small and medium sized insurers. Even though the proposed amendments lower the “legal opinion” requirement, instead making a “legal review” sufficient, it remains burdensome and cost-intensive to provide such reviews. To avoid these problems, Insurance Europe suggests that EIOPA establish a contractual standard for central counterparties and clearing members, that justifies a reduced solvency capital requirement. </w:t>
      </w:r>
    </w:p>
    <w:p w14:paraId="22324EB9" w14:textId="77777777" w:rsidR="00556D5D" w:rsidRPr="008838CC" w:rsidRDefault="00556D5D" w:rsidP="00556D5D">
      <w:pPr>
        <w:spacing w:line="276" w:lineRule="auto"/>
        <w:rPr>
          <w:rFonts w:ascii="Verdana" w:hAnsi="Verdana"/>
          <w:b/>
          <w:color w:val="000000"/>
          <w:sz w:val="17"/>
          <w:szCs w:val="17"/>
          <w:lang w:val="en-GB"/>
        </w:rPr>
      </w:pPr>
    </w:p>
    <w:p w14:paraId="64CEB33C" w14:textId="77777777" w:rsidR="00556D5D" w:rsidRPr="008838CC" w:rsidRDefault="00556D5D" w:rsidP="00644F0A">
      <w:pPr>
        <w:spacing w:line="276" w:lineRule="auto"/>
        <w:rPr>
          <w:rFonts w:ascii="Verdana" w:hAnsi="Verdana"/>
          <w:b/>
          <w:color w:val="000000"/>
          <w:sz w:val="17"/>
          <w:szCs w:val="17"/>
          <w:u w:val="single"/>
        </w:rPr>
      </w:pPr>
    </w:p>
    <w:p w14:paraId="12C6727F" w14:textId="0B252570"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14.4.3</w:t>
      </w:r>
      <w:r w:rsidR="00796143">
        <w:rPr>
          <w:rFonts w:ascii="Verdana" w:hAnsi="Verdana"/>
          <w:b/>
          <w:color w:val="000000"/>
          <w:sz w:val="17"/>
          <w:szCs w:val="17"/>
          <w:u w:val="single"/>
        </w:rPr>
        <w:t xml:space="preserve"> EIOPA’s advice</w:t>
      </w:r>
    </w:p>
    <w:p w14:paraId="20A13C5F" w14:textId="1A027887" w:rsidR="00DC4EA2" w:rsidRPr="008838CC" w:rsidRDefault="00DC4EA2" w:rsidP="00644F0A">
      <w:pPr>
        <w:spacing w:line="276" w:lineRule="auto"/>
        <w:rPr>
          <w:rFonts w:ascii="Verdana" w:hAnsi="Verdana"/>
          <w:color w:val="000000"/>
          <w:sz w:val="17"/>
          <w:szCs w:val="17"/>
        </w:rPr>
      </w:pPr>
      <w:r w:rsidRPr="008838CC">
        <w:rPr>
          <w:rFonts w:ascii="Verdana" w:hAnsi="Verdana"/>
          <w:color w:val="000000"/>
          <w:sz w:val="17"/>
          <w:szCs w:val="17"/>
        </w:rPr>
        <w:t>Insurance Europe believes the following key issues should be addressed before EIOPA delivers its final advice to the Commission:</w:t>
      </w:r>
    </w:p>
    <w:p w14:paraId="05692593" w14:textId="4BBA38AB" w:rsidR="00DC4EA2" w:rsidRPr="008838CC" w:rsidRDefault="00DC4EA2" w:rsidP="00DC4EA2">
      <w:pPr>
        <w:pStyle w:val="Odsekzoznamu"/>
        <w:numPr>
          <w:ilvl w:val="0"/>
          <w:numId w:val="25"/>
        </w:numPr>
        <w:spacing w:line="276" w:lineRule="auto"/>
        <w:rPr>
          <w:color w:val="000000"/>
          <w:sz w:val="17"/>
          <w:szCs w:val="17"/>
        </w:rPr>
      </w:pPr>
      <w:r w:rsidRPr="008838CC">
        <w:rPr>
          <w:color w:val="000000"/>
          <w:sz w:val="17"/>
          <w:szCs w:val="17"/>
        </w:rPr>
        <w:t>Article 305 of CRR requires tailoring for the insurance sector to make the framework workable in practice</w:t>
      </w:r>
    </w:p>
    <w:p w14:paraId="421CC659" w14:textId="03616E84" w:rsidR="00DC4EA2" w:rsidRPr="008838CC" w:rsidRDefault="00DC4EA2" w:rsidP="00DC4EA2">
      <w:pPr>
        <w:pStyle w:val="Odsekzoznamu"/>
        <w:numPr>
          <w:ilvl w:val="0"/>
          <w:numId w:val="25"/>
        </w:numPr>
        <w:spacing w:line="276" w:lineRule="auto"/>
        <w:rPr>
          <w:color w:val="000000"/>
          <w:sz w:val="17"/>
          <w:szCs w:val="17"/>
        </w:rPr>
      </w:pPr>
      <w:r w:rsidRPr="008838CC">
        <w:rPr>
          <w:color w:val="000000"/>
          <w:sz w:val="17"/>
          <w:szCs w:val="17"/>
        </w:rPr>
        <w:t>EIOPA should investigate whether the current capital requirement for OTC derivatives, used as starting point for cleared derivatives, is appropriate</w:t>
      </w:r>
    </w:p>
    <w:p w14:paraId="4BD96C69" w14:textId="23FAAE32" w:rsidR="00DC4EA2" w:rsidRPr="008838CC" w:rsidRDefault="00DC4EA2" w:rsidP="00DC4EA2">
      <w:pPr>
        <w:spacing w:line="276" w:lineRule="auto"/>
        <w:rPr>
          <w:rFonts w:ascii="Verdana" w:hAnsi="Verdana"/>
          <w:color w:val="000000"/>
          <w:sz w:val="17"/>
          <w:szCs w:val="17"/>
        </w:rPr>
      </w:pPr>
      <w:commentRangeStart w:id="36"/>
      <w:r w:rsidRPr="008838CC">
        <w:rPr>
          <w:rFonts w:ascii="Verdana" w:hAnsi="Verdana"/>
          <w:color w:val="000000"/>
          <w:sz w:val="17"/>
          <w:szCs w:val="17"/>
        </w:rPr>
        <w:t>Insurance Europe supports option 1</w:t>
      </w:r>
      <w:commentRangeEnd w:id="36"/>
      <w:r w:rsidRPr="008838CC">
        <w:rPr>
          <w:rStyle w:val="Odkaznakomentr"/>
          <w:rFonts w:ascii="Verdana" w:hAnsi="Verdana"/>
          <w:sz w:val="17"/>
          <w:szCs w:val="17"/>
        </w:rPr>
        <w:commentReference w:id="36"/>
      </w:r>
      <w:r w:rsidRPr="008838CC">
        <w:rPr>
          <w:rFonts w:ascii="Verdana" w:hAnsi="Verdana"/>
          <w:color w:val="000000"/>
          <w:sz w:val="17"/>
          <w:szCs w:val="17"/>
        </w:rPr>
        <w:t>, ie no changes to the LGD formula, as it finds option 2 to be adding unnecessary complexity to the framework.</w:t>
      </w:r>
    </w:p>
    <w:p w14:paraId="16EA0809" w14:textId="77777777" w:rsidR="00F7549C" w:rsidRPr="008838CC" w:rsidRDefault="00230F04" w:rsidP="00F7549C">
      <w:pPr>
        <w:pStyle w:val="Nadpis1"/>
        <w:rPr>
          <w:sz w:val="17"/>
          <w:szCs w:val="17"/>
        </w:rPr>
      </w:pPr>
      <w:r w:rsidRPr="008838CC">
        <w:rPr>
          <w:sz w:val="17"/>
          <w:szCs w:val="17"/>
        </w:rPr>
        <w:br w:type="page"/>
      </w:r>
      <w:bookmarkStart w:id="37" w:name="_Toc497908654"/>
      <w:r w:rsidR="00F7549C" w:rsidRPr="008838CC">
        <w:rPr>
          <w:sz w:val="17"/>
          <w:szCs w:val="17"/>
        </w:rPr>
        <w:t xml:space="preserve">15. </w:t>
      </w:r>
      <w:r w:rsidR="0018577F" w:rsidRPr="008838CC">
        <w:rPr>
          <w:sz w:val="17"/>
          <w:szCs w:val="17"/>
        </w:rPr>
        <w:t>Simplification of the look-through approach</w:t>
      </w:r>
      <w:bookmarkEnd w:id="37"/>
    </w:p>
    <w:p w14:paraId="2B42F233" w14:textId="6CFB7DA8"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15.1</w:t>
      </w:r>
      <w:r w:rsidR="00796143">
        <w:rPr>
          <w:rFonts w:ascii="Verdana" w:hAnsi="Verdana"/>
          <w:b/>
          <w:color w:val="000000"/>
          <w:sz w:val="17"/>
          <w:szCs w:val="17"/>
          <w:u w:val="single"/>
        </w:rPr>
        <w:t xml:space="preserve"> Call for advice</w:t>
      </w:r>
    </w:p>
    <w:p w14:paraId="657D5407" w14:textId="1A144FEB" w:rsidR="00796143" w:rsidRDefault="00651977" w:rsidP="00651977">
      <w:pPr>
        <w:spacing w:line="276" w:lineRule="auto"/>
        <w:rPr>
          <w:rFonts w:ascii="Verdana" w:hAnsi="Verdana"/>
          <w:bCs/>
          <w:color w:val="000000"/>
          <w:sz w:val="17"/>
          <w:szCs w:val="17"/>
        </w:rPr>
      </w:pPr>
      <w:r w:rsidRPr="008838CC">
        <w:rPr>
          <w:rFonts w:ascii="Verdana" w:hAnsi="Verdana"/>
          <w:color w:val="000000"/>
          <w:sz w:val="17"/>
          <w:szCs w:val="17"/>
        </w:rPr>
        <w:t xml:space="preserve">Insurance Europe welcomes the </w:t>
      </w:r>
      <w:r w:rsidRPr="008838CC">
        <w:rPr>
          <w:rFonts w:ascii="Verdana" w:hAnsi="Verdana"/>
          <w:bCs/>
          <w:color w:val="000000"/>
          <w:sz w:val="17"/>
          <w:szCs w:val="17"/>
        </w:rPr>
        <w:t xml:space="preserve">Commission’s request for EIOPA to review the simplification provided for the look-through approach, and it </w:t>
      </w:r>
      <w:r w:rsidR="00796143">
        <w:rPr>
          <w:rFonts w:ascii="Verdana" w:hAnsi="Verdana"/>
          <w:bCs/>
          <w:color w:val="000000"/>
          <w:sz w:val="17"/>
          <w:szCs w:val="17"/>
        </w:rPr>
        <w:t>supports</w:t>
      </w:r>
      <w:r w:rsidR="00796143" w:rsidRPr="008838CC">
        <w:rPr>
          <w:rFonts w:ascii="Verdana" w:hAnsi="Verdana"/>
          <w:bCs/>
          <w:color w:val="000000"/>
          <w:sz w:val="17"/>
          <w:szCs w:val="17"/>
        </w:rPr>
        <w:t xml:space="preserve"> </w:t>
      </w:r>
      <w:r w:rsidRPr="008838CC">
        <w:rPr>
          <w:rFonts w:ascii="Verdana" w:hAnsi="Verdana"/>
          <w:bCs/>
          <w:color w:val="000000"/>
          <w:sz w:val="17"/>
          <w:szCs w:val="17"/>
        </w:rPr>
        <w:t xml:space="preserve">EIOPA’s further proposals </w:t>
      </w:r>
      <w:r w:rsidR="00796143">
        <w:rPr>
          <w:rFonts w:ascii="Verdana" w:hAnsi="Verdana"/>
          <w:bCs/>
          <w:color w:val="000000"/>
          <w:sz w:val="17"/>
          <w:szCs w:val="17"/>
        </w:rPr>
        <w:t xml:space="preserve">on </w:t>
      </w:r>
      <w:r w:rsidRPr="008838CC">
        <w:rPr>
          <w:rFonts w:ascii="Verdana" w:hAnsi="Verdana"/>
          <w:bCs/>
          <w:color w:val="000000"/>
          <w:sz w:val="17"/>
          <w:szCs w:val="17"/>
        </w:rPr>
        <w:t>simplification</w:t>
      </w:r>
      <w:r w:rsidR="00796143">
        <w:rPr>
          <w:rFonts w:ascii="Verdana" w:hAnsi="Verdana"/>
          <w:bCs/>
          <w:color w:val="000000"/>
          <w:sz w:val="17"/>
          <w:szCs w:val="17"/>
        </w:rPr>
        <w:t>s, i</w:t>
      </w:r>
      <w:r w:rsidRPr="008838CC">
        <w:rPr>
          <w:rFonts w:ascii="Verdana" w:hAnsi="Verdana"/>
          <w:bCs/>
          <w:color w:val="000000"/>
          <w:sz w:val="17"/>
          <w:szCs w:val="17"/>
        </w:rPr>
        <w:t>n particular</w:t>
      </w:r>
      <w:r w:rsidR="00796143">
        <w:rPr>
          <w:rFonts w:ascii="Verdana" w:hAnsi="Verdana"/>
          <w:bCs/>
          <w:color w:val="000000"/>
          <w:sz w:val="17"/>
          <w:szCs w:val="17"/>
        </w:rPr>
        <w:t>:</w:t>
      </w:r>
    </w:p>
    <w:p w14:paraId="5349ECF7" w14:textId="035C8B13" w:rsidR="00796143" w:rsidRPr="00796143" w:rsidRDefault="00651977" w:rsidP="00425A82">
      <w:pPr>
        <w:pStyle w:val="Odsekzoznamu"/>
        <w:numPr>
          <w:ilvl w:val="0"/>
          <w:numId w:val="30"/>
        </w:numPr>
        <w:spacing w:line="276" w:lineRule="auto"/>
        <w:rPr>
          <w:color w:val="000000"/>
          <w:sz w:val="17"/>
          <w:szCs w:val="17"/>
        </w:rPr>
      </w:pPr>
      <w:r w:rsidRPr="00425A82">
        <w:rPr>
          <w:bCs/>
          <w:color w:val="000000"/>
          <w:sz w:val="17"/>
          <w:szCs w:val="17"/>
        </w:rPr>
        <w:t>the carve-out of assets for unit/index linked products from the 20% limit</w:t>
      </w:r>
    </w:p>
    <w:p w14:paraId="6DBEF9F2" w14:textId="77777777" w:rsidR="00796143" w:rsidRDefault="00651977" w:rsidP="00425A82">
      <w:pPr>
        <w:pStyle w:val="Odsekzoznamu"/>
        <w:numPr>
          <w:ilvl w:val="0"/>
          <w:numId w:val="30"/>
        </w:numPr>
        <w:spacing w:line="276" w:lineRule="auto"/>
        <w:rPr>
          <w:color w:val="000000"/>
          <w:sz w:val="17"/>
          <w:szCs w:val="17"/>
        </w:rPr>
      </w:pPr>
      <w:r w:rsidRPr="00425A82">
        <w:rPr>
          <w:color w:val="000000"/>
          <w:sz w:val="17"/>
          <w:szCs w:val="17"/>
        </w:rPr>
        <w:t xml:space="preserve">the possibility to use the last reported asset allocation of the collective investment undertaking or fund to calculate the SCR and </w:t>
      </w:r>
    </w:p>
    <w:p w14:paraId="3C666BF0" w14:textId="528797EC" w:rsidR="00651977" w:rsidRPr="00425A82" w:rsidRDefault="00651977" w:rsidP="00425A82">
      <w:pPr>
        <w:pStyle w:val="Odsekzoznamu"/>
        <w:numPr>
          <w:ilvl w:val="0"/>
          <w:numId w:val="30"/>
        </w:numPr>
        <w:spacing w:line="276" w:lineRule="auto"/>
        <w:rPr>
          <w:color w:val="000000"/>
          <w:sz w:val="17"/>
          <w:szCs w:val="17"/>
        </w:rPr>
      </w:pPr>
      <w:r w:rsidRPr="00425A82">
        <w:rPr>
          <w:color w:val="000000"/>
          <w:sz w:val="17"/>
          <w:szCs w:val="17"/>
        </w:rPr>
        <w:t>the permission to use groupings of exposures also when the target asset allocation is not available at the level of granularity necessary.</w:t>
      </w:r>
    </w:p>
    <w:p w14:paraId="7D90F4F4" w14:textId="28986E44" w:rsidR="00651977" w:rsidRPr="008838CC" w:rsidRDefault="00651977" w:rsidP="00644F0A">
      <w:pPr>
        <w:spacing w:line="276" w:lineRule="auto"/>
        <w:rPr>
          <w:rFonts w:ascii="Verdana" w:hAnsi="Verdana"/>
          <w:color w:val="000000"/>
          <w:sz w:val="17"/>
          <w:szCs w:val="17"/>
        </w:rPr>
      </w:pPr>
    </w:p>
    <w:p w14:paraId="4252597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15.2</w:t>
      </w:r>
    </w:p>
    <w:p w14:paraId="6C3EA98E"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15.3</w:t>
      </w:r>
    </w:p>
    <w:p w14:paraId="3AFB9470"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15.4.1</w:t>
      </w:r>
    </w:p>
    <w:p w14:paraId="607A5D3C" w14:textId="6C03F05F"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15.4.2</w:t>
      </w:r>
      <w:r w:rsidR="002E7336" w:rsidRPr="008838CC">
        <w:rPr>
          <w:rFonts w:ascii="Verdana" w:hAnsi="Verdana"/>
          <w:b/>
          <w:color w:val="000000"/>
          <w:sz w:val="17"/>
          <w:szCs w:val="17"/>
          <w:u w:val="single"/>
        </w:rPr>
        <w:t xml:space="preserve"> Analysis</w:t>
      </w:r>
    </w:p>
    <w:p w14:paraId="6E29618C" w14:textId="77777777" w:rsidR="002E7336" w:rsidRPr="008838CC" w:rsidRDefault="002E7336" w:rsidP="00644F0A">
      <w:pPr>
        <w:spacing w:line="276" w:lineRule="auto"/>
        <w:rPr>
          <w:rFonts w:ascii="Verdana" w:hAnsi="Verdana"/>
          <w:b/>
          <w:color w:val="000000"/>
          <w:sz w:val="17"/>
          <w:szCs w:val="17"/>
          <w:u w:val="single"/>
        </w:rPr>
      </w:pPr>
    </w:p>
    <w:p w14:paraId="5157AAC0" w14:textId="4DCEF022"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15.4.3</w:t>
      </w:r>
      <w:r w:rsidR="000969BD" w:rsidRPr="008838CC">
        <w:rPr>
          <w:rFonts w:ascii="Verdana" w:hAnsi="Verdana"/>
          <w:b/>
          <w:color w:val="000000"/>
          <w:sz w:val="17"/>
          <w:szCs w:val="17"/>
          <w:u w:val="single"/>
        </w:rPr>
        <w:t xml:space="preserve"> EIOPA’s advice</w:t>
      </w:r>
    </w:p>
    <w:p w14:paraId="16DF1831" w14:textId="3A7613F7" w:rsidR="000969BD" w:rsidRPr="00425A82" w:rsidRDefault="000969BD" w:rsidP="00644F0A">
      <w:pPr>
        <w:spacing w:line="276" w:lineRule="auto"/>
        <w:rPr>
          <w:rFonts w:ascii="Verdana" w:hAnsi="Verdana"/>
          <w:b/>
          <w:i/>
          <w:color w:val="000000"/>
          <w:sz w:val="17"/>
          <w:szCs w:val="17"/>
        </w:rPr>
      </w:pPr>
      <w:r w:rsidRPr="00425A82">
        <w:rPr>
          <w:rFonts w:ascii="Verdana" w:hAnsi="Verdana"/>
          <w:b/>
          <w:i/>
          <w:color w:val="000000"/>
          <w:sz w:val="17"/>
          <w:szCs w:val="17"/>
        </w:rPr>
        <w:t>Paragraph 1217 – 12</w:t>
      </w:r>
      <w:r w:rsidR="00E42DA7" w:rsidRPr="00425A82">
        <w:rPr>
          <w:rFonts w:ascii="Verdana" w:hAnsi="Verdana"/>
          <w:b/>
          <w:i/>
          <w:color w:val="000000"/>
          <w:sz w:val="17"/>
          <w:szCs w:val="17"/>
        </w:rPr>
        <w:t>19</w:t>
      </w:r>
    </w:p>
    <w:p w14:paraId="367A6384" w14:textId="0A04A45E" w:rsidR="000969BD" w:rsidRPr="008838CC" w:rsidRDefault="000969BD"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welcomes the fact EIOPA reflected </w:t>
      </w:r>
      <w:r w:rsidR="00A628CA" w:rsidRPr="008838CC">
        <w:rPr>
          <w:rFonts w:ascii="Verdana" w:hAnsi="Verdana"/>
          <w:color w:val="000000"/>
          <w:sz w:val="17"/>
          <w:szCs w:val="17"/>
        </w:rPr>
        <w:t xml:space="preserve">in its draft advice </w:t>
      </w:r>
      <w:r w:rsidRPr="008838CC">
        <w:rPr>
          <w:rFonts w:ascii="Verdana" w:hAnsi="Verdana"/>
          <w:color w:val="000000"/>
          <w:sz w:val="17"/>
          <w:szCs w:val="17"/>
        </w:rPr>
        <w:t>a number of simplifications put forward by Insurance Europe</w:t>
      </w:r>
      <w:r w:rsidR="00A628CA" w:rsidRPr="008838CC">
        <w:rPr>
          <w:rFonts w:ascii="Verdana" w:hAnsi="Verdana"/>
          <w:color w:val="000000"/>
          <w:sz w:val="17"/>
          <w:szCs w:val="17"/>
        </w:rPr>
        <w:t>.</w:t>
      </w:r>
      <w:r w:rsidRPr="008838CC">
        <w:rPr>
          <w:rFonts w:ascii="Verdana" w:hAnsi="Verdana"/>
          <w:color w:val="000000"/>
          <w:sz w:val="17"/>
          <w:szCs w:val="17"/>
        </w:rPr>
        <w:t xml:space="preserve"> In particular the carve-out of assets for unit/index linked products from the 20% limit, the </w:t>
      </w:r>
      <w:r w:rsidR="00A27F3C" w:rsidRPr="008838CC">
        <w:rPr>
          <w:rFonts w:ascii="Verdana" w:hAnsi="Verdana"/>
          <w:color w:val="000000"/>
          <w:sz w:val="17"/>
          <w:szCs w:val="17"/>
        </w:rPr>
        <w:t xml:space="preserve">possibility to use the last reported asset allocation of the collective investment undertaking or fund to calculate the SCR and the </w:t>
      </w:r>
      <w:r w:rsidR="00E42DA7" w:rsidRPr="008838CC">
        <w:rPr>
          <w:rFonts w:ascii="Verdana" w:hAnsi="Verdana"/>
          <w:color w:val="000000"/>
          <w:sz w:val="17"/>
          <w:szCs w:val="17"/>
        </w:rPr>
        <w:t>permission to use groupings of exposures also when the target asset allocation is not available at the level of granularity necessary.</w:t>
      </w:r>
    </w:p>
    <w:p w14:paraId="2FF5B26E" w14:textId="5B1D1439" w:rsidR="00E42DA7" w:rsidRPr="008838CC" w:rsidRDefault="00E42DA7" w:rsidP="00644F0A">
      <w:pPr>
        <w:spacing w:line="276" w:lineRule="auto"/>
        <w:rPr>
          <w:rFonts w:ascii="Verdana" w:hAnsi="Verdana"/>
          <w:color w:val="000000"/>
          <w:sz w:val="17"/>
          <w:szCs w:val="17"/>
        </w:rPr>
      </w:pPr>
    </w:p>
    <w:p w14:paraId="11B34401" w14:textId="77777777" w:rsidR="00E42DA7" w:rsidRPr="008838CC" w:rsidRDefault="00E42DA7" w:rsidP="00644F0A">
      <w:pPr>
        <w:spacing w:line="276" w:lineRule="auto"/>
        <w:rPr>
          <w:rFonts w:ascii="Verdana" w:hAnsi="Verdana"/>
          <w:color w:val="000000"/>
          <w:sz w:val="17"/>
          <w:szCs w:val="17"/>
          <w:u w:val="single"/>
        </w:rPr>
      </w:pPr>
    </w:p>
    <w:p w14:paraId="01FE1977" w14:textId="7A6992BD"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15.4.4</w:t>
      </w:r>
      <w:r w:rsidR="00E33E52" w:rsidRPr="008838CC">
        <w:rPr>
          <w:rFonts w:ascii="Verdana" w:hAnsi="Verdana"/>
          <w:b/>
          <w:color w:val="000000"/>
          <w:sz w:val="17"/>
          <w:szCs w:val="17"/>
          <w:u w:val="single"/>
        </w:rPr>
        <w:t xml:space="preserve"> Proposal for new articles</w:t>
      </w:r>
    </w:p>
    <w:p w14:paraId="3F2F4962" w14:textId="77777777" w:rsidR="004247B6" w:rsidRPr="008838CC" w:rsidRDefault="004247B6" w:rsidP="00644F0A">
      <w:pPr>
        <w:spacing w:line="276" w:lineRule="auto"/>
        <w:rPr>
          <w:rFonts w:ascii="Verdana" w:hAnsi="Verdana"/>
          <w:b/>
          <w:color w:val="000000"/>
          <w:sz w:val="17"/>
          <w:szCs w:val="17"/>
          <w:u w:val="single"/>
        </w:rPr>
      </w:pPr>
    </w:p>
    <w:p w14:paraId="32192A8D" w14:textId="693BE4E2" w:rsidR="00F7549C" w:rsidRPr="008838CC" w:rsidRDefault="00230F04" w:rsidP="00F7549C">
      <w:pPr>
        <w:pStyle w:val="Nadpis1"/>
        <w:rPr>
          <w:sz w:val="17"/>
          <w:szCs w:val="17"/>
        </w:rPr>
      </w:pPr>
      <w:r w:rsidRPr="008838CC">
        <w:rPr>
          <w:sz w:val="17"/>
          <w:szCs w:val="17"/>
        </w:rPr>
        <w:br w:type="page"/>
      </w:r>
      <w:bookmarkStart w:id="38" w:name="_Toc497908655"/>
      <w:r w:rsidR="00F7549C" w:rsidRPr="008838CC">
        <w:rPr>
          <w:sz w:val="17"/>
          <w:szCs w:val="17"/>
        </w:rPr>
        <w:t xml:space="preserve">16. </w:t>
      </w:r>
      <w:r w:rsidR="0018577F" w:rsidRPr="008838CC">
        <w:rPr>
          <w:sz w:val="17"/>
          <w:szCs w:val="17"/>
        </w:rPr>
        <w:t>Look-through approach</w:t>
      </w:r>
      <w:r w:rsidR="00E97221" w:rsidRPr="008838CC">
        <w:rPr>
          <w:sz w:val="17"/>
          <w:szCs w:val="17"/>
        </w:rPr>
        <w:t xml:space="preserve"> at group level</w:t>
      </w:r>
      <w:bookmarkEnd w:id="38"/>
    </w:p>
    <w:p w14:paraId="29FA0229" w14:textId="7E625DA3"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16.1</w:t>
      </w:r>
    </w:p>
    <w:p w14:paraId="1EAF1F31" w14:textId="0414CD81" w:rsidR="006A7E7B" w:rsidRPr="008838CC" w:rsidRDefault="006A7E7B"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appreciates EIOPA’s initiative to consider </w:t>
      </w:r>
      <w:r w:rsidR="001F4DA5" w:rsidRPr="008838CC">
        <w:rPr>
          <w:rFonts w:ascii="Verdana" w:hAnsi="Verdana"/>
          <w:color w:val="000000"/>
          <w:sz w:val="17"/>
          <w:szCs w:val="17"/>
        </w:rPr>
        <w:t xml:space="preserve">- on request of some stakeholders  - </w:t>
      </w:r>
      <w:r w:rsidRPr="008838CC">
        <w:rPr>
          <w:rFonts w:ascii="Verdana" w:hAnsi="Verdana"/>
          <w:color w:val="000000"/>
          <w:sz w:val="17"/>
          <w:szCs w:val="17"/>
        </w:rPr>
        <w:t>also the application of the look-</w:t>
      </w:r>
      <w:r w:rsidR="001F4DA5" w:rsidRPr="008838CC">
        <w:rPr>
          <w:rFonts w:ascii="Verdana" w:hAnsi="Verdana"/>
          <w:color w:val="000000"/>
          <w:sz w:val="17"/>
          <w:szCs w:val="17"/>
        </w:rPr>
        <w:t xml:space="preserve">though approach at group level, as there may be different interpretations on how look-through should be applied at group level. </w:t>
      </w:r>
    </w:p>
    <w:p w14:paraId="3C977E8F" w14:textId="77777777" w:rsidR="006A7E7B" w:rsidRPr="008838CC" w:rsidRDefault="006A7E7B" w:rsidP="00644F0A">
      <w:pPr>
        <w:spacing w:line="276" w:lineRule="auto"/>
        <w:rPr>
          <w:rFonts w:ascii="Verdana" w:hAnsi="Verdana"/>
          <w:b/>
          <w:color w:val="000000"/>
          <w:sz w:val="17"/>
          <w:szCs w:val="17"/>
          <w:u w:val="single"/>
        </w:rPr>
      </w:pPr>
    </w:p>
    <w:p w14:paraId="77319B9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16.2</w:t>
      </w:r>
    </w:p>
    <w:p w14:paraId="452AA847"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16.3.1</w:t>
      </w:r>
    </w:p>
    <w:p w14:paraId="10867D18"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16.3.2</w:t>
      </w:r>
    </w:p>
    <w:p w14:paraId="1279B845" w14:textId="2E8EF1C1"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16.3.3</w:t>
      </w:r>
      <w:r w:rsidR="00083C62" w:rsidRPr="008838CC">
        <w:rPr>
          <w:rFonts w:ascii="Verdana" w:hAnsi="Verdana"/>
          <w:b/>
          <w:color w:val="000000"/>
          <w:sz w:val="17"/>
          <w:szCs w:val="17"/>
          <w:u w:val="single"/>
        </w:rPr>
        <w:t xml:space="preserve"> </w:t>
      </w:r>
      <w:commentRangeStart w:id="39"/>
      <w:r w:rsidR="00083C62" w:rsidRPr="008838CC">
        <w:rPr>
          <w:rFonts w:ascii="Verdana" w:hAnsi="Verdana"/>
          <w:b/>
          <w:color w:val="000000"/>
          <w:sz w:val="17"/>
          <w:szCs w:val="17"/>
          <w:u w:val="single"/>
        </w:rPr>
        <w:t>EIOPA’s advice</w:t>
      </w:r>
      <w:commentRangeEnd w:id="39"/>
      <w:r w:rsidR="00083C62" w:rsidRPr="008838CC">
        <w:rPr>
          <w:rStyle w:val="Odkaznakomentr"/>
          <w:rFonts w:ascii="Verdana" w:hAnsi="Verdana"/>
          <w:sz w:val="17"/>
          <w:szCs w:val="17"/>
        </w:rPr>
        <w:commentReference w:id="39"/>
      </w:r>
    </w:p>
    <w:p w14:paraId="50A2DA0C" w14:textId="77777777" w:rsidR="00A02B21" w:rsidRPr="008838CC" w:rsidRDefault="00A02B21" w:rsidP="00F7549C">
      <w:pPr>
        <w:pStyle w:val="Nadpis1"/>
        <w:rPr>
          <w:i/>
          <w:sz w:val="17"/>
          <w:szCs w:val="17"/>
          <w:u w:val="none"/>
        </w:rPr>
      </w:pPr>
      <w:r w:rsidRPr="008838CC">
        <w:rPr>
          <w:i/>
          <w:sz w:val="17"/>
          <w:szCs w:val="17"/>
          <w:u w:val="none"/>
        </w:rPr>
        <w:t>Paragraph 1251-1255</w:t>
      </w:r>
    </w:p>
    <w:p w14:paraId="629EEB88" w14:textId="55FA5AAA" w:rsidR="00F7549C" w:rsidRPr="008838CC" w:rsidRDefault="00603AB4" w:rsidP="00F7549C">
      <w:pPr>
        <w:pStyle w:val="Nadpis1"/>
        <w:rPr>
          <w:sz w:val="17"/>
          <w:szCs w:val="17"/>
          <w:lang w:eastAsia="en-GB"/>
        </w:rPr>
      </w:pPr>
      <w:r w:rsidRPr="008838CC">
        <w:rPr>
          <w:b w:val="0"/>
          <w:sz w:val="17"/>
          <w:szCs w:val="17"/>
          <w:u w:val="none"/>
        </w:rPr>
        <w:t>Insurance Europe welcomes EIOPA’s</w:t>
      </w:r>
      <w:r w:rsidR="00A02B21" w:rsidRPr="008838CC">
        <w:rPr>
          <w:b w:val="0"/>
          <w:sz w:val="17"/>
          <w:szCs w:val="17"/>
          <w:u w:val="none"/>
        </w:rPr>
        <w:t xml:space="preserve"> initiative to also consider the look-through approach at group level. Insurance Europe supports </w:t>
      </w:r>
      <w:r w:rsidRPr="008838CC">
        <w:rPr>
          <w:b w:val="0"/>
          <w:sz w:val="17"/>
          <w:szCs w:val="17"/>
          <w:u w:val="none"/>
        </w:rPr>
        <w:t>the first</w:t>
      </w:r>
      <w:r w:rsidR="00A02B21" w:rsidRPr="008838CC">
        <w:rPr>
          <w:b w:val="0"/>
          <w:sz w:val="17"/>
          <w:szCs w:val="17"/>
          <w:u w:val="none"/>
        </w:rPr>
        <w:t xml:space="preserve"> option </w:t>
      </w:r>
      <w:r w:rsidR="00FC5A96" w:rsidRPr="008838CC">
        <w:rPr>
          <w:b w:val="0"/>
          <w:sz w:val="17"/>
          <w:szCs w:val="17"/>
          <w:u w:val="none"/>
        </w:rPr>
        <w:t xml:space="preserve">as not to change the current version of the Delegated Regulation and to </w:t>
      </w:r>
      <w:r w:rsidR="00F00780" w:rsidRPr="008838CC">
        <w:rPr>
          <w:b w:val="0"/>
          <w:sz w:val="17"/>
          <w:szCs w:val="17"/>
          <w:u w:val="none"/>
        </w:rPr>
        <w:t xml:space="preserve">provide more guidance for supervisors, </w:t>
      </w:r>
      <w:r w:rsidR="00A628CA" w:rsidRPr="008838CC">
        <w:rPr>
          <w:b w:val="0"/>
          <w:sz w:val="17"/>
          <w:szCs w:val="17"/>
          <w:u w:val="none"/>
        </w:rPr>
        <w:t>via appropriate supervisory tools.</w:t>
      </w:r>
      <w:r w:rsidR="00A02B21" w:rsidRPr="008838CC">
        <w:rPr>
          <w:b w:val="0"/>
          <w:sz w:val="17"/>
          <w:szCs w:val="17"/>
          <w:u w:val="none"/>
        </w:rPr>
        <w:t xml:space="preserve"> </w:t>
      </w:r>
      <w:r w:rsidR="00230F04" w:rsidRPr="008838CC">
        <w:rPr>
          <w:sz w:val="17"/>
          <w:szCs w:val="17"/>
        </w:rPr>
        <w:br w:type="page"/>
      </w:r>
      <w:bookmarkStart w:id="40" w:name="_Toc497908656"/>
      <w:r w:rsidR="00F220EA" w:rsidRPr="008838CC">
        <w:rPr>
          <w:sz w:val="17"/>
          <w:szCs w:val="17"/>
        </w:rPr>
        <w:t xml:space="preserve"> </w:t>
      </w:r>
      <w:r w:rsidR="00F7549C" w:rsidRPr="008838CC">
        <w:rPr>
          <w:sz w:val="17"/>
          <w:szCs w:val="17"/>
        </w:rPr>
        <w:t xml:space="preserve">17. </w:t>
      </w:r>
      <w:r w:rsidR="00E97221" w:rsidRPr="008838CC">
        <w:rPr>
          <w:sz w:val="17"/>
          <w:szCs w:val="17"/>
        </w:rPr>
        <w:t>Loss-absorbing capacity of deferred taxes</w:t>
      </w:r>
      <w:bookmarkEnd w:id="40"/>
    </w:p>
    <w:p w14:paraId="05BEB0A7" w14:textId="2B3658C0"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17.1</w:t>
      </w:r>
      <w:r w:rsidR="008348E0" w:rsidRPr="008838CC">
        <w:rPr>
          <w:rFonts w:ascii="Verdana" w:hAnsi="Verdana"/>
          <w:b/>
          <w:color w:val="000000"/>
          <w:sz w:val="17"/>
          <w:szCs w:val="17"/>
          <w:u w:val="single"/>
        </w:rPr>
        <w:t>. Call for advice</w:t>
      </w:r>
    </w:p>
    <w:p w14:paraId="406FF1D7" w14:textId="07A9EFDF" w:rsidR="00056B35" w:rsidRPr="008838CC" w:rsidRDefault="00056B35" w:rsidP="00644F0A">
      <w:pPr>
        <w:spacing w:line="276" w:lineRule="auto"/>
        <w:rPr>
          <w:rFonts w:ascii="Verdana" w:hAnsi="Verdana"/>
          <w:b/>
          <w:color w:val="000000"/>
          <w:sz w:val="17"/>
          <w:szCs w:val="17"/>
          <w:u w:val="single"/>
        </w:rPr>
      </w:pPr>
      <w:r w:rsidRPr="008838CC">
        <w:rPr>
          <w:rFonts w:ascii="Verdana" w:hAnsi="Verdana" w:cstheme="minorHAnsi"/>
          <w:sz w:val="17"/>
          <w:szCs w:val="17"/>
        </w:rPr>
        <w:t xml:space="preserve">Insurance Europe understands that EIOPA was asked by the EC to report on the various methods </w:t>
      </w:r>
      <w:r w:rsidR="00D15E0D" w:rsidRPr="008838CC">
        <w:rPr>
          <w:rFonts w:ascii="Verdana" w:hAnsi="Verdana" w:cstheme="minorHAnsi"/>
          <w:sz w:val="17"/>
          <w:szCs w:val="17"/>
        </w:rPr>
        <w:t>currently applied</w:t>
      </w:r>
      <w:r w:rsidR="00166F76" w:rsidRPr="008838CC">
        <w:rPr>
          <w:rFonts w:ascii="Verdana" w:hAnsi="Verdana" w:cstheme="minorHAnsi"/>
          <w:sz w:val="17"/>
          <w:szCs w:val="17"/>
        </w:rPr>
        <w:t xml:space="preserve"> across the EEA on LAC DT</w:t>
      </w:r>
      <w:r w:rsidR="00D15E0D" w:rsidRPr="008838CC">
        <w:rPr>
          <w:rFonts w:ascii="Verdana" w:hAnsi="Verdana" w:cstheme="minorHAnsi"/>
          <w:sz w:val="17"/>
          <w:szCs w:val="17"/>
        </w:rPr>
        <w:t>, and on their impact</w:t>
      </w:r>
      <w:r w:rsidR="00166F76" w:rsidRPr="008838CC">
        <w:rPr>
          <w:rFonts w:ascii="Verdana" w:hAnsi="Verdana" w:cstheme="minorHAnsi"/>
          <w:sz w:val="17"/>
          <w:szCs w:val="17"/>
        </w:rPr>
        <w:t>. Insurance Europe therefore believes that, by submitting its analysis, EIOPA ha</w:t>
      </w:r>
      <w:r w:rsidR="00621929">
        <w:rPr>
          <w:rFonts w:ascii="Verdana" w:hAnsi="Verdana" w:cstheme="minorHAnsi"/>
          <w:sz w:val="17"/>
          <w:szCs w:val="17"/>
        </w:rPr>
        <w:t>s</w:t>
      </w:r>
      <w:r w:rsidR="00166F76" w:rsidRPr="008838CC">
        <w:rPr>
          <w:rFonts w:ascii="Verdana" w:hAnsi="Verdana" w:cstheme="minorHAnsi"/>
          <w:sz w:val="17"/>
          <w:szCs w:val="17"/>
        </w:rPr>
        <w:t xml:space="preserve"> already fully delivered on its mandate and no further action is necessary.</w:t>
      </w:r>
    </w:p>
    <w:p w14:paraId="5E6F2060" w14:textId="77777777" w:rsidR="00056B35" w:rsidRPr="008838CC" w:rsidRDefault="00056B35" w:rsidP="00644F0A">
      <w:pPr>
        <w:spacing w:line="276" w:lineRule="auto"/>
        <w:rPr>
          <w:rFonts w:ascii="Verdana" w:hAnsi="Verdana"/>
          <w:b/>
          <w:color w:val="000000"/>
          <w:sz w:val="17"/>
          <w:szCs w:val="17"/>
          <w:u w:val="single"/>
        </w:rPr>
      </w:pPr>
    </w:p>
    <w:p w14:paraId="28AD9D42" w14:textId="77777777" w:rsidR="00D0212E" w:rsidRPr="008838CC" w:rsidRDefault="00D0212E" w:rsidP="00644F0A">
      <w:pPr>
        <w:spacing w:line="276" w:lineRule="auto"/>
        <w:rPr>
          <w:rFonts w:ascii="Verdana" w:hAnsi="Verdana" w:cstheme="minorHAnsi"/>
          <w:sz w:val="17"/>
          <w:szCs w:val="17"/>
        </w:rPr>
      </w:pPr>
    </w:p>
    <w:p w14:paraId="7F8BADE3"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17.2</w:t>
      </w:r>
    </w:p>
    <w:p w14:paraId="2C9AD8A6"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17.3</w:t>
      </w:r>
    </w:p>
    <w:p w14:paraId="4B76237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17.4.1</w:t>
      </w:r>
    </w:p>
    <w:p w14:paraId="0E3B2077" w14:textId="39F4678C"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17.4.2</w:t>
      </w:r>
      <w:r w:rsidR="008348E0" w:rsidRPr="008838CC">
        <w:rPr>
          <w:rFonts w:ascii="Verdana" w:hAnsi="Verdana"/>
          <w:b/>
          <w:color w:val="000000"/>
          <w:sz w:val="17"/>
          <w:szCs w:val="17"/>
          <w:u w:val="single"/>
        </w:rPr>
        <w:t>. Analysis</w:t>
      </w:r>
    </w:p>
    <w:p w14:paraId="3EE280CB" w14:textId="3B9100C8" w:rsidR="00D0212E" w:rsidRPr="008838CC" w:rsidRDefault="00D0212E" w:rsidP="00D0212E">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Paragraphs 129</w:t>
      </w:r>
      <w:r w:rsidR="00C717BF" w:rsidRPr="008838CC">
        <w:rPr>
          <w:rFonts w:ascii="Verdana" w:hAnsi="Verdana" w:cstheme="minorHAnsi"/>
          <w:b/>
          <w:i/>
          <w:color w:val="000000"/>
          <w:sz w:val="17"/>
          <w:szCs w:val="17"/>
        </w:rPr>
        <w:t>8</w:t>
      </w:r>
      <w:r w:rsidRPr="008838CC">
        <w:rPr>
          <w:rFonts w:ascii="Verdana" w:hAnsi="Verdana" w:cstheme="minorHAnsi"/>
          <w:b/>
          <w:i/>
          <w:color w:val="000000"/>
          <w:sz w:val="17"/>
          <w:szCs w:val="17"/>
        </w:rPr>
        <w:t xml:space="preserve"> &amp; 1299</w:t>
      </w:r>
    </w:p>
    <w:p w14:paraId="46D0965C" w14:textId="375F80A1" w:rsidR="00D0212E" w:rsidRPr="008838CC" w:rsidRDefault="00D0212E" w:rsidP="00D0212E">
      <w:pPr>
        <w:spacing w:line="276" w:lineRule="auto"/>
        <w:rPr>
          <w:rFonts w:ascii="Verdana" w:hAnsi="Verdana" w:cstheme="minorHAnsi"/>
          <w:sz w:val="17"/>
          <w:szCs w:val="17"/>
        </w:rPr>
      </w:pPr>
      <w:r w:rsidRPr="008838CC">
        <w:rPr>
          <w:rFonts w:ascii="Verdana" w:hAnsi="Verdana" w:cstheme="minorHAnsi"/>
          <w:sz w:val="17"/>
          <w:szCs w:val="17"/>
        </w:rPr>
        <w:t xml:space="preserve">Insurance Europe is of the view that this position assumes à priori that companies will not have a viable recovery plan, which EIOPA cannot pre-judge. In addition, reference to </w:t>
      </w:r>
      <w:r w:rsidR="00AC07CF">
        <w:rPr>
          <w:rFonts w:ascii="Verdana" w:hAnsi="Verdana" w:cstheme="minorHAnsi"/>
          <w:sz w:val="17"/>
          <w:szCs w:val="17"/>
        </w:rPr>
        <w:t xml:space="preserve">being close to an MCR breach is totally different from having </w:t>
      </w:r>
      <w:r w:rsidR="00F057CC">
        <w:rPr>
          <w:rFonts w:ascii="Verdana" w:hAnsi="Verdana" w:cstheme="minorHAnsi"/>
          <w:sz w:val="17"/>
          <w:szCs w:val="17"/>
        </w:rPr>
        <w:t xml:space="preserve">effectively </w:t>
      </w:r>
      <w:r w:rsidR="00AC07CF">
        <w:rPr>
          <w:rFonts w:ascii="Verdana" w:hAnsi="Verdana" w:cstheme="minorHAnsi"/>
          <w:sz w:val="17"/>
          <w:szCs w:val="17"/>
        </w:rPr>
        <w:t xml:space="preserve">breached </w:t>
      </w:r>
      <w:r w:rsidRPr="008838CC">
        <w:rPr>
          <w:rFonts w:ascii="Verdana" w:hAnsi="Verdana" w:cstheme="minorHAnsi"/>
          <w:sz w:val="17"/>
          <w:szCs w:val="17"/>
        </w:rPr>
        <w:t>the MCR</w:t>
      </w:r>
      <w:r w:rsidR="00AC07CF">
        <w:rPr>
          <w:rFonts w:ascii="Verdana" w:hAnsi="Verdana" w:cstheme="minorHAnsi"/>
          <w:sz w:val="17"/>
          <w:szCs w:val="17"/>
        </w:rPr>
        <w:t>. While a breach of the MCR will result in no possibility to write new business, being close to an</w:t>
      </w:r>
      <w:r w:rsidRPr="004A7B3A">
        <w:rPr>
          <w:rFonts w:ascii="Verdana" w:hAnsi="Verdana" w:cstheme="minorHAnsi"/>
          <w:sz w:val="17"/>
          <w:szCs w:val="17"/>
        </w:rPr>
        <w:t xml:space="preserve"> MCR</w:t>
      </w:r>
      <w:r w:rsidR="00AC07CF">
        <w:rPr>
          <w:rFonts w:ascii="Verdana" w:hAnsi="Verdana" w:cstheme="minorHAnsi"/>
          <w:sz w:val="17"/>
          <w:szCs w:val="17"/>
        </w:rPr>
        <w:t xml:space="preserve"> breach</w:t>
      </w:r>
      <w:r w:rsidRPr="004A7B3A">
        <w:rPr>
          <w:rFonts w:ascii="Verdana" w:hAnsi="Verdana" w:cstheme="minorHAnsi"/>
          <w:sz w:val="17"/>
          <w:szCs w:val="17"/>
        </w:rPr>
        <w:t xml:space="preserve"> </w:t>
      </w:r>
      <w:r w:rsidR="00AC07CF">
        <w:rPr>
          <w:rFonts w:ascii="Verdana" w:hAnsi="Verdana" w:cstheme="minorHAnsi"/>
          <w:sz w:val="17"/>
          <w:szCs w:val="17"/>
        </w:rPr>
        <w:t>will not.</w:t>
      </w:r>
    </w:p>
    <w:p w14:paraId="36E156BE" w14:textId="08C2AF6D" w:rsidR="00D0212E" w:rsidRPr="008838CC" w:rsidRDefault="00D0212E" w:rsidP="00D0212E">
      <w:pPr>
        <w:spacing w:line="276" w:lineRule="auto"/>
        <w:rPr>
          <w:rFonts w:ascii="Verdana" w:hAnsi="Verdana"/>
          <w:b/>
          <w:color w:val="000000"/>
          <w:sz w:val="17"/>
          <w:szCs w:val="17"/>
          <w:u w:val="single"/>
        </w:rPr>
      </w:pPr>
      <w:r w:rsidRPr="008838CC">
        <w:rPr>
          <w:rFonts w:ascii="Verdana" w:hAnsi="Verdana" w:cstheme="minorHAnsi"/>
          <w:sz w:val="17"/>
          <w:szCs w:val="17"/>
        </w:rPr>
        <w:t>EIOPA’s comments also miss another point: with an adequate recovery plan, even if a firm is closed to new business, it may still be possible to make future profits from in-force business.</w:t>
      </w:r>
    </w:p>
    <w:p w14:paraId="099DAB54" w14:textId="0C426C9E" w:rsidR="00D0212E" w:rsidRPr="008838CC" w:rsidRDefault="00D0212E" w:rsidP="00644F0A">
      <w:pPr>
        <w:spacing w:line="276" w:lineRule="auto"/>
        <w:rPr>
          <w:rFonts w:ascii="Verdana" w:hAnsi="Verdana"/>
          <w:b/>
          <w:color w:val="000000"/>
          <w:sz w:val="17"/>
          <w:szCs w:val="17"/>
          <w:u w:val="single"/>
        </w:rPr>
      </w:pPr>
    </w:p>
    <w:p w14:paraId="7B15D76D" w14:textId="225A663D" w:rsidR="00D0212E" w:rsidRPr="008838CC" w:rsidRDefault="00D0212E" w:rsidP="00D0212E">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 1300</w:t>
      </w:r>
    </w:p>
    <w:p w14:paraId="0FF66963" w14:textId="032194A3" w:rsidR="00D0212E" w:rsidRPr="008838CC" w:rsidRDefault="00D0212E" w:rsidP="00D0212E">
      <w:pPr>
        <w:spacing w:line="276" w:lineRule="auto"/>
        <w:rPr>
          <w:rFonts w:ascii="Verdana" w:hAnsi="Verdana" w:cstheme="minorHAnsi"/>
          <w:sz w:val="17"/>
          <w:szCs w:val="17"/>
        </w:rPr>
      </w:pPr>
      <w:r w:rsidRPr="008838CC">
        <w:rPr>
          <w:rFonts w:ascii="Verdana" w:hAnsi="Verdana" w:cstheme="minorHAnsi"/>
          <w:sz w:val="17"/>
          <w:szCs w:val="17"/>
        </w:rPr>
        <w:t>Insurance Europe reiterates that the compliance with the MCR and SCR should not play a role in the calculation of LAC DT as these are a given under the going concern assumption.</w:t>
      </w:r>
    </w:p>
    <w:p w14:paraId="6B4D8E09" w14:textId="77777777" w:rsidR="002762E1" w:rsidRPr="008838CC" w:rsidRDefault="002762E1" w:rsidP="00644F0A">
      <w:pPr>
        <w:spacing w:line="276" w:lineRule="auto"/>
        <w:rPr>
          <w:rFonts w:ascii="Verdana" w:hAnsi="Verdana"/>
          <w:b/>
          <w:color w:val="000000"/>
          <w:sz w:val="17"/>
          <w:szCs w:val="17"/>
          <w:u w:val="single"/>
        </w:rPr>
      </w:pPr>
    </w:p>
    <w:p w14:paraId="5C1F61E9" w14:textId="04DC4218" w:rsidR="00F706DA" w:rsidRPr="008838CC" w:rsidRDefault="00F706DA" w:rsidP="00F706DA">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 1319</w:t>
      </w:r>
    </w:p>
    <w:p w14:paraId="3AFC102C" w14:textId="02D07157" w:rsidR="00F706DA" w:rsidRPr="008838CC" w:rsidRDefault="00F706DA" w:rsidP="00F706DA">
      <w:pPr>
        <w:spacing w:line="276" w:lineRule="auto"/>
        <w:rPr>
          <w:rFonts w:ascii="Verdana" w:hAnsi="Verdana" w:cstheme="minorHAnsi"/>
          <w:sz w:val="17"/>
          <w:szCs w:val="17"/>
        </w:rPr>
      </w:pPr>
      <w:r w:rsidRPr="008838CC">
        <w:rPr>
          <w:rFonts w:ascii="Verdana" w:hAnsi="Verdana" w:cstheme="minorHAnsi"/>
          <w:sz w:val="17"/>
          <w:szCs w:val="17"/>
        </w:rPr>
        <w:t xml:space="preserve">Insurance Europe believes that the limit should not be </w:t>
      </w:r>
      <w:r w:rsidR="00BB44BC" w:rsidRPr="008838CC">
        <w:rPr>
          <w:rFonts w:ascii="Verdana" w:hAnsi="Verdana" w:cstheme="minorHAnsi"/>
          <w:sz w:val="17"/>
          <w:szCs w:val="17"/>
        </w:rPr>
        <w:t>labeled</w:t>
      </w:r>
      <w:r w:rsidRPr="008838CC">
        <w:rPr>
          <w:rFonts w:ascii="Verdana" w:hAnsi="Verdana" w:cstheme="minorHAnsi"/>
          <w:sz w:val="17"/>
          <w:szCs w:val="17"/>
        </w:rPr>
        <w:t xml:space="preserve"> in terms of a net cut-off of number of years, rather as a limitation of “credibility” of profits stemming from years beyond those which represent the minimum time horizon for any legal entity business plan. In that respect, Insurance Europe supports the view expressed in the “CRO Forum Industry Paper on DTA in SCR” as it is more reflective of the economics than an abrupt and artificial cut-off (here 5 years as proposed by EIOPA).</w:t>
      </w:r>
    </w:p>
    <w:p w14:paraId="06BD6525" w14:textId="77777777" w:rsidR="00D0212E" w:rsidRPr="008838CC" w:rsidRDefault="00D0212E" w:rsidP="00644F0A">
      <w:pPr>
        <w:spacing w:line="276" w:lineRule="auto"/>
        <w:rPr>
          <w:rFonts w:ascii="Verdana" w:hAnsi="Verdana"/>
          <w:b/>
          <w:color w:val="000000"/>
          <w:sz w:val="17"/>
          <w:szCs w:val="17"/>
          <w:u w:val="single"/>
        </w:rPr>
      </w:pPr>
    </w:p>
    <w:p w14:paraId="0B3DE9EE" w14:textId="630B0EAE" w:rsidR="0059470C" w:rsidRPr="008838CC" w:rsidRDefault="0059470C" w:rsidP="0059470C">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Paragraphs 1322 &amp;1325</w:t>
      </w:r>
    </w:p>
    <w:p w14:paraId="614407F5" w14:textId="20D671CC" w:rsidR="0059470C" w:rsidRPr="008838CC" w:rsidRDefault="0059470C" w:rsidP="0059470C">
      <w:pPr>
        <w:spacing w:line="276" w:lineRule="auto"/>
        <w:rPr>
          <w:rFonts w:ascii="Verdana" w:hAnsi="Verdana" w:cstheme="minorHAnsi"/>
          <w:sz w:val="17"/>
          <w:szCs w:val="17"/>
        </w:rPr>
      </w:pPr>
      <w:commentRangeStart w:id="41"/>
      <w:r w:rsidRPr="008838CC">
        <w:rPr>
          <w:rFonts w:ascii="Verdana" w:hAnsi="Verdana" w:cstheme="minorHAnsi"/>
          <w:sz w:val="17"/>
          <w:szCs w:val="17"/>
        </w:rPr>
        <w:t>Insurance Europe believes that it is reasonable to assumes new business sales over an horizon corresponding to the length of the projection horizon used in the business plan with a maximum of 5 years.</w:t>
      </w:r>
      <w:commentRangeEnd w:id="41"/>
      <w:r w:rsidRPr="008838CC">
        <w:rPr>
          <w:rStyle w:val="Odkaznakomentr"/>
          <w:rFonts w:ascii="Verdana" w:hAnsi="Verdana"/>
          <w:sz w:val="17"/>
          <w:szCs w:val="17"/>
        </w:rPr>
        <w:commentReference w:id="41"/>
      </w:r>
    </w:p>
    <w:p w14:paraId="78F18FC9" w14:textId="77777777" w:rsidR="0059470C" w:rsidRPr="008838CC" w:rsidRDefault="0059470C" w:rsidP="00644F0A">
      <w:pPr>
        <w:spacing w:line="276" w:lineRule="auto"/>
        <w:rPr>
          <w:rFonts w:ascii="Verdana" w:hAnsi="Verdana"/>
          <w:b/>
          <w:color w:val="000000"/>
          <w:sz w:val="17"/>
          <w:szCs w:val="17"/>
          <w:u w:val="single"/>
        </w:rPr>
      </w:pPr>
    </w:p>
    <w:p w14:paraId="1ACAA078" w14:textId="6AC0F141" w:rsidR="00BB44BC" w:rsidRPr="008838CC" w:rsidRDefault="00BB44BC" w:rsidP="00BB44BC">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 1331 &amp; 1332</w:t>
      </w:r>
    </w:p>
    <w:p w14:paraId="5B32708C" w14:textId="5854D114" w:rsidR="00BB44BC" w:rsidRPr="008838CC" w:rsidRDefault="00BB44BC" w:rsidP="00644F0A">
      <w:pPr>
        <w:spacing w:line="276" w:lineRule="auto"/>
        <w:rPr>
          <w:rFonts w:ascii="Verdana" w:hAnsi="Verdana" w:cstheme="minorHAnsi"/>
          <w:sz w:val="17"/>
          <w:szCs w:val="17"/>
        </w:rPr>
      </w:pPr>
      <w:r w:rsidRPr="008838CC">
        <w:rPr>
          <w:rFonts w:ascii="Verdana" w:hAnsi="Verdana" w:cstheme="minorHAnsi"/>
          <w:sz w:val="17"/>
          <w:szCs w:val="17"/>
        </w:rPr>
        <w:t>Companies pay taxes based on the real returns they make</w:t>
      </w:r>
      <w:r w:rsidR="00621929">
        <w:rPr>
          <w:rFonts w:ascii="Verdana" w:hAnsi="Verdana" w:cstheme="minorHAnsi"/>
          <w:sz w:val="17"/>
          <w:szCs w:val="17"/>
        </w:rPr>
        <w:t>.</w:t>
      </w:r>
      <w:r w:rsidRPr="008838CC">
        <w:rPr>
          <w:rFonts w:ascii="Verdana" w:hAnsi="Verdana" w:cstheme="minorHAnsi"/>
          <w:sz w:val="17"/>
          <w:szCs w:val="17"/>
        </w:rPr>
        <w:t xml:space="preserve"> Therefore, Insurance Europe </w:t>
      </w:r>
      <w:r w:rsidR="00621929">
        <w:rPr>
          <w:rFonts w:ascii="Verdana" w:hAnsi="Verdana" w:cstheme="minorHAnsi"/>
          <w:sz w:val="17"/>
          <w:szCs w:val="17"/>
        </w:rPr>
        <w:t>believes that</w:t>
      </w:r>
      <w:r w:rsidRPr="008838CC">
        <w:rPr>
          <w:rFonts w:ascii="Verdana" w:hAnsi="Verdana" w:cstheme="minorHAnsi"/>
          <w:sz w:val="17"/>
          <w:szCs w:val="17"/>
        </w:rPr>
        <w:t xml:space="preserve"> limiting returns to the risk-free rate does not make sense in a taxation context.</w:t>
      </w:r>
    </w:p>
    <w:p w14:paraId="67F4B823" w14:textId="295246CF" w:rsidR="00BB44BC" w:rsidRPr="008838CC" w:rsidRDefault="00BB44BC" w:rsidP="00644F0A">
      <w:pPr>
        <w:spacing w:line="276" w:lineRule="auto"/>
        <w:rPr>
          <w:rFonts w:ascii="Verdana" w:hAnsi="Verdana"/>
          <w:b/>
          <w:color w:val="000000"/>
          <w:sz w:val="17"/>
          <w:szCs w:val="17"/>
          <w:u w:val="single"/>
        </w:rPr>
      </w:pPr>
    </w:p>
    <w:p w14:paraId="4CD02F1C" w14:textId="14D18B94" w:rsidR="00BB44BC" w:rsidRPr="008838CC" w:rsidRDefault="00BB44BC" w:rsidP="00BB44BC">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 1333</w:t>
      </w:r>
    </w:p>
    <w:p w14:paraId="6AA905C2" w14:textId="4990E3E1" w:rsidR="00BB44BC" w:rsidRPr="008838CC" w:rsidRDefault="00BB44BC" w:rsidP="00BB44BC">
      <w:pPr>
        <w:spacing w:line="276" w:lineRule="auto"/>
        <w:rPr>
          <w:rFonts w:ascii="Verdana" w:hAnsi="Verdana" w:cstheme="minorHAnsi"/>
          <w:sz w:val="17"/>
          <w:szCs w:val="17"/>
        </w:rPr>
      </w:pPr>
      <w:r w:rsidRPr="008838CC">
        <w:rPr>
          <w:rFonts w:ascii="Verdana" w:hAnsi="Verdana" w:cstheme="minorHAnsi"/>
          <w:sz w:val="17"/>
          <w:szCs w:val="17"/>
        </w:rPr>
        <w:t>Insurance Europe believes that the reference to the guideline 9 of the EIOPA” Guidelines on the recognition and valuation of assets and liabilities other than technical provisions” is inappropriate in this context because the LACDT strands both the economic world and the fiscal world and companies pay taxes based on the real returns they make.</w:t>
      </w:r>
    </w:p>
    <w:p w14:paraId="69AC2108" w14:textId="2AA2C934" w:rsidR="00BB44BC" w:rsidRPr="008838CC" w:rsidRDefault="00BB44BC" w:rsidP="00BB44BC">
      <w:pPr>
        <w:spacing w:line="276" w:lineRule="auto"/>
        <w:rPr>
          <w:rFonts w:ascii="Verdana" w:hAnsi="Verdana" w:cstheme="minorHAnsi"/>
          <w:sz w:val="17"/>
          <w:szCs w:val="17"/>
        </w:rPr>
      </w:pPr>
      <w:r w:rsidRPr="008838CC">
        <w:rPr>
          <w:rFonts w:ascii="Verdana" w:hAnsi="Verdana" w:cstheme="minorHAnsi"/>
          <w:sz w:val="17"/>
          <w:szCs w:val="17"/>
        </w:rPr>
        <w:t>Insurance Europe believes that there is no justification in restricting the post-shock returns on assets in excess of technical provisions to the risk-free rate as previously explained. Reference to the risk free rate is not appropriate in the context of calculating the SCR which has to be computed in the real world where companies earn real returns. Therefore, pull-to-par and additional returns from recovery of equity markets should be allowed.</w:t>
      </w:r>
    </w:p>
    <w:p w14:paraId="4EEC7ADE" w14:textId="553BD431" w:rsidR="001E45DA" w:rsidRPr="008838CC" w:rsidRDefault="001E45DA" w:rsidP="00BB44BC">
      <w:pPr>
        <w:spacing w:line="276" w:lineRule="auto"/>
        <w:rPr>
          <w:rFonts w:ascii="Verdana" w:hAnsi="Verdana" w:cstheme="minorHAnsi"/>
          <w:sz w:val="17"/>
          <w:szCs w:val="17"/>
        </w:rPr>
      </w:pPr>
    </w:p>
    <w:p w14:paraId="7B824664" w14:textId="5589C178" w:rsidR="001E45DA" w:rsidRPr="008838CC" w:rsidRDefault="001E45DA" w:rsidP="001E45DA">
      <w:pPr>
        <w:spacing w:line="276" w:lineRule="auto"/>
        <w:rPr>
          <w:rFonts w:ascii="Verdana" w:hAnsi="Verdana" w:cstheme="minorHAnsi"/>
          <w:b/>
          <w:i/>
          <w:color w:val="000000"/>
          <w:sz w:val="17"/>
          <w:szCs w:val="17"/>
        </w:rPr>
      </w:pPr>
      <w:commentRangeStart w:id="42"/>
      <w:r w:rsidRPr="008838CC">
        <w:rPr>
          <w:rFonts w:ascii="Verdana" w:hAnsi="Verdana" w:cstheme="minorHAnsi"/>
          <w:b/>
          <w:i/>
          <w:color w:val="000000"/>
          <w:sz w:val="17"/>
          <w:szCs w:val="17"/>
        </w:rPr>
        <w:t>Paragraph</w:t>
      </w:r>
      <w:r w:rsidR="0065072A" w:rsidRPr="008838CC">
        <w:rPr>
          <w:rFonts w:ascii="Verdana" w:hAnsi="Verdana" w:cstheme="minorHAnsi"/>
          <w:b/>
          <w:i/>
          <w:color w:val="000000"/>
          <w:sz w:val="17"/>
          <w:szCs w:val="17"/>
        </w:rPr>
        <w:t>s</w:t>
      </w:r>
      <w:r w:rsidRPr="008838CC">
        <w:rPr>
          <w:rFonts w:ascii="Verdana" w:hAnsi="Verdana" w:cstheme="minorHAnsi"/>
          <w:b/>
          <w:i/>
          <w:color w:val="000000"/>
          <w:sz w:val="17"/>
          <w:szCs w:val="17"/>
        </w:rPr>
        <w:t xml:space="preserve"> 1336 </w:t>
      </w:r>
      <w:r w:rsidR="0065072A" w:rsidRPr="008838CC">
        <w:rPr>
          <w:rFonts w:ascii="Verdana" w:hAnsi="Verdana" w:cstheme="minorHAnsi"/>
          <w:b/>
          <w:i/>
          <w:color w:val="000000"/>
          <w:sz w:val="17"/>
          <w:szCs w:val="17"/>
        </w:rPr>
        <w:t>to</w:t>
      </w:r>
      <w:r w:rsidRPr="008838CC">
        <w:rPr>
          <w:rFonts w:ascii="Verdana" w:hAnsi="Verdana" w:cstheme="minorHAnsi"/>
          <w:b/>
          <w:i/>
          <w:color w:val="000000"/>
          <w:sz w:val="17"/>
          <w:szCs w:val="17"/>
        </w:rPr>
        <w:t xml:space="preserve"> 1341</w:t>
      </w:r>
      <w:commentRangeEnd w:id="42"/>
      <w:r w:rsidRPr="008838CC">
        <w:rPr>
          <w:rStyle w:val="Odkaznakomentr"/>
          <w:rFonts w:ascii="Verdana" w:hAnsi="Verdana"/>
          <w:sz w:val="17"/>
          <w:szCs w:val="17"/>
        </w:rPr>
        <w:commentReference w:id="42"/>
      </w:r>
    </w:p>
    <w:p w14:paraId="4FD35314" w14:textId="6A04F15F" w:rsidR="001E45DA" w:rsidRPr="008838CC" w:rsidRDefault="001E45DA" w:rsidP="001E45DA">
      <w:pPr>
        <w:spacing w:line="276" w:lineRule="auto"/>
        <w:rPr>
          <w:rFonts w:ascii="Verdana" w:hAnsi="Verdana" w:cstheme="minorHAnsi"/>
          <w:sz w:val="17"/>
          <w:szCs w:val="17"/>
        </w:rPr>
      </w:pPr>
      <w:r w:rsidRPr="008838CC">
        <w:rPr>
          <w:rFonts w:ascii="Verdana" w:hAnsi="Verdana" w:cstheme="minorHAnsi"/>
          <w:sz w:val="17"/>
          <w:szCs w:val="17"/>
        </w:rPr>
        <w:t>.</w:t>
      </w:r>
    </w:p>
    <w:p w14:paraId="73484B71" w14:textId="77777777" w:rsidR="001E45DA" w:rsidRPr="008838CC" w:rsidRDefault="001E45DA" w:rsidP="00BB44BC">
      <w:pPr>
        <w:spacing w:line="276" w:lineRule="auto"/>
        <w:rPr>
          <w:rFonts w:ascii="Verdana" w:hAnsi="Verdana" w:cstheme="minorHAnsi"/>
          <w:sz w:val="17"/>
          <w:szCs w:val="17"/>
        </w:rPr>
      </w:pPr>
    </w:p>
    <w:p w14:paraId="54733F53" w14:textId="58309321" w:rsidR="00BB44BC" w:rsidRPr="008838CC" w:rsidRDefault="00BB44BC" w:rsidP="00644F0A">
      <w:pPr>
        <w:spacing w:line="276" w:lineRule="auto"/>
        <w:rPr>
          <w:rFonts w:ascii="Verdana" w:hAnsi="Verdana"/>
          <w:b/>
          <w:color w:val="000000"/>
          <w:sz w:val="17"/>
          <w:szCs w:val="17"/>
          <w:u w:val="single"/>
        </w:rPr>
      </w:pPr>
    </w:p>
    <w:p w14:paraId="02BF8613" w14:textId="277E04A0" w:rsidR="00C717BF" w:rsidRPr="008838CC" w:rsidRDefault="00C717BF" w:rsidP="00C717BF">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 1344 &amp; 1347</w:t>
      </w:r>
    </w:p>
    <w:p w14:paraId="5A893958" w14:textId="523CCF0F" w:rsidR="00C717BF" w:rsidRPr="008838CC" w:rsidRDefault="00C717BF" w:rsidP="00644F0A">
      <w:pPr>
        <w:spacing w:line="276" w:lineRule="auto"/>
        <w:rPr>
          <w:rFonts w:ascii="Verdana" w:hAnsi="Verdana" w:cstheme="minorHAnsi"/>
          <w:sz w:val="17"/>
          <w:szCs w:val="17"/>
        </w:rPr>
      </w:pPr>
      <w:r w:rsidRPr="008838CC">
        <w:rPr>
          <w:rFonts w:ascii="Verdana" w:hAnsi="Verdana" w:cstheme="minorHAnsi"/>
          <w:sz w:val="17"/>
          <w:szCs w:val="17"/>
        </w:rPr>
        <w:t>Insurance Europe believes that recapitalisation should be allowed from the capital market, not only from within the group. Experience proves that there is virtually always a market for debt, even after a shock resulting in a downgrade.</w:t>
      </w:r>
    </w:p>
    <w:p w14:paraId="06D50772" w14:textId="7EF6623D" w:rsidR="0065072A" w:rsidRPr="008838CC" w:rsidRDefault="0065072A" w:rsidP="0065072A">
      <w:pPr>
        <w:spacing w:line="276" w:lineRule="auto"/>
        <w:rPr>
          <w:rFonts w:ascii="Verdana" w:hAnsi="Verdana" w:cstheme="minorHAnsi"/>
          <w:b/>
          <w:i/>
          <w:color w:val="000000"/>
          <w:sz w:val="17"/>
          <w:szCs w:val="17"/>
        </w:rPr>
      </w:pPr>
    </w:p>
    <w:p w14:paraId="4D23BBD0" w14:textId="6371440B" w:rsidR="00A747B6" w:rsidRPr="008838CC" w:rsidRDefault="00A747B6" w:rsidP="0065072A">
      <w:pPr>
        <w:spacing w:line="276" w:lineRule="auto"/>
        <w:rPr>
          <w:rFonts w:ascii="Verdana" w:hAnsi="Verdana" w:cstheme="minorHAnsi"/>
          <w:b/>
          <w:i/>
          <w:color w:val="000000"/>
          <w:sz w:val="17"/>
          <w:szCs w:val="17"/>
        </w:rPr>
      </w:pPr>
    </w:p>
    <w:p w14:paraId="0B4C4200" w14:textId="62A7C33D" w:rsidR="00A747B6" w:rsidRPr="008838CC" w:rsidRDefault="00A747B6" w:rsidP="0065072A">
      <w:pPr>
        <w:spacing w:line="276" w:lineRule="auto"/>
        <w:rPr>
          <w:rFonts w:ascii="Verdana" w:hAnsi="Verdana" w:cstheme="minorHAnsi"/>
          <w:b/>
          <w:i/>
          <w:color w:val="000000"/>
          <w:sz w:val="17"/>
          <w:szCs w:val="17"/>
        </w:rPr>
      </w:pPr>
    </w:p>
    <w:p w14:paraId="58F9F691" w14:textId="629DED85" w:rsidR="00A747B6" w:rsidRPr="008838CC" w:rsidRDefault="00A747B6" w:rsidP="0065072A">
      <w:pPr>
        <w:spacing w:line="276" w:lineRule="auto"/>
        <w:rPr>
          <w:rFonts w:ascii="Verdana" w:hAnsi="Verdana" w:cstheme="minorHAnsi"/>
          <w:b/>
          <w:i/>
          <w:color w:val="000000"/>
          <w:sz w:val="17"/>
          <w:szCs w:val="17"/>
        </w:rPr>
      </w:pPr>
    </w:p>
    <w:p w14:paraId="5FADEC78" w14:textId="5FF09A12" w:rsidR="00A747B6" w:rsidRPr="008838CC" w:rsidRDefault="00A747B6" w:rsidP="0065072A">
      <w:pPr>
        <w:spacing w:line="276" w:lineRule="auto"/>
        <w:rPr>
          <w:rFonts w:ascii="Verdana" w:hAnsi="Verdana" w:cstheme="minorHAnsi"/>
          <w:b/>
          <w:i/>
          <w:color w:val="000000"/>
          <w:sz w:val="17"/>
          <w:szCs w:val="17"/>
        </w:rPr>
      </w:pPr>
    </w:p>
    <w:p w14:paraId="2C538AAB" w14:textId="77777777" w:rsidR="00A747B6" w:rsidRPr="008838CC" w:rsidRDefault="00A747B6" w:rsidP="0065072A">
      <w:pPr>
        <w:spacing w:line="276" w:lineRule="auto"/>
        <w:rPr>
          <w:rFonts w:ascii="Verdana" w:hAnsi="Verdana" w:cstheme="minorHAnsi"/>
          <w:b/>
          <w:i/>
          <w:color w:val="000000"/>
          <w:sz w:val="17"/>
          <w:szCs w:val="17"/>
        </w:rPr>
      </w:pPr>
    </w:p>
    <w:p w14:paraId="2332463D" w14:textId="1FB53C3F" w:rsidR="0065072A" w:rsidRPr="008838CC" w:rsidRDefault="0065072A" w:rsidP="0065072A">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 1345</w:t>
      </w:r>
    </w:p>
    <w:p w14:paraId="5ABD5EF6" w14:textId="77777777" w:rsidR="0065072A" w:rsidRPr="008838CC" w:rsidRDefault="0065072A" w:rsidP="0065072A">
      <w:pPr>
        <w:spacing w:line="276" w:lineRule="auto"/>
        <w:rPr>
          <w:rFonts w:ascii="Verdana" w:hAnsi="Verdana" w:cstheme="minorHAnsi"/>
          <w:sz w:val="17"/>
          <w:szCs w:val="17"/>
        </w:rPr>
      </w:pPr>
      <w:r w:rsidRPr="008838CC">
        <w:rPr>
          <w:rFonts w:ascii="Verdana" w:hAnsi="Verdana" w:cstheme="minorHAnsi"/>
          <w:sz w:val="17"/>
          <w:szCs w:val="17"/>
        </w:rPr>
        <w:t>Insurance Europe notes that the requirements set out in Article 23 of the Delegated Regulation are solely meant for management actions in the calculation of technical provisions. The scope of management actions expands to the asset side (eg de-risking).</w:t>
      </w:r>
    </w:p>
    <w:p w14:paraId="2DF0E42D" w14:textId="77777777" w:rsidR="0065072A" w:rsidRPr="008838CC" w:rsidRDefault="0065072A" w:rsidP="0065072A">
      <w:pPr>
        <w:spacing w:line="276" w:lineRule="auto"/>
        <w:rPr>
          <w:rFonts w:ascii="Verdana" w:hAnsi="Verdana"/>
          <w:b/>
          <w:color w:val="000000"/>
          <w:sz w:val="17"/>
          <w:szCs w:val="17"/>
          <w:u w:val="single"/>
        </w:rPr>
      </w:pPr>
    </w:p>
    <w:p w14:paraId="028C7EE2" w14:textId="5EDF9394" w:rsidR="00C717BF" w:rsidRPr="008838CC" w:rsidRDefault="00C717BF" w:rsidP="00644F0A">
      <w:pPr>
        <w:spacing w:line="276" w:lineRule="auto"/>
        <w:rPr>
          <w:rFonts w:ascii="Verdana" w:hAnsi="Verdana"/>
          <w:b/>
          <w:color w:val="000000"/>
          <w:sz w:val="17"/>
          <w:szCs w:val="17"/>
          <w:u w:val="single"/>
        </w:rPr>
      </w:pPr>
    </w:p>
    <w:p w14:paraId="7859D88B" w14:textId="39D6969A" w:rsidR="00C717BF" w:rsidRPr="008838CC" w:rsidRDefault="00C717BF" w:rsidP="00C717BF">
      <w:pPr>
        <w:spacing w:line="276" w:lineRule="auto"/>
        <w:rPr>
          <w:rFonts w:ascii="Verdana" w:hAnsi="Verdana" w:cstheme="minorHAnsi"/>
          <w:b/>
          <w:i/>
          <w:color w:val="000000"/>
          <w:sz w:val="17"/>
          <w:szCs w:val="17"/>
        </w:rPr>
      </w:pPr>
      <w:commentRangeStart w:id="43"/>
      <w:r w:rsidRPr="008838CC">
        <w:rPr>
          <w:rFonts w:ascii="Verdana" w:hAnsi="Verdana" w:cstheme="minorHAnsi"/>
          <w:b/>
          <w:i/>
          <w:color w:val="000000"/>
          <w:sz w:val="17"/>
          <w:szCs w:val="17"/>
        </w:rPr>
        <w:t>Paragraph</w:t>
      </w:r>
      <w:r w:rsidR="0065072A" w:rsidRPr="008838CC">
        <w:rPr>
          <w:rFonts w:ascii="Verdana" w:hAnsi="Verdana" w:cstheme="minorHAnsi"/>
          <w:b/>
          <w:i/>
          <w:color w:val="000000"/>
          <w:sz w:val="17"/>
          <w:szCs w:val="17"/>
        </w:rPr>
        <w:t>s</w:t>
      </w:r>
      <w:r w:rsidRPr="008838CC">
        <w:rPr>
          <w:rFonts w:ascii="Verdana" w:hAnsi="Verdana" w:cstheme="minorHAnsi"/>
          <w:b/>
          <w:i/>
          <w:color w:val="000000"/>
          <w:sz w:val="17"/>
          <w:szCs w:val="17"/>
        </w:rPr>
        <w:t xml:space="preserve"> 134</w:t>
      </w:r>
      <w:r w:rsidR="00157777" w:rsidRPr="008838CC">
        <w:rPr>
          <w:rFonts w:ascii="Verdana" w:hAnsi="Verdana" w:cstheme="minorHAnsi"/>
          <w:b/>
          <w:i/>
          <w:color w:val="000000"/>
          <w:sz w:val="17"/>
          <w:szCs w:val="17"/>
        </w:rPr>
        <w:t>5 to 136</w:t>
      </w:r>
      <w:r w:rsidR="003C0DDA" w:rsidRPr="008838CC">
        <w:rPr>
          <w:rFonts w:ascii="Verdana" w:hAnsi="Verdana" w:cstheme="minorHAnsi"/>
          <w:b/>
          <w:i/>
          <w:color w:val="000000"/>
          <w:sz w:val="17"/>
          <w:szCs w:val="17"/>
        </w:rPr>
        <w:t>5</w:t>
      </w:r>
      <w:commentRangeEnd w:id="43"/>
      <w:r w:rsidR="00AD0A3B" w:rsidRPr="008838CC">
        <w:rPr>
          <w:rStyle w:val="Odkaznakomentr"/>
          <w:rFonts w:ascii="Verdana" w:hAnsi="Verdana"/>
          <w:sz w:val="17"/>
          <w:szCs w:val="17"/>
        </w:rPr>
        <w:commentReference w:id="43"/>
      </w:r>
    </w:p>
    <w:p w14:paraId="422D8575" w14:textId="4F3E515B" w:rsidR="00C717BF" w:rsidRPr="008838CC" w:rsidRDefault="00C717BF" w:rsidP="00644F0A">
      <w:pPr>
        <w:spacing w:line="276" w:lineRule="auto"/>
        <w:rPr>
          <w:rFonts w:ascii="Verdana" w:hAnsi="Verdana" w:cstheme="minorHAnsi"/>
          <w:sz w:val="17"/>
          <w:szCs w:val="17"/>
        </w:rPr>
      </w:pPr>
      <w:r w:rsidRPr="008838CC">
        <w:rPr>
          <w:rFonts w:ascii="Verdana" w:hAnsi="Verdana" w:cstheme="minorHAnsi"/>
          <w:sz w:val="17"/>
          <w:szCs w:val="17"/>
        </w:rPr>
        <w:t xml:space="preserve">Insurance Europe notes that </w:t>
      </w:r>
      <w:r w:rsidR="00157777" w:rsidRPr="008838CC">
        <w:rPr>
          <w:rFonts w:ascii="Verdana" w:hAnsi="Verdana" w:cstheme="minorHAnsi"/>
          <w:sz w:val="17"/>
          <w:szCs w:val="17"/>
        </w:rPr>
        <w:t xml:space="preserve">with regards to capital management, DTA are classified as Tier 3 capital </w:t>
      </w:r>
      <w:r w:rsidR="008C34F7" w:rsidRPr="008838CC">
        <w:rPr>
          <w:rFonts w:ascii="Verdana" w:hAnsi="Verdana" w:cstheme="minorHAnsi"/>
          <w:sz w:val="17"/>
          <w:szCs w:val="17"/>
        </w:rPr>
        <w:t xml:space="preserve">the percentage of </w:t>
      </w:r>
      <w:r w:rsidR="00157777" w:rsidRPr="008838CC">
        <w:rPr>
          <w:rFonts w:ascii="Verdana" w:hAnsi="Verdana" w:cstheme="minorHAnsi"/>
          <w:sz w:val="17"/>
          <w:szCs w:val="17"/>
        </w:rPr>
        <w:t xml:space="preserve">which </w:t>
      </w:r>
      <w:r w:rsidR="008C34F7" w:rsidRPr="008838CC">
        <w:rPr>
          <w:rFonts w:ascii="Verdana" w:hAnsi="Verdana" w:cstheme="minorHAnsi"/>
          <w:sz w:val="17"/>
          <w:szCs w:val="17"/>
        </w:rPr>
        <w:t xml:space="preserve">to cover the SCR </w:t>
      </w:r>
      <w:r w:rsidR="00157777" w:rsidRPr="008838CC">
        <w:rPr>
          <w:rFonts w:ascii="Verdana" w:hAnsi="Verdana" w:cstheme="minorHAnsi"/>
          <w:sz w:val="17"/>
          <w:szCs w:val="17"/>
        </w:rPr>
        <w:t>is capped</w:t>
      </w:r>
      <w:r w:rsidRPr="008838CC">
        <w:rPr>
          <w:rFonts w:ascii="Verdana" w:hAnsi="Verdana" w:cstheme="minorHAnsi"/>
          <w:sz w:val="17"/>
          <w:szCs w:val="17"/>
        </w:rPr>
        <w:t>.</w:t>
      </w:r>
      <w:r w:rsidR="008C34F7" w:rsidRPr="008838CC">
        <w:rPr>
          <w:rFonts w:ascii="Verdana" w:hAnsi="Verdana" w:cstheme="minorHAnsi"/>
          <w:sz w:val="17"/>
          <w:szCs w:val="17"/>
        </w:rPr>
        <w:t xml:space="preserve"> </w:t>
      </w:r>
    </w:p>
    <w:p w14:paraId="64B95E96" w14:textId="77777777" w:rsidR="00AD0A3B" w:rsidRPr="008838CC" w:rsidRDefault="00AD0A3B" w:rsidP="00644F0A">
      <w:pPr>
        <w:spacing w:line="276" w:lineRule="auto"/>
        <w:rPr>
          <w:rFonts w:ascii="Verdana" w:hAnsi="Verdana"/>
          <w:b/>
          <w:color w:val="000000"/>
          <w:sz w:val="17"/>
          <w:szCs w:val="17"/>
          <w:u w:val="single"/>
        </w:rPr>
      </w:pPr>
    </w:p>
    <w:p w14:paraId="74E35BD1" w14:textId="757F2065" w:rsidR="003C0DDA" w:rsidRPr="008838CC" w:rsidRDefault="003C0DDA" w:rsidP="003C0DDA">
      <w:pPr>
        <w:spacing w:line="276" w:lineRule="auto"/>
        <w:rPr>
          <w:rFonts w:ascii="Verdana" w:hAnsi="Verdana" w:cstheme="minorHAnsi"/>
          <w:b/>
          <w:i/>
          <w:color w:val="000000"/>
          <w:sz w:val="17"/>
          <w:szCs w:val="17"/>
        </w:rPr>
      </w:pPr>
      <w:commentRangeStart w:id="44"/>
      <w:r w:rsidRPr="008838CC">
        <w:rPr>
          <w:rFonts w:ascii="Verdana" w:hAnsi="Verdana" w:cstheme="minorHAnsi"/>
          <w:b/>
          <w:i/>
          <w:color w:val="000000"/>
          <w:sz w:val="17"/>
          <w:szCs w:val="17"/>
        </w:rPr>
        <w:t>Paragraphs 1366 to 1368</w:t>
      </w:r>
      <w:commentRangeEnd w:id="44"/>
      <w:r w:rsidRPr="008838CC">
        <w:rPr>
          <w:rStyle w:val="Odkaznakomentr"/>
          <w:rFonts w:ascii="Verdana" w:hAnsi="Verdana"/>
          <w:sz w:val="17"/>
          <w:szCs w:val="17"/>
        </w:rPr>
        <w:commentReference w:id="44"/>
      </w:r>
    </w:p>
    <w:p w14:paraId="51464960" w14:textId="53688454" w:rsidR="003C0DDA" w:rsidRPr="008838CC" w:rsidRDefault="003C0DDA" w:rsidP="003C0DDA">
      <w:pPr>
        <w:spacing w:line="276" w:lineRule="auto"/>
        <w:rPr>
          <w:rFonts w:ascii="Verdana" w:hAnsi="Verdana" w:cstheme="minorHAnsi"/>
          <w:sz w:val="17"/>
          <w:szCs w:val="17"/>
        </w:rPr>
      </w:pPr>
      <w:r w:rsidRPr="008838CC">
        <w:rPr>
          <w:rFonts w:ascii="Verdana" w:hAnsi="Verdana" w:cstheme="minorHAnsi"/>
          <w:sz w:val="17"/>
          <w:szCs w:val="17"/>
        </w:rPr>
        <w:t xml:space="preserve"> </w:t>
      </w:r>
    </w:p>
    <w:p w14:paraId="74DCDEBD" w14:textId="39F77187" w:rsidR="00A747B6" w:rsidRPr="008838CC" w:rsidRDefault="00A747B6" w:rsidP="00A747B6">
      <w:pPr>
        <w:spacing w:line="276" w:lineRule="auto"/>
        <w:rPr>
          <w:rFonts w:ascii="Verdana" w:hAnsi="Verdana" w:cstheme="minorHAnsi"/>
          <w:b/>
          <w:i/>
          <w:color w:val="000000"/>
          <w:sz w:val="17"/>
          <w:szCs w:val="17"/>
        </w:rPr>
      </w:pPr>
      <w:commentRangeStart w:id="45"/>
      <w:r w:rsidRPr="008838CC">
        <w:rPr>
          <w:rFonts w:ascii="Verdana" w:hAnsi="Verdana" w:cstheme="minorHAnsi"/>
          <w:b/>
          <w:i/>
          <w:color w:val="000000"/>
          <w:sz w:val="17"/>
          <w:szCs w:val="17"/>
        </w:rPr>
        <w:t>Paragraphs 1369 to 1378</w:t>
      </w:r>
      <w:commentRangeEnd w:id="45"/>
      <w:r w:rsidRPr="008838CC">
        <w:rPr>
          <w:rStyle w:val="Odkaznakomentr"/>
          <w:rFonts w:ascii="Verdana" w:hAnsi="Verdana"/>
          <w:sz w:val="17"/>
          <w:szCs w:val="17"/>
        </w:rPr>
        <w:commentReference w:id="45"/>
      </w:r>
    </w:p>
    <w:p w14:paraId="74F22784" w14:textId="5B566859" w:rsidR="00932D89" w:rsidRPr="008838CC" w:rsidRDefault="00932D89" w:rsidP="00644F0A">
      <w:pPr>
        <w:spacing w:line="276" w:lineRule="auto"/>
        <w:rPr>
          <w:rFonts w:ascii="Verdana" w:hAnsi="Verdana"/>
          <w:b/>
          <w:color w:val="000000"/>
          <w:sz w:val="17"/>
          <w:szCs w:val="17"/>
          <w:u w:val="single"/>
        </w:rPr>
      </w:pPr>
    </w:p>
    <w:p w14:paraId="0D592A5C" w14:textId="4C619055"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17.4.3</w:t>
      </w:r>
      <w:r w:rsidR="008166FC">
        <w:rPr>
          <w:rFonts w:ascii="Verdana" w:hAnsi="Verdana"/>
          <w:b/>
          <w:color w:val="000000"/>
          <w:sz w:val="17"/>
          <w:szCs w:val="17"/>
          <w:u w:val="single"/>
        </w:rPr>
        <w:t>. Conclusion on key principles</w:t>
      </w:r>
    </w:p>
    <w:p w14:paraId="0F828CBA" w14:textId="339C5B75" w:rsidR="00B3612A" w:rsidRPr="008838CC" w:rsidRDefault="00B3612A" w:rsidP="00644F0A">
      <w:pPr>
        <w:spacing w:line="276" w:lineRule="auto"/>
        <w:rPr>
          <w:rFonts w:ascii="Verdana" w:hAnsi="Verdana"/>
          <w:b/>
          <w:color w:val="000000"/>
          <w:sz w:val="17"/>
          <w:szCs w:val="17"/>
          <w:u w:val="single"/>
        </w:rPr>
      </w:pPr>
      <w:r w:rsidRPr="008838CC">
        <w:rPr>
          <w:rFonts w:ascii="Verdana" w:hAnsi="Verdana" w:cstheme="minorHAnsi"/>
          <w:b/>
          <w:i/>
          <w:color w:val="000000"/>
          <w:sz w:val="17"/>
          <w:szCs w:val="17"/>
        </w:rPr>
        <w:t>Paragraphs 1383</w:t>
      </w:r>
    </w:p>
    <w:p w14:paraId="1F8DC910" w14:textId="4F5F2850" w:rsidR="00B3612A" w:rsidRPr="008838CC" w:rsidRDefault="00B3612A"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understands that the issue that EIOPA tries to address is an issue of current practice and supervisory approaches. Insurance Europe therefore believes that these issues should be therefore tackled via supervisory tools that EIOPA has at its disposal. </w:t>
      </w:r>
    </w:p>
    <w:p w14:paraId="30BAB695" w14:textId="4EA87631" w:rsidR="00F7549C" w:rsidRPr="008838CC" w:rsidRDefault="00230F04" w:rsidP="00F7549C">
      <w:pPr>
        <w:pStyle w:val="Nadpis1"/>
        <w:rPr>
          <w:sz w:val="17"/>
          <w:szCs w:val="17"/>
        </w:rPr>
      </w:pPr>
      <w:r w:rsidRPr="008838CC">
        <w:rPr>
          <w:sz w:val="17"/>
          <w:szCs w:val="17"/>
        </w:rPr>
        <w:br w:type="page"/>
      </w:r>
      <w:bookmarkStart w:id="46" w:name="_Toc497908657"/>
      <w:r w:rsidR="00F7549C" w:rsidRPr="008838CC">
        <w:rPr>
          <w:sz w:val="17"/>
          <w:szCs w:val="17"/>
        </w:rPr>
        <w:t xml:space="preserve">18. </w:t>
      </w:r>
      <w:r w:rsidR="00E97221" w:rsidRPr="008838CC">
        <w:rPr>
          <w:sz w:val="17"/>
          <w:szCs w:val="17"/>
        </w:rPr>
        <w:t>Risk margin</w:t>
      </w:r>
      <w:bookmarkEnd w:id="46"/>
    </w:p>
    <w:p w14:paraId="05FB3D96" w14:textId="0CB54DE4"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18.1</w:t>
      </w:r>
      <w:r w:rsidR="00693EA9">
        <w:rPr>
          <w:rFonts w:ascii="Verdana" w:hAnsi="Verdana"/>
          <w:b/>
          <w:color w:val="000000"/>
          <w:sz w:val="17"/>
          <w:szCs w:val="17"/>
          <w:u w:val="single"/>
        </w:rPr>
        <w:t xml:space="preserve"> Call for advice</w:t>
      </w:r>
    </w:p>
    <w:p w14:paraId="399B009C" w14:textId="1314FDF0" w:rsidR="0041764B" w:rsidRPr="008838CC" w:rsidRDefault="00FB179D" w:rsidP="0041764B">
      <w:pPr>
        <w:rPr>
          <w:rFonts w:ascii="Verdana" w:hAnsi="Verdana"/>
          <w:color w:val="000000"/>
          <w:sz w:val="17"/>
          <w:szCs w:val="17"/>
        </w:rPr>
      </w:pPr>
      <w:r w:rsidRPr="008838CC">
        <w:rPr>
          <w:rFonts w:ascii="Verdana" w:hAnsi="Verdana"/>
          <w:color w:val="000000"/>
          <w:sz w:val="17"/>
          <w:szCs w:val="17"/>
        </w:rPr>
        <w:t>Insurance Europe welcomes that the EC call for advice of July 2016 identified the cost of capital as an area to be reviewd</w:t>
      </w:r>
      <w:r w:rsidR="0041764B" w:rsidRPr="008838CC">
        <w:rPr>
          <w:rFonts w:ascii="Verdana" w:hAnsi="Verdana"/>
          <w:color w:val="000000"/>
          <w:sz w:val="17"/>
          <w:szCs w:val="17"/>
        </w:rPr>
        <w:t xml:space="preserve">. However, Insurance Europe is </w:t>
      </w:r>
      <w:r w:rsidR="00186902" w:rsidRPr="008838CC">
        <w:rPr>
          <w:rFonts w:ascii="Verdana" w:hAnsi="Verdana"/>
          <w:color w:val="000000"/>
          <w:sz w:val="17"/>
          <w:szCs w:val="17"/>
        </w:rPr>
        <w:t>highly</w:t>
      </w:r>
      <w:r w:rsidR="0041764B" w:rsidRPr="008838CC">
        <w:rPr>
          <w:rFonts w:ascii="Verdana" w:hAnsi="Verdana"/>
          <w:color w:val="000000"/>
          <w:sz w:val="17"/>
          <w:szCs w:val="17"/>
        </w:rPr>
        <w:t xml:space="preserve"> dissapointed with EIOPA’s recommendation not to change the CoC rate</w:t>
      </w:r>
      <w:r w:rsidR="00906ED2" w:rsidRPr="008838CC">
        <w:rPr>
          <w:rFonts w:ascii="Verdana" w:hAnsi="Verdana"/>
          <w:color w:val="000000"/>
          <w:sz w:val="17"/>
          <w:szCs w:val="17"/>
        </w:rPr>
        <w:t>. In fact,</w:t>
      </w:r>
      <w:r w:rsidRPr="008838CC">
        <w:rPr>
          <w:rFonts w:ascii="Verdana" w:hAnsi="Verdana"/>
          <w:color w:val="000000"/>
          <w:sz w:val="17"/>
          <w:szCs w:val="17"/>
        </w:rPr>
        <w:t xml:space="preserve"> the current 6% calibration is much higher than necessary and is a major reason why the RM is excessive. </w:t>
      </w:r>
      <w:r w:rsidR="0041764B" w:rsidRPr="008838CC">
        <w:rPr>
          <w:rFonts w:ascii="Verdana" w:hAnsi="Verdana"/>
          <w:color w:val="000000"/>
          <w:sz w:val="17"/>
          <w:szCs w:val="17"/>
        </w:rPr>
        <w:t xml:space="preserve">EIOPA’s analysis does not take into account the large amount of evidence </w:t>
      </w:r>
      <w:r w:rsidR="00186902" w:rsidRPr="008838CC">
        <w:rPr>
          <w:rFonts w:ascii="Verdana" w:hAnsi="Verdana"/>
          <w:color w:val="000000"/>
          <w:sz w:val="17"/>
          <w:szCs w:val="17"/>
        </w:rPr>
        <w:t xml:space="preserve">put forward by the industry </w:t>
      </w:r>
      <w:r w:rsidR="0041764B" w:rsidRPr="008838CC">
        <w:rPr>
          <w:rFonts w:ascii="Verdana" w:hAnsi="Verdana"/>
          <w:color w:val="000000"/>
          <w:sz w:val="17"/>
          <w:szCs w:val="17"/>
        </w:rPr>
        <w:t xml:space="preserve">on the </w:t>
      </w:r>
      <w:r w:rsidR="00812827" w:rsidRPr="008838CC">
        <w:rPr>
          <w:rFonts w:ascii="Verdana" w:hAnsi="Verdana"/>
          <w:color w:val="000000"/>
          <w:sz w:val="17"/>
          <w:szCs w:val="17"/>
        </w:rPr>
        <w:t>concerns regarding</w:t>
      </w:r>
      <w:r w:rsidR="0041764B" w:rsidRPr="008838CC">
        <w:rPr>
          <w:rFonts w:ascii="Verdana" w:hAnsi="Verdana"/>
          <w:color w:val="000000"/>
          <w:sz w:val="17"/>
          <w:szCs w:val="17"/>
        </w:rPr>
        <w:t xml:space="preserve"> the risk margin</w:t>
      </w:r>
      <w:r w:rsidRPr="008838CC">
        <w:rPr>
          <w:rFonts w:ascii="Verdana" w:hAnsi="Verdana"/>
          <w:color w:val="000000"/>
          <w:sz w:val="17"/>
          <w:szCs w:val="17"/>
        </w:rPr>
        <w:t xml:space="preserve">, </w:t>
      </w:r>
      <w:r w:rsidR="004A46B7" w:rsidRPr="008838CC">
        <w:rPr>
          <w:rFonts w:ascii="Verdana" w:hAnsi="Verdana"/>
          <w:color w:val="000000"/>
          <w:sz w:val="17"/>
          <w:szCs w:val="17"/>
        </w:rPr>
        <w:t>including</w:t>
      </w:r>
      <w:r w:rsidRPr="008838CC">
        <w:rPr>
          <w:rFonts w:ascii="Verdana" w:hAnsi="Verdana"/>
          <w:color w:val="000000"/>
          <w:sz w:val="17"/>
          <w:szCs w:val="17"/>
        </w:rPr>
        <w:t xml:space="preserve"> the excessive size and volatility and the </w:t>
      </w:r>
      <w:r w:rsidR="0041764B" w:rsidRPr="008838CC">
        <w:rPr>
          <w:rFonts w:ascii="Verdana" w:hAnsi="Verdana"/>
          <w:color w:val="000000"/>
          <w:sz w:val="17"/>
          <w:szCs w:val="17"/>
        </w:rPr>
        <w:t xml:space="preserve"> </w:t>
      </w:r>
      <w:r w:rsidR="00186902" w:rsidRPr="008838CC">
        <w:rPr>
          <w:rFonts w:ascii="Verdana" w:hAnsi="Verdana"/>
          <w:color w:val="000000"/>
          <w:sz w:val="17"/>
          <w:szCs w:val="17"/>
        </w:rPr>
        <w:t>excessive allocation to certain (long-term) products</w:t>
      </w:r>
      <w:r w:rsidRPr="008838CC">
        <w:rPr>
          <w:rFonts w:ascii="Verdana" w:hAnsi="Verdana"/>
          <w:color w:val="000000"/>
          <w:sz w:val="17"/>
          <w:szCs w:val="17"/>
        </w:rPr>
        <w:t>.</w:t>
      </w:r>
      <w:r w:rsidR="0041764B" w:rsidRPr="008838CC">
        <w:rPr>
          <w:rFonts w:ascii="Verdana" w:hAnsi="Verdana"/>
          <w:color w:val="000000"/>
          <w:sz w:val="17"/>
          <w:szCs w:val="17"/>
        </w:rPr>
        <w:t xml:space="preserve"> </w:t>
      </w:r>
      <w:r w:rsidR="00186902" w:rsidRPr="008838CC">
        <w:rPr>
          <w:rFonts w:ascii="Verdana" w:hAnsi="Verdana"/>
          <w:color w:val="000000"/>
          <w:sz w:val="17"/>
          <w:szCs w:val="17"/>
        </w:rPr>
        <w:t xml:space="preserve">Additionally, Insurance Europe notes the current design of the risk margin is flawed </w:t>
      </w:r>
      <w:r w:rsidR="0041764B" w:rsidRPr="008838CC">
        <w:rPr>
          <w:rFonts w:ascii="Verdana" w:hAnsi="Verdana"/>
          <w:color w:val="000000"/>
          <w:sz w:val="17"/>
          <w:szCs w:val="17"/>
        </w:rPr>
        <w:t xml:space="preserve">and it </w:t>
      </w:r>
      <w:r w:rsidR="00186902" w:rsidRPr="008838CC">
        <w:rPr>
          <w:rFonts w:ascii="Verdana" w:hAnsi="Verdana"/>
          <w:color w:val="000000"/>
          <w:sz w:val="17"/>
          <w:szCs w:val="17"/>
        </w:rPr>
        <w:t xml:space="preserve">does not agree with EIOPA’s rejection of </w:t>
      </w:r>
      <w:r w:rsidR="0041764B" w:rsidRPr="008838CC">
        <w:rPr>
          <w:rFonts w:ascii="Verdana" w:hAnsi="Verdana"/>
          <w:color w:val="000000"/>
          <w:sz w:val="17"/>
          <w:szCs w:val="17"/>
        </w:rPr>
        <w:t>the proposals that were put forward to address the</w:t>
      </w:r>
      <w:r w:rsidR="00186902" w:rsidRPr="008838CC">
        <w:rPr>
          <w:rFonts w:ascii="Verdana" w:hAnsi="Verdana"/>
          <w:color w:val="000000"/>
          <w:sz w:val="17"/>
          <w:szCs w:val="17"/>
        </w:rPr>
        <w:t xml:space="preserve">se flaws. </w:t>
      </w:r>
      <w:r w:rsidR="0041764B" w:rsidRPr="008838CC">
        <w:rPr>
          <w:rFonts w:ascii="Verdana" w:hAnsi="Verdana"/>
          <w:color w:val="000000"/>
          <w:sz w:val="17"/>
          <w:szCs w:val="17"/>
        </w:rPr>
        <w:t xml:space="preserve">  </w:t>
      </w:r>
    </w:p>
    <w:p w14:paraId="0C1F7F40" w14:textId="1CE26B7E" w:rsidR="00FB179D" w:rsidRPr="008838CC" w:rsidRDefault="00FB179D" w:rsidP="0041764B">
      <w:pPr>
        <w:rPr>
          <w:rFonts w:ascii="Verdana" w:hAnsi="Verdana"/>
          <w:color w:val="000000"/>
          <w:sz w:val="17"/>
          <w:szCs w:val="17"/>
        </w:rPr>
      </w:pPr>
    </w:p>
    <w:p w14:paraId="46697863" w14:textId="77777777" w:rsidR="0041764B" w:rsidRPr="008838CC" w:rsidRDefault="0041764B" w:rsidP="0041764B">
      <w:pPr>
        <w:spacing w:line="276" w:lineRule="auto"/>
        <w:rPr>
          <w:rFonts w:ascii="Verdana" w:hAnsi="Verdana"/>
          <w:b/>
          <w:color w:val="000000"/>
          <w:sz w:val="17"/>
          <w:szCs w:val="17"/>
          <w:u w:val="single"/>
        </w:rPr>
      </w:pPr>
    </w:p>
    <w:p w14:paraId="12765399" w14:textId="62EA025C"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18.2</w:t>
      </w:r>
    </w:p>
    <w:p w14:paraId="6071DF95" w14:textId="01E889C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18.3</w:t>
      </w:r>
      <w:r w:rsidR="002918C5" w:rsidRPr="008838CC">
        <w:rPr>
          <w:rFonts w:ascii="Verdana" w:hAnsi="Verdana"/>
          <w:b/>
          <w:color w:val="000000"/>
          <w:sz w:val="17"/>
          <w:szCs w:val="17"/>
          <w:u w:val="single"/>
        </w:rPr>
        <w:t xml:space="preserve"> Feedback statement on the main </w:t>
      </w:r>
      <w:r w:rsidR="00F57FBD" w:rsidRPr="008838CC">
        <w:rPr>
          <w:rFonts w:ascii="Verdana" w:hAnsi="Verdana"/>
          <w:b/>
          <w:color w:val="000000"/>
          <w:sz w:val="17"/>
          <w:szCs w:val="17"/>
          <w:u w:val="single"/>
        </w:rPr>
        <w:t>comments received to the discussion paper</w:t>
      </w:r>
    </w:p>
    <w:p w14:paraId="50FA527C" w14:textId="51183364" w:rsidR="00F57FBD" w:rsidRPr="008838CC" w:rsidRDefault="00D443B5" w:rsidP="00644F0A">
      <w:pPr>
        <w:spacing w:line="276" w:lineRule="auto"/>
        <w:rPr>
          <w:rFonts w:ascii="Verdana" w:hAnsi="Verdana"/>
          <w:b/>
          <w:i/>
          <w:color w:val="000000"/>
          <w:sz w:val="17"/>
          <w:szCs w:val="17"/>
        </w:rPr>
      </w:pPr>
      <w:r w:rsidRPr="008838CC">
        <w:rPr>
          <w:rFonts w:ascii="Verdana" w:hAnsi="Verdana"/>
          <w:b/>
          <w:i/>
          <w:color w:val="000000"/>
          <w:sz w:val="17"/>
          <w:szCs w:val="17"/>
        </w:rPr>
        <w:t>Paragraph</w:t>
      </w:r>
      <w:r w:rsidR="00714828" w:rsidRPr="008838CC">
        <w:rPr>
          <w:rFonts w:ascii="Verdana" w:hAnsi="Verdana"/>
          <w:b/>
          <w:i/>
          <w:color w:val="000000"/>
          <w:sz w:val="17"/>
          <w:szCs w:val="17"/>
        </w:rPr>
        <w:t xml:space="preserve"> 1395</w:t>
      </w:r>
    </w:p>
    <w:p w14:paraId="0F0DA614" w14:textId="7832CA1F" w:rsidR="005D7565" w:rsidRPr="008838CC" w:rsidRDefault="004A46B7" w:rsidP="005D7565">
      <w:pPr>
        <w:rPr>
          <w:rFonts w:ascii="Verdana" w:hAnsi="Verdana" w:cstheme="minorHAnsi"/>
          <w:b/>
          <w:i/>
          <w:sz w:val="17"/>
          <w:szCs w:val="17"/>
        </w:rPr>
      </w:pPr>
      <w:r w:rsidRPr="008838CC">
        <w:rPr>
          <w:rFonts w:ascii="Verdana" w:hAnsi="Verdana" w:cstheme="minorHAnsi"/>
          <w:b/>
          <w:i/>
          <w:sz w:val="17"/>
          <w:szCs w:val="17"/>
        </w:rPr>
        <w:t>According to EIOPA s</w:t>
      </w:r>
      <w:r w:rsidR="005D7565" w:rsidRPr="008838CC">
        <w:rPr>
          <w:rFonts w:ascii="Verdana" w:hAnsi="Verdana" w:cstheme="minorHAnsi"/>
          <w:b/>
          <w:i/>
          <w:sz w:val="17"/>
          <w:szCs w:val="17"/>
        </w:rPr>
        <w:t>ome stakeholders propose to adjust the formula as set out above, where the CoC rate is allowed to vary according to a weighted average of risk-free interest rates for different currencies.</w:t>
      </w:r>
    </w:p>
    <w:p w14:paraId="62917D4A" w14:textId="2EE62254" w:rsidR="005D7565" w:rsidRPr="008838CC" w:rsidRDefault="005D7565" w:rsidP="005D7565">
      <w:pPr>
        <w:rPr>
          <w:rFonts w:ascii="Verdana" w:hAnsi="Verdana"/>
          <w:color w:val="000000"/>
          <w:sz w:val="17"/>
          <w:szCs w:val="17"/>
        </w:rPr>
      </w:pPr>
      <w:r w:rsidRPr="008838CC">
        <w:rPr>
          <w:rFonts w:ascii="Verdana" w:hAnsi="Verdana"/>
          <w:color w:val="000000"/>
          <w:sz w:val="17"/>
          <w:szCs w:val="17"/>
        </w:rPr>
        <w:t xml:space="preserve">Insurance Europe does not agree with EIOPA’s assessment, as risk-free rates across terms and currencies are highly correlated. Against this background, Insurance Europe believes that </w:t>
      </w:r>
      <w:r w:rsidR="00871F72" w:rsidRPr="008838CC">
        <w:rPr>
          <w:rFonts w:ascii="Verdana" w:hAnsi="Verdana"/>
          <w:color w:val="000000"/>
          <w:sz w:val="17"/>
          <w:szCs w:val="17"/>
        </w:rPr>
        <w:t>the</w:t>
      </w:r>
      <w:r w:rsidRPr="008838CC">
        <w:rPr>
          <w:rFonts w:ascii="Verdana" w:hAnsi="Verdana"/>
          <w:color w:val="000000"/>
          <w:sz w:val="17"/>
          <w:szCs w:val="17"/>
        </w:rPr>
        <w:t xml:space="preserve"> proposal on varying the CoC with the RFR will therefore inevitably lead to lower volatility compared to the current CoC calibration.</w:t>
      </w:r>
    </w:p>
    <w:p w14:paraId="7C49D589" w14:textId="77777777" w:rsidR="005D7565" w:rsidRPr="008838CC" w:rsidRDefault="005D7565" w:rsidP="00714828">
      <w:pPr>
        <w:spacing w:line="276" w:lineRule="auto"/>
        <w:rPr>
          <w:rFonts w:ascii="Verdana" w:hAnsi="Verdana" w:cstheme="minorHAnsi"/>
          <w:sz w:val="17"/>
          <w:szCs w:val="17"/>
        </w:rPr>
      </w:pPr>
    </w:p>
    <w:p w14:paraId="6B953943" w14:textId="3BFFF32D" w:rsidR="004F3740" w:rsidRPr="008838CC" w:rsidRDefault="004A46B7" w:rsidP="00714828">
      <w:pPr>
        <w:spacing w:line="276" w:lineRule="auto"/>
        <w:rPr>
          <w:rFonts w:ascii="Verdana" w:hAnsi="Verdana" w:cstheme="minorHAnsi"/>
          <w:b/>
          <w:i/>
          <w:sz w:val="17"/>
          <w:szCs w:val="17"/>
        </w:rPr>
      </w:pPr>
      <w:r w:rsidRPr="008838CC">
        <w:rPr>
          <w:rFonts w:ascii="Verdana" w:hAnsi="Verdana" w:cstheme="minorHAnsi"/>
          <w:b/>
          <w:i/>
          <w:sz w:val="17"/>
          <w:szCs w:val="17"/>
        </w:rPr>
        <w:t>According to EIOPA some stakeholders argue t</w:t>
      </w:r>
      <w:r w:rsidR="004F3740" w:rsidRPr="008838CC">
        <w:rPr>
          <w:rFonts w:ascii="Verdana" w:hAnsi="Verdana" w:cstheme="minorHAnsi"/>
          <w:b/>
          <w:i/>
          <w:sz w:val="17"/>
          <w:szCs w:val="17"/>
        </w:rPr>
        <w:t>he reference undertaking should be allowed to use the MA and the VA</w:t>
      </w:r>
    </w:p>
    <w:p w14:paraId="287860EA" w14:textId="6A328525" w:rsidR="00714828" w:rsidRPr="008838CC" w:rsidRDefault="004F3740"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does not agree, </w:t>
      </w:r>
      <w:r w:rsidR="00D148FB" w:rsidRPr="008838CC">
        <w:rPr>
          <w:rFonts w:ascii="Verdana" w:hAnsi="Verdana"/>
          <w:color w:val="000000"/>
          <w:sz w:val="17"/>
          <w:szCs w:val="17"/>
        </w:rPr>
        <w:t>the VA and MA are part of the Solvency II framework and should be allowed to be taken into account. Additionally, allowing companies to make use of the MA and VA would avoid additional complexity and problems as the risk margin and best estimate liability calculations would be based on a consistent valuation basis</w:t>
      </w:r>
      <w:r w:rsidR="003F4613" w:rsidRPr="008838CC">
        <w:rPr>
          <w:rFonts w:ascii="Verdana" w:hAnsi="Verdana"/>
          <w:color w:val="000000"/>
          <w:sz w:val="17"/>
          <w:szCs w:val="17"/>
        </w:rPr>
        <w:t xml:space="preserve"> (See also response to EIOPA-CP-16-008)</w:t>
      </w:r>
      <w:r w:rsidR="00D148FB" w:rsidRPr="008838CC">
        <w:rPr>
          <w:rFonts w:ascii="Verdana" w:hAnsi="Verdana"/>
          <w:color w:val="000000"/>
          <w:sz w:val="17"/>
          <w:szCs w:val="17"/>
        </w:rPr>
        <w:t xml:space="preserve">. </w:t>
      </w:r>
    </w:p>
    <w:p w14:paraId="74429A86" w14:textId="7F828576" w:rsidR="005D7565" w:rsidRPr="008838CC" w:rsidRDefault="005D7565" w:rsidP="00644F0A">
      <w:pPr>
        <w:spacing w:line="276" w:lineRule="auto"/>
        <w:rPr>
          <w:rFonts w:ascii="Verdana" w:hAnsi="Verdana"/>
          <w:color w:val="000000"/>
          <w:sz w:val="17"/>
          <w:szCs w:val="17"/>
        </w:rPr>
      </w:pPr>
    </w:p>
    <w:p w14:paraId="23342D14" w14:textId="5278409F" w:rsidR="005D7565" w:rsidRPr="008838CC" w:rsidRDefault="004A46B7" w:rsidP="00644F0A">
      <w:pPr>
        <w:spacing w:line="276" w:lineRule="auto"/>
        <w:rPr>
          <w:rFonts w:ascii="Verdana" w:hAnsi="Verdana"/>
          <w:b/>
          <w:i/>
          <w:color w:val="000000"/>
          <w:sz w:val="17"/>
          <w:szCs w:val="17"/>
        </w:rPr>
      </w:pPr>
      <w:r w:rsidRPr="008838CC">
        <w:rPr>
          <w:rFonts w:ascii="Verdana" w:hAnsi="Verdana" w:cstheme="minorHAnsi"/>
          <w:b/>
          <w:i/>
          <w:sz w:val="17"/>
          <w:szCs w:val="17"/>
        </w:rPr>
        <w:t xml:space="preserve">According to EIOPA </w:t>
      </w:r>
      <w:r w:rsidR="006C43DC" w:rsidRPr="008838CC">
        <w:rPr>
          <w:rFonts w:ascii="Verdana" w:hAnsi="Verdana" w:cstheme="minorHAnsi"/>
          <w:b/>
          <w:i/>
          <w:sz w:val="17"/>
          <w:szCs w:val="17"/>
        </w:rPr>
        <w:t>“</w:t>
      </w:r>
      <w:r w:rsidRPr="008838CC">
        <w:rPr>
          <w:rFonts w:ascii="Verdana" w:hAnsi="Verdana" w:cstheme="minorHAnsi"/>
          <w:b/>
          <w:i/>
          <w:sz w:val="17"/>
          <w:szCs w:val="17"/>
        </w:rPr>
        <w:t>some stakeholders propose to u</w:t>
      </w:r>
      <w:r w:rsidR="005D7565" w:rsidRPr="008838CC">
        <w:rPr>
          <w:rFonts w:ascii="Verdana" w:hAnsi="Verdana"/>
          <w:b/>
          <w:i/>
          <w:color w:val="000000"/>
          <w:sz w:val="17"/>
          <w:szCs w:val="17"/>
        </w:rPr>
        <w:t>se a time scaling factor to reduce SCR projected</w:t>
      </w:r>
      <w:r w:rsidR="006C43DC" w:rsidRPr="008838CC">
        <w:rPr>
          <w:rFonts w:ascii="Verdana" w:hAnsi="Verdana"/>
          <w:b/>
          <w:i/>
          <w:color w:val="000000"/>
          <w:sz w:val="17"/>
          <w:szCs w:val="17"/>
        </w:rPr>
        <w:t>”</w:t>
      </w:r>
    </w:p>
    <w:p w14:paraId="747E7574" w14:textId="111097B6" w:rsidR="00CB6637" w:rsidRPr="008838CC" w:rsidRDefault="00AD351A" w:rsidP="006C04B6">
      <w:pPr>
        <w:spacing w:line="276" w:lineRule="auto"/>
        <w:rPr>
          <w:rFonts w:ascii="Verdana" w:hAnsi="Verdana" w:cstheme="minorHAnsi"/>
          <w:sz w:val="17"/>
          <w:szCs w:val="17"/>
        </w:rPr>
      </w:pPr>
      <w:r w:rsidRPr="008838CC">
        <w:rPr>
          <w:rFonts w:ascii="Verdana" w:eastAsiaTheme="minorHAnsi" w:hAnsi="Verdana"/>
          <w:color w:val="000000"/>
          <w:sz w:val="17"/>
          <w:szCs w:val="17"/>
        </w:rPr>
        <w:t xml:space="preserve">Insurance Europe </w:t>
      </w:r>
      <w:r w:rsidR="006C04B6" w:rsidRPr="008838CC">
        <w:rPr>
          <w:rFonts w:ascii="Verdana" w:hAnsi="Verdana"/>
          <w:color w:val="000000"/>
          <w:sz w:val="17"/>
          <w:szCs w:val="17"/>
        </w:rPr>
        <w:t xml:space="preserve">acknowledges EIOPA’s assessment that it may be difficult to asses the materiality of </w:t>
      </w:r>
      <w:r w:rsidRPr="008838CC">
        <w:rPr>
          <w:rFonts w:ascii="Verdana" w:eastAsiaTheme="minorHAnsi" w:hAnsi="Verdana"/>
          <w:color w:val="000000"/>
          <w:sz w:val="17"/>
          <w:szCs w:val="17"/>
        </w:rPr>
        <w:t>risk diversification over time</w:t>
      </w:r>
      <w:r w:rsidR="006C04B6" w:rsidRPr="008838CC">
        <w:rPr>
          <w:rFonts w:ascii="Verdana" w:hAnsi="Verdana"/>
          <w:color w:val="000000"/>
          <w:sz w:val="17"/>
          <w:szCs w:val="17"/>
        </w:rPr>
        <w:t xml:space="preserve">, however </w:t>
      </w:r>
      <w:r w:rsidRPr="008838CC">
        <w:rPr>
          <w:rFonts w:ascii="Verdana" w:eastAsiaTheme="minorHAnsi" w:hAnsi="Verdana" w:cstheme="minorHAnsi"/>
          <w:sz w:val="17"/>
          <w:szCs w:val="17"/>
          <w:lang w:eastAsia="en-US"/>
        </w:rPr>
        <w:t xml:space="preserve">Insurance Europe </w:t>
      </w:r>
      <w:r w:rsidR="006C04B6" w:rsidRPr="008838CC">
        <w:rPr>
          <w:rFonts w:ascii="Verdana" w:eastAsiaTheme="minorHAnsi" w:hAnsi="Verdana" w:cstheme="minorHAnsi"/>
          <w:sz w:val="17"/>
          <w:szCs w:val="17"/>
          <w:lang w:eastAsia="en-US"/>
        </w:rPr>
        <w:t>deems</w:t>
      </w:r>
      <w:r w:rsidRPr="008838CC">
        <w:rPr>
          <w:rFonts w:ascii="Verdana" w:eastAsiaTheme="minorHAnsi" w:hAnsi="Verdana" w:cstheme="minorHAnsi"/>
          <w:sz w:val="17"/>
          <w:szCs w:val="17"/>
          <w:lang w:eastAsia="en-US"/>
        </w:rPr>
        <w:t xml:space="preserve"> the impact can be materi</w:t>
      </w:r>
      <w:r w:rsidR="00CB6637" w:rsidRPr="008838CC">
        <w:rPr>
          <w:rFonts w:ascii="Verdana" w:eastAsiaTheme="minorHAnsi" w:hAnsi="Verdana" w:cstheme="minorHAnsi"/>
          <w:sz w:val="17"/>
          <w:szCs w:val="17"/>
          <w:lang w:eastAsia="en-US"/>
        </w:rPr>
        <w:t>al, and should be accounted for, as</w:t>
      </w:r>
      <w:r w:rsidRPr="008838CC">
        <w:rPr>
          <w:rFonts w:ascii="Verdana" w:eastAsiaTheme="minorHAnsi" w:hAnsi="Verdana" w:cstheme="minorHAnsi"/>
          <w:sz w:val="17"/>
          <w:szCs w:val="17"/>
          <w:lang w:eastAsia="en-US"/>
        </w:rPr>
        <w:t xml:space="preserve"> </w:t>
      </w:r>
      <w:r w:rsidR="00CB6637" w:rsidRPr="008838CC">
        <w:rPr>
          <w:rFonts w:ascii="Verdana" w:hAnsi="Verdana" w:cstheme="minorHAnsi"/>
          <w:sz w:val="17"/>
          <w:szCs w:val="17"/>
        </w:rPr>
        <w:t xml:space="preserve">by not taking into account risk dependency over time, the current approach </w:t>
      </w:r>
      <w:r w:rsidR="00CB6637" w:rsidRPr="008838CC">
        <w:rPr>
          <w:rFonts w:ascii="Verdana" w:hAnsi="Verdana" w:cstheme="minorHAnsi"/>
          <w:b/>
          <w:sz w:val="17"/>
          <w:szCs w:val="17"/>
        </w:rPr>
        <w:t>overstates the ultimate risk and hence overstates the risk margin</w:t>
      </w:r>
      <w:r w:rsidR="00CB6637" w:rsidRPr="008838CC">
        <w:rPr>
          <w:rFonts w:ascii="Verdana" w:hAnsi="Verdana" w:cstheme="minorHAnsi"/>
          <w:sz w:val="17"/>
          <w:szCs w:val="17"/>
        </w:rPr>
        <w:t>.</w:t>
      </w:r>
    </w:p>
    <w:p w14:paraId="44530236" w14:textId="77777777" w:rsidR="004A70C2" w:rsidRPr="008838CC" w:rsidRDefault="004A70C2" w:rsidP="00CB6637">
      <w:pPr>
        <w:autoSpaceDE w:val="0"/>
        <w:autoSpaceDN w:val="0"/>
        <w:spacing w:before="120"/>
        <w:rPr>
          <w:rFonts w:ascii="Verdana" w:hAnsi="Verdana" w:cstheme="minorHAnsi"/>
          <w:sz w:val="17"/>
          <w:szCs w:val="17"/>
        </w:rPr>
      </w:pPr>
    </w:p>
    <w:p w14:paraId="18CD6AE5" w14:textId="1BAF642A" w:rsidR="004A70C2" w:rsidRPr="008838CC" w:rsidRDefault="004A70C2" w:rsidP="004A70C2">
      <w:pPr>
        <w:rPr>
          <w:rFonts w:ascii="Verdana" w:hAnsi="Verdana" w:cstheme="minorHAnsi"/>
          <w:sz w:val="17"/>
          <w:szCs w:val="17"/>
        </w:rPr>
      </w:pPr>
      <w:r w:rsidRPr="008838CC">
        <w:rPr>
          <w:rFonts w:ascii="Verdana" w:hAnsi="Verdana" w:cstheme="minorHAnsi"/>
          <w:sz w:val="17"/>
          <w:szCs w:val="17"/>
        </w:rPr>
        <w:t>Insurance Europe believes SCR capital requirements are not independent (eg a risk may be nonrepeatable</w:t>
      </w:r>
      <w:r w:rsidR="003F4613" w:rsidRPr="008838CC">
        <w:rPr>
          <w:rFonts w:ascii="Verdana" w:hAnsi="Verdana" w:cstheme="minorHAnsi"/>
          <w:sz w:val="17"/>
          <w:szCs w:val="17"/>
        </w:rPr>
        <w:t>,</w:t>
      </w:r>
      <w:r w:rsidRPr="008838CC">
        <w:rPr>
          <w:rFonts w:ascii="Verdana" w:hAnsi="Verdana" w:cstheme="minorHAnsi"/>
          <w:sz w:val="17"/>
          <w:szCs w:val="17"/>
        </w:rPr>
        <w:t xml:space="preserve"> if it </w:t>
      </w:r>
      <w:r w:rsidR="003F4613" w:rsidRPr="008838CC">
        <w:rPr>
          <w:rFonts w:ascii="Verdana" w:hAnsi="Verdana" w:cstheme="minorHAnsi"/>
          <w:sz w:val="17"/>
          <w:szCs w:val="17"/>
        </w:rPr>
        <w:t>would realise</w:t>
      </w:r>
      <w:r w:rsidRPr="008838CC">
        <w:rPr>
          <w:rFonts w:ascii="Verdana" w:hAnsi="Verdana" w:cstheme="minorHAnsi"/>
          <w:sz w:val="17"/>
          <w:szCs w:val="17"/>
        </w:rPr>
        <w:t xml:space="preserve"> in one time period it c</w:t>
      </w:r>
      <w:r w:rsidR="003F4613" w:rsidRPr="008838CC">
        <w:rPr>
          <w:rFonts w:ascii="Verdana" w:hAnsi="Verdana" w:cstheme="minorHAnsi"/>
          <w:sz w:val="17"/>
          <w:szCs w:val="17"/>
        </w:rPr>
        <w:t>ould not</w:t>
      </w:r>
      <w:r w:rsidRPr="008838CC">
        <w:rPr>
          <w:rFonts w:ascii="Verdana" w:hAnsi="Verdana" w:cstheme="minorHAnsi"/>
          <w:sz w:val="17"/>
          <w:szCs w:val="17"/>
        </w:rPr>
        <w:t xml:space="preserve"> reoccur, affecting forward SCR capital requirements)</w:t>
      </w:r>
      <w:r w:rsidR="003F4613" w:rsidRPr="008838CC">
        <w:rPr>
          <w:rFonts w:ascii="Verdana" w:hAnsi="Verdana" w:cstheme="minorHAnsi"/>
          <w:sz w:val="17"/>
          <w:szCs w:val="17"/>
        </w:rPr>
        <w:t>,</w:t>
      </w:r>
      <w:r w:rsidRPr="008838CC">
        <w:rPr>
          <w:rFonts w:ascii="Verdana" w:hAnsi="Verdana" w:cstheme="minorHAnsi"/>
          <w:sz w:val="17"/>
          <w:szCs w:val="17"/>
        </w:rPr>
        <w:t xml:space="preserve"> mean</w:t>
      </w:r>
      <w:r w:rsidR="003F4613" w:rsidRPr="008838CC">
        <w:rPr>
          <w:rFonts w:ascii="Verdana" w:hAnsi="Verdana" w:cstheme="minorHAnsi"/>
          <w:sz w:val="17"/>
          <w:szCs w:val="17"/>
        </w:rPr>
        <w:t>ing</w:t>
      </w:r>
      <w:r w:rsidRPr="008838CC">
        <w:rPr>
          <w:rFonts w:ascii="Verdana" w:hAnsi="Verdana" w:cstheme="minorHAnsi"/>
          <w:sz w:val="17"/>
          <w:szCs w:val="17"/>
        </w:rPr>
        <w:t xml:space="preserve"> it is not appropriate to value these as independent payments, which is the assumption implicitly made in the current framework </w:t>
      </w:r>
      <w:r w:rsidR="003F4613" w:rsidRPr="008838CC">
        <w:rPr>
          <w:rFonts w:ascii="Verdana" w:hAnsi="Verdana"/>
          <w:color w:val="000000"/>
          <w:sz w:val="17"/>
          <w:szCs w:val="17"/>
        </w:rPr>
        <w:t>(See also response to EIOPA-CP-16-008).</w:t>
      </w:r>
    </w:p>
    <w:p w14:paraId="754DA2EA" w14:textId="3A9997AA" w:rsidR="00AD351A" w:rsidRPr="008838CC" w:rsidRDefault="00AD351A" w:rsidP="00644F0A">
      <w:pPr>
        <w:spacing w:line="276" w:lineRule="auto"/>
        <w:rPr>
          <w:rFonts w:ascii="Verdana" w:eastAsiaTheme="minorHAnsi" w:hAnsi="Verdana" w:cstheme="minorHAnsi"/>
          <w:sz w:val="17"/>
          <w:szCs w:val="17"/>
          <w:lang w:eastAsia="en-US"/>
        </w:rPr>
      </w:pPr>
    </w:p>
    <w:p w14:paraId="16BF2D7A" w14:textId="492E66E1" w:rsidR="004A70C2" w:rsidRPr="008838CC" w:rsidRDefault="00F72932" w:rsidP="00F72932">
      <w:pPr>
        <w:rPr>
          <w:rFonts w:ascii="Verdana" w:hAnsi="Verdana" w:cstheme="minorHAnsi"/>
          <w:sz w:val="17"/>
          <w:szCs w:val="17"/>
        </w:rPr>
      </w:pPr>
      <w:r w:rsidRPr="008838CC">
        <w:rPr>
          <w:rFonts w:ascii="Verdana" w:hAnsi="Verdana" w:cstheme="minorHAnsi"/>
          <w:sz w:val="17"/>
          <w:szCs w:val="17"/>
        </w:rPr>
        <w:t xml:space="preserve">In order to account for the risk dependency over time Insurance Europe proposes to amend the </w:t>
      </w:r>
      <w:r w:rsidR="004A70C2" w:rsidRPr="008838CC">
        <w:rPr>
          <w:rFonts w:ascii="Verdana" w:hAnsi="Verdana" w:cstheme="minorHAnsi"/>
          <w:sz w:val="17"/>
          <w:szCs w:val="17"/>
        </w:rPr>
        <w:t>RM calculation to apply a tapering parameter with respect to time to the SCR.  The CoC rate should then be applied to the conditional SCR instead.</w:t>
      </w:r>
    </w:p>
    <w:p w14:paraId="3F406F79" w14:textId="77777777" w:rsidR="004A70C2" w:rsidRPr="008838CC" w:rsidRDefault="004A70C2" w:rsidP="004A70C2">
      <w:pPr>
        <w:pStyle w:val="Default"/>
        <w:spacing w:before="120"/>
        <w:jc w:val="both"/>
        <w:rPr>
          <w:rFonts w:ascii="Verdana" w:eastAsiaTheme="minorHAnsi" w:hAnsi="Verdana" w:cstheme="minorHAnsi"/>
          <w:color w:val="auto"/>
          <w:sz w:val="17"/>
          <w:szCs w:val="17"/>
          <w:lang w:val="en-GB" w:eastAsia="en-US"/>
        </w:rPr>
      </w:pPr>
    </w:p>
    <w:p w14:paraId="260139BE" w14:textId="77777777" w:rsidR="004A70C2" w:rsidRPr="008838CC" w:rsidRDefault="004A70C2" w:rsidP="004A70C2">
      <w:pPr>
        <w:pStyle w:val="Odsekzoznamu"/>
        <w:spacing w:after="200" w:line="276" w:lineRule="auto"/>
        <w:rPr>
          <w:rFonts w:cstheme="minorHAnsi"/>
          <w:b/>
          <w:sz w:val="17"/>
          <w:szCs w:val="17"/>
        </w:rPr>
      </w:pPr>
      <m:oMathPara>
        <m:oMathParaPr>
          <m:jc m:val="centerGroup"/>
        </m:oMathParaPr>
        <m:oMath>
          <m:r>
            <m:rPr>
              <m:sty m:val="bi"/>
            </m:rPr>
            <w:rPr>
              <w:rFonts w:ascii="Cambria Math" w:hAnsi="Cambria Math" w:cstheme="minorHAnsi"/>
              <w:sz w:val="17"/>
              <w:szCs w:val="17"/>
            </w:rPr>
            <m:t>RM=CoC</m:t>
          </m:r>
          <m:nary>
            <m:naryPr>
              <m:chr m:val="∑"/>
              <m:limLoc m:val="undOvr"/>
              <m:supHide m:val="1"/>
              <m:ctrlPr>
                <w:rPr>
                  <w:rFonts w:ascii="Cambria Math" w:hAnsi="Cambria Math" w:cstheme="minorHAnsi"/>
                  <w:b/>
                  <w:i/>
                  <w:iCs/>
                  <w:sz w:val="17"/>
                  <w:szCs w:val="17"/>
                </w:rPr>
              </m:ctrlPr>
            </m:naryPr>
            <m:sub>
              <m:r>
                <m:rPr>
                  <m:sty m:val="bi"/>
                </m:rPr>
                <w:rPr>
                  <w:rFonts w:ascii="Cambria Math" w:hAnsi="Cambria Math" w:cstheme="minorHAnsi"/>
                  <w:sz w:val="17"/>
                  <w:szCs w:val="17"/>
                </w:rPr>
                <m:t>t≥0</m:t>
              </m:r>
            </m:sub>
            <m:sup/>
            <m:e>
              <m:f>
                <m:fPr>
                  <m:ctrlPr>
                    <w:rPr>
                      <w:rFonts w:ascii="Cambria Math" w:hAnsi="Cambria Math" w:cstheme="minorHAnsi"/>
                      <w:b/>
                      <w:i/>
                      <w:iCs/>
                      <w:sz w:val="17"/>
                      <w:szCs w:val="17"/>
                    </w:rPr>
                  </m:ctrlPr>
                </m:fPr>
                <m:num>
                  <m:sSup>
                    <m:sSupPr>
                      <m:ctrlPr>
                        <w:rPr>
                          <w:rFonts w:ascii="Cambria Math" w:hAnsi="Cambria Math" w:cstheme="minorHAnsi"/>
                          <w:b/>
                          <w:i/>
                          <w:iCs/>
                          <w:sz w:val="17"/>
                          <w:szCs w:val="17"/>
                        </w:rPr>
                      </m:ctrlPr>
                    </m:sSupPr>
                    <m:e>
                      <m:r>
                        <m:rPr>
                          <m:sty m:val="bi"/>
                        </m:rPr>
                        <w:rPr>
                          <w:rFonts w:ascii="Cambria Math" w:hAnsi="Cambria Math" w:cstheme="minorHAnsi"/>
                          <w:sz w:val="17"/>
                          <w:szCs w:val="17"/>
                        </w:rPr>
                        <m:t>λ</m:t>
                      </m:r>
                    </m:e>
                    <m:sup>
                      <m:r>
                        <m:rPr>
                          <m:sty m:val="bi"/>
                        </m:rPr>
                        <w:rPr>
                          <w:rFonts w:ascii="Cambria Math" w:hAnsi="Cambria Math" w:cstheme="minorHAnsi"/>
                          <w:sz w:val="17"/>
                          <w:szCs w:val="17"/>
                        </w:rPr>
                        <m:t>t</m:t>
                      </m:r>
                    </m:sup>
                  </m:sSup>
                  <m:r>
                    <m:rPr>
                      <m:sty m:val="bi"/>
                    </m:rPr>
                    <w:rPr>
                      <w:rFonts w:ascii="Cambria Math" w:hAnsi="Cambria Math" w:cstheme="minorHAnsi"/>
                      <w:sz w:val="17"/>
                      <w:szCs w:val="17"/>
                    </w:rPr>
                    <m:t>SCR</m:t>
                  </m:r>
                  <m:d>
                    <m:dPr>
                      <m:ctrlPr>
                        <w:rPr>
                          <w:rFonts w:ascii="Cambria Math" w:hAnsi="Cambria Math" w:cstheme="minorHAnsi"/>
                          <w:b/>
                          <w:i/>
                          <w:iCs/>
                          <w:sz w:val="17"/>
                          <w:szCs w:val="17"/>
                        </w:rPr>
                      </m:ctrlPr>
                    </m:dPr>
                    <m:e>
                      <m:r>
                        <m:rPr>
                          <m:sty m:val="bi"/>
                        </m:rPr>
                        <w:rPr>
                          <w:rFonts w:ascii="Cambria Math" w:hAnsi="Cambria Math" w:cstheme="minorHAnsi"/>
                          <w:sz w:val="17"/>
                          <w:szCs w:val="17"/>
                        </w:rPr>
                        <m:t>t</m:t>
                      </m:r>
                    </m:e>
                  </m:d>
                </m:num>
                <m:den>
                  <m:sSup>
                    <m:sSupPr>
                      <m:ctrlPr>
                        <w:rPr>
                          <w:rFonts w:ascii="Cambria Math" w:hAnsi="Cambria Math" w:cstheme="minorHAnsi"/>
                          <w:b/>
                          <w:i/>
                          <w:iCs/>
                          <w:sz w:val="17"/>
                          <w:szCs w:val="17"/>
                        </w:rPr>
                      </m:ctrlPr>
                    </m:sSupPr>
                    <m:e>
                      <m:d>
                        <m:dPr>
                          <m:ctrlPr>
                            <w:rPr>
                              <w:rFonts w:ascii="Cambria Math" w:hAnsi="Cambria Math" w:cstheme="minorHAnsi"/>
                              <w:b/>
                              <w:i/>
                              <w:iCs/>
                              <w:sz w:val="17"/>
                              <w:szCs w:val="17"/>
                            </w:rPr>
                          </m:ctrlPr>
                        </m:dPr>
                        <m:e>
                          <m:r>
                            <m:rPr>
                              <m:sty m:val="bi"/>
                            </m:rPr>
                            <w:rPr>
                              <w:rFonts w:ascii="Cambria Math" w:hAnsi="Cambria Math" w:cstheme="minorHAnsi"/>
                              <w:sz w:val="17"/>
                              <w:szCs w:val="17"/>
                            </w:rPr>
                            <m:t>1+r</m:t>
                          </m:r>
                          <m:d>
                            <m:dPr>
                              <m:ctrlPr>
                                <w:rPr>
                                  <w:rFonts w:ascii="Cambria Math" w:hAnsi="Cambria Math" w:cstheme="minorHAnsi"/>
                                  <w:b/>
                                  <w:i/>
                                  <w:iCs/>
                                  <w:sz w:val="17"/>
                                  <w:szCs w:val="17"/>
                                </w:rPr>
                              </m:ctrlPr>
                            </m:dPr>
                            <m:e>
                              <m:r>
                                <m:rPr>
                                  <m:sty m:val="bi"/>
                                </m:rPr>
                                <w:rPr>
                                  <w:rFonts w:ascii="Cambria Math" w:hAnsi="Cambria Math" w:cstheme="minorHAnsi"/>
                                  <w:sz w:val="17"/>
                                  <w:szCs w:val="17"/>
                                </w:rPr>
                                <m:t>t+1</m:t>
                              </m:r>
                            </m:e>
                          </m:d>
                        </m:e>
                      </m:d>
                    </m:e>
                    <m:sup>
                      <m:r>
                        <m:rPr>
                          <m:sty m:val="bi"/>
                        </m:rPr>
                        <w:rPr>
                          <w:rFonts w:ascii="Cambria Math" w:hAnsi="Cambria Math" w:cstheme="minorHAnsi"/>
                          <w:sz w:val="17"/>
                          <w:szCs w:val="17"/>
                        </w:rPr>
                        <m:t>t+1</m:t>
                      </m:r>
                    </m:sup>
                  </m:sSup>
                </m:den>
              </m:f>
            </m:e>
          </m:nary>
        </m:oMath>
      </m:oMathPara>
    </w:p>
    <w:p w14:paraId="24E7AECF" w14:textId="5F7A4C14" w:rsidR="002B3EBB" w:rsidRPr="008838CC" w:rsidRDefault="002B3EBB" w:rsidP="002B3EBB">
      <w:pPr>
        <w:rPr>
          <w:rFonts w:ascii="Verdana" w:hAnsi="Verdana" w:cstheme="minorHAnsi"/>
          <w:sz w:val="17"/>
          <w:szCs w:val="17"/>
        </w:rPr>
      </w:pPr>
      <w:r w:rsidRPr="008838CC">
        <w:rPr>
          <w:rFonts w:ascii="Verdana" w:eastAsiaTheme="minorEastAsia" w:hAnsi="Verdana"/>
          <w:sz w:val="17"/>
          <w:szCs w:val="17"/>
        </w:rPr>
        <w:t>Insurance Europe believes a</w:t>
      </w:r>
      <w:r w:rsidRPr="008838CC">
        <w:rPr>
          <w:rFonts w:ascii="Verdana" w:eastAsiaTheme="minorEastAsia" w:hAnsi="Verdana" w:cstheme="minorHAnsi"/>
          <w:sz w:val="17"/>
          <w:szCs w:val="17"/>
        </w:rPr>
        <w:t xml:space="preserve"> prudent value of lambda would be 0.9, but further investigation is needed. </w:t>
      </w:r>
    </w:p>
    <w:p w14:paraId="315C241C" w14:textId="77777777" w:rsidR="00AD351A" w:rsidRPr="008838CC" w:rsidRDefault="00AD351A" w:rsidP="00644F0A">
      <w:pPr>
        <w:spacing w:line="276" w:lineRule="auto"/>
        <w:rPr>
          <w:rFonts w:ascii="Verdana" w:eastAsiaTheme="minorHAnsi" w:hAnsi="Verdana" w:cstheme="minorHAnsi"/>
          <w:sz w:val="17"/>
          <w:szCs w:val="17"/>
          <w:lang w:eastAsia="en-US"/>
        </w:rPr>
      </w:pPr>
    </w:p>
    <w:p w14:paraId="15CC7CAD" w14:textId="22BCDF30" w:rsidR="00CB6637" w:rsidRPr="008838CC" w:rsidRDefault="004A70C2" w:rsidP="00D54566">
      <w:pPr>
        <w:rPr>
          <w:rFonts w:ascii="Verdana" w:hAnsi="Verdana" w:cstheme="minorHAnsi"/>
          <w:sz w:val="17"/>
          <w:szCs w:val="17"/>
        </w:rPr>
      </w:pPr>
      <w:r w:rsidRPr="008838CC">
        <w:rPr>
          <w:rFonts w:ascii="Verdana" w:hAnsi="Verdana"/>
          <w:sz w:val="17"/>
          <w:szCs w:val="17"/>
        </w:rPr>
        <w:t>W</w:t>
      </w:r>
      <w:r w:rsidRPr="008838CC">
        <w:rPr>
          <w:rFonts w:ascii="Verdana" w:hAnsi="Verdana" w:cstheme="minorHAnsi"/>
          <w:sz w:val="17"/>
          <w:szCs w:val="17"/>
        </w:rPr>
        <w:t xml:space="preserve">hen setting the hurdle rate required to finance a liability, an investor will consider the distribution of outcomes at maturity of the liability being financed. </w:t>
      </w:r>
      <w:r w:rsidR="00BD4A5B" w:rsidRPr="008838CC">
        <w:rPr>
          <w:rFonts w:ascii="Verdana" w:hAnsi="Verdana" w:cstheme="minorHAnsi"/>
          <w:sz w:val="17"/>
          <w:szCs w:val="17"/>
        </w:rPr>
        <w:t>Alternatively</w:t>
      </w:r>
      <w:r w:rsidRPr="008838CC">
        <w:rPr>
          <w:rFonts w:ascii="Verdana" w:hAnsi="Verdana" w:cstheme="minorHAnsi"/>
          <w:sz w:val="17"/>
          <w:szCs w:val="17"/>
        </w:rPr>
        <w:t xml:space="preserve"> this </w:t>
      </w:r>
      <w:r w:rsidR="00BD4A5B" w:rsidRPr="008838CC">
        <w:rPr>
          <w:rFonts w:ascii="Verdana" w:hAnsi="Verdana" w:cstheme="minorHAnsi"/>
          <w:sz w:val="17"/>
          <w:szCs w:val="17"/>
        </w:rPr>
        <w:t>could be seen as the fact that the</w:t>
      </w:r>
      <w:r w:rsidRPr="008838CC">
        <w:rPr>
          <w:rFonts w:ascii="Verdana" w:hAnsi="Verdana" w:cstheme="minorHAnsi"/>
          <w:sz w:val="17"/>
          <w:szCs w:val="17"/>
        </w:rPr>
        <w:t xml:space="preserve"> beta value of an insurance risk will reduce as a function of time, </w:t>
      </w:r>
      <w:r w:rsidR="00BD4A5B" w:rsidRPr="008838CC">
        <w:rPr>
          <w:rFonts w:ascii="Verdana" w:hAnsi="Verdana" w:cstheme="minorHAnsi"/>
          <w:sz w:val="17"/>
          <w:szCs w:val="17"/>
        </w:rPr>
        <w:t>because</w:t>
      </w:r>
      <w:r w:rsidRPr="008838CC">
        <w:rPr>
          <w:rFonts w:ascii="Verdana" w:hAnsi="Verdana" w:cstheme="minorHAnsi"/>
          <w:sz w:val="17"/>
          <w:szCs w:val="17"/>
        </w:rPr>
        <w:t xml:space="preserve"> the standard deviation of the final payment to investors </w:t>
      </w:r>
      <w:r w:rsidR="00BD4A5B" w:rsidRPr="008838CC">
        <w:rPr>
          <w:rFonts w:ascii="Verdana" w:hAnsi="Verdana" w:cstheme="minorHAnsi"/>
          <w:sz w:val="17"/>
          <w:szCs w:val="17"/>
        </w:rPr>
        <w:t>is expected to</w:t>
      </w:r>
      <w:r w:rsidRPr="008838CC">
        <w:rPr>
          <w:rFonts w:ascii="Verdana" w:hAnsi="Verdana" w:cstheme="minorHAnsi"/>
          <w:sz w:val="17"/>
          <w:szCs w:val="17"/>
        </w:rPr>
        <w:t xml:space="preserve"> be lower than the standard deviation of the sum of equivalent independent payments.</w:t>
      </w:r>
    </w:p>
    <w:p w14:paraId="3348247E" w14:textId="77777777" w:rsidR="00D54566" w:rsidRPr="008838CC" w:rsidRDefault="00D54566" w:rsidP="00D54566">
      <w:pPr>
        <w:ind w:left="360"/>
        <w:rPr>
          <w:rFonts w:ascii="Verdana" w:hAnsi="Verdana" w:cstheme="minorHAnsi"/>
          <w:sz w:val="17"/>
          <w:szCs w:val="17"/>
        </w:rPr>
      </w:pPr>
    </w:p>
    <w:p w14:paraId="45D69B59" w14:textId="2FBE895C" w:rsidR="00EB1C1B" w:rsidRPr="008838CC" w:rsidRDefault="00BD4A5B" w:rsidP="00EB1C1B">
      <w:pPr>
        <w:rPr>
          <w:rFonts w:ascii="Verdana" w:hAnsi="Verdana" w:cstheme="minorHAnsi"/>
          <w:sz w:val="17"/>
          <w:szCs w:val="17"/>
          <w:lang w:val="en-US"/>
        </w:rPr>
      </w:pPr>
      <w:r w:rsidRPr="008838CC">
        <w:rPr>
          <w:rFonts w:ascii="Verdana" w:hAnsi="Verdana" w:cstheme="minorHAnsi"/>
          <w:sz w:val="17"/>
          <w:szCs w:val="17"/>
        </w:rPr>
        <w:t>The following examples illustrate that risks are not independent:</w:t>
      </w:r>
    </w:p>
    <w:p w14:paraId="55128264" w14:textId="417EAA50" w:rsidR="00EB1C1B" w:rsidRPr="008838CC" w:rsidRDefault="00EB1C1B" w:rsidP="008E45C1">
      <w:pPr>
        <w:pStyle w:val="Odsekzoznamu"/>
        <w:numPr>
          <w:ilvl w:val="0"/>
          <w:numId w:val="8"/>
        </w:numPr>
        <w:rPr>
          <w:rFonts w:cstheme="minorHAnsi"/>
          <w:sz w:val="17"/>
          <w:szCs w:val="17"/>
          <w:lang w:val="en-US"/>
        </w:rPr>
      </w:pPr>
      <w:r w:rsidRPr="008838CC">
        <w:rPr>
          <w:rFonts w:cstheme="minorHAnsi"/>
          <w:sz w:val="17"/>
          <w:szCs w:val="17"/>
        </w:rPr>
        <w:t xml:space="preserve">in the case of </w:t>
      </w:r>
      <w:r w:rsidRPr="008838CC">
        <w:rPr>
          <w:rFonts w:cstheme="minorHAnsi"/>
          <w:b/>
          <w:sz w:val="17"/>
          <w:szCs w:val="17"/>
        </w:rPr>
        <w:t>lapse risk</w:t>
      </w:r>
      <w:r w:rsidRPr="008838CC">
        <w:rPr>
          <w:rFonts w:cstheme="minorHAnsi"/>
          <w:sz w:val="17"/>
          <w:szCs w:val="17"/>
        </w:rPr>
        <w:t>, should a mass lapse occur in one time period, the exposure to the same risk would reduce in the next period as there would be less policies on the insured book of liabilities</w:t>
      </w:r>
    </w:p>
    <w:p w14:paraId="42212718" w14:textId="64866CE0" w:rsidR="00EB1C1B" w:rsidRPr="008838CC" w:rsidRDefault="006769A6" w:rsidP="008E45C1">
      <w:pPr>
        <w:pStyle w:val="Odsekzoznamu"/>
        <w:numPr>
          <w:ilvl w:val="0"/>
          <w:numId w:val="8"/>
        </w:numPr>
        <w:rPr>
          <w:rFonts w:cstheme="minorHAnsi"/>
          <w:sz w:val="17"/>
          <w:szCs w:val="17"/>
          <w:lang w:val="en-US"/>
        </w:rPr>
      </w:pPr>
      <w:r w:rsidRPr="008838CC">
        <w:rPr>
          <w:rFonts w:cstheme="minorHAnsi"/>
          <w:sz w:val="17"/>
          <w:szCs w:val="17"/>
          <w:lang w:val="en-US"/>
        </w:rPr>
        <w:t>i</w:t>
      </w:r>
      <w:r w:rsidR="00EB1C1B" w:rsidRPr="008838CC">
        <w:rPr>
          <w:rFonts w:cstheme="minorHAnsi"/>
          <w:sz w:val="17"/>
          <w:szCs w:val="17"/>
          <w:lang w:val="en-US"/>
        </w:rPr>
        <w:t xml:space="preserve">n the case of </w:t>
      </w:r>
      <w:r w:rsidR="00EB1C1B" w:rsidRPr="008838CC">
        <w:rPr>
          <w:rFonts w:cstheme="minorHAnsi"/>
          <w:b/>
          <w:sz w:val="17"/>
          <w:szCs w:val="17"/>
          <w:lang w:val="en-US"/>
        </w:rPr>
        <w:t>longevity risk</w:t>
      </w:r>
      <w:r w:rsidR="00EB1C1B" w:rsidRPr="008838CC">
        <w:rPr>
          <w:rFonts w:cstheme="minorHAnsi"/>
          <w:sz w:val="17"/>
          <w:szCs w:val="17"/>
          <w:lang w:val="en-US"/>
        </w:rPr>
        <w:t>, capital requirements are driven by a shock to life expectancy due to a large reduction in expected deaths from a certain cause of death (e.g. cardiovascular disease). Should this occur, exposure to the same risk would reduce, as a cause of death cannot be cured twice. This once again means that the ultimate risk is lower than implied by the current framework, which does not take this into account.</w:t>
      </w:r>
    </w:p>
    <w:p w14:paraId="0CE5ABB9" w14:textId="54664CC0" w:rsidR="00EB1C1B" w:rsidRPr="008838CC" w:rsidRDefault="006769A6" w:rsidP="008E45C1">
      <w:pPr>
        <w:pStyle w:val="Odsekzoznamu"/>
        <w:numPr>
          <w:ilvl w:val="0"/>
          <w:numId w:val="8"/>
        </w:numPr>
        <w:rPr>
          <w:rFonts w:cstheme="minorHAnsi"/>
          <w:sz w:val="17"/>
          <w:szCs w:val="17"/>
          <w:lang w:val="en-US"/>
        </w:rPr>
      </w:pPr>
      <w:r w:rsidRPr="008838CC">
        <w:rPr>
          <w:rFonts w:cstheme="minorHAnsi"/>
          <w:sz w:val="17"/>
          <w:szCs w:val="17"/>
          <w:lang w:val="en-US"/>
        </w:rPr>
        <w:t>w</w:t>
      </w:r>
      <w:r w:rsidR="00EB1C1B" w:rsidRPr="008838CC">
        <w:rPr>
          <w:rFonts w:cstheme="minorHAnsi"/>
          <w:sz w:val="17"/>
          <w:szCs w:val="17"/>
          <w:lang w:val="en-US"/>
        </w:rPr>
        <w:t xml:space="preserve">ith </w:t>
      </w:r>
      <w:r w:rsidR="00EB1C1B" w:rsidRPr="008838CC">
        <w:rPr>
          <w:rFonts w:cstheme="minorHAnsi"/>
          <w:b/>
          <w:sz w:val="17"/>
          <w:szCs w:val="17"/>
          <w:lang w:val="en-US"/>
        </w:rPr>
        <w:t>catastrophe reinsurance</w:t>
      </w:r>
      <w:r w:rsidR="00EB1C1B" w:rsidRPr="008838CC">
        <w:rPr>
          <w:rFonts w:cstheme="minorHAnsi"/>
          <w:sz w:val="17"/>
          <w:szCs w:val="17"/>
          <w:lang w:val="en-US"/>
        </w:rPr>
        <w:t>, it is often the case that there is a maximum loss clause which limits total losses for the reinsurer at a specified level. In cases like these, the ultimate loss is clearly limited to this maximum therefore can be significantly lower than that implied by the independence assumption made under the current framework.</w:t>
      </w:r>
    </w:p>
    <w:p w14:paraId="3ED70648" w14:textId="65A61BF4" w:rsidR="005D7565" w:rsidRPr="008838CC" w:rsidRDefault="005D7565" w:rsidP="00644F0A">
      <w:pPr>
        <w:spacing w:line="276" w:lineRule="auto"/>
        <w:rPr>
          <w:rFonts w:ascii="Verdana" w:hAnsi="Verdana"/>
          <w:b/>
          <w:i/>
          <w:color w:val="000000"/>
          <w:sz w:val="17"/>
          <w:szCs w:val="17"/>
        </w:rPr>
      </w:pPr>
    </w:p>
    <w:p w14:paraId="4651D246" w14:textId="77777777" w:rsidR="00BD4A5B" w:rsidRPr="008838CC" w:rsidRDefault="00BD4A5B" w:rsidP="00644F0A">
      <w:pPr>
        <w:spacing w:line="276" w:lineRule="auto"/>
        <w:rPr>
          <w:rFonts w:ascii="Verdana" w:hAnsi="Verdana"/>
          <w:i/>
          <w:color w:val="000000"/>
          <w:sz w:val="17"/>
          <w:szCs w:val="17"/>
        </w:rPr>
      </w:pPr>
    </w:p>
    <w:p w14:paraId="308B59DA" w14:textId="4745D587" w:rsidR="001B738E" w:rsidRPr="008838CC" w:rsidRDefault="001B738E" w:rsidP="00644F0A">
      <w:pPr>
        <w:spacing w:line="276" w:lineRule="auto"/>
        <w:rPr>
          <w:rFonts w:ascii="Verdana" w:hAnsi="Verdana"/>
          <w:b/>
          <w:i/>
          <w:color w:val="000000"/>
          <w:sz w:val="17"/>
          <w:szCs w:val="17"/>
        </w:rPr>
      </w:pPr>
      <w:r w:rsidRPr="008838CC">
        <w:rPr>
          <w:rFonts w:ascii="Verdana" w:hAnsi="Verdana"/>
          <w:b/>
          <w:i/>
          <w:color w:val="000000"/>
          <w:sz w:val="17"/>
          <w:szCs w:val="17"/>
        </w:rPr>
        <w:t>Paragraph 1396</w:t>
      </w:r>
    </w:p>
    <w:p w14:paraId="67660502" w14:textId="700CBCCF" w:rsidR="00FB179D" w:rsidRPr="008838CC" w:rsidRDefault="001B738E" w:rsidP="00FB179D">
      <w:pPr>
        <w:rPr>
          <w:rFonts w:ascii="Verdana" w:hAnsi="Verdana"/>
          <w:color w:val="000000"/>
          <w:sz w:val="17"/>
          <w:szCs w:val="17"/>
        </w:rPr>
      </w:pPr>
      <w:r w:rsidRPr="008838CC">
        <w:rPr>
          <w:rFonts w:ascii="Verdana" w:hAnsi="Verdana"/>
          <w:color w:val="000000"/>
          <w:sz w:val="17"/>
          <w:szCs w:val="17"/>
        </w:rPr>
        <w:t xml:space="preserve">Insurance Europe </w:t>
      </w:r>
      <w:r w:rsidR="00BD4A5B" w:rsidRPr="008838CC">
        <w:rPr>
          <w:rFonts w:ascii="Verdana" w:hAnsi="Verdana"/>
          <w:color w:val="000000"/>
          <w:sz w:val="17"/>
          <w:szCs w:val="17"/>
        </w:rPr>
        <w:t>is disappointed by</w:t>
      </w:r>
      <w:r w:rsidRPr="008838CC">
        <w:rPr>
          <w:rFonts w:ascii="Verdana" w:hAnsi="Verdana"/>
          <w:color w:val="000000"/>
          <w:sz w:val="17"/>
          <w:szCs w:val="17"/>
        </w:rPr>
        <w:t xml:space="preserve"> EIOPA</w:t>
      </w:r>
      <w:r w:rsidR="00BD4A5B" w:rsidRPr="008838CC">
        <w:rPr>
          <w:rFonts w:ascii="Verdana" w:hAnsi="Verdana"/>
          <w:color w:val="000000"/>
          <w:sz w:val="17"/>
          <w:szCs w:val="17"/>
        </w:rPr>
        <w:t xml:space="preserve">’s lack of ambition </w:t>
      </w:r>
      <w:r w:rsidRPr="008838CC">
        <w:rPr>
          <w:rFonts w:ascii="Verdana" w:hAnsi="Verdana"/>
          <w:color w:val="000000"/>
          <w:sz w:val="17"/>
          <w:szCs w:val="17"/>
        </w:rPr>
        <w:t xml:space="preserve">and </w:t>
      </w:r>
      <w:r w:rsidR="00BD4A5B" w:rsidRPr="008838CC">
        <w:rPr>
          <w:rFonts w:ascii="Verdana" w:hAnsi="Verdana"/>
          <w:color w:val="000000"/>
          <w:sz w:val="17"/>
          <w:szCs w:val="17"/>
        </w:rPr>
        <w:t xml:space="preserve">it </w:t>
      </w:r>
      <w:r w:rsidRPr="008838CC">
        <w:rPr>
          <w:rFonts w:ascii="Verdana" w:hAnsi="Verdana"/>
          <w:color w:val="000000"/>
          <w:sz w:val="17"/>
          <w:szCs w:val="17"/>
        </w:rPr>
        <w:t xml:space="preserve">regrets that not more attention was given to the proposals, arguments and evidence put forward by the industry. </w:t>
      </w:r>
      <w:r w:rsidR="00B35408" w:rsidRPr="008838CC">
        <w:rPr>
          <w:rFonts w:ascii="Verdana" w:hAnsi="Verdana"/>
          <w:color w:val="000000"/>
          <w:sz w:val="17"/>
          <w:szCs w:val="17"/>
        </w:rPr>
        <w:t>EIOPA’s</w:t>
      </w:r>
      <w:r w:rsidR="00BD4A5B" w:rsidRPr="008838CC">
        <w:rPr>
          <w:rFonts w:ascii="Verdana" w:hAnsi="Verdana"/>
          <w:color w:val="000000"/>
          <w:sz w:val="17"/>
          <w:szCs w:val="17"/>
        </w:rPr>
        <w:t xml:space="preserve"> update</w:t>
      </w:r>
      <w:r w:rsidR="00B35408" w:rsidRPr="008838CC">
        <w:rPr>
          <w:rFonts w:ascii="Verdana" w:hAnsi="Verdana"/>
          <w:color w:val="000000"/>
          <w:sz w:val="17"/>
          <w:szCs w:val="17"/>
        </w:rPr>
        <w:t>d</w:t>
      </w:r>
      <w:r w:rsidR="00BD4A5B" w:rsidRPr="008838CC">
        <w:rPr>
          <w:rFonts w:ascii="Verdana" w:hAnsi="Verdana"/>
          <w:color w:val="000000"/>
          <w:sz w:val="17"/>
          <w:szCs w:val="17"/>
        </w:rPr>
        <w:t xml:space="preserve"> </w:t>
      </w:r>
      <w:r w:rsidR="00B35408" w:rsidRPr="008838CC">
        <w:rPr>
          <w:rFonts w:ascii="Verdana" w:hAnsi="Verdana"/>
          <w:color w:val="000000"/>
          <w:sz w:val="17"/>
          <w:szCs w:val="17"/>
        </w:rPr>
        <w:t xml:space="preserve">analysis </w:t>
      </w:r>
      <w:r w:rsidR="00BD4A5B" w:rsidRPr="008838CC">
        <w:rPr>
          <w:rFonts w:ascii="Verdana" w:hAnsi="Verdana"/>
          <w:color w:val="000000"/>
          <w:sz w:val="17"/>
          <w:szCs w:val="17"/>
        </w:rPr>
        <w:t xml:space="preserve">of the previous CEIOPS advice does </w:t>
      </w:r>
      <w:r w:rsidR="00FB179D" w:rsidRPr="008838CC">
        <w:rPr>
          <w:rFonts w:ascii="Verdana" w:hAnsi="Verdana"/>
          <w:color w:val="000000"/>
          <w:sz w:val="17"/>
          <w:szCs w:val="17"/>
        </w:rPr>
        <w:t>neither</w:t>
      </w:r>
      <w:r w:rsidR="00B35408" w:rsidRPr="008838CC">
        <w:rPr>
          <w:rFonts w:ascii="Verdana" w:hAnsi="Verdana"/>
          <w:color w:val="000000"/>
          <w:sz w:val="17"/>
          <w:szCs w:val="17"/>
        </w:rPr>
        <w:t xml:space="preserve"> address the </w:t>
      </w:r>
      <w:r w:rsidR="00FB179D" w:rsidRPr="008838CC">
        <w:rPr>
          <w:rFonts w:ascii="Verdana" w:hAnsi="Verdana"/>
          <w:color w:val="000000"/>
          <w:sz w:val="17"/>
          <w:szCs w:val="17"/>
        </w:rPr>
        <w:t xml:space="preserve">excessive level of the risk margin, nor the disproportionately large allocation for certain long-term products and the volatility of the risk margin. </w:t>
      </w:r>
    </w:p>
    <w:p w14:paraId="35B89D7E" w14:textId="403B1D17" w:rsidR="001B738E" w:rsidRPr="008838CC" w:rsidRDefault="001B738E" w:rsidP="00FB179D">
      <w:pPr>
        <w:rPr>
          <w:rFonts w:ascii="Verdana" w:hAnsi="Verdana"/>
          <w:b/>
          <w:i/>
          <w:color w:val="000000"/>
          <w:sz w:val="17"/>
          <w:szCs w:val="17"/>
        </w:rPr>
      </w:pPr>
    </w:p>
    <w:p w14:paraId="0B9B5084"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18.4.1</w:t>
      </w:r>
    </w:p>
    <w:p w14:paraId="606C9551" w14:textId="226582BE"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18.4.2</w:t>
      </w:r>
      <w:r w:rsidR="00631F63" w:rsidRPr="008838CC">
        <w:rPr>
          <w:rFonts w:ascii="Verdana" w:hAnsi="Verdana"/>
          <w:b/>
          <w:color w:val="000000"/>
          <w:sz w:val="17"/>
          <w:szCs w:val="17"/>
          <w:u w:val="single"/>
        </w:rPr>
        <w:t xml:space="preserve"> Analysis</w:t>
      </w:r>
    </w:p>
    <w:p w14:paraId="2B5588AB" w14:textId="748ECFE9" w:rsidR="00344B3D" w:rsidRPr="008838CC" w:rsidRDefault="00344B3D" w:rsidP="00644F0A">
      <w:pPr>
        <w:spacing w:line="276" w:lineRule="auto"/>
        <w:rPr>
          <w:rFonts w:ascii="Verdana" w:hAnsi="Verdana"/>
          <w:i/>
          <w:color w:val="000000"/>
          <w:sz w:val="17"/>
          <w:szCs w:val="17"/>
        </w:rPr>
      </w:pPr>
      <w:r w:rsidRPr="008838CC">
        <w:rPr>
          <w:rFonts w:ascii="Verdana" w:hAnsi="Verdana"/>
          <w:i/>
          <w:color w:val="000000"/>
          <w:sz w:val="17"/>
          <w:szCs w:val="17"/>
        </w:rPr>
        <w:t>Note: the arguments used in this paragraph are based on the CRO forum paper (</w:t>
      </w:r>
      <w:hyperlink r:id="rId16" w:history="1">
        <w:r w:rsidRPr="008838CC">
          <w:rPr>
            <w:rStyle w:val="Hypertextovprepojenie"/>
            <w:rFonts w:ascii="Verdana" w:hAnsi="Verdana"/>
            <w:i/>
            <w:sz w:val="17"/>
            <w:szCs w:val="17"/>
            <w:u w:val="none"/>
          </w:rPr>
          <w:t>Link</w:t>
        </w:r>
      </w:hyperlink>
      <w:r w:rsidRPr="008838CC">
        <w:rPr>
          <w:rFonts w:ascii="Verdana" w:hAnsi="Verdana"/>
          <w:i/>
          <w:color w:val="000000"/>
          <w:sz w:val="17"/>
          <w:szCs w:val="17"/>
        </w:rPr>
        <w:t>)</w:t>
      </w:r>
    </w:p>
    <w:p w14:paraId="40B73B59" w14:textId="77777777" w:rsidR="00344B3D" w:rsidRPr="008838CC" w:rsidRDefault="00344B3D" w:rsidP="00E40706">
      <w:pPr>
        <w:spacing w:line="276" w:lineRule="auto"/>
        <w:rPr>
          <w:rFonts w:ascii="Verdana" w:hAnsi="Verdana"/>
          <w:b/>
          <w:i/>
          <w:color w:val="000000"/>
          <w:sz w:val="17"/>
          <w:szCs w:val="17"/>
        </w:rPr>
      </w:pPr>
    </w:p>
    <w:p w14:paraId="2CC4B304" w14:textId="1BAC6BFB" w:rsidR="00E40706" w:rsidRPr="008838CC" w:rsidRDefault="00E40706" w:rsidP="00E40706">
      <w:pPr>
        <w:spacing w:line="276" w:lineRule="auto"/>
        <w:rPr>
          <w:rFonts w:ascii="Verdana" w:hAnsi="Verdana"/>
          <w:b/>
          <w:i/>
          <w:color w:val="000000"/>
          <w:sz w:val="17"/>
          <w:szCs w:val="17"/>
        </w:rPr>
      </w:pPr>
      <w:r w:rsidRPr="008838CC">
        <w:rPr>
          <w:rFonts w:ascii="Verdana" w:hAnsi="Verdana"/>
          <w:b/>
          <w:i/>
          <w:color w:val="000000"/>
          <w:sz w:val="17"/>
          <w:szCs w:val="17"/>
        </w:rPr>
        <w:t>Paragraph 1399</w:t>
      </w:r>
    </w:p>
    <w:p w14:paraId="04CABA78" w14:textId="0278D3AD" w:rsidR="00631F63" w:rsidRPr="008838CC" w:rsidRDefault="00B35408" w:rsidP="00644F0A">
      <w:pPr>
        <w:spacing w:line="276" w:lineRule="auto"/>
        <w:rPr>
          <w:rFonts w:ascii="Verdana" w:hAnsi="Verdana"/>
          <w:color w:val="000000"/>
          <w:sz w:val="17"/>
          <w:szCs w:val="17"/>
        </w:rPr>
      </w:pPr>
      <w:r w:rsidRPr="008838CC">
        <w:rPr>
          <w:rFonts w:ascii="Verdana" w:hAnsi="Verdana"/>
          <w:color w:val="000000"/>
          <w:sz w:val="17"/>
          <w:szCs w:val="17"/>
        </w:rPr>
        <w:t>Insurance Europe acknowledges the</w:t>
      </w:r>
      <w:r w:rsidR="00E40706" w:rsidRPr="008838CC">
        <w:rPr>
          <w:rFonts w:ascii="Verdana" w:hAnsi="Verdana"/>
          <w:color w:val="000000"/>
          <w:sz w:val="17"/>
          <w:szCs w:val="17"/>
        </w:rPr>
        <w:t xml:space="preserve"> data </w:t>
      </w:r>
      <w:r w:rsidRPr="008838CC">
        <w:rPr>
          <w:rFonts w:ascii="Verdana" w:hAnsi="Verdana"/>
          <w:color w:val="000000"/>
          <w:sz w:val="17"/>
          <w:szCs w:val="17"/>
        </w:rPr>
        <w:t>presenting</w:t>
      </w:r>
      <w:r w:rsidR="00E40706" w:rsidRPr="008838CC">
        <w:rPr>
          <w:rFonts w:ascii="Verdana" w:hAnsi="Verdana"/>
          <w:color w:val="000000"/>
          <w:sz w:val="17"/>
          <w:szCs w:val="17"/>
        </w:rPr>
        <w:t xml:space="preserve"> an overview of the ratios RM/BEL, RM/OF, RM/SCR on a European level</w:t>
      </w:r>
      <w:r w:rsidRPr="008838CC">
        <w:rPr>
          <w:rFonts w:ascii="Verdana" w:hAnsi="Verdana"/>
          <w:color w:val="000000"/>
          <w:sz w:val="17"/>
          <w:szCs w:val="17"/>
        </w:rPr>
        <w:t>. However</w:t>
      </w:r>
      <w:r w:rsidR="00E40706" w:rsidRPr="008838CC">
        <w:rPr>
          <w:rFonts w:ascii="Verdana" w:hAnsi="Verdana"/>
          <w:color w:val="000000"/>
          <w:sz w:val="17"/>
          <w:szCs w:val="17"/>
        </w:rPr>
        <w:t xml:space="preserve">, </w:t>
      </w:r>
      <w:r w:rsidR="0089550B" w:rsidRPr="008838CC">
        <w:rPr>
          <w:rFonts w:ascii="Verdana" w:hAnsi="Verdana"/>
          <w:color w:val="000000"/>
          <w:sz w:val="17"/>
          <w:szCs w:val="17"/>
        </w:rPr>
        <w:t>Insurance Europe believes the table should have been shown for life and non-life undertakings separately</w:t>
      </w:r>
      <w:r w:rsidRPr="008838CC">
        <w:rPr>
          <w:rFonts w:ascii="Verdana" w:hAnsi="Verdana"/>
          <w:color w:val="000000"/>
          <w:sz w:val="17"/>
          <w:szCs w:val="17"/>
        </w:rPr>
        <w:t xml:space="preserve"> on a European level</w:t>
      </w:r>
      <w:r w:rsidR="0089550B" w:rsidRPr="008838CC">
        <w:rPr>
          <w:rFonts w:ascii="Verdana" w:hAnsi="Verdana"/>
          <w:color w:val="000000"/>
          <w:sz w:val="17"/>
          <w:szCs w:val="17"/>
        </w:rPr>
        <w:t>, as</w:t>
      </w:r>
      <w:r w:rsidR="00E40706" w:rsidRPr="008838CC">
        <w:rPr>
          <w:rFonts w:ascii="Verdana" w:hAnsi="Verdana"/>
          <w:color w:val="000000"/>
          <w:sz w:val="17"/>
          <w:szCs w:val="17"/>
        </w:rPr>
        <w:t xml:space="preserve"> the </w:t>
      </w:r>
      <w:r w:rsidRPr="008838CC">
        <w:rPr>
          <w:rFonts w:ascii="Verdana" w:hAnsi="Verdana"/>
          <w:color w:val="000000"/>
          <w:sz w:val="17"/>
          <w:szCs w:val="17"/>
        </w:rPr>
        <w:t>risk margun</w:t>
      </w:r>
      <w:r w:rsidR="00E40706" w:rsidRPr="008838CC">
        <w:rPr>
          <w:rFonts w:ascii="Verdana" w:hAnsi="Verdana"/>
          <w:color w:val="000000"/>
          <w:sz w:val="17"/>
          <w:szCs w:val="17"/>
        </w:rPr>
        <w:t xml:space="preserve"> is substantially higher for life undertakings</w:t>
      </w:r>
      <w:r w:rsidR="0089550B" w:rsidRPr="008838CC">
        <w:rPr>
          <w:rFonts w:ascii="Verdana" w:hAnsi="Verdana"/>
          <w:color w:val="000000"/>
          <w:sz w:val="17"/>
          <w:szCs w:val="17"/>
        </w:rPr>
        <w:t xml:space="preserve">. </w:t>
      </w:r>
      <w:r w:rsidR="00E40706" w:rsidRPr="008838CC">
        <w:rPr>
          <w:rFonts w:ascii="Verdana" w:hAnsi="Verdana"/>
          <w:color w:val="000000"/>
          <w:sz w:val="17"/>
          <w:szCs w:val="17"/>
        </w:rPr>
        <w:t xml:space="preserve"> </w:t>
      </w:r>
    </w:p>
    <w:p w14:paraId="4A31DCD5" w14:textId="33EF2F1D" w:rsidR="002D3C64" w:rsidRPr="008838CC" w:rsidRDefault="002D3C64" w:rsidP="00644F0A">
      <w:pPr>
        <w:spacing w:line="276" w:lineRule="auto"/>
        <w:rPr>
          <w:rFonts w:ascii="Verdana" w:hAnsi="Verdana"/>
          <w:color w:val="000000"/>
          <w:sz w:val="17"/>
          <w:szCs w:val="17"/>
          <w:highlight w:val="yellow"/>
        </w:rPr>
      </w:pPr>
    </w:p>
    <w:p w14:paraId="2510BE8B" w14:textId="78E73156" w:rsidR="002D3C64" w:rsidRPr="008838CC" w:rsidRDefault="002D3C64" w:rsidP="002D3C64">
      <w:pPr>
        <w:spacing w:line="276" w:lineRule="auto"/>
        <w:rPr>
          <w:rFonts w:ascii="Verdana" w:hAnsi="Verdana"/>
          <w:b/>
          <w:i/>
          <w:color w:val="000000"/>
          <w:sz w:val="17"/>
          <w:szCs w:val="17"/>
        </w:rPr>
      </w:pPr>
      <w:r w:rsidRPr="008838CC">
        <w:rPr>
          <w:rFonts w:ascii="Verdana" w:hAnsi="Verdana"/>
          <w:b/>
          <w:i/>
          <w:color w:val="000000"/>
          <w:sz w:val="17"/>
          <w:szCs w:val="17"/>
        </w:rPr>
        <w:t>Paragraph 1</w:t>
      </w:r>
      <w:r w:rsidR="00F8768C" w:rsidRPr="008838CC">
        <w:rPr>
          <w:rFonts w:ascii="Verdana" w:hAnsi="Verdana"/>
          <w:b/>
          <w:i/>
          <w:color w:val="000000"/>
          <w:sz w:val="17"/>
          <w:szCs w:val="17"/>
        </w:rPr>
        <w:t>410</w:t>
      </w:r>
      <w:r w:rsidR="00344B3D" w:rsidRPr="008838CC">
        <w:rPr>
          <w:rStyle w:val="Odkaznapoznmkupodiarou"/>
          <w:rFonts w:ascii="Verdana" w:hAnsi="Verdana" w:cstheme="minorHAnsi"/>
          <w:sz w:val="17"/>
          <w:szCs w:val="17"/>
        </w:rPr>
        <w:footnoteReference w:id="2"/>
      </w:r>
    </w:p>
    <w:p w14:paraId="1A39FB77" w14:textId="042F3C1F" w:rsidR="00996517" w:rsidRPr="008838CC" w:rsidRDefault="0016489E" w:rsidP="00996517">
      <w:pPr>
        <w:rPr>
          <w:rFonts w:ascii="Verdana" w:hAnsi="Verdana"/>
          <w:sz w:val="17"/>
          <w:szCs w:val="17"/>
        </w:rPr>
      </w:pPr>
      <w:r w:rsidRPr="008838CC">
        <w:rPr>
          <w:rFonts w:ascii="Verdana" w:hAnsi="Verdana" w:cstheme="minorHAnsi"/>
          <w:sz w:val="17"/>
          <w:szCs w:val="17"/>
        </w:rPr>
        <w:t>Insurance Europe does not agree with the EIOPA’s reasoning set out in this paragraph</w:t>
      </w:r>
      <w:r w:rsidR="00832DB0" w:rsidRPr="008838CC">
        <w:rPr>
          <w:rFonts w:ascii="Verdana" w:hAnsi="Verdana" w:cstheme="minorHAnsi"/>
          <w:sz w:val="17"/>
          <w:szCs w:val="17"/>
        </w:rPr>
        <w:t xml:space="preserve"> for the reasons explained </w:t>
      </w:r>
      <w:r w:rsidR="004C6278" w:rsidRPr="008838CC">
        <w:rPr>
          <w:rFonts w:ascii="Verdana" w:hAnsi="Verdana" w:cstheme="minorHAnsi"/>
          <w:sz w:val="17"/>
          <w:szCs w:val="17"/>
        </w:rPr>
        <w:t>below</w:t>
      </w:r>
      <w:r w:rsidR="00832DB0" w:rsidRPr="008838CC">
        <w:rPr>
          <w:rFonts w:ascii="Verdana" w:hAnsi="Verdana" w:cstheme="minorHAnsi"/>
          <w:sz w:val="17"/>
          <w:szCs w:val="17"/>
        </w:rPr>
        <w:t xml:space="preserve">. </w:t>
      </w:r>
      <w:r w:rsidR="00996517" w:rsidRPr="008838CC">
        <w:rPr>
          <w:rFonts w:ascii="Verdana" w:hAnsi="Verdana" w:cstheme="minorHAnsi"/>
          <w:sz w:val="17"/>
          <w:szCs w:val="17"/>
        </w:rPr>
        <w:t>Insurance Europe recommends to lower the CoC rate calibration derived from the CAPM methodology in order to reflect that insurers are not funded uniquely with equity.</w:t>
      </w:r>
      <w:r w:rsidR="00832DB0" w:rsidRPr="008838CC">
        <w:rPr>
          <w:rFonts w:ascii="Verdana" w:hAnsi="Verdana" w:cstheme="minorHAnsi"/>
          <w:sz w:val="17"/>
          <w:szCs w:val="17"/>
        </w:rPr>
        <w:t xml:space="preserve"> </w:t>
      </w:r>
    </w:p>
    <w:p w14:paraId="7A49FE29" w14:textId="46590D76" w:rsidR="0016489E" w:rsidRPr="008838CC" w:rsidRDefault="0016489E" w:rsidP="002D3C64">
      <w:pPr>
        <w:autoSpaceDE w:val="0"/>
        <w:autoSpaceDN w:val="0"/>
        <w:adjustRightInd w:val="0"/>
        <w:spacing w:before="120"/>
        <w:rPr>
          <w:rFonts w:ascii="Verdana" w:hAnsi="Verdana" w:cstheme="minorHAnsi"/>
          <w:sz w:val="17"/>
          <w:szCs w:val="17"/>
        </w:rPr>
      </w:pPr>
      <w:r w:rsidRPr="008838CC">
        <w:rPr>
          <w:rFonts w:ascii="Verdana" w:hAnsi="Verdana"/>
          <w:sz w:val="17"/>
          <w:szCs w:val="17"/>
        </w:rPr>
        <w:t xml:space="preserve">Firstly, </w:t>
      </w:r>
      <w:r w:rsidR="00A93546" w:rsidRPr="008838CC">
        <w:rPr>
          <w:rFonts w:ascii="Verdana" w:hAnsi="Verdana"/>
          <w:sz w:val="17"/>
          <w:szCs w:val="17"/>
        </w:rPr>
        <w:t xml:space="preserve">taking into account </w:t>
      </w:r>
      <w:r w:rsidR="00832DB0" w:rsidRPr="008838CC">
        <w:rPr>
          <w:rFonts w:ascii="Verdana" w:hAnsi="Verdana"/>
          <w:sz w:val="17"/>
          <w:szCs w:val="17"/>
        </w:rPr>
        <w:t>the assumption</w:t>
      </w:r>
      <w:r w:rsidRPr="008838CC">
        <w:rPr>
          <w:rFonts w:ascii="Verdana" w:hAnsi="Verdana"/>
          <w:sz w:val="17"/>
          <w:szCs w:val="17"/>
        </w:rPr>
        <w:t xml:space="preserve"> that debt constitutes </w:t>
      </w:r>
      <w:r w:rsidR="00A93546" w:rsidRPr="008838CC">
        <w:rPr>
          <w:rFonts w:ascii="Verdana" w:hAnsi="Verdana"/>
          <w:sz w:val="17"/>
          <w:szCs w:val="17"/>
        </w:rPr>
        <w:t>at most</w:t>
      </w:r>
      <w:r w:rsidRPr="008838CC">
        <w:rPr>
          <w:rFonts w:ascii="Verdana" w:hAnsi="Verdana"/>
          <w:sz w:val="17"/>
          <w:szCs w:val="17"/>
        </w:rPr>
        <w:t xml:space="preserve"> 6-8% of the capital base would already lead to a lower CoC rate than the one derived from the CAPM, </w:t>
      </w:r>
      <w:r w:rsidR="00A93546" w:rsidRPr="008838CC">
        <w:rPr>
          <w:rFonts w:ascii="Verdana" w:hAnsi="Verdana"/>
          <w:sz w:val="17"/>
          <w:szCs w:val="17"/>
        </w:rPr>
        <w:t>where</w:t>
      </w:r>
      <w:r w:rsidRPr="008838CC">
        <w:rPr>
          <w:rFonts w:ascii="Verdana" w:hAnsi="Verdana"/>
          <w:sz w:val="17"/>
          <w:szCs w:val="17"/>
        </w:rPr>
        <w:t xml:space="preserve"> 100% equity funding</w:t>
      </w:r>
      <w:r w:rsidR="00A93546" w:rsidRPr="008838CC">
        <w:rPr>
          <w:rFonts w:ascii="Verdana" w:hAnsi="Verdana"/>
          <w:sz w:val="17"/>
          <w:szCs w:val="17"/>
        </w:rPr>
        <w:t xml:space="preserve"> is assumed.</w:t>
      </w:r>
    </w:p>
    <w:p w14:paraId="50D85C43" w14:textId="42E8E78D" w:rsidR="00831203" w:rsidRPr="008838CC" w:rsidRDefault="00677836" w:rsidP="002D3C64">
      <w:pPr>
        <w:autoSpaceDE w:val="0"/>
        <w:autoSpaceDN w:val="0"/>
        <w:adjustRightInd w:val="0"/>
        <w:spacing w:before="120"/>
        <w:rPr>
          <w:rFonts w:ascii="Verdana" w:hAnsi="Verdana" w:cstheme="minorHAnsi"/>
          <w:sz w:val="17"/>
          <w:szCs w:val="17"/>
        </w:rPr>
      </w:pPr>
      <w:r w:rsidRPr="008838CC">
        <w:rPr>
          <w:rFonts w:ascii="Verdana" w:hAnsi="Verdana" w:cstheme="minorHAnsi"/>
          <w:sz w:val="17"/>
          <w:szCs w:val="17"/>
        </w:rPr>
        <w:t>Secon</w:t>
      </w:r>
      <w:r w:rsidR="00A93546" w:rsidRPr="008838CC">
        <w:rPr>
          <w:rFonts w:ascii="Verdana" w:hAnsi="Verdana" w:cstheme="minorHAnsi"/>
          <w:sz w:val="17"/>
          <w:szCs w:val="17"/>
        </w:rPr>
        <w:t>dl</w:t>
      </w:r>
      <w:r w:rsidRPr="008838CC">
        <w:rPr>
          <w:rFonts w:ascii="Verdana" w:hAnsi="Verdana" w:cstheme="minorHAnsi"/>
          <w:sz w:val="17"/>
          <w:szCs w:val="17"/>
        </w:rPr>
        <w:t xml:space="preserve">y, </w:t>
      </w:r>
      <w:r w:rsidR="002D3C64" w:rsidRPr="008838CC">
        <w:rPr>
          <w:rFonts w:ascii="Verdana" w:hAnsi="Verdana" w:cstheme="minorHAnsi"/>
          <w:sz w:val="17"/>
          <w:szCs w:val="17"/>
        </w:rPr>
        <w:t>Insurance Europe believes that the reference to the QIS</w:t>
      </w:r>
      <w:r w:rsidR="004C6278" w:rsidRPr="008838CC">
        <w:rPr>
          <w:rFonts w:ascii="Verdana" w:hAnsi="Verdana" w:cstheme="minorHAnsi"/>
          <w:sz w:val="17"/>
          <w:szCs w:val="17"/>
        </w:rPr>
        <w:t xml:space="preserve"> </w:t>
      </w:r>
      <w:r w:rsidR="002D3C64" w:rsidRPr="008838CC">
        <w:rPr>
          <w:rFonts w:ascii="Verdana" w:hAnsi="Verdana" w:cstheme="minorHAnsi"/>
          <w:sz w:val="17"/>
          <w:szCs w:val="17"/>
        </w:rPr>
        <w:t>4 exercise is out of date, as in the meantime</w:t>
      </w:r>
      <w:r w:rsidR="0045489C" w:rsidRPr="008838CC">
        <w:rPr>
          <w:rFonts w:ascii="Verdana" w:hAnsi="Verdana" w:cstheme="minorHAnsi"/>
          <w:sz w:val="17"/>
          <w:szCs w:val="17"/>
        </w:rPr>
        <w:t xml:space="preserve"> </w:t>
      </w:r>
      <w:r w:rsidR="002D3C64" w:rsidRPr="008838CC">
        <w:rPr>
          <w:rFonts w:ascii="Verdana" w:hAnsi="Verdana" w:cstheme="minorHAnsi"/>
          <w:sz w:val="17"/>
          <w:szCs w:val="17"/>
        </w:rPr>
        <w:t>Solv</w:t>
      </w:r>
      <w:r w:rsidR="00F8768C" w:rsidRPr="008838CC">
        <w:rPr>
          <w:rFonts w:ascii="Verdana" w:hAnsi="Verdana" w:cstheme="minorHAnsi"/>
          <w:sz w:val="17"/>
          <w:szCs w:val="17"/>
        </w:rPr>
        <w:t xml:space="preserve">ency II has entered into force and the contribution of debt financing on the CoC rate is clearly underestimated. </w:t>
      </w:r>
      <w:r w:rsidR="00831203" w:rsidRPr="008838CC">
        <w:rPr>
          <w:rFonts w:ascii="Verdana" w:hAnsi="Verdana" w:cstheme="minorHAnsi"/>
          <w:sz w:val="17"/>
          <w:szCs w:val="17"/>
        </w:rPr>
        <w:t xml:space="preserve">The figures in the table show that for large insurance groups subordinated liabilities can represent more than 20%, and even more than 30% of the total eligible own funds. </w:t>
      </w:r>
      <w:r w:rsidR="00A93546" w:rsidRPr="008838CC">
        <w:rPr>
          <w:rFonts w:ascii="Verdana" w:hAnsi="Verdana" w:cstheme="minorHAnsi"/>
          <w:sz w:val="17"/>
          <w:szCs w:val="17"/>
        </w:rPr>
        <w:t>While</w:t>
      </w:r>
      <w:r w:rsidR="00831203" w:rsidRPr="008838CC">
        <w:rPr>
          <w:rFonts w:ascii="Verdana" w:hAnsi="Verdana" w:cstheme="minorHAnsi"/>
          <w:sz w:val="17"/>
          <w:szCs w:val="17"/>
        </w:rPr>
        <w:t xml:space="preserve"> it is mostly these </w:t>
      </w:r>
      <w:r w:rsidR="002D3C64" w:rsidRPr="008838CC">
        <w:rPr>
          <w:rFonts w:ascii="Verdana" w:hAnsi="Verdana" w:cstheme="minorHAnsi"/>
          <w:sz w:val="17"/>
          <w:szCs w:val="17"/>
        </w:rPr>
        <w:t xml:space="preserve">larger </w:t>
      </w:r>
      <w:r w:rsidR="00831203" w:rsidRPr="008838CC">
        <w:rPr>
          <w:rFonts w:ascii="Verdana" w:hAnsi="Verdana" w:cstheme="minorHAnsi"/>
          <w:sz w:val="17"/>
          <w:szCs w:val="17"/>
        </w:rPr>
        <w:t xml:space="preserve">insurance </w:t>
      </w:r>
      <w:r w:rsidR="002D3C64" w:rsidRPr="008838CC">
        <w:rPr>
          <w:rFonts w:ascii="Verdana" w:hAnsi="Verdana" w:cstheme="minorHAnsi"/>
          <w:sz w:val="17"/>
          <w:szCs w:val="17"/>
        </w:rPr>
        <w:t xml:space="preserve">groups </w:t>
      </w:r>
      <w:r w:rsidR="00831203" w:rsidRPr="008838CC">
        <w:rPr>
          <w:rFonts w:ascii="Verdana" w:hAnsi="Verdana" w:cstheme="minorHAnsi"/>
          <w:sz w:val="17"/>
          <w:szCs w:val="17"/>
        </w:rPr>
        <w:t>that</w:t>
      </w:r>
      <w:r w:rsidR="002D3C64" w:rsidRPr="008838CC">
        <w:rPr>
          <w:rFonts w:ascii="Verdana" w:hAnsi="Verdana" w:cstheme="minorHAnsi"/>
          <w:sz w:val="17"/>
          <w:szCs w:val="17"/>
        </w:rPr>
        <w:t xml:space="preserve"> hold the most significant amounts of risk margin</w:t>
      </w:r>
      <w:r w:rsidR="00831203" w:rsidRPr="008838CC">
        <w:rPr>
          <w:rFonts w:ascii="Verdana" w:hAnsi="Verdana" w:cstheme="minorHAnsi"/>
          <w:sz w:val="17"/>
          <w:szCs w:val="17"/>
        </w:rPr>
        <w:t>.</w:t>
      </w:r>
      <w:r w:rsidR="002D3C64" w:rsidRPr="008838CC">
        <w:rPr>
          <w:rFonts w:ascii="Verdana" w:hAnsi="Verdana" w:cstheme="minorHAnsi"/>
          <w:sz w:val="17"/>
          <w:szCs w:val="17"/>
        </w:rPr>
        <w:t xml:space="preserve"> </w:t>
      </w:r>
    </w:p>
    <w:p w14:paraId="24455625" w14:textId="55B96B40" w:rsidR="002D3C64" w:rsidRPr="008838CC" w:rsidRDefault="002D3C64" w:rsidP="002D3C64">
      <w:pPr>
        <w:autoSpaceDE w:val="0"/>
        <w:autoSpaceDN w:val="0"/>
        <w:adjustRightInd w:val="0"/>
        <w:spacing w:before="120"/>
        <w:rPr>
          <w:rFonts w:ascii="Verdana" w:hAnsi="Verdana" w:cstheme="minorHAnsi"/>
          <w:sz w:val="17"/>
          <w:szCs w:val="17"/>
        </w:rPr>
      </w:pPr>
      <w:r w:rsidRPr="008838CC">
        <w:rPr>
          <w:rFonts w:ascii="Verdana" w:hAnsi="Verdana" w:cstheme="minorHAnsi"/>
          <w:sz w:val="17"/>
          <w:szCs w:val="17"/>
        </w:rPr>
        <w:t xml:space="preserve">Currently, this situation reflects the effect of transitional measures </w:t>
      </w:r>
      <w:r w:rsidR="004C6278" w:rsidRPr="008838CC">
        <w:rPr>
          <w:rFonts w:ascii="Verdana" w:hAnsi="Verdana" w:cstheme="minorHAnsi"/>
          <w:sz w:val="17"/>
          <w:szCs w:val="17"/>
        </w:rPr>
        <w:t>and</w:t>
      </w:r>
      <w:r w:rsidRPr="008838CC">
        <w:rPr>
          <w:rFonts w:ascii="Verdana" w:hAnsi="Verdana" w:cstheme="minorHAnsi"/>
          <w:sz w:val="17"/>
          <w:szCs w:val="17"/>
        </w:rPr>
        <w:t xml:space="preserve"> there is no reason to assume that the share of debt financing will reduce in the future and that the transitioned instruments will not be replaced by Solvency II compliant instruments</w:t>
      </w:r>
      <w:r w:rsidRPr="008838CC">
        <w:rPr>
          <w:rStyle w:val="Odkaznapoznmkupodiarou"/>
          <w:rFonts w:ascii="Verdana" w:hAnsi="Verdana" w:cstheme="minorHAnsi"/>
          <w:sz w:val="17"/>
          <w:szCs w:val="17"/>
        </w:rPr>
        <w:footnoteReference w:id="3"/>
      </w:r>
      <w:r w:rsidRPr="008838CC">
        <w:rPr>
          <w:rFonts w:ascii="Verdana" w:hAnsi="Verdana" w:cstheme="minorHAnsi"/>
          <w:sz w:val="17"/>
          <w:szCs w:val="17"/>
        </w:rPr>
        <w:t xml:space="preserve">. (In the same way, it is not realistic to consider that 95% of own funds are classified as </w:t>
      </w:r>
      <w:r w:rsidR="00744A3E" w:rsidRPr="008838CC">
        <w:rPr>
          <w:rFonts w:ascii="Verdana" w:hAnsi="Verdana" w:cstheme="minorHAnsi"/>
          <w:sz w:val="17"/>
          <w:szCs w:val="17"/>
        </w:rPr>
        <w:t>T</w:t>
      </w:r>
      <w:r w:rsidRPr="008838CC">
        <w:rPr>
          <w:rFonts w:ascii="Verdana" w:hAnsi="Verdana" w:cstheme="minorHAnsi"/>
          <w:sz w:val="17"/>
          <w:szCs w:val="17"/>
        </w:rPr>
        <w:t xml:space="preserve">ier 1 capital, or that only 2% of </w:t>
      </w:r>
      <w:r w:rsidR="00744A3E" w:rsidRPr="008838CC">
        <w:rPr>
          <w:rFonts w:ascii="Verdana" w:hAnsi="Verdana" w:cstheme="minorHAnsi"/>
          <w:sz w:val="17"/>
          <w:szCs w:val="17"/>
        </w:rPr>
        <w:t>T</w:t>
      </w:r>
      <w:r w:rsidRPr="008838CC">
        <w:rPr>
          <w:rFonts w:ascii="Verdana" w:hAnsi="Verdana" w:cstheme="minorHAnsi"/>
          <w:sz w:val="17"/>
          <w:szCs w:val="17"/>
        </w:rPr>
        <w:t>ier 1 capital is made of “subordinated loans” whereas Solvency II allows the use of subordinated liabilities up to 20% of T</w:t>
      </w:r>
      <w:r w:rsidR="00744A3E" w:rsidRPr="008838CC">
        <w:rPr>
          <w:rFonts w:ascii="Verdana" w:hAnsi="Verdana" w:cstheme="minorHAnsi"/>
          <w:sz w:val="17"/>
          <w:szCs w:val="17"/>
        </w:rPr>
        <w:t xml:space="preserve">ier </w:t>
      </w:r>
      <w:r w:rsidRPr="008838CC">
        <w:rPr>
          <w:rFonts w:ascii="Verdana" w:hAnsi="Verdana" w:cstheme="minorHAnsi"/>
          <w:sz w:val="17"/>
          <w:szCs w:val="17"/>
        </w:rPr>
        <w:t>1 eligible own funds and no limit applies to the use of subordinated liabilities in T</w:t>
      </w:r>
      <w:r w:rsidR="00744A3E" w:rsidRPr="008838CC">
        <w:rPr>
          <w:rFonts w:ascii="Verdana" w:hAnsi="Verdana" w:cstheme="minorHAnsi"/>
          <w:sz w:val="17"/>
          <w:szCs w:val="17"/>
        </w:rPr>
        <w:t xml:space="preserve">ier </w:t>
      </w:r>
      <w:r w:rsidRPr="008838CC">
        <w:rPr>
          <w:rFonts w:ascii="Verdana" w:hAnsi="Verdana" w:cstheme="minorHAnsi"/>
          <w:sz w:val="17"/>
          <w:szCs w:val="17"/>
        </w:rPr>
        <w:t xml:space="preserve">2 capital). </w:t>
      </w:r>
    </w:p>
    <w:p w14:paraId="1306963F" w14:textId="77777777" w:rsidR="002D3C64" w:rsidRPr="008838CC" w:rsidRDefault="002D3C64" w:rsidP="002D3C64">
      <w:pPr>
        <w:pStyle w:val="Odsekzoznamu"/>
        <w:autoSpaceDE w:val="0"/>
        <w:autoSpaceDN w:val="0"/>
        <w:adjustRightInd w:val="0"/>
        <w:ind w:left="360"/>
        <w:jc w:val="center"/>
        <w:rPr>
          <w:b/>
          <w:sz w:val="17"/>
          <w:szCs w:val="17"/>
        </w:rPr>
      </w:pPr>
      <w:r w:rsidRPr="008838CC">
        <w:rPr>
          <w:b/>
          <w:sz w:val="17"/>
          <w:szCs w:val="17"/>
        </w:rPr>
        <w:t>Share of subordinated T1 and T2 Own funds in Total Eligible Own funds of large EEA insurance groups</w:t>
      </w:r>
    </w:p>
    <w:tbl>
      <w:tblPr>
        <w:tblW w:w="6874" w:type="dxa"/>
        <w:jc w:val="center"/>
        <w:tblCellMar>
          <w:left w:w="70" w:type="dxa"/>
          <w:right w:w="70" w:type="dxa"/>
        </w:tblCellMar>
        <w:tblLook w:val="04A0" w:firstRow="1" w:lastRow="0" w:firstColumn="1" w:lastColumn="0" w:noHBand="0" w:noVBand="1"/>
      </w:tblPr>
      <w:tblGrid>
        <w:gridCol w:w="2263"/>
        <w:gridCol w:w="550"/>
        <w:gridCol w:w="696"/>
        <w:gridCol w:w="675"/>
        <w:gridCol w:w="640"/>
        <w:gridCol w:w="640"/>
        <w:gridCol w:w="640"/>
        <w:gridCol w:w="1000"/>
      </w:tblGrid>
      <w:tr w:rsidR="002D3C64" w:rsidRPr="008838CC" w14:paraId="4F7CD72C" w14:textId="77777777" w:rsidTr="00EB7D9F">
        <w:trPr>
          <w:trHeight w:val="20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EA954" w14:textId="77777777" w:rsidR="002D3C64" w:rsidRPr="008838CC" w:rsidRDefault="002D3C64" w:rsidP="00EB7D9F">
            <w:pPr>
              <w:jc w:val="center"/>
              <w:rPr>
                <w:rFonts w:ascii="Verdana" w:hAnsi="Verdana" w:cs="Arial"/>
                <w:color w:val="000000"/>
                <w:sz w:val="17"/>
                <w:szCs w:val="17"/>
                <w:lang w:val="en-US" w:eastAsia="fr-FR"/>
              </w:rPr>
            </w:pP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372EF6D"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AXA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B5828CD"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Allianz</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0221239"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Aegon</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621CEB3"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Aviva plc</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A03997E"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NN</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7246944"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CNP</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3AE71E29"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Prudential PLC</w:t>
            </w:r>
          </w:p>
        </w:tc>
      </w:tr>
      <w:tr w:rsidR="002D3C64" w:rsidRPr="008838CC" w14:paraId="15D7C12A" w14:textId="77777777" w:rsidTr="00EB7D9F">
        <w:trPr>
          <w:trHeight w:val="204"/>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3578961" w14:textId="77777777" w:rsidR="002D3C64" w:rsidRPr="008838CC" w:rsidRDefault="002D3C64" w:rsidP="00EB7D9F">
            <w:pPr>
              <w:jc w:val="center"/>
              <w:rPr>
                <w:rFonts w:ascii="Verdana" w:hAnsi="Verdana" w:cs="Arial"/>
                <w:color w:val="000000"/>
                <w:sz w:val="17"/>
                <w:szCs w:val="17"/>
                <w:lang w:val="en-US" w:eastAsia="fr-FR"/>
              </w:rPr>
            </w:pPr>
            <w:r w:rsidRPr="008838CC">
              <w:rPr>
                <w:rFonts w:ascii="Verdana" w:hAnsi="Verdana" w:cs="Arial"/>
                <w:color w:val="000000"/>
                <w:sz w:val="17"/>
                <w:szCs w:val="17"/>
                <w:lang w:val="en-US" w:eastAsia="fr-FR"/>
              </w:rPr>
              <w:t>Subordinated T1 &amp; T2 OF / Total EOF*</w:t>
            </w:r>
          </w:p>
        </w:tc>
        <w:tc>
          <w:tcPr>
            <w:tcW w:w="550" w:type="dxa"/>
            <w:tcBorders>
              <w:top w:val="nil"/>
              <w:left w:val="nil"/>
              <w:bottom w:val="single" w:sz="4" w:space="0" w:color="auto"/>
              <w:right w:val="single" w:sz="4" w:space="0" w:color="auto"/>
            </w:tcBorders>
            <w:shd w:val="clear" w:color="auto" w:fill="auto"/>
            <w:noWrap/>
            <w:vAlign w:val="bottom"/>
            <w:hideMark/>
          </w:tcPr>
          <w:p w14:paraId="503E1246"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30%</w:t>
            </w:r>
          </w:p>
        </w:tc>
        <w:tc>
          <w:tcPr>
            <w:tcW w:w="640" w:type="dxa"/>
            <w:tcBorders>
              <w:top w:val="nil"/>
              <w:left w:val="nil"/>
              <w:bottom w:val="single" w:sz="4" w:space="0" w:color="auto"/>
              <w:right w:val="single" w:sz="4" w:space="0" w:color="auto"/>
            </w:tcBorders>
            <w:shd w:val="clear" w:color="auto" w:fill="auto"/>
            <w:noWrap/>
            <w:vAlign w:val="bottom"/>
            <w:hideMark/>
          </w:tcPr>
          <w:p w14:paraId="784FDE91"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19%</w:t>
            </w:r>
          </w:p>
        </w:tc>
        <w:tc>
          <w:tcPr>
            <w:tcW w:w="640" w:type="dxa"/>
            <w:tcBorders>
              <w:top w:val="nil"/>
              <w:left w:val="nil"/>
              <w:bottom w:val="single" w:sz="4" w:space="0" w:color="auto"/>
              <w:right w:val="single" w:sz="4" w:space="0" w:color="auto"/>
            </w:tcBorders>
            <w:shd w:val="clear" w:color="auto" w:fill="auto"/>
            <w:noWrap/>
            <w:vAlign w:val="bottom"/>
            <w:hideMark/>
          </w:tcPr>
          <w:p w14:paraId="2B1A6A65"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32%</w:t>
            </w:r>
          </w:p>
        </w:tc>
        <w:tc>
          <w:tcPr>
            <w:tcW w:w="640" w:type="dxa"/>
            <w:tcBorders>
              <w:top w:val="nil"/>
              <w:left w:val="nil"/>
              <w:bottom w:val="single" w:sz="4" w:space="0" w:color="auto"/>
              <w:right w:val="single" w:sz="4" w:space="0" w:color="auto"/>
            </w:tcBorders>
            <w:shd w:val="clear" w:color="auto" w:fill="auto"/>
            <w:noWrap/>
            <w:vAlign w:val="bottom"/>
            <w:hideMark/>
          </w:tcPr>
          <w:p w14:paraId="2F707923"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33%</w:t>
            </w:r>
          </w:p>
        </w:tc>
        <w:tc>
          <w:tcPr>
            <w:tcW w:w="640" w:type="dxa"/>
            <w:tcBorders>
              <w:top w:val="nil"/>
              <w:left w:val="nil"/>
              <w:bottom w:val="single" w:sz="4" w:space="0" w:color="auto"/>
              <w:right w:val="single" w:sz="4" w:space="0" w:color="auto"/>
            </w:tcBorders>
            <w:shd w:val="clear" w:color="auto" w:fill="auto"/>
            <w:noWrap/>
            <w:vAlign w:val="bottom"/>
            <w:hideMark/>
          </w:tcPr>
          <w:p w14:paraId="08E40265"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22%</w:t>
            </w:r>
          </w:p>
        </w:tc>
        <w:tc>
          <w:tcPr>
            <w:tcW w:w="640" w:type="dxa"/>
            <w:tcBorders>
              <w:top w:val="nil"/>
              <w:left w:val="nil"/>
              <w:bottom w:val="single" w:sz="4" w:space="0" w:color="auto"/>
              <w:right w:val="single" w:sz="4" w:space="0" w:color="auto"/>
            </w:tcBorders>
            <w:shd w:val="clear" w:color="auto" w:fill="auto"/>
            <w:noWrap/>
            <w:vAlign w:val="bottom"/>
            <w:hideMark/>
          </w:tcPr>
          <w:p w14:paraId="2E3C8587"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29%</w:t>
            </w:r>
          </w:p>
        </w:tc>
        <w:tc>
          <w:tcPr>
            <w:tcW w:w="861" w:type="dxa"/>
            <w:tcBorders>
              <w:top w:val="nil"/>
              <w:left w:val="nil"/>
              <w:bottom w:val="single" w:sz="4" w:space="0" w:color="auto"/>
              <w:right w:val="single" w:sz="4" w:space="0" w:color="auto"/>
            </w:tcBorders>
            <w:shd w:val="clear" w:color="auto" w:fill="auto"/>
            <w:noWrap/>
            <w:vAlign w:val="bottom"/>
            <w:hideMark/>
          </w:tcPr>
          <w:p w14:paraId="62DB65A8" w14:textId="77777777" w:rsidR="002D3C64" w:rsidRPr="008838CC" w:rsidRDefault="002D3C64" w:rsidP="00EB7D9F">
            <w:pPr>
              <w:jc w:val="center"/>
              <w:rPr>
                <w:rFonts w:ascii="Verdana" w:hAnsi="Verdana" w:cs="Arial"/>
                <w:color w:val="000000"/>
                <w:sz w:val="17"/>
                <w:szCs w:val="17"/>
                <w:lang w:eastAsia="fr-FR"/>
              </w:rPr>
            </w:pPr>
            <w:r w:rsidRPr="008838CC">
              <w:rPr>
                <w:rFonts w:ascii="Verdana" w:hAnsi="Verdana" w:cs="Arial"/>
                <w:color w:val="000000"/>
                <w:sz w:val="17"/>
                <w:szCs w:val="17"/>
                <w:lang w:eastAsia="fr-FR"/>
              </w:rPr>
              <w:t>21%</w:t>
            </w:r>
          </w:p>
        </w:tc>
      </w:tr>
    </w:tbl>
    <w:p w14:paraId="111A27A6" w14:textId="77777777" w:rsidR="002D3C64" w:rsidRPr="008838CC" w:rsidRDefault="002D3C64" w:rsidP="002D3C64">
      <w:pPr>
        <w:autoSpaceDE w:val="0"/>
        <w:autoSpaceDN w:val="0"/>
        <w:adjustRightInd w:val="0"/>
        <w:ind w:left="720" w:firstLine="720"/>
        <w:rPr>
          <w:rFonts w:ascii="Verdana" w:hAnsi="Verdana" w:cs="Calibri"/>
          <w:i/>
          <w:sz w:val="17"/>
          <w:szCs w:val="17"/>
          <w:lang w:eastAsia="en-US"/>
        </w:rPr>
      </w:pPr>
      <w:r w:rsidRPr="008838CC">
        <w:rPr>
          <w:rFonts w:ascii="Verdana" w:hAnsi="Verdana" w:cs="Calibri"/>
          <w:i/>
          <w:sz w:val="17"/>
          <w:szCs w:val="17"/>
          <w:lang w:eastAsia="en-US"/>
        </w:rPr>
        <w:t>* Including other financial sector and D&amp;A entities</w:t>
      </w:r>
    </w:p>
    <w:p w14:paraId="4509267B" w14:textId="77777777" w:rsidR="00A95013" w:rsidRPr="008838CC" w:rsidRDefault="00A95013" w:rsidP="002D3C64">
      <w:pPr>
        <w:rPr>
          <w:rFonts w:ascii="Verdana" w:hAnsi="Verdana" w:cstheme="minorHAnsi"/>
          <w:sz w:val="17"/>
          <w:szCs w:val="17"/>
        </w:rPr>
      </w:pPr>
    </w:p>
    <w:p w14:paraId="2CF0CE89" w14:textId="28053B9C" w:rsidR="00996517" w:rsidRPr="008838CC" w:rsidRDefault="00CE4E2A" w:rsidP="00996517">
      <w:pPr>
        <w:rPr>
          <w:rFonts w:ascii="Verdana" w:hAnsi="Verdana" w:cstheme="minorHAnsi"/>
          <w:sz w:val="17"/>
          <w:szCs w:val="17"/>
        </w:rPr>
      </w:pPr>
      <w:r w:rsidRPr="008838CC">
        <w:rPr>
          <w:rFonts w:ascii="Verdana" w:hAnsi="Verdana" w:cstheme="minorHAnsi"/>
          <w:sz w:val="17"/>
          <w:szCs w:val="17"/>
        </w:rPr>
        <w:t>Equity funding is the most expensive form of capital</w:t>
      </w:r>
      <w:r w:rsidR="00744A3E" w:rsidRPr="008838CC">
        <w:rPr>
          <w:rFonts w:ascii="Verdana" w:hAnsi="Verdana" w:cstheme="minorHAnsi"/>
          <w:sz w:val="17"/>
          <w:szCs w:val="17"/>
        </w:rPr>
        <w:t xml:space="preserve"> and</w:t>
      </w:r>
      <w:r w:rsidRPr="008838CC">
        <w:rPr>
          <w:rFonts w:ascii="Verdana" w:hAnsi="Verdana" w:cstheme="minorHAnsi"/>
          <w:sz w:val="17"/>
          <w:szCs w:val="17"/>
        </w:rPr>
        <w:t xml:space="preserve"> </w:t>
      </w:r>
      <w:r w:rsidR="00744A3E" w:rsidRPr="008838CC">
        <w:rPr>
          <w:rFonts w:ascii="Verdana" w:hAnsi="Verdana" w:cstheme="minorHAnsi"/>
          <w:sz w:val="17"/>
          <w:szCs w:val="17"/>
        </w:rPr>
        <w:t>i</w:t>
      </w:r>
      <w:r w:rsidRPr="008838CC">
        <w:rPr>
          <w:rFonts w:ascii="Verdana" w:hAnsi="Verdana" w:cstheme="minorHAnsi"/>
          <w:sz w:val="17"/>
          <w:szCs w:val="17"/>
        </w:rPr>
        <w:t xml:space="preserve">n practice insurers use also </w:t>
      </w:r>
      <w:r w:rsidR="00996517" w:rsidRPr="008838CC">
        <w:rPr>
          <w:rFonts w:ascii="Verdana" w:hAnsi="Verdana" w:cstheme="minorHAnsi"/>
          <w:sz w:val="17"/>
          <w:szCs w:val="17"/>
        </w:rPr>
        <w:t>other</w:t>
      </w:r>
      <w:r w:rsidRPr="008838CC">
        <w:rPr>
          <w:rFonts w:ascii="Verdana" w:hAnsi="Verdana" w:cstheme="minorHAnsi"/>
          <w:sz w:val="17"/>
          <w:szCs w:val="17"/>
        </w:rPr>
        <w:t xml:space="preserve"> capital instruments (and are authorized to use subordinated liabilities to finance up to 70% of their eligible capital, depending on the structure by tiers of their capital). Consequently, assuming 100% equity funding will overestimate the level of the CoC rate</w:t>
      </w:r>
      <w:r w:rsidR="00996517" w:rsidRPr="008838CC">
        <w:rPr>
          <w:rFonts w:ascii="Verdana" w:hAnsi="Verdana" w:cstheme="minorHAnsi"/>
          <w:sz w:val="17"/>
          <w:szCs w:val="17"/>
        </w:rPr>
        <w:t>.</w:t>
      </w:r>
      <w:r w:rsidRPr="008838CC">
        <w:rPr>
          <w:rFonts w:ascii="Verdana" w:hAnsi="Verdana" w:cstheme="minorHAnsi"/>
          <w:sz w:val="17"/>
          <w:szCs w:val="17"/>
        </w:rPr>
        <w:t xml:space="preserve"> </w:t>
      </w:r>
      <w:r w:rsidR="00996517" w:rsidRPr="008838CC">
        <w:rPr>
          <w:rFonts w:ascii="Verdana" w:hAnsi="Verdana" w:cstheme="minorHAnsi"/>
          <w:sz w:val="17"/>
          <w:szCs w:val="17"/>
        </w:rPr>
        <w:t>Against this background, it seems arbitrary to impose a</w:t>
      </w:r>
      <w:r w:rsidRPr="008838CC">
        <w:rPr>
          <w:rFonts w:ascii="Verdana" w:hAnsi="Verdana" w:cstheme="minorHAnsi"/>
          <w:sz w:val="17"/>
          <w:szCs w:val="17"/>
        </w:rPr>
        <w:t xml:space="preserve"> calibration </w:t>
      </w:r>
      <w:r w:rsidR="00996517" w:rsidRPr="008838CC">
        <w:rPr>
          <w:rFonts w:ascii="Verdana" w:hAnsi="Verdana" w:cstheme="minorHAnsi"/>
          <w:sz w:val="17"/>
          <w:szCs w:val="17"/>
        </w:rPr>
        <w:t>based on only one type of financing where regulation explicitly allows another type of financing and</w:t>
      </w:r>
      <w:r w:rsidRPr="008838CC">
        <w:rPr>
          <w:rFonts w:ascii="Verdana" w:hAnsi="Verdana" w:cstheme="minorHAnsi"/>
          <w:sz w:val="17"/>
          <w:szCs w:val="17"/>
        </w:rPr>
        <w:t xml:space="preserve"> insurers </w:t>
      </w:r>
      <w:r w:rsidR="00996517" w:rsidRPr="008838CC">
        <w:rPr>
          <w:rFonts w:ascii="Verdana" w:hAnsi="Verdana" w:cstheme="minorHAnsi"/>
          <w:sz w:val="17"/>
          <w:szCs w:val="17"/>
        </w:rPr>
        <w:t>use it in practice.</w:t>
      </w:r>
    </w:p>
    <w:p w14:paraId="37B58878" w14:textId="3B632173" w:rsidR="00CE4E2A" w:rsidRPr="008838CC" w:rsidRDefault="00CE4E2A" w:rsidP="00CE4E2A">
      <w:pPr>
        <w:rPr>
          <w:rFonts w:ascii="Verdana" w:hAnsi="Verdana" w:cstheme="minorHAnsi"/>
          <w:sz w:val="17"/>
          <w:szCs w:val="17"/>
        </w:rPr>
      </w:pPr>
    </w:p>
    <w:p w14:paraId="29EEB39B" w14:textId="77777777" w:rsidR="00A8582F" w:rsidRPr="008838CC" w:rsidRDefault="00A8582F" w:rsidP="002D3C64">
      <w:pPr>
        <w:rPr>
          <w:rFonts w:ascii="Verdana" w:hAnsi="Verdana" w:cstheme="minorHAnsi"/>
          <w:b/>
          <w:i/>
          <w:sz w:val="17"/>
          <w:szCs w:val="17"/>
        </w:rPr>
      </w:pPr>
    </w:p>
    <w:p w14:paraId="1153030E" w14:textId="5502CF15" w:rsidR="00A95013" w:rsidRPr="008838CC" w:rsidRDefault="00A95013" w:rsidP="002D3C64">
      <w:pPr>
        <w:rPr>
          <w:rFonts w:ascii="Verdana" w:hAnsi="Verdana" w:cstheme="minorHAnsi"/>
          <w:b/>
          <w:i/>
          <w:sz w:val="17"/>
          <w:szCs w:val="17"/>
        </w:rPr>
      </w:pPr>
      <w:r w:rsidRPr="008838CC">
        <w:rPr>
          <w:rFonts w:ascii="Verdana" w:hAnsi="Verdana" w:cstheme="minorHAnsi"/>
          <w:b/>
          <w:i/>
          <w:sz w:val="17"/>
          <w:szCs w:val="17"/>
        </w:rPr>
        <w:t>Equity risk premium</w:t>
      </w:r>
      <w:r w:rsidR="00344B3D" w:rsidRPr="008838CC">
        <w:rPr>
          <w:rStyle w:val="Odkaznapoznmkupodiarou"/>
          <w:rFonts w:ascii="Verdana" w:hAnsi="Verdana" w:cstheme="minorHAnsi"/>
          <w:sz w:val="17"/>
          <w:szCs w:val="17"/>
        </w:rPr>
        <w:footnoteReference w:id="4"/>
      </w:r>
    </w:p>
    <w:p w14:paraId="4BF9CAD5" w14:textId="77777777" w:rsidR="00F8768C" w:rsidRPr="008838CC" w:rsidRDefault="00F8768C" w:rsidP="002D3C64">
      <w:pPr>
        <w:rPr>
          <w:rFonts w:ascii="Verdana" w:hAnsi="Verdana" w:cstheme="minorHAnsi"/>
          <w:b/>
          <w:i/>
          <w:sz w:val="17"/>
          <w:szCs w:val="17"/>
        </w:rPr>
      </w:pPr>
    </w:p>
    <w:p w14:paraId="23691C06" w14:textId="4FD2259D" w:rsidR="00B17DFA" w:rsidRPr="008838CC" w:rsidRDefault="00420F6C" w:rsidP="002D3C64">
      <w:pPr>
        <w:rPr>
          <w:rFonts w:ascii="Verdana" w:hAnsi="Verdana" w:cstheme="minorHAnsi"/>
          <w:sz w:val="17"/>
          <w:szCs w:val="17"/>
        </w:rPr>
      </w:pPr>
      <w:r w:rsidRPr="008838CC">
        <w:rPr>
          <w:rFonts w:ascii="Verdana" w:hAnsi="Verdana" w:cstheme="minorHAnsi"/>
          <w:b/>
          <w:i/>
          <w:sz w:val="17"/>
          <w:szCs w:val="17"/>
        </w:rPr>
        <w:t>Paragraph 14</w:t>
      </w:r>
      <w:r w:rsidR="0043673B" w:rsidRPr="008838CC">
        <w:rPr>
          <w:rFonts w:ascii="Verdana" w:hAnsi="Verdana" w:cstheme="minorHAnsi"/>
          <w:b/>
          <w:i/>
          <w:sz w:val="17"/>
          <w:szCs w:val="17"/>
        </w:rPr>
        <w:t>29</w:t>
      </w:r>
    </w:p>
    <w:p w14:paraId="69AEF1E2" w14:textId="131A5F05" w:rsidR="00601F8E" w:rsidRPr="008838CC" w:rsidRDefault="00601F8E" w:rsidP="00601F8E">
      <w:pPr>
        <w:rPr>
          <w:rFonts w:ascii="Verdana" w:hAnsi="Verdana" w:cstheme="minorHAnsi"/>
          <w:sz w:val="17"/>
          <w:szCs w:val="17"/>
        </w:rPr>
      </w:pPr>
      <w:r w:rsidRPr="008838CC">
        <w:rPr>
          <w:rFonts w:ascii="Verdana" w:hAnsi="Verdana" w:cstheme="minorHAnsi"/>
          <w:sz w:val="17"/>
          <w:szCs w:val="17"/>
        </w:rPr>
        <w:t xml:space="preserve">EIOPA argues that the methodology to determine CoC should capture all relevant costs, including also share </w:t>
      </w:r>
      <w:commentRangeStart w:id="47"/>
      <w:r w:rsidRPr="008838CC">
        <w:rPr>
          <w:rFonts w:ascii="Verdana" w:hAnsi="Verdana" w:cstheme="minorHAnsi"/>
          <w:sz w:val="17"/>
          <w:szCs w:val="17"/>
        </w:rPr>
        <w:t>buy-backs</w:t>
      </w:r>
      <w:commentRangeEnd w:id="47"/>
      <w:r w:rsidRPr="008838CC">
        <w:rPr>
          <w:rFonts w:ascii="Verdana" w:hAnsi="Verdana" w:cstheme="minorHAnsi"/>
          <w:sz w:val="17"/>
          <w:szCs w:val="17"/>
        </w:rPr>
        <w:commentReference w:id="47"/>
      </w:r>
      <w:r w:rsidRPr="008838CC">
        <w:rPr>
          <w:rFonts w:ascii="Verdana" w:hAnsi="Verdana" w:cstheme="minorHAnsi"/>
          <w:sz w:val="17"/>
          <w:szCs w:val="17"/>
        </w:rPr>
        <w:t xml:space="preserve">. In order to reflect this </w:t>
      </w:r>
      <w:r w:rsidR="00B17DFA" w:rsidRPr="008838CC">
        <w:rPr>
          <w:rFonts w:ascii="Verdana" w:hAnsi="Verdana" w:cstheme="minorHAnsi"/>
          <w:sz w:val="17"/>
          <w:szCs w:val="17"/>
        </w:rPr>
        <w:t xml:space="preserve">EIOPA assumes a 30% proportion of share buy-backs of shareholders‘ total remuneration over the last 10 years, or an uplift factor of 143% to dividends to arrive at the same compensation. </w:t>
      </w:r>
      <w:r w:rsidRPr="008838CC">
        <w:rPr>
          <w:rFonts w:ascii="Verdana" w:hAnsi="Verdana" w:cstheme="minorHAnsi"/>
          <w:sz w:val="17"/>
          <w:szCs w:val="17"/>
        </w:rPr>
        <w:t>Insurance Europe believes that share buy-backs are not part of the standard remuneration expected by shareholders, and believes this should not be reflected in the equity risk premium (ERP).</w:t>
      </w:r>
    </w:p>
    <w:p w14:paraId="5D433787" w14:textId="77777777" w:rsidR="00CB2ADF" w:rsidRPr="008838CC" w:rsidRDefault="00CB2ADF" w:rsidP="00601F8E">
      <w:pPr>
        <w:rPr>
          <w:rFonts w:ascii="Verdana" w:hAnsi="Verdana" w:cstheme="minorHAnsi"/>
          <w:sz w:val="17"/>
          <w:szCs w:val="17"/>
        </w:rPr>
      </w:pPr>
    </w:p>
    <w:p w14:paraId="47600524" w14:textId="2BEA797B" w:rsidR="00601F8E" w:rsidRPr="008838CC" w:rsidRDefault="00601F8E" w:rsidP="00601F8E">
      <w:pPr>
        <w:rPr>
          <w:rFonts w:ascii="Verdana" w:hAnsi="Verdana" w:cstheme="minorHAnsi"/>
          <w:sz w:val="17"/>
          <w:szCs w:val="17"/>
        </w:rPr>
      </w:pPr>
      <w:commentRangeStart w:id="48"/>
      <w:r w:rsidRPr="008838CC">
        <w:rPr>
          <w:rFonts w:ascii="Verdana" w:hAnsi="Verdana" w:cstheme="minorHAnsi"/>
          <w:sz w:val="17"/>
          <w:szCs w:val="17"/>
        </w:rPr>
        <w:t>Insurance Europe notes that the assumption of 30% proportion of share buy-backs is based on US data</w:t>
      </w:r>
      <w:r w:rsidR="00CB2ADF" w:rsidRPr="008838CC">
        <w:rPr>
          <w:rFonts w:ascii="Verdana" w:hAnsi="Verdana" w:cstheme="minorHAnsi"/>
          <w:sz w:val="17"/>
          <w:szCs w:val="17"/>
        </w:rPr>
        <w:t>.</w:t>
      </w:r>
      <w:r w:rsidRPr="008838CC">
        <w:rPr>
          <w:rFonts w:ascii="Verdana" w:hAnsi="Verdana" w:cstheme="minorHAnsi"/>
          <w:sz w:val="17"/>
          <w:szCs w:val="17"/>
        </w:rPr>
        <w:t xml:space="preserve"> </w:t>
      </w:r>
    </w:p>
    <w:commentRangeEnd w:id="48"/>
    <w:p w14:paraId="3E35C3E9" w14:textId="0DB243D3" w:rsidR="00B17DFA" w:rsidRPr="008838CC" w:rsidRDefault="00CB2ADF" w:rsidP="00B17DFA">
      <w:pPr>
        <w:rPr>
          <w:rFonts w:ascii="Verdana" w:hAnsi="Verdana" w:cstheme="minorHAnsi"/>
          <w:sz w:val="17"/>
          <w:szCs w:val="17"/>
        </w:rPr>
      </w:pPr>
      <w:r w:rsidRPr="008838CC">
        <w:rPr>
          <w:rStyle w:val="Odkaznakomentr"/>
          <w:rFonts w:ascii="Verdana" w:hAnsi="Verdana"/>
          <w:sz w:val="17"/>
          <w:szCs w:val="17"/>
        </w:rPr>
        <w:commentReference w:id="48"/>
      </w:r>
    </w:p>
    <w:p w14:paraId="337661D5" w14:textId="1DD79882" w:rsidR="00B17DFA" w:rsidRPr="008838CC" w:rsidRDefault="00B17DFA" w:rsidP="00B17DFA">
      <w:pPr>
        <w:rPr>
          <w:rFonts w:ascii="Verdana" w:hAnsi="Verdana" w:cstheme="minorHAnsi"/>
          <w:sz w:val="17"/>
          <w:szCs w:val="17"/>
        </w:rPr>
      </w:pPr>
    </w:p>
    <w:p w14:paraId="00590F37" w14:textId="38DE06BC" w:rsidR="0043673B" w:rsidRPr="008838CC" w:rsidRDefault="0043673B" w:rsidP="0043673B">
      <w:pPr>
        <w:rPr>
          <w:rFonts w:ascii="Verdana" w:hAnsi="Verdana" w:cstheme="minorHAnsi"/>
          <w:sz w:val="17"/>
          <w:szCs w:val="17"/>
        </w:rPr>
      </w:pPr>
      <w:r w:rsidRPr="008838CC">
        <w:rPr>
          <w:rFonts w:ascii="Verdana" w:hAnsi="Verdana" w:cstheme="minorHAnsi"/>
          <w:b/>
          <w:i/>
          <w:sz w:val="17"/>
          <w:szCs w:val="17"/>
        </w:rPr>
        <w:t>Paragraph 1435</w:t>
      </w:r>
    </w:p>
    <w:p w14:paraId="3518C555" w14:textId="41807D47" w:rsidR="00AB50E3" w:rsidRPr="008838CC" w:rsidRDefault="0043673B" w:rsidP="00B17DFA">
      <w:pPr>
        <w:rPr>
          <w:rFonts w:ascii="Verdana" w:hAnsi="Verdana" w:cstheme="minorHAnsi"/>
          <w:sz w:val="17"/>
          <w:szCs w:val="17"/>
        </w:rPr>
      </w:pPr>
      <w:r w:rsidRPr="008838CC">
        <w:rPr>
          <w:rFonts w:ascii="Verdana" w:hAnsi="Verdana" w:cstheme="minorHAnsi"/>
          <w:sz w:val="17"/>
          <w:szCs w:val="17"/>
        </w:rPr>
        <w:t xml:space="preserve">Insurance Europe appreciates EIOPA’s analysis, </w:t>
      </w:r>
      <w:r w:rsidR="006B45B2" w:rsidRPr="008838CC">
        <w:rPr>
          <w:rFonts w:ascii="Verdana" w:hAnsi="Verdana" w:cstheme="minorHAnsi"/>
          <w:sz w:val="17"/>
          <w:szCs w:val="17"/>
        </w:rPr>
        <w:t>however</w:t>
      </w:r>
      <w:r w:rsidRPr="008838CC">
        <w:rPr>
          <w:rFonts w:ascii="Verdana" w:hAnsi="Verdana" w:cstheme="minorHAnsi"/>
          <w:sz w:val="17"/>
          <w:szCs w:val="17"/>
        </w:rPr>
        <w:t xml:space="preserve"> it believes a forward</w:t>
      </w:r>
      <w:r w:rsidR="00944886" w:rsidRPr="008838CC">
        <w:rPr>
          <w:rFonts w:ascii="Verdana" w:hAnsi="Verdana" w:cstheme="minorHAnsi"/>
          <w:sz w:val="17"/>
          <w:szCs w:val="17"/>
        </w:rPr>
        <w:t>-</w:t>
      </w:r>
      <w:r w:rsidRPr="008838CC">
        <w:rPr>
          <w:rFonts w:ascii="Verdana" w:hAnsi="Verdana" w:cstheme="minorHAnsi"/>
          <w:sz w:val="17"/>
          <w:szCs w:val="17"/>
        </w:rPr>
        <w:t xml:space="preserve">looking </w:t>
      </w:r>
      <w:r w:rsidR="003130F9" w:rsidRPr="008838CC">
        <w:rPr>
          <w:rFonts w:ascii="Verdana" w:hAnsi="Verdana" w:cstheme="minorHAnsi"/>
          <w:sz w:val="17"/>
          <w:szCs w:val="17"/>
        </w:rPr>
        <w:t>ERP is the most appropriate</w:t>
      </w:r>
      <w:r w:rsidR="00AB50E3" w:rsidRPr="008838CC">
        <w:rPr>
          <w:rFonts w:ascii="Verdana" w:hAnsi="Verdana" w:cstheme="minorHAnsi"/>
          <w:sz w:val="17"/>
          <w:szCs w:val="17"/>
        </w:rPr>
        <w:t xml:space="preserve">. A forward-looking ERP is reasonable, as the CoC is the compensation forward-looking investors are requiring for bearing the futire risk of the company. However,  often a backward-looking ERP is used for practical reasons. When this is the case, adjustment should be applied to rectify the effects of using a backward looking ERP rather than a forward-looking ERP. </w:t>
      </w:r>
    </w:p>
    <w:p w14:paraId="58129A43" w14:textId="6CE33D46" w:rsidR="00AB50E3" w:rsidRPr="008838CC" w:rsidRDefault="00AB50E3" w:rsidP="00B17DFA">
      <w:pPr>
        <w:rPr>
          <w:rFonts w:ascii="Verdana" w:hAnsi="Verdana" w:cstheme="minorHAnsi"/>
          <w:sz w:val="17"/>
          <w:szCs w:val="17"/>
        </w:rPr>
      </w:pPr>
    </w:p>
    <w:p w14:paraId="1F1D7C74" w14:textId="48D577F0" w:rsidR="00EB2FEC" w:rsidRPr="008838CC" w:rsidRDefault="00AB50E3" w:rsidP="00B17DFA">
      <w:pPr>
        <w:rPr>
          <w:rFonts w:ascii="Verdana" w:hAnsi="Verdana" w:cstheme="minorHAnsi"/>
          <w:sz w:val="17"/>
          <w:szCs w:val="17"/>
        </w:rPr>
      </w:pPr>
      <w:r w:rsidRPr="008838CC">
        <w:rPr>
          <w:rFonts w:ascii="Verdana" w:hAnsi="Verdana" w:cstheme="minorHAnsi"/>
          <w:sz w:val="17"/>
          <w:szCs w:val="17"/>
        </w:rPr>
        <w:t>From</w:t>
      </w:r>
      <w:r w:rsidR="00EB2FEC" w:rsidRPr="008838CC">
        <w:rPr>
          <w:rFonts w:ascii="Verdana" w:hAnsi="Verdana" w:cstheme="minorHAnsi"/>
          <w:sz w:val="17"/>
          <w:szCs w:val="17"/>
        </w:rPr>
        <w:t xml:space="preserve"> surveying industry studies, a backward-looking assessment of the risk premium for a diversified world equity portfolio would be between 5%-7%</w:t>
      </w:r>
      <w:r w:rsidR="00EB2FEC" w:rsidRPr="008838CC">
        <w:rPr>
          <w:rStyle w:val="Odkaznapoznmkupodiarou"/>
          <w:rFonts w:ascii="Verdana" w:hAnsi="Verdana"/>
          <w:sz w:val="17"/>
          <w:szCs w:val="17"/>
        </w:rPr>
        <w:footnoteReference w:id="5"/>
      </w:r>
      <w:r w:rsidR="00EB2FEC" w:rsidRPr="008838CC">
        <w:rPr>
          <w:rFonts w:ascii="Verdana" w:hAnsi="Verdana" w:cstheme="minorHAnsi"/>
          <w:sz w:val="17"/>
          <w:szCs w:val="17"/>
        </w:rPr>
        <w:t>. However this ERP should be corrected for the following:</w:t>
      </w:r>
    </w:p>
    <w:p w14:paraId="1E444A53" w14:textId="296E1504" w:rsidR="00EB2FEC" w:rsidRPr="008838CC" w:rsidRDefault="00EB2FEC" w:rsidP="008E45C1">
      <w:pPr>
        <w:pStyle w:val="Odsekzoznamu"/>
        <w:numPr>
          <w:ilvl w:val="0"/>
          <w:numId w:val="10"/>
        </w:numPr>
        <w:rPr>
          <w:rFonts w:cstheme="minorHAnsi"/>
          <w:sz w:val="17"/>
          <w:szCs w:val="17"/>
        </w:rPr>
      </w:pPr>
      <w:r w:rsidRPr="008838CC">
        <w:rPr>
          <w:rFonts w:cstheme="minorHAnsi"/>
          <w:sz w:val="17"/>
          <w:szCs w:val="17"/>
        </w:rPr>
        <w:t>The fact that a global diversified portfolio required for deriving an ERP also would contain assets other than equity (eg bond, which have lower risk premiums).</w:t>
      </w:r>
    </w:p>
    <w:p w14:paraId="64B288A9" w14:textId="2743637F" w:rsidR="00AB50E3" w:rsidRPr="008838CC" w:rsidRDefault="00EB2FEC" w:rsidP="008E45C1">
      <w:pPr>
        <w:pStyle w:val="Odsekzoznamu"/>
        <w:numPr>
          <w:ilvl w:val="0"/>
          <w:numId w:val="10"/>
        </w:numPr>
        <w:rPr>
          <w:rFonts w:cstheme="minorHAnsi"/>
          <w:sz w:val="17"/>
          <w:szCs w:val="17"/>
        </w:rPr>
      </w:pPr>
      <w:r w:rsidRPr="008838CC">
        <w:rPr>
          <w:rFonts w:cstheme="minorHAnsi"/>
          <w:sz w:val="17"/>
          <w:szCs w:val="17"/>
        </w:rPr>
        <w:t>And, backward-looking risk premiums contain a stron</w:t>
      </w:r>
      <w:r w:rsidR="00F76034" w:rsidRPr="008838CC">
        <w:rPr>
          <w:rFonts w:cstheme="minorHAnsi"/>
          <w:sz w:val="17"/>
          <w:szCs w:val="17"/>
        </w:rPr>
        <w:t>g</w:t>
      </w:r>
      <w:r w:rsidRPr="008838CC">
        <w:rPr>
          <w:rFonts w:cstheme="minorHAnsi"/>
          <w:sz w:val="17"/>
          <w:szCs w:val="17"/>
        </w:rPr>
        <w:t xml:space="preserve"> survivorship bias. </w:t>
      </w:r>
    </w:p>
    <w:p w14:paraId="5CB0FB6E" w14:textId="04CAF9EB" w:rsidR="00EB2FEC" w:rsidRPr="008838CC" w:rsidRDefault="00EB2FEC" w:rsidP="00EB2FEC">
      <w:pPr>
        <w:rPr>
          <w:rFonts w:ascii="Verdana" w:hAnsi="Verdana" w:cstheme="minorHAnsi"/>
          <w:sz w:val="17"/>
          <w:szCs w:val="17"/>
        </w:rPr>
      </w:pPr>
      <w:r w:rsidRPr="008838CC">
        <w:rPr>
          <w:rFonts w:ascii="Verdana" w:hAnsi="Verdana" w:cstheme="minorHAnsi"/>
          <w:sz w:val="17"/>
          <w:szCs w:val="17"/>
        </w:rPr>
        <w:t xml:space="preserve">Based on studies </w:t>
      </w:r>
      <w:r w:rsidRPr="008838CC">
        <w:rPr>
          <w:rStyle w:val="Odkaznapoznmkupodiarou"/>
          <w:rFonts w:ascii="Verdana" w:hAnsi="Verdana"/>
          <w:sz w:val="17"/>
          <w:szCs w:val="17"/>
        </w:rPr>
        <w:footnoteReference w:id="6"/>
      </w:r>
      <w:r w:rsidRPr="008838CC">
        <w:rPr>
          <w:rFonts w:ascii="Verdana" w:hAnsi="Verdana" w:cstheme="minorHAnsi"/>
          <w:sz w:val="17"/>
          <w:szCs w:val="17"/>
        </w:rPr>
        <w:t xml:space="preserve"> Insurance Europe assumes that a downward adjustment of minimum 2% is reasonable</w:t>
      </w:r>
      <w:r w:rsidR="006B45B2" w:rsidRPr="008838CC">
        <w:rPr>
          <w:rFonts w:ascii="Verdana" w:hAnsi="Verdana" w:cstheme="minorHAnsi"/>
          <w:sz w:val="17"/>
          <w:szCs w:val="17"/>
        </w:rPr>
        <w:t>. Therefore,</w:t>
      </w:r>
      <w:r w:rsidRPr="008838CC">
        <w:rPr>
          <w:rFonts w:ascii="Verdana" w:hAnsi="Verdana" w:cstheme="minorHAnsi"/>
          <w:sz w:val="17"/>
          <w:szCs w:val="17"/>
        </w:rPr>
        <w:t xml:space="preserve"> Insurance Europe proposes </w:t>
      </w:r>
      <w:r w:rsidRPr="008838CC">
        <w:rPr>
          <w:rFonts w:ascii="Verdana" w:hAnsi="Verdana" w:cstheme="minorHAnsi"/>
          <w:b/>
          <w:sz w:val="17"/>
          <w:szCs w:val="17"/>
        </w:rPr>
        <w:t xml:space="preserve">a prudent range for ERP between 4%-5%, </w:t>
      </w:r>
      <w:r w:rsidRPr="008838CC">
        <w:rPr>
          <w:rFonts w:ascii="Verdana" w:hAnsi="Verdana" w:cstheme="minorHAnsi"/>
          <w:sz w:val="17"/>
          <w:szCs w:val="17"/>
        </w:rPr>
        <w:t>which is consistent with the average estimates of forward-looking ERPs from the Thomson Reuters data stream</w:t>
      </w:r>
      <w:r w:rsidRPr="008838CC">
        <w:rPr>
          <w:rStyle w:val="Odkaznapoznmkupodiarou"/>
          <w:rFonts w:ascii="Verdana" w:hAnsi="Verdana"/>
          <w:sz w:val="17"/>
          <w:szCs w:val="17"/>
        </w:rPr>
        <w:footnoteReference w:id="7"/>
      </w:r>
      <w:r w:rsidRPr="008838CC">
        <w:rPr>
          <w:rFonts w:ascii="Verdana" w:hAnsi="Verdana" w:cstheme="minorHAnsi"/>
          <w:sz w:val="17"/>
          <w:szCs w:val="17"/>
        </w:rPr>
        <w:t xml:space="preserve">. </w:t>
      </w:r>
    </w:p>
    <w:p w14:paraId="39BA6450" w14:textId="77777777" w:rsidR="00A56552" w:rsidRPr="008838CC" w:rsidRDefault="00A56552" w:rsidP="00B17DFA">
      <w:pPr>
        <w:rPr>
          <w:rFonts w:ascii="Verdana" w:hAnsi="Verdana" w:cstheme="minorHAnsi"/>
          <w:sz w:val="17"/>
          <w:szCs w:val="17"/>
        </w:rPr>
      </w:pPr>
    </w:p>
    <w:p w14:paraId="4491AE10" w14:textId="77777777" w:rsidR="00760B1F" w:rsidRPr="008838CC" w:rsidRDefault="00760B1F" w:rsidP="00760B1F">
      <w:pPr>
        <w:rPr>
          <w:rFonts w:ascii="Verdana" w:hAnsi="Verdana"/>
          <w:sz w:val="17"/>
          <w:szCs w:val="17"/>
        </w:rPr>
      </w:pPr>
    </w:p>
    <w:p w14:paraId="5700389D" w14:textId="21377814" w:rsidR="00760B1F" w:rsidRPr="008838CC" w:rsidRDefault="00760B1F" w:rsidP="00760B1F">
      <w:pPr>
        <w:rPr>
          <w:rFonts w:ascii="Verdana" w:hAnsi="Verdana" w:cstheme="minorHAnsi"/>
          <w:b/>
          <w:i/>
          <w:sz w:val="17"/>
          <w:szCs w:val="17"/>
        </w:rPr>
      </w:pPr>
      <w:r w:rsidRPr="008838CC">
        <w:rPr>
          <w:rFonts w:ascii="Verdana" w:hAnsi="Verdana" w:cstheme="minorHAnsi"/>
          <w:b/>
          <w:i/>
          <w:sz w:val="17"/>
          <w:szCs w:val="17"/>
        </w:rPr>
        <w:t>Beta factor</w:t>
      </w:r>
      <w:r w:rsidR="00243C1E" w:rsidRPr="008838CC">
        <w:rPr>
          <w:rStyle w:val="Odkaznapoznmkupodiarou"/>
          <w:rFonts w:ascii="Verdana" w:hAnsi="Verdana" w:cstheme="minorHAnsi"/>
          <w:sz w:val="17"/>
          <w:szCs w:val="17"/>
        </w:rPr>
        <w:footnoteReference w:id="8"/>
      </w:r>
    </w:p>
    <w:p w14:paraId="0541C34E" w14:textId="388989AE" w:rsidR="00AF5BE3" w:rsidRPr="008838CC" w:rsidRDefault="00AF5BE3" w:rsidP="00760B1F">
      <w:pPr>
        <w:rPr>
          <w:rFonts w:ascii="Verdana" w:hAnsi="Verdana" w:cstheme="minorHAnsi"/>
          <w:b/>
          <w:i/>
          <w:sz w:val="17"/>
          <w:szCs w:val="17"/>
        </w:rPr>
      </w:pPr>
      <w:r w:rsidRPr="008838CC">
        <w:rPr>
          <w:rFonts w:ascii="Verdana" w:hAnsi="Verdana" w:cstheme="minorHAnsi"/>
          <w:b/>
          <w:i/>
          <w:sz w:val="17"/>
          <w:szCs w:val="17"/>
        </w:rPr>
        <w:t>P</w:t>
      </w:r>
      <w:r w:rsidRPr="008838CC">
        <w:rPr>
          <w:rFonts w:ascii="Verdana" w:hAnsi="Verdana" w:cstheme="minorHAnsi"/>
          <w:b/>
          <w:i/>
          <w:sz w:val="17"/>
          <w:szCs w:val="17"/>
          <w:lang w:val="en-US"/>
        </w:rPr>
        <w:t>aragraph 1436 - 1440</w:t>
      </w:r>
    </w:p>
    <w:p w14:paraId="4600694B" w14:textId="1FBE3B44" w:rsidR="00760B1F" w:rsidRPr="008838CC" w:rsidRDefault="00AF5BE3" w:rsidP="00760B1F">
      <w:pPr>
        <w:spacing w:before="120"/>
        <w:rPr>
          <w:rFonts w:ascii="Verdana" w:hAnsi="Verdana"/>
          <w:sz w:val="17"/>
          <w:szCs w:val="17"/>
        </w:rPr>
      </w:pPr>
      <w:r w:rsidRPr="008838CC">
        <w:rPr>
          <w:rFonts w:ascii="Verdana" w:hAnsi="Verdana"/>
          <w:sz w:val="17"/>
          <w:szCs w:val="17"/>
        </w:rPr>
        <w:t xml:space="preserve">Insurance  Europe believes EIOPA’s estimate for the beta is too high. </w:t>
      </w:r>
      <w:r w:rsidR="00760B1F" w:rsidRPr="008838CC">
        <w:rPr>
          <w:rFonts w:ascii="Verdana" w:hAnsi="Verdana"/>
          <w:sz w:val="17"/>
          <w:szCs w:val="17"/>
        </w:rPr>
        <w:t>The estimation of the beta for the insurance sector should reflec</w:t>
      </w:r>
      <w:r w:rsidRPr="008838CC">
        <w:rPr>
          <w:rFonts w:ascii="Verdana" w:hAnsi="Verdana"/>
          <w:sz w:val="17"/>
          <w:szCs w:val="17"/>
        </w:rPr>
        <w:t xml:space="preserve">t the fact that traditional </w:t>
      </w:r>
      <w:r w:rsidR="00760B1F" w:rsidRPr="008838CC">
        <w:rPr>
          <w:rFonts w:ascii="Verdana" w:hAnsi="Verdana"/>
          <w:sz w:val="17"/>
          <w:szCs w:val="17"/>
        </w:rPr>
        <w:t>insurance risk is not highly correlated to the evolution of financial markets</w:t>
      </w:r>
      <w:r w:rsidRPr="008838CC">
        <w:rPr>
          <w:rFonts w:ascii="Verdana" w:hAnsi="Verdana"/>
          <w:sz w:val="17"/>
          <w:szCs w:val="17"/>
        </w:rPr>
        <w:t xml:space="preserve">. Insurance Europe believes the estimation of </w:t>
      </w:r>
      <w:r w:rsidR="00760B1F" w:rsidRPr="008838CC">
        <w:rPr>
          <w:rFonts w:ascii="Verdana" w:hAnsi="Verdana"/>
          <w:sz w:val="17"/>
          <w:szCs w:val="17"/>
        </w:rPr>
        <w:t xml:space="preserve">β </w:t>
      </w:r>
      <w:r w:rsidRPr="008838CC">
        <w:rPr>
          <w:rFonts w:ascii="Verdana" w:hAnsi="Verdana"/>
          <w:sz w:val="17"/>
          <w:szCs w:val="17"/>
        </w:rPr>
        <w:t xml:space="preserve">should reflect </w:t>
      </w:r>
      <w:r w:rsidR="00760B1F" w:rsidRPr="008838CC">
        <w:rPr>
          <w:rFonts w:ascii="Verdana" w:hAnsi="Verdana"/>
          <w:sz w:val="17"/>
          <w:szCs w:val="17"/>
        </w:rPr>
        <w:t>the unlever</w:t>
      </w:r>
      <w:r w:rsidRPr="008838CC">
        <w:rPr>
          <w:rFonts w:ascii="Verdana" w:hAnsi="Verdana"/>
          <w:sz w:val="17"/>
          <w:szCs w:val="17"/>
        </w:rPr>
        <w:t>ed beta of the insurance sector, which</w:t>
      </w:r>
      <w:r w:rsidR="00760B1F" w:rsidRPr="008838CC">
        <w:rPr>
          <w:rFonts w:ascii="Verdana" w:hAnsi="Verdana"/>
          <w:sz w:val="17"/>
          <w:szCs w:val="17"/>
        </w:rPr>
        <w:t xml:space="preserve"> is consistent with CEIOPS’ assumption that </w:t>
      </w:r>
      <w:r w:rsidRPr="008838CC">
        <w:rPr>
          <w:rFonts w:ascii="Verdana" w:hAnsi="Verdana"/>
          <w:sz w:val="17"/>
          <w:szCs w:val="17"/>
        </w:rPr>
        <w:t>firms are 100% funded by equity</w:t>
      </w:r>
      <w:r w:rsidR="00B51D35" w:rsidRPr="008838CC">
        <w:rPr>
          <w:rFonts w:ascii="Verdana" w:hAnsi="Verdana"/>
          <w:sz w:val="17"/>
          <w:szCs w:val="17"/>
        </w:rPr>
        <w:t xml:space="preserve"> and </w:t>
      </w:r>
      <w:r w:rsidR="00760B1F" w:rsidRPr="008838CC">
        <w:rPr>
          <w:rFonts w:ascii="Verdana" w:hAnsi="Verdana"/>
          <w:sz w:val="17"/>
          <w:szCs w:val="17"/>
        </w:rPr>
        <w:t>add</w:t>
      </w:r>
      <w:r w:rsidR="00B51D35" w:rsidRPr="008838CC">
        <w:rPr>
          <w:rFonts w:ascii="Verdana" w:hAnsi="Verdana"/>
          <w:sz w:val="17"/>
          <w:szCs w:val="17"/>
        </w:rPr>
        <w:t>s</w:t>
      </w:r>
      <w:r w:rsidR="00760B1F" w:rsidRPr="008838CC">
        <w:rPr>
          <w:rFonts w:ascii="Verdana" w:hAnsi="Verdana"/>
          <w:sz w:val="17"/>
          <w:szCs w:val="17"/>
        </w:rPr>
        <w:t xml:space="preserve"> a layer of prudence </w:t>
      </w:r>
      <w:r w:rsidRPr="008838CC">
        <w:rPr>
          <w:rFonts w:ascii="Verdana" w:hAnsi="Verdana"/>
          <w:sz w:val="17"/>
          <w:szCs w:val="17"/>
        </w:rPr>
        <w:t>to</w:t>
      </w:r>
      <w:r w:rsidR="00760B1F" w:rsidRPr="008838CC">
        <w:rPr>
          <w:rFonts w:ascii="Verdana" w:hAnsi="Verdana"/>
          <w:sz w:val="17"/>
          <w:szCs w:val="17"/>
        </w:rPr>
        <w:t xml:space="preserve"> the calibration of the CoC rate. Not using an unlevered beta in this context would result in an inappropriately high cost-of-capital. </w:t>
      </w:r>
      <w:r w:rsidR="00B51D35" w:rsidRPr="008838CC">
        <w:rPr>
          <w:rFonts w:ascii="Verdana" w:hAnsi="Verdana"/>
          <w:sz w:val="17"/>
          <w:szCs w:val="17"/>
        </w:rPr>
        <w:t xml:space="preserve">Insurance Europe deems that a </w:t>
      </w:r>
      <w:r w:rsidR="00B51D35" w:rsidRPr="008838CC">
        <w:rPr>
          <w:rFonts w:ascii="Verdana" w:hAnsi="Verdana"/>
          <w:b/>
          <w:sz w:val="17"/>
          <w:szCs w:val="17"/>
        </w:rPr>
        <w:t xml:space="preserve">sufficiently prudent </w:t>
      </w:r>
      <w:r w:rsidR="00B541B3" w:rsidRPr="008838CC">
        <w:rPr>
          <w:rFonts w:ascii="Verdana" w:hAnsi="Verdana"/>
          <w:b/>
          <w:sz w:val="17"/>
          <w:szCs w:val="17"/>
        </w:rPr>
        <w:t xml:space="preserve">unlevered </w:t>
      </w:r>
      <w:r w:rsidR="00B51D35" w:rsidRPr="008838CC">
        <w:rPr>
          <w:rFonts w:ascii="Verdana" w:hAnsi="Verdana"/>
          <w:b/>
          <w:sz w:val="17"/>
          <w:szCs w:val="17"/>
        </w:rPr>
        <w:t>beta would be in the rage of 0.65 to 0.8</w:t>
      </w:r>
      <w:r w:rsidR="006B45B2" w:rsidRPr="008838CC">
        <w:rPr>
          <w:rFonts w:ascii="Verdana" w:hAnsi="Verdana"/>
          <w:sz w:val="17"/>
          <w:szCs w:val="17"/>
          <w:vertAlign w:val="superscript"/>
        </w:rPr>
        <w:footnoteReference w:id="9"/>
      </w:r>
      <w:r w:rsidR="00B541B3" w:rsidRPr="008838CC">
        <w:rPr>
          <w:rFonts w:ascii="Verdana" w:hAnsi="Verdana"/>
          <w:sz w:val="17"/>
          <w:szCs w:val="17"/>
        </w:rPr>
        <w:t>.</w:t>
      </w:r>
      <w:r w:rsidR="006B45B2" w:rsidRPr="008838CC">
        <w:rPr>
          <w:rFonts w:ascii="Verdana" w:hAnsi="Verdana"/>
          <w:sz w:val="17"/>
          <w:szCs w:val="17"/>
        </w:rPr>
        <w:t xml:space="preserve"> </w:t>
      </w:r>
    </w:p>
    <w:p w14:paraId="5EB602F7" w14:textId="77777777" w:rsidR="007F33C8" w:rsidRPr="008838CC" w:rsidRDefault="00B541B3" w:rsidP="00760B1F">
      <w:pPr>
        <w:spacing w:before="120"/>
        <w:rPr>
          <w:rFonts w:ascii="Verdana" w:hAnsi="Verdana"/>
          <w:sz w:val="17"/>
          <w:szCs w:val="17"/>
        </w:rPr>
      </w:pPr>
      <w:r w:rsidRPr="008838CC">
        <w:rPr>
          <w:rFonts w:ascii="Verdana" w:hAnsi="Verdana"/>
          <w:sz w:val="17"/>
          <w:szCs w:val="17"/>
        </w:rPr>
        <w:t>Additionally, w</w:t>
      </w:r>
      <w:r w:rsidR="00760B1F" w:rsidRPr="008838CC">
        <w:rPr>
          <w:rFonts w:ascii="Verdana" w:hAnsi="Verdana"/>
          <w:sz w:val="17"/>
          <w:szCs w:val="17"/>
        </w:rPr>
        <w:t xml:space="preserve">hen using the CAPM total return methodology to derive the CoC rate for pure insurance risks, the unlevered beta will </w:t>
      </w:r>
      <w:r w:rsidRPr="008838CC">
        <w:rPr>
          <w:rFonts w:ascii="Verdana" w:hAnsi="Verdana"/>
          <w:sz w:val="17"/>
          <w:szCs w:val="17"/>
        </w:rPr>
        <w:t xml:space="preserve">have to be adjusted for the fact that the risk margin is calculated for pure insurance risks (ie non-hedgeable risks). Against this background, the covariance of pure insurance risks with market returns is significantly lower than the covariance of the insurance sector with market returns. </w:t>
      </w:r>
    </w:p>
    <w:p w14:paraId="0EB5F15D" w14:textId="71A8FE01" w:rsidR="002F5277" w:rsidRPr="008838CC" w:rsidRDefault="001E3871" w:rsidP="00760B1F">
      <w:pPr>
        <w:spacing w:before="120"/>
        <w:rPr>
          <w:rFonts w:ascii="Verdana" w:hAnsi="Verdana"/>
          <w:sz w:val="17"/>
          <w:szCs w:val="17"/>
        </w:rPr>
      </w:pPr>
      <w:r w:rsidRPr="008838CC">
        <w:rPr>
          <w:rFonts w:ascii="Verdana" w:hAnsi="Verdana"/>
          <w:sz w:val="17"/>
          <w:szCs w:val="17"/>
        </w:rPr>
        <w:t>As</w:t>
      </w:r>
      <w:r w:rsidR="0091560A" w:rsidRPr="008838CC">
        <w:rPr>
          <w:rFonts w:ascii="Verdana" w:hAnsi="Verdana"/>
          <w:sz w:val="17"/>
          <w:szCs w:val="17"/>
        </w:rPr>
        <w:t xml:space="preserve"> t</w:t>
      </w:r>
      <w:r w:rsidR="00FE52BC" w:rsidRPr="008838CC">
        <w:rPr>
          <w:rFonts w:ascii="Verdana" w:hAnsi="Verdana"/>
          <w:sz w:val="17"/>
          <w:szCs w:val="17"/>
        </w:rPr>
        <w:t>he beta for insur</w:t>
      </w:r>
      <w:r w:rsidR="002F5277" w:rsidRPr="008838CC">
        <w:rPr>
          <w:rFonts w:ascii="Verdana" w:hAnsi="Verdana"/>
          <w:sz w:val="17"/>
          <w:szCs w:val="17"/>
        </w:rPr>
        <w:t>ers</w:t>
      </w:r>
      <w:r w:rsidR="00FE52BC" w:rsidRPr="008838CC">
        <w:rPr>
          <w:rFonts w:ascii="Verdana" w:hAnsi="Verdana"/>
          <w:sz w:val="17"/>
          <w:szCs w:val="17"/>
        </w:rPr>
        <w:t xml:space="preserve"> is </w:t>
      </w:r>
      <w:r w:rsidR="0091560A" w:rsidRPr="008838CC">
        <w:rPr>
          <w:rFonts w:ascii="Verdana" w:hAnsi="Verdana"/>
          <w:sz w:val="17"/>
          <w:szCs w:val="17"/>
        </w:rPr>
        <w:t>driven</w:t>
      </w:r>
      <w:r w:rsidR="00FE52BC" w:rsidRPr="008838CC">
        <w:rPr>
          <w:rFonts w:ascii="Verdana" w:hAnsi="Verdana"/>
          <w:sz w:val="17"/>
          <w:szCs w:val="17"/>
        </w:rPr>
        <w:t xml:space="preserve"> by the asset portfolio held by each insurer and </w:t>
      </w:r>
      <w:r w:rsidR="00190FFA" w:rsidRPr="008838CC">
        <w:rPr>
          <w:rFonts w:ascii="Verdana" w:hAnsi="Verdana"/>
          <w:sz w:val="17"/>
          <w:szCs w:val="17"/>
        </w:rPr>
        <w:t>its</w:t>
      </w:r>
      <w:r w:rsidR="00FE52BC" w:rsidRPr="008838CC">
        <w:rPr>
          <w:rFonts w:ascii="Verdana" w:hAnsi="Verdana"/>
          <w:sz w:val="17"/>
          <w:szCs w:val="17"/>
        </w:rPr>
        <w:t xml:space="preserve"> franchise value, which will be more correlated to the market. Insurance Europe believes that the impact of both the contribution of new business and investment risk should be removed from beta, which will decrease the covariance with the market significantly because both business activity and financial environment are the main drivers for the volatility in market returns. </w:t>
      </w:r>
      <w:r w:rsidR="002F5277" w:rsidRPr="008838CC">
        <w:rPr>
          <w:rFonts w:ascii="Verdana" w:hAnsi="Verdana"/>
          <w:sz w:val="17"/>
          <w:szCs w:val="17"/>
        </w:rPr>
        <w:t>The correlation of pure insurance risk with the market is very low from itself, and the insurance sector beta will overestimate this correlation</w:t>
      </w:r>
      <w:r w:rsidR="0091560A" w:rsidRPr="008838CC">
        <w:rPr>
          <w:rFonts w:ascii="Verdana" w:hAnsi="Verdana"/>
          <w:sz w:val="17"/>
          <w:szCs w:val="17"/>
        </w:rPr>
        <w:t>. Insurance Europe believes that it is highly likely that the</w:t>
      </w:r>
      <w:r w:rsidR="00FE52BC" w:rsidRPr="008838CC">
        <w:rPr>
          <w:rFonts w:ascii="Verdana" w:hAnsi="Verdana"/>
          <w:sz w:val="17"/>
          <w:szCs w:val="17"/>
        </w:rPr>
        <w:t xml:space="preserve"> contribution of new business and investment risk</w:t>
      </w:r>
      <w:r w:rsidR="0091560A" w:rsidRPr="008838CC">
        <w:rPr>
          <w:rFonts w:ascii="Verdana" w:hAnsi="Verdana"/>
          <w:sz w:val="17"/>
          <w:szCs w:val="17"/>
        </w:rPr>
        <w:t xml:space="preserve"> are the main drivers of the insurance sector beta, while pure insurance risk is very specific and not directly correlated with market volatility. </w:t>
      </w:r>
    </w:p>
    <w:p w14:paraId="18AA89FE" w14:textId="3D145CF5" w:rsidR="00FE52BC" w:rsidRPr="008838CC" w:rsidRDefault="0091560A" w:rsidP="00760B1F">
      <w:pPr>
        <w:spacing w:before="120"/>
        <w:rPr>
          <w:rFonts w:ascii="Verdana" w:hAnsi="Verdana"/>
          <w:sz w:val="17"/>
          <w:szCs w:val="17"/>
        </w:rPr>
      </w:pPr>
      <w:r w:rsidRPr="008838CC">
        <w:rPr>
          <w:rFonts w:ascii="Verdana" w:hAnsi="Verdana"/>
          <w:sz w:val="17"/>
          <w:szCs w:val="17"/>
        </w:rPr>
        <w:t xml:space="preserve">Against this background, </w:t>
      </w:r>
      <w:r w:rsidR="002F5277" w:rsidRPr="008838CC">
        <w:rPr>
          <w:rFonts w:ascii="Verdana" w:hAnsi="Verdana"/>
          <w:sz w:val="17"/>
          <w:szCs w:val="17"/>
        </w:rPr>
        <w:t xml:space="preserve">Insurance Europe believes </w:t>
      </w:r>
      <w:r w:rsidR="00FE52BC" w:rsidRPr="008838CC">
        <w:rPr>
          <w:rFonts w:ascii="Verdana" w:hAnsi="Verdana"/>
          <w:sz w:val="17"/>
          <w:szCs w:val="17"/>
        </w:rPr>
        <w:t>30</w:t>
      </w:r>
      <w:r w:rsidR="00F42424" w:rsidRPr="008838CC">
        <w:rPr>
          <w:rFonts w:ascii="Verdana" w:hAnsi="Verdana"/>
          <w:sz w:val="17"/>
          <w:szCs w:val="17"/>
        </w:rPr>
        <w:t>%</w:t>
      </w:r>
      <w:r w:rsidR="00FE52BC" w:rsidRPr="008838CC">
        <w:rPr>
          <w:rFonts w:ascii="Verdana" w:hAnsi="Verdana"/>
          <w:sz w:val="17"/>
          <w:szCs w:val="17"/>
        </w:rPr>
        <w:t xml:space="preserve">-35% </w:t>
      </w:r>
      <w:r w:rsidR="002F5277" w:rsidRPr="008838CC">
        <w:rPr>
          <w:rFonts w:ascii="Verdana" w:hAnsi="Verdana"/>
          <w:sz w:val="17"/>
          <w:szCs w:val="17"/>
        </w:rPr>
        <w:t xml:space="preserve">to be </w:t>
      </w:r>
      <w:r w:rsidR="00FE52BC" w:rsidRPr="008838CC">
        <w:rPr>
          <w:rFonts w:ascii="Verdana" w:hAnsi="Verdana"/>
          <w:sz w:val="17"/>
          <w:szCs w:val="17"/>
        </w:rPr>
        <w:t xml:space="preserve">a </w:t>
      </w:r>
      <w:r w:rsidR="002F5277" w:rsidRPr="008838CC">
        <w:rPr>
          <w:rFonts w:ascii="Verdana" w:hAnsi="Verdana"/>
          <w:sz w:val="17"/>
          <w:szCs w:val="17"/>
        </w:rPr>
        <w:t xml:space="preserve">reasonable </w:t>
      </w:r>
      <w:r w:rsidR="00FE52BC" w:rsidRPr="008838CC">
        <w:rPr>
          <w:rFonts w:ascii="Verdana" w:hAnsi="Verdana"/>
          <w:sz w:val="17"/>
          <w:szCs w:val="17"/>
        </w:rPr>
        <w:t>adjustment</w:t>
      </w:r>
      <w:r w:rsidR="002F5277" w:rsidRPr="008838CC">
        <w:rPr>
          <w:rFonts w:ascii="Verdana" w:hAnsi="Verdana"/>
          <w:sz w:val="17"/>
          <w:szCs w:val="17"/>
        </w:rPr>
        <w:t xml:space="preserve"> for the beta when using the CAPM to derive the CoC rate. The</w:t>
      </w:r>
      <w:r w:rsidR="00FE52BC" w:rsidRPr="008838CC">
        <w:rPr>
          <w:rFonts w:ascii="Verdana" w:hAnsi="Verdana"/>
          <w:sz w:val="17"/>
          <w:szCs w:val="17"/>
        </w:rPr>
        <w:t xml:space="preserve"> adjustment should be applied to the unlevered beta range of 0.65-0.8, leading to an </w:t>
      </w:r>
      <w:r w:rsidR="00FE52BC" w:rsidRPr="008838CC">
        <w:rPr>
          <w:rFonts w:ascii="Verdana" w:hAnsi="Verdana"/>
          <w:b/>
          <w:sz w:val="17"/>
          <w:szCs w:val="17"/>
        </w:rPr>
        <w:t>insurance risk beta ranging from 0.45-0.56</w:t>
      </w:r>
      <w:r w:rsidR="00FE52BC" w:rsidRPr="008838CC">
        <w:rPr>
          <w:rFonts w:ascii="Verdana" w:hAnsi="Verdana"/>
          <w:sz w:val="17"/>
          <w:szCs w:val="17"/>
        </w:rPr>
        <w:t>.</w:t>
      </w:r>
    </w:p>
    <w:p w14:paraId="4954E160" w14:textId="77777777" w:rsidR="00B17DFA" w:rsidRPr="008838CC" w:rsidRDefault="00B17DFA" w:rsidP="00B17DFA">
      <w:pPr>
        <w:rPr>
          <w:rFonts w:ascii="Verdana" w:hAnsi="Verdana" w:cstheme="minorHAnsi"/>
          <w:sz w:val="17"/>
          <w:szCs w:val="17"/>
        </w:rPr>
      </w:pPr>
    </w:p>
    <w:p w14:paraId="40A93B90" w14:textId="27CC2D22" w:rsidR="00644F0A" w:rsidRPr="008838CC" w:rsidRDefault="00644F0A" w:rsidP="00B17DFA">
      <w:pPr>
        <w:rPr>
          <w:rFonts w:ascii="Verdana" w:hAnsi="Verdana"/>
          <w:b/>
          <w:color w:val="000000"/>
          <w:sz w:val="17"/>
          <w:szCs w:val="17"/>
          <w:u w:val="single"/>
        </w:rPr>
      </w:pPr>
      <w:r w:rsidRPr="008838CC">
        <w:rPr>
          <w:rFonts w:ascii="Verdana" w:hAnsi="Verdana"/>
          <w:b/>
          <w:color w:val="000000"/>
          <w:sz w:val="17"/>
          <w:szCs w:val="17"/>
          <w:u w:val="single"/>
        </w:rPr>
        <w:t>18.4.3</w:t>
      </w:r>
      <w:r w:rsidR="00CE4E2A" w:rsidRPr="008838CC">
        <w:rPr>
          <w:rFonts w:ascii="Verdana" w:hAnsi="Verdana"/>
          <w:b/>
          <w:color w:val="000000"/>
          <w:sz w:val="17"/>
          <w:szCs w:val="17"/>
          <w:u w:val="single"/>
        </w:rPr>
        <w:t xml:space="preserve"> EIOPA’s advice</w:t>
      </w:r>
    </w:p>
    <w:p w14:paraId="5EEC49EA" w14:textId="48BAA51A" w:rsidR="00CE4E2A" w:rsidRPr="008838CC" w:rsidRDefault="00CE4E2A" w:rsidP="00B17DFA">
      <w:pPr>
        <w:rPr>
          <w:rFonts w:ascii="Verdana" w:hAnsi="Verdana"/>
          <w:b/>
          <w:color w:val="000000"/>
          <w:sz w:val="17"/>
          <w:szCs w:val="17"/>
          <w:u w:val="single"/>
        </w:rPr>
      </w:pPr>
    </w:p>
    <w:p w14:paraId="19C30DF5" w14:textId="77777777" w:rsidR="00CE4E2A" w:rsidRPr="008838CC" w:rsidRDefault="00CE4E2A" w:rsidP="00B17DFA">
      <w:pPr>
        <w:rPr>
          <w:rFonts w:ascii="Verdana" w:hAnsi="Verdana"/>
          <w:color w:val="000000"/>
          <w:sz w:val="17"/>
          <w:szCs w:val="17"/>
        </w:rPr>
      </w:pPr>
      <w:r w:rsidRPr="008838CC">
        <w:rPr>
          <w:rFonts w:ascii="Verdana" w:hAnsi="Verdana"/>
          <w:color w:val="000000"/>
          <w:sz w:val="17"/>
          <w:szCs w:val="17"/>
        </w:rPr>
        <w:t xml:space="preserve">Insurance Europe does not agree with EIOPA’s conclusion that CoC would be in the range from 6% to 8%. Insurance Europe believes that </w:t>
      </w:r>
      <w:r w:rsidRPr="008838CC">
        <w:rPr>
          <w:rFonts w:ascii="Verdana" w:hAnsi="Verdana"/>
          <w:b/>
          <w:color w:val="000000"/>
          <w:sz w:val="17"/>
          <w:szCs w:val="17"/>
        </w:rPr>
        <w:t>3% is a prudent estimate for the CoC</w:t>
      </w:r>
      <w:r w:rsidRPr="008838CC">
        <w:rPr>
          <w:rFonts w:ascii="Verdana" w:hAnsi="Verdana"/>
          <w:color w:val="000000"/>
          <w:sz w:val="17"/>
          <w:szCs w:val="17"/>
        </w:rPr>
        <w:t xml:space="preserve"> based on the arguments and analysis set out in the previous paragraphs. </w:t>
      </w:r>
    </w:p>
    <w:p w14:paraId="7B0F023D" w14:textId="77777777" w:rsidR="00CE4E2A" w:rsidRPr="008838CC" w:rsidRDefault="00CE4E2A" w:rsidP="00B17DFA">
      <w:pPr>
        <w:rPr>
          <w:rFonts w:ascii="Verdana" w:hAnsi="Verdana"/>
          <w:color w:val="000000"/>
          <w:sz w:val="17"/>
          <w:szCs w:val="17"/>
        </w:rPr>
      </w:pPr>
    </w:p>
    <w:p w14:paraId="3B5CB993" w14:textId="5FB3DE7E" w:rsidR="00CE4E2A" w:rsidRPr="008838CC" w:rsidRDefault="00CE4E2A" w:rsidP="00B17DFA">
      <w:pPr>
        <w:rPr>
          <w:rFonts w:ascii="Verdana" w:hAnsi="Verdana"/>
          <w:color w:val="000000"/>
          <w:sz w:val="17"/>
          <w:szCs w:val="17"/>
        </w:rPr>
      </w:pPr>
      <w:r w:rsidRPr="008838CC">
        <w:rPr>
          <w:rFonts w:ascii="Verdana" w:hAnsi="Verdana"/>
          <w:color w:val="000000"/>
          <w:sz w:val="17"/>
          <w:szCs w:val="17"/>
        </w:rPr>
        <w:t>Insurance Europe believes that the CoC rate should be calculated based on the following formula:</w:t>
      </w:r>
    </w:p>
    <w:p w14:paraId="126B7060" w14:textId="79E27418" w:rsidR="00CE4E2A" w:rsidRPr="008838CC" w:rsidRDefault="00CE4E2A" w:rsidP="00B17DFA">
      <w:pPr>
        <w:rPr>
          <w:rFonts w:ascii="Verdana" w:hAnsi="Verdana"/>
          <w:color w:val="000000"/>
          <w:sz w:val="17"/>
          <w:szCs w:val="17"/>
        </w:rPr>
      </w:pPr>
    </w:p>
    <w:p w14:paraId="7A7A2A53" w14:textId="302B9551" w:rsidR="00CE4E2A" w:rsidRPr="008838CC" w:rsidRDefault="00CE4E2A" w:rsidP="00CE4E2A">
      <w:pPr>
        <w:spacing w:before="120"/>
        <w:jc w:val="center"/>
        <w:rPr>
          <w:rFonts w:ascii="Verdana" w:hAnsi="Verdana"/>
          <w:b/>
          <w:sz w:val="17"/>
          <w:szCs w:val="17"/>
        </w:rPr>
      </w:pPr>
      <w:r w:rsidRPr="008838CC">
        <w:rPr>
          <w:rFonts w:ascii="Verdana" w:hAnsi="Verdana"/>
          <w:b/>
          <w:sz w:val="17"/>
          <w:szCs w:val="17"/>
        </w:rPr>
        <w:t>CoC rate = (1-x)β.[Equity risk premium]</w:t>
      </w:r>
    </w:p>
    <w:p w14:paraId="7F8CB4D3" w14:textId="5B9C118E" w:rsidR="00CE4E2A" w:rsidRPr="008838CC" w:rsidRDefault="00CE4E2A" w:rsidP="00B17DFA">
      <w:pPr>
        <w:rPr>
          <w:rFonts w:ascii="Verdana" w:hAnsi="Verdana"/>
          <w:b/>
          <w:color w:val="000000"/>
          <w:sz w:val="17"/>
          <w:szCs w:val="17"/>
          <w:u w:val="single"/>
        </w:rPr>
      </w:pPr>
    </w:p>
    <w:p w14:paraId="07C9E4A8" w14:textId="77777777" w:rsidR="0062394D" w:rsidRPr="008838CC" w:rsidRDefault="002E68EE" w:rsidP="00B17DFA">
      <w:pPr>
        <w:rPr>
          <w:rFonts w:ascii="Verdana" w:hAnsi="Verdana"/>
          <w:color w:val="000000"/>
          <w:sz w:val="17"/>
          <w:szCs w:val="17"/>
        </w:rPr>
      </w:pPr>
      <w:r w:rsidRPr="008838CC">
        <w:rPr>
          <w:rFonts w:ascii="Verdana" w:hAnsi="Verdana"/>
          <w:color w:val="000000"/>
          <w:sz w:val="17"/>
          <w:szCs w:val="17"/>
        </w:rPr>
        <w:t xml:space="preserve">Insurance Europe believes the following </w:t>
      </w:r>
      <w:r w:rsidR="0062394D" w:rsidRPr="008838CC">
        <w:rPr>
          <w:rFonts w:ascii="Verdana" w:hAnsi="Verdana"/>
          <w:color w:val="000000"/>
          <w:sz w:val="17"/>
          <w:szCs w:val="17"/>
        </w:rPr>
        <w:t xml:space="preserve">parameter </w:t>
      </w:r>
      <w:r w:rsidRPr="008838CC">
        <w:rPr>
          <w:rFonts w:ascii="Verdana" w:hAnsi="Verdana"/>
          <w:color w:val="000000"/>
          <w:sz w:val="17"/>
          <w:szCs w:val="17"/>
        </w:rPr>
        <w:t>estimates are r</w:t>
      </w:r>
      <w:r w:rsidR="00CE4E2A" w:rsidRPr="008838CC">
        <w:rPr>
          <w:rFonts w:ascii="Verdana" w:hAnsi="Verdana"/>
          <w:color w:val="000000"/>
          <w:sz w:val="17"/>
          <w:szCs w:val="17"/>
        </w:rPr>
        <w:t>easonable</w:t>
      </w:r>
      <w:r w:rsidR="0062394D" w:rsidRPr="008838CC">
        <w:rPr>
          <w:rFonts w:ascii="Verdana" w:hAnsi="Verdana"/>
          <w:color w:val="000000"/>
          <w:sz w:val="17"/>
          <w:szCs w:val="17"/>
        </w:rPr>
        <w:t>:</w:t>
      </w:r>
    </w:p>
    <w:p w14:paraId="3C5F41C1" w14:textId="77777777" w:rsidR="0062394D" w:rsidRPr="008838CC" w:rsidRDefault="0062394D" w:rsidP="00B17DFA">
      <w:pPr>
        <w:rPr>
          <w:rFonts w:ascii="Verdana" w:hAnsi="Verdana"/>
          <w:color w:val="000000"/>
          <w:sz w:val="17"/>
          <w:szCs w:val="17"/>
        </w:rPr>
      </w:pPr>
    </w:p>
    <w:p w14:paraId="0D5A4E81" w14:textId="3B5F9DB0" w:rsidR="00CE4E2A" w:rsidRPr="008838CC" w:rsidRDefault="00CE4E2A" w:rsidP="00B17DFA">
      <w:pPr>
        <w:rPr>
          <w:rFonts w:ascii="Verdana" w:hAnsi="Verdana"/>
          <w:color w:val="000000"/>
          <w:sz w:val="17"/>
          <w:szCs w:val="17"/>
        </w:rPr>
      </w:pPr>
      <w:r w:rsidRPr="008838CC">
        <w:rPr>
          <w:rFonts w:ascii="Verdana" w:hAnsi="Verdana"/>
          <w:color w:val="000000"/>
          <w:sz w:val="17"/>
          <w:szCs w:val="17"/>
        </w:rPr>
        <w:t xml:space="preserve">ERP </w:t>
      </w:r>
      <w:r w:rsidR="0062394D" w:rsidRPr="008838CC">
        <w:rPr>
          <w:rFonts w:ascii="Verdana" w:hAnsi="Verdana"/>
          <w:color w:val="000000"/>
          <w:sz w:val="17"/>
          <w:szCs w:val="17"/>
        </w:rPr>
        <w:t>~</w:t>
      </w:r>
      <w:r w:rsidRPr="008838CC">
        <w:rPr>
          <w:rFonts w:ascii="Verdana" w:hAnsi="Verdana"/>
          <w:color w:val="000000"/>
          <w:sz w:val="17"/>
          <w:szCs w:val="17"/>
        </w:rPr>
        <w:t xml:space="preserve"> 4% to 5%</w:t>
      </w:r>
    </w:p>
    <w:p w14:paraId="5E314120" w14:textId="1D5E1D2E" w:rsidR="0062394D" w:rsidRPr="008838CC" w:rsidRDefault="0062394D" w:rsidP="00B17DFA">
      <w:pPr>
        <w:rPr>
          <w:rFonts w:ascii="Verdana" w:hAnsi="Verdana"/>
          <w:color w:val="000000"/>
          <w:sz w:val="17"/>
          <w:szCs w:val="17"/>
        </w:rPr>
      </w:pPr>
      <w:r w:rsidRPr="008838CC">
        <w:rPr>
          <w:rFonts w:ascii="Verdana" w:hAnsi="Verdana"/>
          <w:color w:val="000000"/>
          <w:sz w:val="17"/>
          <w:szCs w:val="17"/>
        </w:rPr>
        <w:t>Beta ~ 0.65 to 0.8</w:t>
      </w:r>
    </w:p>
    <w:p w14:paraId="3E921FC3" w14:textId="3E39127D" w:rsidR="0062394D" w:rsidRPr="008838CC" w:rsidRDefault="0062394D" w:rsidP="00B17DFA">
      <w:pPr>
        <w:rPr>
          <w:rFonts w:ascii="Verdana" w:hAnsi="Verdana"/>
          <w:color w:val="000000"/>
          <w:sz w:val="17"/>
          <w:szCs w:val="17"/>
        </w:rPr>
      </w:pPr>
      <w:r w:rsidRPr="008838CC">
        <w:rPr>
          <w:rFonts w:ascii="Verdana" w:hAnsi="Verdana"/>
          <w:color w:val="000000"/>
          <w:sz w:val="17"/>
          <w:szCs w:val="17"/>
        </w:rPr>
        <w:t xml:space="preserve">X ~30% to 35% </w:t>
      </w:r>
    </w:p>
    <w:p w14:paraId="219FF182" w14:textId="77777777" w:rsidR="00CE4E2A" w:rsidRPr="008838CC" w:rsidRDefault="00CE4E2A" w:rsidP="00B17DFA">
      <w:pPr>
        <w:rPr>
          <w:rFonts w:ascii="Verdana" w:hAnsi="Verdana"/>
          <w:color w:val="000000"/>
          <w:sz w:val="17"/>
          <w:szCs w:val="17"/>
        </w:rPr>
      </w:pPr>
    </w:p>
    <w:p w14:paraId="72F81A30" w14:textId="073A3278" w:rsidR="00CE4E2A" w:rsidRPr="008838CC" w:rsidRDefault="0062394D" w:rsidP="00B17DFA">
      <w:pPr>
        <w:rPr>
          <w:rFonts w:ascii="Verdana" w:hAnsi="Verdana"/>
          <w:color w:val="000000"/>
          <w:sz w:val="17"/>
          <w:szCs w:val="17"/>
        </w:rPr>
      </w:pPr>
      <w:r w:rsidRPr="008838CC">
        <w:rPr>
          <w:rFonts w:ascii="Verdana" w:hAnsi="Verdana"/>
          <w:color w:val="000000"/>
          <w:sz w:val="17"/>
          <w:szCs w:val="17"/>
        </w:rPr>
        <w:t xml:space="preserve">Taking into account these estimates, </w:t>
      </w:r>
      <w:r w:rsidRPr="008838CC">
        <w:rPr>
          <w:rFonts w:ascii="Verdana" w:hAnsi="Verdana"/>
          <w:b/>
          <w:color w:val="000000"/>
          <w:sz w:val="17"/>
          <w:szCs w:val="17"/>
        </w:rPr>
        <w:t>a reasonable CoC would be between 2% and 3%</w:t>
      </w:r>
    </w:p>
    <w:p w14:paraId="1AF8E429" w14:textId="53D87410" w:rsidR="00CE4E2A" w:rsidRPr="008838CC" w:rsidRDefault="00CE4E2A" w:rsidP="00B17DFA">
      <w:pPr>
        <w:rPr>
          <w:rFonts w:ascii="Verdana" w:hAnsi="Verdana"/>
          <w:b/>
          <w:color w:val="000000"/>
          <w:sz w:val="17"/>
          <w:szCs w:val="17"/>
          <w:u w:val="single"/>
        </w:rPr>
      </w:pPr>
    </w:p>
    <w:p w14:paraId="375ED5CF" w14:textId="77777777" w:rsidR="00E97221" w:rsidRPr="008838CC" w:rsidRDefault="00230F04" w:rsidP="00E97221">
      <w:pPr>
        <w:pStyle w:val="Nadpis1"/>
        <w:rPr>
          <w:sz w:val="17"/>
          <w:szCs w:val="17"/>
        </w:rPr>
      </w:pPr>
      <w:r w:rsidRPr="008838CC">
        <w:rPr>
          <w:sz w:val="17"/>
          <w:szCs w:val="17"/>
        </w:rPr>
        <w:br w:type="page"/>
      </w:r>
      <w:bookmarkStart w:id="49" w:name="_Toc497908658"/>
      <w:r w:rsidR="00E97221" w:rsidRPr="008838CC">
        <w:rPr>
          <w:sz w:val="17"/>
          <w:szCs w:val="17"/>
        </w:rPr>
        <w:t>19. Comparison of own funds in insurance and banking sectors</w:t>
      </w:r>
      <w:bookmarkEnd w:id="49"/>
    </w:p>
    <w:p w14:paraId="4C3D3F83" w14:textId="626677A1"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19.1</w:t>
      </w:r>
      <w:r w:rsidR="00693EA9">
        <w:rPr>
          <w:rFonts w:ascii="Verdana" w:hAnsi="Verdana"/>
          <w:b/>
          <w:color w:val="000000"/>
          <w:sz w:val="17"/>
          <w:szCs w:val="17"/>
          <w:u w:val="single"/>
        </w:rPr>
        <w:t xml:space="preserve"> Call for advice</w:t>
      </w:r>
    </w:p>
    <w:p w14:paraId="176D3D1A" w14:textId="7667D769" w:rsidR="00B71C9A" w:rsidRDefault="00B71C9A" w:rsidP="00B71C9A">
      <w:pPr>
        <w:spacing w:line="276" w:lineRule="auto"/>
        <w:jc w:val="both"/>
        <w:rPr>
          <w:rFonts w:ascii="Verdana" w:hAnsi="Verdana"/>
          <w:bCs/>
          <w:color w:val="000000"/>
          <w:sz w:val="17"/>
          <w:szCs w:val="17"/>
        </w:rPr>
      </w:pPr>
      <w:r w:rsidRPr="008838CC">
        <w:rPr>
          <w:rFonts w:ascii="Verdana" w:hAnsi="Verdana"/>
          <w:bCs/>
          <w:color w:val="000000"/>
          <w:sz w:val="17"/>
          <w:szCs w:val="17"/>
        </w:rPr>
        <w:t xml:space="preserve">Insurance Europe welcome the Commission’s request for EIOPA </w:t>
      </w:r>
      <w:r w:rsidR="00693EA9">
        <w:rPr>
          <w:rFonts w:ascii="Verdana" w:hAnsi="Verdana"/>
          <w:bCs/>
          <w:color w:val="000000"/>
          <w:sz w:val="17"/>
          <w:szCs w:val="17"/>
        </w:rPr>
        <w:t xml:space="preserve">to </w:t>
      </w:r>
      <w:r w:rsidRPr="008838CC">
        <w:rPr>
          <w:rFonts w:ascii="Verdana" w:hAnsi="Verdana"/>
          <w:bCs/>
          <w:color w:val="000000"/>
          <w:sz w:val="17"/>
          <w:szCs w:val="17"/>
        </w:rPr>
        <w:t>assess differences in classification for those eligible items that are comparable between the banking framework and the Delegated Regulation</w:t>
      </w:r>
      <w:r w:rsidR="00693EA9">
        <w:rPr>
          <w:rFonts w:ascii="Verdana" w:hAnsi="Verdana"/>
          <w:bCs/>
          <w:color w:val="000000"/>
          <w:sz w:val="17"/>
          <w:szCs w:val="17"/>
        </w:rPr>
        <w:t xml:space="preserve">, and, </w:t>
      </w:r>
      <w:r w:rsidRPr="008838CC">
        <w:rPr>
          <w:rFonts w:ascii="Verdana" w:hAnsi="Verdana"/>
          <w:bCs/>
          <w:color w:val="000000"/>
          <w:sz w:val="17"/>
          <w:szCs w:val="17"/>
        </w:rPr>
        <w:t xml:space="preserve">as a next step, to assess for each of the differences identified whether they are justified by differences in the business model, by diverging elements in the determination of own fund requirements or on other grounds. </w:t>
      </w:r>
    </w:p>
    <w:p w14:paraId="5BE5BD3D" w14:textId="77777777" w:rsidR="00693EA9" w:rsidRPr="008838CC" w:rsidRDefault="00693EA9" w:rsidP="00B71C9A">
      <w:pPr>
        <w:spacing w:line="276" w:lineRule="auto"/>
        <w:jc w:val="both"/>
        <w:rPr>
          <w:rFonts w:ascii="Verdana" w:hAnsi="Verdana"/>
          <w:bCs/>
          <w:color w:val="000000"/>
          <w:sz w:val="17"/>
          <w:szCs w:val="17"/>
        </w:rPr>
      </w:pPr>
    </w:p>
    <w:p w14:paraId="0B5A09F9" w14:textId="059F9216" w:rsidR="003D300C" w:rsidRDefault="00B71C9A" w:rsidP="00B71C9A">
      <w:pPr>
        <w:spacing w:line="276" w:lineRule="auto"/>
        <w:jc w:val="both"/>
        <w:rPr>
          <w:rFonts w:ascii="Verdana" w:hAnsi="Verdana"/>
          <w:bCs/>
          <w:color w:val="000000"/>
          <w:sz w:val="17"/>
          <w:szCs w:val="17"/>
        </w:rPr>
      </w:pPr>
      <w:r w:rsidRPr="008838CC">
        <w:rPr>
          <w:rFonts w:ascii="Verdana" w:hAnsi="Verdana"/>
          <w:bCs/>
          <w:color w:val="000000"/>
          <w:sz w:val="17"/>
          <w:szCs w:val="17"/>
        </w:rPr>
        <w:t>Insurance Europe believes the PLAM mechanism should not be retained as it creates a competitive disadvantage for European mark</w:t>
      </w:r>
      <w:r w:rsidR="002D2B47" w:rsidRPr="008838CC">
        <w:rPr>
          <w:rFonts w:ascii="Verdana" w:hAnsi="Verdana"/>
          <w:bCs/>
          <w:color w:val="000000"/>
          <w:sz w:val="17"/>
          <w:szCs w:val="17"/>
        </w:rPr>
        <w:t xml:space="preserve">et players in a global context. </w:t>
      </w:r>
      <w:r w:rsidR="003D300C">
        <w:rPr>
          <w:rFonts w:ascii="Verdana" w:hAnsi="Verdana"/>
          <w:bCs/>
          <w:color w:val="000000"/>
          <w:sz w:val="17"/>
          <w:szCs w:val="17"/>
        </w:rPr>
        <w:t>If EIOPA decides to</w:t>
      </w:r>
      <w:r w:rsidR="003D300C" w:rsidRPr="008838CC">
        <w:rPr>
          <w:rFonts w:ascii="Verdana" w:hAnsi="Verdana"/>
          <w:bCs/>
          <w:color w:val="000000"/>
          <w:sz w:val="17"/>
          <w:szCs w:val="17"/>
        </w:rPr>
        <w:t xml:space="preserve"> </w:t>
      </w:r>
      <w:r w:rsidR="002D2B47" w:rsidRPr="008838CC">
        <w:rPr>
          <w:rFonts w:ascii="Verdana" w:hAnsi="Verdana"/>
          <w:bCs/>
          <w:color w:val="000000"/>
          <w:sz w:val="17"/>
          <w:szCs w:val="17"/>
        </w:rPr>
        <w:t>retain a PLAM</w:t>
      </w:r>
      <w:r w:rsidR="003D300C">
        <w:rPr>
          <w:rFonts w:ascii="Verdana" w:hAnsi="Verdana"/>
          <w:bCs/>
          <w:color w:val="000000"/>
          <w:sz w:val="17"/>
          <w:szCs w:val="17"/>
        </w:rPr>
        <w:t>, it</w:t>
      </w:r>
      <w:r w:rsidR="002D2B47" w:rsidRPr="008838CC">
        <w:rPr>
          <w:rFonts w:ascii="Verdana" w:hAnsi="Verdana"/>
          <w:bCs/>
          <w:color w:val="000000"/>
          <w:sz w:val="17"/>
          <w:szCs w:val="17"/>
        </w:rPr>
        <w:t xml:space="preserve"> should be adjusted, so that the consequences of the application of the PLAM are consistent for banks and insurers. </w:t>
      </w:r>
    </w:p>
    <w:p w14:paraId="01D62DFE" w14:textId="77777777" w:rsidR="003D300C" w:rsidRDefault="003D300C" w:rsidP="00B71C9A">
      <w:pPr>
        <w:spacing w:line="276" w:lineRule="auto"/>
        <w:jc w:val="both"/>
        <w:rPr>
          <w:rFonts w:ascii="Verdana" w:hAnsi="Verdana"/>
          <w:bCs/>
          <w:color w:val="000000"/>
          <w:sz w:val="17"/>
          <w:szCs w:val="17"/>
        </w:rPr>
      </w:pPr>
    </w:p>
    <w:p w14:paraId="293667C6" w14:textId="284AEACC" w:rsidR="002D2B47" w:rsidRDefault="002D2B47" w:rsidP="00B71C9A">
      <w:pPr>
        <w:spacing w:line="276" w:lineRule="auto"/>
        <w:jc w:val="both"/>
        <w:rPr>
          <w:rFonts w:ascii="Verdana" w:hAnsi="Verdana" w:cstheme="minorHAnsi"/>
          <w:color w:val="000000"/>
          <w:sz w:val="17"/>
          <w:szCs w:val="17"/>
        </w:rPr>
      </w:pPr>
      <w:r w:rsidRPr="008838CC">
        <w:rPr>
          <w:rFonts w:ascii="Verdana" w:hAnsi="Verdana"/>
          <w:bCs/>
          <w:color w:val="000000"/>
          <w:sz w:val="17"/>
          <w:szCs w:val="17"/>
        </w:rPr>
        <w:t xml:space="preserve">Concretely, the level of the triggers should be addressed as there is no reason for the insurance PLAM to apply earlier than the banking PLAM and </w:t>
      </w:r>
      <w:r w:rsidRPr="008838CC">
        <w:rPr>
          <w:rFonts w:ascii="Verdana" w:hAnsi="Verdana" w:cstheme="minorHAnsi"/>
          <w:bCs/>
          <w:color w:val="000000"/>
          <w:sz w:val="17"/>
          <w:szCs w:val="17"/>
        </w:rPr>
        <w:t>the application</w:t>
      </w:r>
      <w:r w:rsidRPr="008838CC">
        <w:rPr>
          <w:rFonts w:ascii="Verdana" w:hAnsi="Verdana" w:cstheme="minorHAnsi"/>
          <w:color w:val="000000"/>
          <w:sz w:val="17"/>
          <w:szCs w:val="17"/>
        </w:rPr>
        <w:t xml:space="preserve"> of the </w:t>
      </w:r>
      <w:r w:rsidRPr="008838CC">
        <w:rPr>
          <w:rFonts w:ascii="Verdana" w:hAnsi="Verdana" w:cstheme="minorHAnsi"/>
          <w:bCs/>
          <w:color w:val="000000"/>
          <w:sz w:val="17"/>
          <w:szCs w:val="17"/>
        </w:rPr>
        <w:t xml:space="preserve">PLAM should have no impact on an undertaking </w:t>
      </w:r>
      <w:r w:rsidRPr="008838CC">
        <w:rPr>
          <w:rFonts w:ascii="Verdana" w:hAnsi="Verdana" w:cstheme="minorHAnsi"/>
          <w:color w:val="000000"/>
          <w:sz w:val="17"/>
          <w:szCs w:val="17"/>
        </w:rPr>
        <w:t>solvency position.</w:t>
      </w:r>
    </w:p>
    <w:p w14:paraId="10AF187B" w14:textId="77777777" w:rsidR="003D300C" w:rsidRPr="008838CC" w:rsidRDefault="003D300C" w:rsidP="00B71C9A">
      <w:pPr>
        <w:spacing w:line="276" w:lineRule="auto"/>
        <w:jc w:val="both"/>
        <w:rPr>
          <w:rFonts w:ascii="Verdana" w:hAnsi="Verdana"/>
          <w:color w:val="000000"/>
          <w:sz w:val="17"/>
          <w:szCs w:val="17"/>
        </w:rPr>
      </w:pPr>
    </w:p>
    <w:p w14:paraId="2D3772DF" w14:textId="2F88837E" w:rsidR="00B71C9A" w:rsidRPr="008838CC" w:rsidRDefault="002D2B47" w:rsidP="00B71C9A">
      <w:pPr>
        <w:spacing w:line="276" w:lineRule="auto"/>
        <w:jc w:val="both"/>
        <w:rPr>
          <w:rFonts w:ascii="Verdana" w:hAnsi="Verdana"/>
          <w:color w:val="000000"/>
          <w:sz w:val="17"/>
          <w:szCs w:val="17"/>
        </w:rPr>
      </w:pPr>
      <w:r w:rsidRPr="008838CC">
        <w:rPr>
          <w:rFonts w:ascii="Verdana" w:hAnsi="Verdana"/>
          <w:color w:val="000000"/>
          <w:sz w:val="17"/>
          <w:szCs w:val="17"/>
        </w:rPr>
        <w:t>Insurance Europe welcomes the introduction of the permission for a partial write down when the mandatory trigger of 3 months SCR breach is reached.</w:t>
      </w:r>
    </w:p>
    <w:p w14:paraId="232946DA" w14:textId="77777777" w:rsidR="002D2B47" w:rsidRPr="008838CC" w:rsidRDefault="002D2B47" w:rsidP="00B71C9A">
      <w:pPr>
        <w:spacing w:line="276" w:lineRule="auto"/>
        <w:jc w:val="both"/>
        <w:rPr>
          <w:rFonts w:ascii="Verdana" w:hAnsi="Verdana"/>
          <w:color w:val="000000"/>
          <w:sz w:val="17"/>
          <w:szCs w:val="17"/>
        </w:rPr>
      </w:pPr>
    </w:p>
    <w:p w14:paraId="64BA723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19.2</w:t>
      </w:r>
    </w:p>
    <w:p w14:paraId="5FBC517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19.2.1</w:t>
      </w:r>
    </w:p>
    <w:p w14:paraId="568F1A60"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19.2.2</w:t>
      </w:r>
    </w:p>
    <w:p w14:paraId="4AF3B947"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19.2.3</w:t>
      </w:r>
    </w:p>
    <w:p w14:paraId="0317C1EC"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19.2.4</w:t>
      </w:r>
    </w:p>
    <w:p w14:paraId="41772824"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19.2.5</w:t>
      </w:r>
    </w:p>
    <w:p w14:paraId="134BC9C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19.2.6</w:t>
      </w:r>
    </w:p>
    <w:p w14:paraId="5D884921" w14:textId="03F96EDF"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19.3</w:t>
      </w:r>
      <w:r w:rsidR="00787A1E" w:rsidRPr="008838CC">
        <w:rPr>
          <w:rFonts w:ascii="Verdana" w:hAnsi="Verdana"/>
          <w:b/>
          <w:color w:val="000000"/>
          <w:sz w:val="17"/>
          <w:szCs w:val="17"/>
          <w:u w:val="single"/>
        </w:rPr>
        <w:t xml:space="preserve"> </w:t>
      </w:r>
    </w:p>
    <w:p w14:paraId="198FD8F9" w14:textId="2A4CE88E" w:rsidR="00787A1E" w:rsidRPr="008838CC" w:rsidRDefault="00787A1E"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19.4 Operation of the PLAM</w:t>
      </w:r>
    </w:p>
    <w:p w14:paraId="506A6A87" w14:textId="4BF1AA29"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19.4.1</w:t>
      </w:r>
      <w:r w:rsidR="00787A1E" w:rsidRPr="008838CC">
        <w:rPr>
          <w:rFonts w:ascii="Verdana" w:hAnsi="Verdana"/>
          <w:b/>
          <w:color w:val="000000"/>
          <w:sz w:val="17"/>
          <w:szCs w:val="17"/>
          <w:u w:val="single"/>
        </w:rPr>
        <w:t xml:space="preserve"> In solvency II, the way the mandatory triggers are calculated means that the write down does not normally restore compliance</w:t>
      </w:r>
    </w:p>
    <w:p w14:paraId="1D859A55" w14:textId="6369FF94"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19.4.2</w:t>
      </w:r>
      <w:r w:rsidR="00787A1E" w:rsidRPr="008838CC">
        <w:rPr>
          <w:rFonts w:ascii="Verdana" w:hAnsi="Verdana"/>
          <w:b/>
          <w:color w:val="000000"/>
          <w:sz w:val="17"/>
          <w:szCs w:val="17"/>
          <w:u w:val="single"/>
        </w:rPr>
        <w:t xml:space="preserve"> Whether to align with the banking regime by changing the trigger mechanism to reference an unrestricted tier 1 coverage ratio</w:t>
      </w:r>
    </w:p>
    <w:p w14:paraId="15794B4B" w14:textId="673086B8" w:rsidR="005A0062" w:rsidRPr="008838CC" w:rsidRDefault="005A0062" w:rsidP="00644F0A">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 1459</w:t>
      </w:r>
    </w:p>
    <w:p w14:paraId="32C11B96" w14:textId="3E539F52" w:rsidR="0052793A" w:rsidRPr="008838CC" w:rsidRDefault="0065251F" w:rsidP="00644F0A">
      <w:pPr>
        <w:spacing w:line="276" w:lineRule="auto"/>
        <w:rPr>
          <w:rFonts w:ascii="Verdana" w:hAnsi="Verdana" w:cstheme="minorHAnsi"/>
          <w:color w:val="000000"/>
          <w:sz w:val="17"/>
          <w:szCs w:val="17"/>
        </w:rPr>
      </w:pPr>
      <w:r w:rsidRPr="008838CC">
        <w:rPr>
          <w:rFonts w:ascii="Verdana" w:hAnsi="Verdana" w:cstheme="minorHAnsi"/>
          <w:sz w:val="17"/>
          <w:szCs w:val="17"/>
        </w:rPr>
        <w:t>Insurance Europe believes no PLAM is necessary</w:t>
      </w:r>
      <w:r w:rsidR="0052793A" w:rsidRPr="008838CC">
        <w:rPr>
          <w:rFonts w:ascii="Verdana" w:hAnsi="Verdana" w:cstheme="minorHAnsi"/>
          <w:sz w:val="17"/>
          <w:szCs w:val="17"/>
        </w:rPr>
        <w:t xml:space="preserve"> as it creates a competitive disadvantage for European </w:t>
      </w:r>
      <w:r w:rsidR="003D300C">
        <w:rPr>
          <w:rFonts w:ascii="Verdana" w:hAnsi="Verdana" w:cstheme="minorHAnsi"/>
          <w:sz w:val="17"/>
          <w:szCs w:val="17"/>
        </w:rPr>
        <w:t>m</w:t>
      </w:r>
      <w:r w:rsidR="0052793A" w:rsidRPr="008838CC">
        <w:rPr>
          <w:rFonts w:ascii="Verdana" w:hAnsi="Verdana" w:cstheme="minorHAnsi"/>
          <w:sz w:val="17"/>
          <w:szCs w:val="17"/>
        </w:rPr>
        <w:t>arket players in a global context</w:t>
      </w:r>
      <w:r w:rsidRPr="008838CC">
        <w:rPr>
          <w:rFonts w:ascii="Verdana" w:hAnsi="Verdana" w:cstheme="minorHAnsi"/>
          <w:color w:val="000000"/>
          <w:sz w:val="17"/>
          <w:szCs w:val="17"/>
        </w:rPr>
        <w:t xml:space="preserve">. However should a PLAM be retained, it should be adapted, so that the </w:t>
      </w:r>
      <w:r w:rsidR="00B71C9A" w:rsidRPr="008838CC">
        <w:rPr>
          <w:rFonts w:ascii="Verdana" w:hAnsi="Verdana" w:cstheme="minorHAnsi"/>
          <w:bCs/>
          <w:color w:val="000000"/>
          <w:sz w:val="17"/>
          <w:szCs w:val="17"/>
        </w:rPr>
        <w:t xml:space="preserve">consequence of the </w:t>
      </w:r>
      <w:r w:rsidR="005A0062" w:rsidRPr="008838CC">
        <w:rPr>
          <w:rFonts w:ascii="Verdana" w:hAnsi="Verdana" w:cstheme="minorHAnsi"/>
          <w:color w:val="000000"/>
          <w:sz w:val="17"/>
          <w:szCs w:val="17"/>
        </w:rPr>
        <w:t xml:space="preserve">application of the PLAM </w:t>
      </w:r>
      <w:r w:rsidR="0052793A" w:rsidRPr="008838CC">
        <w:rPr>
          <w:rFonts w:ascii="Verdana" w:hAnsi="Verdana" w:cstheme="minorHAnsi"/>
          <w:color w:val="000000"/>
          <w:sz w:val="17"/>
          <w:szCs w:val="17"/>
        </w:rPr>
        <w:t xml:space="preserve">in the insurance sector </w:t>
      </w:r>
      <w:r w:rsidRPr="008838CC">
        <w:rPr>
          <w:rFonts w:ascii="Verdana" w:hAnsi="Verdana" w:cstheme="minorHAnsi"/>
          <w:color w:val="000000"/>
          <w:sz w:val="17"/>
          <w:szCs w:val="17"/>
        </w:rPr>
        <w:t xml:space="preserve">is </w:t>
      </w:r>
      <w:r w:rsidR="0052793A" w:rsidRPr="008838CC">
        <w:rPr>
          <w:rFonts w:ascii="Verdana" w:hAnsi="Verdana" w:cstheme="minorHAnsi"/>
          <w:color w:val="000000"/>
          <w:sz w:val="17"/>
          <w:szCs w:val="17"/>
        </w:rPr>
        <w:t>consistent with the one in the banking sector. Concretely the application</w:t>
      </w:r>
      <w:r w:rsidR="005A0062" w:rsidRPr="008838CC">
        <w:rPr>
          <w:rFonts w:ascii="Verdana" w:hAnsi="Verdana" w:cstheme="minorHAnsi"/>
          <w:color w:val="000000"/>
          <w:sz w:val="17"/>
          <w:szCs w:val="17"/>
        </w:rPr>
        <w:t xml:space="preserve"> of the </w:t>
      </w:r>
      <w:r w:rsidR="0052793A" w:rsidRPr="008838CC">
        <w:rPr>
          <w:rFonts w:ascii="Verdana" w:hAnsi="Verdana" w:cstheme="minorHAnsi"/>
          <w:color w:val="000000"/>
          <w:sz w:val="17"/>
          <w:szCs w:val="17"/>
        </w:rPr>
        <w:t xml:space="preserve">PLAM should have no impact on an undertaking </w:t>
      </w:r>
      <w:r w:rsidR="005A0062" w:rsidRPr="008838CC">
        <w:rPr>
          <w:rFonts w:ascii="Verdana" w:hAnsi="Verdana" w:cstheme="minorHAnsi"/>
          <w:color w:val="000000"/>
          <w:sz w:val="17"/>
          <w:szCs w:val="17"/>
        </w:rPr>
        <w:t xml:space="preserve">solvency position. </w:t>
      </w:r>
    </w:p>
    <w:p w14:paraId="703C7B10" w14:textId="023BB91B" w:rsidR="004B1BC4" w:rsidRPr="008838CC" w:rsidRDefault="003147B2" w:rsidP="00644F0A">
      <w:pPr>
        <w:spacing w:line="276" w:lineRule="auto"/>
        <w:rPr>
          <w:rFonts w:ascii="Verdana" w:hAnsi="Verdana" w:cstheme="minorHAnsi"/>
          <w:color w:val="000000"/>
          <w:sz w:val="17"/>
          <w:szCs w:val="17"/>
        </w:rPr>
      </w:pPr>
      <w:r w:rsidRPr="008838CC">
        <w:rPr>
          <w:rFonts w:ascii="Verdana" w:hAnsi="Verdana" w:cstheme="minorHAnsi"/>
          <w:color w:val="000000"/>
          <w:sz w:val="17"/>
          <w:szCs w:val="17"/>
        </w:rPr>
        <w:t xml:space="preserve">An appropriate PLAM </w:t>
      </w:r>
      <w:r w:rsidR="0052793A" w:rsidRPr="008838CC">
        <w:rPr>
          <w:rFonts w:ascii="Verdana" w:hAnsi="Verdana" w:cstheme="minorHAnsi"/>
          <w:color w:val="000000"/>
          <w:sz w:val="17"/>
          <w:szCs w:val="17"/>
        </w:rPr>
        <w:t>should</w:t>
      </w:r>
      <w:r w:rsidRPr="008838CC">
        <w:rPr>
          <w:rFonts w:ascii="Verdana" w:hAnsi="Verdana" w:cstheme="minorHAnsi"/>
          <w:color w:val="000000"/>
          <w:sz w:val="17"/>
          <w:szCs w:val="17"/>
        </w:rPr>
        <w:t xml:space="preserve"> not only achieve loss absorbency, but </w:t>
      </w:r>
      <w:r w:rsidR="0052793A" w:rsidRPr="008838CC">
        <w:rPr>
          <w:rFonts w:ascii="Verdana" w:hAnsi="Verdana" w:cstheme="minorHAnsi"/>
          <w:color w:val="000000"/>
          <w:sz w:val="17"/>
          <w:szCs w:val="17"/>
        </w:rPr>
        <w:t>should</w:t>
      </w:r>
      <w:r w:rsidRPr="008838CC">
        <w:rPr>
          <w:rFonts w:ascii="Verdana" w:hAnsi="Verdana" w:cstheme="minorHAnsi"/>
          <w:color w:val="000000"/>
          <w:sz w:val="17"/>
          <w:szCs w:val="17"/>
        </w:rPr>
        <w:t xml:space="preserve"> also respect the hierarchy of capital and not worsen the SCR Ratio. </w:t>
      </w:r>
    </w:p>
    <w:p w14:paraId="5EB1F99D" w14:textId="77777777" w:rsidR="005A6EC0" w:rsidRPr="008838CC" w:rsidRDefault="005A6EC0" w:rsidP="00644F0A">
      <w:pPr>
        <w:spacing w:line="276" w:lineRule="auto"/>
        <w:rPr>
          <w:rFonts w:ascii="Verdana" w:hAnsi="Verdana" w:cstheme="minorHAnsi"/>
          <w:color w:val="000000"/>
          <w:sz w:val="17"/>
          <w:szCs w:val="17"/>
        </w:rPr>
      </w:pPr>
    </w:p>
    <w:p w14:paraId="5E45E9B6" w14:textId="5C8DAF7A" w:rsidR="005A0062" w:rsidRPr="008838CC" w:rsidRDefault="004B1BC4" w:rsidP="00644F0A">
      <w:pPr>
        <w:spacing w:line="276" w:lineRule="auto"/>
        <w:rPr>
          <w:rFonts w:ascii="Verdana" w:hAnsi="Verdana" w:cstheme="minorHAnsi"/>
          <w:b/>
          <w:i/>
          <w:color w:val="000000"/>
          <w:sz w:val="17"/>
          <w:szCs w:val="17"/>
        </w:rPr>
      </w:pPr>
      <w:r w:rsidRPr="008838CC">
        <w:rPr>
          <w:rFonts w:ascii="Verdana" w:hAnsi="Verdana" w:cstheme="minorHAnsi"/>
          <w:b/>
          <w:i/>
          <w:color w:val="000000"/>
          <w:sz w:val="17"/>
          <w:szCs w:val="17"/>
        </w:rPr>
        <w:t>Paragraph 1460</w:t>
      </w:r>
    </w:p>
    <w:p w14:paraId="5CEA6D61" w14:textId="213745D5" w:rsidR="00854F15" w:rsidRDefault="003A69B4" w:rsidP="00217AF0">
      <w:pPr>
        <w:spacing w:before="120" w:line="276" w:lineRule="auto"/>
        <w:ind w:right="72"/>
        <w:rPr>
          <w:rFonts w:ascii="Verdana" w:hAnsi="Verdana" w:cstheme="minorHAnsi"/>
          <w:sz w:val="17"/>
          <w:szCs w:val="17"/>
        </w:rPr>
      </w:pPr>
      <w:r w:rsidRPr="008838CC">
        <w:rPr>
          <w:rFonts w:ascii="Verdana" w:hAnsi="Verdana" w:cstheme="minorHAnsi"/>
          <w:sz w:val="17"/>
          <w:szCs w:val="17"/>
        </w:rPr>
        <w:t xml:space="preserve">Insurance Europe </w:t>
      </w:r>
      <w:r w:rsidR="006752DD" w:rsidRPr="008838CC">
        <w:rPr>
          <w:rFonts w:ascii="Verdana" w:hAnsi="Verdana" w:cstheme="minorHAnsi"/>
          <w:sz w:val="17"/>
          <w:szCs w:val="17"/>
        </w:rPr>
        <w:t>believes</w:t>
      </w:r>
      <w:r w:rsidRPr="008838CC">
        <w:rPr>
          <w:rFonts w:ascii="Verdana" w:hAnsi="Verdana" w:cstheme="minorHAnsi"/>
          <w:sz w:val="17"/>
          <w:szCs w:val="17"/>
        </w:rPr>
        <w:t xml:space="preserve"> EIOPA </w:t>
      </w:r>
      <w:r w:rsidR="005B1688" w:rsidRPr="008838CC">
        <w:rPr>
          <w:rFonts w:ascii="Verdana" w:hAnsi="Verdana" w:cstheme="minorHAnsi"/>
          <w:sz w:val="17"/>
          <w:szCs w:val="17"/>
        </w:rPr>
        <w:t>should address the level of the triggers</w:t>
      </w:r>
      <w:r w:rsidR="00854F15">
        <w:rPr>
          <w:rFonts w:ascii="Verdana" w:hAnsi="Verdana" w:cstheme="minorHAnsi"/>
          <w:sz w:val="17"/>
          <w:szCs w:val="17"/>
        </w:rPr>
        <w:t xml:space="preserve">. </w:t>
      </w:r>
    </w:p>
    <w:p w14:paraId="5FE9A9AB" w14:textId="77777777" w:rsidR="00854F15" w:rsidRDefault="00854F15" w:rsidP="00217AF0">
      <w:pPr>
        <w:spacing w:before="120" w:line="276" w:lineRule="auto"/>
        <w:ind w:right="72"/>
        <w:rPr>
          <w:rFonts w:ascii="Verdana" w:hAnsi="Verdana" w:cstheme="minorHAnsi"/>
          <w:sz w:val="17"/>
          <w:szCs w:val="17"/>
        </w:rPr>
      </w:pPr>
    </w:p>
    <w:p w14:paraId="61330B05" w14:textId="2689581A" w:rsidR="00217AF0" w:rsidRPr="008838CC" w:rsidRDefault="003A69B4" w:rsidP="00217AF0">
      <w:pPr>
        <w:spacing w:before="120" w:line="276" w:lineRule="auto"/>
        <w:ind w:right="72"/>
        <w:rPr>
          <w:rFonts w:ascii="Verdana" w:hAnsi="Verdana"/>
          <w:color w:val="000000"/>
          <w:sz w:val="17"/>
          <w:szCs w:val="17"/>
        </w:rPr>
      </w:pPr>
      <w:r w:rsidRPr="008838CC">
        <w:rPr>
          <w:rFonts w:ascii="Verdana" w:hAnsi="Verdana" w:cstheme="minorHAnsi"/>
          <w:sz w:val="17"/>
          <w:szCs w:val="17"/>
        </w:rPr>
        <w:t xml:space="preserve">Insurance Europe </w:t>
      </w:r>
      <w:r w:rsidR="005B1688" w:rsidRPr="008838CC">
        <w:rPr>
          <w:rFonts w:ascii="Verdana" w:hAnsi="Verdana" w:cstheme="minorHAnsi"/>
          <w:sz w:val="17"/>
          <w:szCs w:val="17"/>
        </w:rPr>
        <w:t>reiterates</w:t>
      </w:r>
      <w:r w:rsidR="00217AF0" w:rsidRPr="008838CC">
        <w:rPr>
          <w:rFonts w:ascii="Verdana" w:hAnsi="Verdana" w:cstheme="minorHAnsi"/>
          <w:sz w:val="17"/>
          <w:szCs w:val="17"/>
        </w:rPr>
        <w:t xml:space="preserve"> there is no</w:t>
      </w:r>
      <w:r w:rsidRPr="008838CC">
        <w:rPr>
          <w:rFonts w:ascii="Verdana" w:hAnsi="Verdana" w:cstheme="minorHAnsi"/>
          <w:sz w:val="17"/>
          <w:szCs w:val="17"/>
        </w:rPr>
        <w:t xml:space="preserve"> reason </w:t>
      </w:r>
      <w:r w:rsidR="00217AF0" w:rsidRPr="008838CC">
        <w:rPr>
          <w:rFonts w:ascii="Verdana" w:hAnsi="Verdana" w:cstheme="minorHAnsi"/>
          <w:sz w:val="17"/>
          <w:szCs w:val="17"/>
        </w:rPr>
        <w:t>for</w:t>
      </w:r>
      <w:r w:rsidRPr="008838CC">
        <w:rPr>
          <w:rFonts w:ascii="Verdana" w:hAnsi="Verdana" w:cstheme="minorHAnsi"/>
          <w:sz w:val="17"/>
          <w:szCs w:val="17"/>
        </w:rPr>
        <w:t xml:space="preserve"> the insurance PLAM </w:t>
      </w:r>
      <w:r w:rsidR="00217AF0" w:rsidRPr="008838CC">
        <w:rPr>
          <w:rFonts w:ascii="Verdana" w:hAnsi="Verdana" w:cstheme="minorHAnsi"/>
          <w:sz w:val="17"/>
          <w:szCs w:val="17"/>
        </w:rPr>
        <w:t>to apply</w:t>
      </w:r>
      <w:r w:rsidRPr="008838CC">
        <w:rPr>
          <w:rFonts w:ascii="Verdana" w:hAnsi="Verdana" w:cstheme="minorHAnsi"/>
          <w:sz w:val="17"/>
          <w:szCs w:val="17"/>
        </w:rPr>
        <w:t xml:space="preserve"> earlier than the banking PLAM. </w:t>
      </w:r>
      <w:r w:rsidR="004B1BC4" w:rsidRPr="008838CC">
        <w:rPr>
          <w:rFonts w:ascii="Verdana" w:hAnsi="Verdana" w:cstheme="minorHAnsi"/>
          <w:sz w:val="17"/>
          <w:szCs w:val="17"/>
        </w:rPr>
        <w:t xml:space="preserve">In insurance, </w:t>
      </w:r>
      <w:r w:rsidR="003147B2" w:rsidRPr="008838CC">
        <w:rPr>
          <w:rFonts w:ascii="Verdana" w:hAnsi="Verdana" w:cstheme="minorHAnsi"/>
          <w:sz w:val="17"/>
          <w:szCs w:val="17"/>
        </w:rPr>
        <w:t xml:space="preserve">the Delegated Regulation </w:t>
      </w:r>
      <w:r w:rsidR="004B1BC4" w:rsidRPr="008838CC">
        <w:rPr>
          <w:rFonts w:ascii="Verdana" w:hAnsi="Verdana" w:cstheme="minorHAnsi"/>
          <w:sz w:val="17"/>
          <w:szCs w:val="17"/>
        </w:rPr>
        <w:t>foresees cancellation of equity dividends at th</w:t>
      </w:r>
      <w:r w:rsidR="003147B2" w:rsidRPr="008838CC">
        <w:rPr>
          <w:rFonts w:ascii="Verdana" w:hAnsi="Verdana" w:cstheme="minorHAnsi"/>
          <w:sz w:val="17"/>
          <w:szCs w:val="17"/>
        </w:rPr>
        <w:t>e same time as cancellation of r</w:t>
      </w:r>
      <w:r w:rsidR="004B1BC4" w:rsidRPr="008838CC">
        <w:rPr>
          <w:rFonts w:ascii="Verdana" w:hAnsi="Verdana" w:cstheme="minorHAnsi"/>
          <w:sz w:val="17"/>
          <w:szCs w:val="17"/>
        </w:rPr>
        <w:t xml:space="preserve">T1 coupons (SCR breach), whereas in banking the prioritisation </w:t>
      </w:r>
      <w:r w:rsidR="00217AF0" w:rsidRPr="008838CC">
        <w:rPr>
          <w:rFonts w:ascii="Verdana" w:hAnsi="Verdana" w:cstheme="minorHAnsi"/>
          <w:sz w:val="17"/>
          <w:szCs w:val="17"/>
        </w:rPr>
        <w:t xml:space="preserve">for cancellation </w:t>
      </w:r>
      <w:r w:rsidR="004B1BC4" w:rsidRPr="008838CC">
        <w:rPr>
          <w:rFonts w:ascii="Verdana" w:hAnsi="Verdana" w:cstheme="minorHAnsi"/>
          <w:sz w:val="17"/>
          <w:szCs w:val="17"/>
        </w:rPr>
        <w:t xml:space="preserve">of AT1 coupons is foreseen by CRR. Bank PLAM trigger is breached when CET1 ratio falls below 5,125% , and a comparable threshold for insurance would be  MCR (rather than SCR). However, in practice the insurance PLAM is triggered at the same moment as the </w:t>
      </w:r>
      <w:r w:rsidRPr="008838CC">
        <w:rPr>
          <w:rFonts w:ascii="Verdana" w:hAnsi="Verdana" w:cstheme="minorHAnsi"/>
          <w:sz w:val="17"/>
          <w:szCs w:val="17"/>
        </w:rPr>
        <w:t>r</w:t>
      </w:r>
      <w:r w:rsidR="004B1BC4" w:rsidRPr="008838CC">
        <w:rPr>
          <w:rFonts w:ascii="Verdana" w:hAnsi="Verdana" w:cstheme="minorHAnsi"/>
          <w:sz w:val="17"/>
          <w:szCs w:val="17"/>
        </w:rPr>
        <w:t xml:space="preserve">T1 coupon cancellation and possibly even at the same moment as Tier 2 coupon deferral. And there is no justification for the insurance PLAM to be triggered so much earlier than the banking PLAM. </w:t>
      </w:r>
      <w:r w:rsidR="00217AF0" w:rsidRPr="008838CC">
        <w:rPr>
          <w:rFonts w:ascii="Verdana" w:hAnsi="Verdana"/>
          <w:color w:val="000000"/>
          <w:sz w:val="17"/>
          <w:szCs w:val="17"/>
        </w:rPr>
        <w:t>(See also response to EIOPA-CP-16-008).</w:t>
      </w:r>
    </w:p>
    <w:p w14:paraId="3B579150" w14:textId="465027BC" w:rsidR="004B1BC4" w:rsidRPr="008838CC" w:rsidRDefault="004B1BC4" w:rsidP="004B1BC4">
      <w:pPr>
        <w:rPr>
          <w:rFonts w:ascii="Verdana" w:hAnsi="Verdana" w:cstheme="minorHAnsi"/>
          <w:sz w:val="17"/>
          <w:szCs w:val="17"/>
        </w:rPr>
      </w:pPr>
    </w:p>
    <w:p w14:paraId="4291B2D6" w14:textId="77777777" w:rsidR="004B1BC4" w:rsidRPr="008838CC" w:rsidRDefault="004B1BC4" w:rsidP="00644F0A">
      <w:pPr>
        <w:spacing w:line="276" w:lineRule="auto"/>
        <w:rPr>
          <w:rFonts w:ascii="Verdana" w:hAnsi="Verdana" w:cstheme="minorHAnsi"/>
          <w:color w:val="000000"/>
          <w:sz w:val="17"/>
          <w:szCs w:val="17"/>
        </w:rPr>
      </w:pPr>
    </w:p>
    <w:p w14:paraId="297E67D3" w14:textId="060A0985"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19.4.3</w:t>
      </w:r>
      <w:r w:rsidR="005A0062" w:rsidRPr="008838CC">
        <w:rPr>
          <w:rFonts w:ascii="Verdana" w:hAnsi="Verdana"/>
          <w:b/>
          <w:color w:val="000000"/>
          <w:sz w:val="17"/>
          <w:szCs w:val="17"/>
          <w:u w:val="single"/>
        </w:rPr>
        <w:t xml:space="preserve"> Amendments to Article 71 of the Delegated Regulation separate from alignment with the banking regime</w:t>
      </w:r>
    </w:p>
    <w:p w14:paraId="0C11FAD7" w14:textId="77777777" w:rsidR="005B1688" w:rsidRPr="008838CC" w:rsidRDefault="005B1688" w:rsidP="005A0062">
      <w:pPr>
        <w:spacing w:line="276" w:lineRule="auto"/>
        <w:rPr>
          <w:rFonts w:ascii="Verdana" w:hAnsi="Verdana"/>
          <w:b/>
          <w:i/>
          <w:color w:val="000000"/>
          <w:sz w:val="17"/>
          <w:szCs w:val="17"/>
        </w:rPr>
      </w:pPr>
    </w:p>
    <w:p w14:paraId="2A9F1AFB" w14:textId="4224AEA9" w:rsidR="005A0062" w:rsidRPr="008838CC" w:rsidRDefault="005A0062" w:rsidP="005A0062">
      <w:pPr>
        <w:spacing w:line="276" w:lineRule="auto"/>
        <w:rPr>
          <w:rFonts w:ascii="Verdana" w:hAnsi="Verdana"/>
          <w:b/>
          <w:i/>
          <w:color w:val="000000"/>
          <w:sz w:val="17"/>
          <w:szCs w:val="17"/>
        </w:rPr>
      </w:pPr>
      <w:r w:rsidRPr="008838CC">
        <w:rPr>
          <w:rFonts w:ascii="Verdana" w:hAnsi="Verdana"/>
          <w:b/>
          <w:i/>
          <w:color w:val="000000"/>
          <w:sz w:val="17"/>
          <w:szCs w:val="17"/>
        </w:rPr>
        <w:t>Paragraph 1466-1467</w:t>
      </w:r>
    </w:p>
    <w:p w14:paraId="144D4F75" w14:textId="6DE2C2DA" w:rsidR="005A0062" w:rsidRPr="008838CC" w:rsidRDefault="005A0062" w:rsidP="005A0062">
      <w:pPr>
        <w:spacing w:line="276" w:lineRule="auto"/>
        <w:rPr>
          <w:rFonts w:ascii="Verdana" w:hAnsi="Verdana"/>
          <w:color w:val="000000"/>
          <w:sz w:val="17"/>
          <w:szCs w:val="17"/>
        </w:rPr>
      </w:pPr>
      <w:r w:rsidRPr="008838CC">
        <w:rPr>
          <w:rFonts w:ascii="Verdana" w:hAnsi="Verdana"/>
          <w:color w:val="000000"/>
          <w:sz w:val="17"/>
          <w:szCs w:val="17"/>
        </w:rPr>
        <w:t>Insurance Europe welcomes the introduction of the permission for a partial write down</w:t>
      </w:r>
      <w:r w:rsidR="00A12D1B" w:rsidRPr="008838CC">
        <w:rPr>
          <w:rFonts w:ascii="Verdana" w:hAnsi="Verdana"/>
          <w:color w:val="000000"/>
          <w:sz w:val="17"/>
          <w:szCs w:val="17"/>
        </w:rPr>
        <w:t xml:space="preserve"> when the mandatory trigger of 3 months SCR breach is reached. Insurance Europe believes the conditions of not triggering the 75% SCR breach and MCR breach are reasonable. </w:t>
      </w:r>
    </w:p>
    <w:p w14:paraId="08EBF85A" w14:textId="77777777" w:rsidR="005B1688" w:rsidRPr="008838CC" w:rsidRDefault="005B1688" w:rsidP="00644F0A">
      <w:pPr>
        <w:spacing w:line="276" w:lineRule="auto"/>
        <w:rPr>
          <w:rFonts w:ascii="Verdana" w:hAnsi="Verdana"/>
          <w:b/>
          <w:i/>
          <w:color w:val="000000"/>
          <w:sz w:val="17"/>
          <w:szCs w:val="17"/>
        </w:rPr>
      </w:pPr>
    </w:p>
    <w:p w14:paraId="4A1BDAA7" w14:textId="2928E2D4" w:rsidR="005A0062" w:rsidRPr="008838CC" w:rsidRDefault="00D33915" w:rsidP="00644F0A">
      <w:pPr>
        <w:spacing w:line="276" w:lineRule="auto"/>
        <w:rPr>
          <w:rFonts w:ascii="Verdana" w:hAnsi="Verdana"/>
          <w:b/>
          <w:i/>
          <w:color w:val="000000"/>
          <w:sz w:val="17"/>
          <w:szCs w:val="17"/>
        </w:rPr>
      </w:pPr>
      <w:r w:rsidRPr="008838CC">
        <w:rPr>
          <w:rFonts w:ascii="Verdana" w:hAnsi="Verdana"/>
          <w:b/>
          <w:i/>
          <w:color w:val="000000"/>
          <w:sz w:val="17"/>
          <w:szCs w:val="17"/>
        </w:rPr>
        <w:t>Paragraph 14</w:t>
      </w:r>
      <w:r w:rsidR="00C07581" w:rsidRPr="008838CC">
        <w:rPr>
          <w:rFonts w:ascii="Verdana" w:hAnsi="Verdana"/>
          <w:b/>
          <w:i/>
          <w:color w:val="000000"/>
          <w:sz w:val="17"/>
          <w:szCs w:val="17"/>
        </w:rPr>
        <w:t>73</w:t>
      </w:r>
      <w:r w:rsidR="00347934" w:rsidRPr="008838CC">
        <w:rPr>
          <w:rFonts w:ascii="Verdana" w:hAnsi="Verdana"/>
          <w:b/>
          <w:i/>
          <w:color w:val="000000"/>
          <w:sz w:val="17"/>
          <w:szCs w:val="17"/>
        </w:rPr>
        <w:t xml:space="preserve"> &amp; 1477</w:t>
      </w:r>
    </w:p>
    <w:p w14:paraId="55E363C8" w14:textId="01DE129A" w:rsidR="00C07581" w:rsidRPr="008838CC" w:rsidRDefault="00C07581"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agrees with </w:t>
      </w:r>
      <w:r w:rsidR="00EC26CD" w:rsidRPr="008838CC">
        <w:rPr>
          <w:rFonts w:ascii="Verdana" w:hAnsi="Verdana"/>
          <w:color w:val="000000"/>
          <w:sz w:val="17"/>
          <w:szCs w:val="17"/>
        </w:rPr>
        <w:t xml:space="preserve">the provisions EIOPA has set out, ie </w:t>
      </w:r>
      <w:r w:rsidRPr="008838CC">
        <w:rPr>
          <w:rFonts w:ascii="Verdana" w:hAnsi="Verdana"/>
          <w:color w:val="000000"/>
          <w:sz w:val="17"/>
          <w:szCs w:val="17"/>
        </w:rPr>
        <w:t xml:space="preserve">a 3 monthly recalculation of the SCR coverage and a possible further write down if necessary, until compliance with SCR is restored. </w:t>
      </w:r>
    </w:p>
    <w:p w14:paraId="47E9C250" w14:textId="77777777" w:rsidR="005B1688" w:rsidRPr="008838CC" w:rsidRDefault="005B1688" w:rsidP="00644F0A">
      <w:pPr>
        <w:spacing w:line="276" w:lineRule="auto"/>
        <w:rPr>
          <w:rFonts w:ascii="Verdana" w:hAnsi="Verdana"/>
          <w:b/>
          <w:i/>
          <w:color w:val="000000"/>
          <w:sz w:val="17"/>
          <w:szCs w:val="17"/>
        </w:rPr>
      </w:pPr>
    </w:p>
    <w:p w14:paraId="18E74F70" w14:textId="0A626C31" w:rsidR="007A2A2D" w:rsidRPr="008838CC" w:rsidRDefault="007A2A2D" w:rsidP="00644F0A">
      <w:pPr>
        <w:spacing w:line="276" w:lineRule="auto"/>
        <w:rPr>
          <w:rFonts w:ascii="Verdana" w:hAnsi="Verdana"/>
          <w:b/>
          <w:i/>
          <w:color w:val="000000"/>
          <w:sz w:val="17"/>
          <w:szCs w:val="17"/>
        </w:rPr>
      </w:pPr>
      <w:r w:rsidRPr="008838CC">
        <w:rPr>
          <w:rFonts w:ascii="Verdana" w:hAnsi="Verdana"/>
          <w:b/>
          <w:i/>
          <w:color w:val="000000"/>
          <w:sz w:val="17"/>
          <w:szCs w:val="17"/>
        </w:rPr>
        <w:t>Paragraph 1481</w:t>
      </w:r>
    </w:p>
    <w:p w14:paraId="7CDD5762" w14:textId="45EE496D" w:rsidR="007A2A2D" w:rsidRPr="008838CC" w:rsidRDefault="007A2A2D" w:rsidP="00644F0A">
      <w:pPr>
        <w:spacing w:line="276" w:lineRule="auto"/>
        <w:rPr>
          <w:rFonts w:ascii="Verdana" w:hAnsi="Verdana"/>
          <w:color w:val="000000"/>
          <w:sz w:val="17"/>
          <w:szCs w:val="17"/>
        </w:rPr>
      </w:pPr>
      <w:commentRangeStart w:id="50"/>
      <w:r w:rsidRPr="008838CC">
        <w:rPr>
          <w:rFonts w:ascii="Verdana" w:hAnsi="Verdana"/>
          <w:color w:val="000000"/>
          <w:sz w:val="17"/>
          <w:szCs w:val="17"/>
        </w:rPr>
        <w:t xml:space="preserve">Insurance Europe believes partial conversion should be </w:t>
      </w:r>
      <w:r w:rsidR="005B1688" w:rsidRPr="008838CC">
        <w:rPr>
          <w:rFonts w:ascii="Verdana" w:hAnsi="Verdana"/>
          <w:color w:val="000000"/>
          <w:sz w:val="17"/>
          <w:szCs w:val="17"/>
        </w:rPr>
        <w:t>allowed for</w:t>
      </w:r>
      <w:r w:rsidRPr="008838CC">
        <w:rPr>
          <w:rFonts w:ascii="Verdana" w:hAnsi="Verdana"/>
          <w:color w:val="000000"/>
          <w:sz w:val="17"/>
          <w:szCs w:val="17"/>
        </w:rPr>
        <w:t xml:space="preserve">; </w:t>
      </w:r>
      <w:commentRangeEnd w:id="50"/>
      <w:r w:rsidR="00EC26CD" w:rsidRPr="008838CC">
        <w:rPr>
          <w:rStyle w:val="Odkaznakomentr"/>
          <w:rFonts w:ascii="Verdana" w:hAnsi="Verdana"/>
          <w:sz w:val="17"/>
          <w:szCs w:val="17"/>
        </w:rPr>
        <w:commentReference w:id="50"/>
      </w:r>
    </w:p>
    <w:p w14:paraId="6183BCD4" w14:textId="77777777" w:rsidR="005B1688" w:rsidRPr="008838CC" w:rsidRDefault="005B1688" w:rsidP="00644F0A">
      <w:pPr>
        <w:spacing w:line="276" w:lineRule="auto"/>
        <w:rPr>
          <w:rFonts w:ascii="Verdana" w:hAnsi="Verdana"/>
          <w:color w:val="000000"/>
          <w:sz w:val="17"/>
          <w:szCs w:val="17"/>
        </w:rPr>
      </w:pPr>
    </w:p>
    <w:p w14:paraId="7161E549" w14:textId="41F05B5C"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19.4.4</w:t>
      </w:r>
      <w:r w:rsidR="003B02F4" w:rsidRPr="008838CC">
        <w:rPr>
          <w:rFonts w:ascii="Verdana" w:hAnsi="Verdana"/>
          <w:b/>
          <w:color w:val="000000"/>
          <w:sz w:val="17"/>
          <w:szCs w:val="17"/>
          <w:u w:val="single"/>
        </w:rPr>
        <w:t xml:space="preserve"> New article</w:t>
      </w:r>
    </w:p>
    <w:p w14:paraId="0AA9C7BE" w14:textId="77777777" w:rsidR="005B1688" w:rsidRPr="008838CC" w:rsidRDefault="005B1688" w:rsidP="003B02F4">
      <w:pPr>
        <w:spacing w:line="276" w:lineRule="auto"/>
        <w:rPr>
          <w:rFonts w:ascii="Verdana" w:hAnsi="Verdana"/>
          <w:b/>
          <w:i/>
          <w:color w:val="000000"/>
          <w:sz w:val="17"/>
          <w:szCs w:val="17"/>
        </w:rPr>
      </w:pPr>
    </w:p>
    <w:p w14:paraId="1000223D" w14:textId="77777777" w:rsidR="003B02F4" w:rsidRPr="008838CC" w:rsidRDefault="003B02F4" w:rsidP="003B02F4">
      <w:pPr>
        <w:spacing w:line="276" w:lineRule="auto"/>
        <w:rPr>
          <w:rFonts w:ascii="Verdana" w:hAnsi="Verdana"/>
          <w:b/>
          <w:i/>
          <w:color w:val="000000"/>
          <w:sz w:val="17"/>
          <w:szCs w:val="17"/>
        </w:rPr>
      </w:pPr>
      <w:r w:rsidRPr="008838CC">
        <w:rPr>
          <w:rFonts w:ascii="Verdana" w:hAnsi="Verdana"/>
          <w:b/>
          <w:i/>
          <w:color w:val="000000"/>
          <w:sz w:val="17"/>
          <w:szCs w:val="17"/>
        </w:rPr>
        <w:t xml:space="preserve">Paragraph 1482 </w:t>
      </w:r>
    </w:p>
    <w:p w14:paraId="0A53AC74" w14:textId="57396671" w:rsidR="003B02F4" w:rsidRPr="008838CC" w:rsidRDefault="005B1688" w:rsidP="00644F0A">
      <w:pPr>
        <w:spacing w:line="276" w:lineRule="auto"/>
        <w:rPr>
          <w:rFonts w:ascii="Verdana" w:hAnsi="Verdana"/>
          <w:i/>
          <w:color w:val="000000"/>
          <w:sz w:val="17"/>
          <w:szCs w:val="17"/>
        </w:rPr>
      </w:pPr>
      <w:r w:rsidRPr="008838CC">
        <w:rPr>
          <w:rFonts w:ascii="Verdana" w:hAnsi="Verdana"/>
          <w:i/>
          <w:color w:val="000000"/>
          <w:sz w:val="17"/>
          <w:szCs w:val="17"/>
        </w:rPr>
        <w:t xml:space="preserve">Note to EIOPA: </w:t>
      </w:r>
      <w:r w:rsidR="003B02F4" w:rsidRPr="008838CC">
        <w:rPr>
          <w:rFonts w:ascii="Verdana" w:hAnsi="Verdana"/>
          <w:i/>
          <w:color w:val="000000"/>
          <w:sz w:val="17"/>
          <w:szCs w:val="17"/>
        </w:rPr>
        <w:t>Insurance Europe believes that the last sentence of article 5 ter should refer to ‘Article 5 bis (b) (i)’, whereas it is currently referring to ‘Article 5 bis (i)’.</w:t>
      </w:r>
    </w:p>
    <w:p w14:paraId="501BE02E" w14:textId="77777777" w:rsidR="005B1688" w:rsidRPr="008838CC" w:rsidRDefault="005B1688" w:rsidP="00644F0A">
      <w:pPr>
        <w:spacing w:line="276" w:lineRule="auto"/>
        <w:rPr>
          <w:rFonts w:ascii="Verdana" w:hAnsi="Verdana"/>
          <w:b/>
          <w:i/>
          <w:color w:val="000000"/>
          <w:sz w:val="17"/>
          <w:szCs w:val="17"/>
          <w:u w:val="single"/>
        </w:rPr>
      </w:pPr>
    </w:p>
    <w:p w14:paraId="72B35E93" w14:textId="49A4D50F" w:rsidR="00CA28E6" w:rsidRPr="008838CC" w:rsidRDefault="00CA28E6"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19.5 Tax effect of rT1 which writes down on trigger</w:t>
      </w:r>
    </w:p>
    <w:p w14:paraId="2E22C613" w14:textId="03125E2C" w:rsidR="00CA28E6"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19.5.1</w:t>
      </w:r>
    </w:p>
    <w:p w14:paraId="28401E55"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19.5.2</w:t>
      </w:r>
    </w:p>
    <w:p w14:paraId="3ED861AB" w14:textId="7284C53B"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19.5.3</w:t>
      </w:r>
      <w:r w:rsidR="003A69B4" w:rsidRPr="008838CC">
        <w:rPr>
          <w:rFonts w:ascii="Verdana" w:hAnsi="Verdana"/>
          <w:b/>
          <w:color w:val="000000"/>
          <w:sz w:val="17"/>
          <w:szCs w:val="17"/>
          <w:u w:val="single"/>
        </w:rPr>
        <w:t xml:space="preserve"> Recommendation on whether to align with the banking regime</w:t>
      </w:r>
    </w:p>
    <w:p w14:paraId="409F8074" w14:textId="67356ECD" w:rsidR="005B26D0" w:rsidRPr="008838CC" w:rsidRDefault="005B26D0" w:rsidP="003A69B4">
      <w:pPr>
        <w:rPr>
          <w:rFonts w:ascii="Verdana" w:hAnsi="Verdana"/>
          <w:b/>
          <w:i/>
          <w:color w:val="000000"/>
          <w:sz w:val="17"/>
          <w:szCs w:val="17"/>
        </w:rPr>
      </w:pPr>
      <w:r w:rsidRPr="008838CC">
        <w:rPr>
          <w:rFonts w:ascii="Verdana" w:hAnsi="Verdana"/>
          <w:b/>
          <w:i/>
          <w:color w:val="000000"/>
          <w:sz w:val="17"/>
          <w:szCs w:val="17"/>
        </w:rPr>
        <w:t>Paragraph 1495</w:t>
      </w:r>
    </w:p>
    <w:p w14:paraId="734BA3A4" w14:textId="3402EE9D" w:rsidR="00EC26CD" w:rsidRPr="008838CC" w:rsidRDefault="003A69B4" w:rsidP="00EC26CD">
      <w:pPr>
        <w:rPr>
          <w:rFonts w:ascii="Verdana" w:hAnsi="Verdana"/>
          <w:color w:val="000000"/>
          <w:sz w:val="17"/>
          <w:szCs w:val="17"/>
        </w:rPr>
      </w:pPr>
      <w:r w:rsidRPr="008838CC">
        <w:rPr>
          <w:rFonts w:ascii="Verdana" w:hAnsi="Verdana"/>
          <w:color w:val="000000"/>
          <w:sz w:val="17"/>
          <w:szCs w:val="17"/>
        </w:rPr>
        <w:t xml:space="preserve">Insurance Europe agrees with EIOPA’s assessment, the difference in treatment of DTA in banking and insurance is justified. </w:t>
      </w:r>
      <w:r w:rsidR="00EC26CD" w:rsidRPr="008838CC">
        <w:rPr>
          <w:rFonts w:ascii="Verdana" w:hAnsi="Verdana"/>
          <w:color w:val="000000"/>
          <w:sz w:val="17"/>
          <w:szCs w:val="17"/>
        </w:rPr>
        <w:t xml:space="preserve">However, </w:t>
      </w:r>
      <w:r w:rsidR="00F93040" w:rsidRPr="008838CC">
        <w:rPr>
          <w:rFonts w:ascii="Verdana" w:hAnsi="Verdana"/>
          <w:color w:val="000000"/>
          <w:sz w:val="17"/>
          <w:szCs w:val="17"/>
        </w:rPr>
        <w:t>Insurance Europe highlights</w:t>
      </w:r>
      <w:r w:rsidR="00EC26CD" w:rsidRPr="008838CC">
        <w:rPr>
          <w:rFonts w:ascii="Verdana" w:hAnsi="Verdana"/>
          <w:color w:val="000000"/>
          <w:sz w:val="17"/>
          <w:szCs w:val="17"/>
        </w:rPr>
        <w:t xml:space="preserve"> it </w:t>
      </w:r>
      <w:r w:rsidR="00854F15">
        <w:rPr>
          <w:rFonts w:ascii="Verdana" w:hAnsi="Verdana"/>
          <w:color w:val="000000"/>
          <w:sz w:val="17"/>
          <w:szCs w:val="17"/>
        </w:rPr>
        <w:t xml:space="preserve">is </w:t>
      </w:r>
      <w:r w:rsidR="0088750B" w:rsidRPr="008838CC">
        <w:rPr>
          <w:rFonts w:ascii="Verdana" w:hAnsi="Verdana"/>
          <w:color w:val="000000"/>
          <w:sz w:val="17"/>
          <w:szCs w:val="17"/>
        </w:rPr>
        <w:t>inconsistent</w:t>
      </w:r>
      <w:r w:rsidR="00EC26CD" w:rsidRPr="008838CC">
        <w:rPr>
          <w:rFonts w:ascii="Verdana" w:hAnsi="Verdana"/>
          <w:color w:val="000000"/>
          <w:sz w:val="17"/>
          <w:szCs w:val="17"/>
        </w:rPr>
        <w:t xml:space="preserve"> that the insurance PLAM can result in </w:t>
      </w:r>
      <w:r w:rsidR="006752DD" w:rsidRPr="008838CC">
        <w:rPr>
          <w:rFonts w:ascii="Verdana" w:hAnsi="Verdana"/>
          <w:color w:val="000000"/>
          <w:sz w:val="17"/>
          <w:szCs w:val="17"/>
        </w:rPr>
        <w:t>a deterioration of</w:t>
      </w:r>
      <w:r w:rsidR="00EC26CD" w:rsidRPr="008838CC">
        <w:rPr>
          <w:rFonts w:ascii="Verdana" w:hAnsi="Verdana"/>
          <w:color w:val="000000"/>
          <w:sz w:val="17"/>
          <w:szCs w:val="17"/>
        </w:rPr>
        <w:t xml:space="preserve"> the </w:t>
      </w:r>
      <w:r w:rsidR="00854F15">
        <w:rPr>
          <w:rFonts w:ascii="Verdana" w:hAnsi="Verdana"/>
          <w:color w:val="000000"/>
          <w:sz w:val="17"/>
          <w:szCs w:val="17"/>
        </w:rPr>
        <w:t>S</w:t>
      </w:r>
      <w:r w:rsidR="006752DD" w:rsidRPr="008838CC">
        <w:rPr>
          <w:rFonts w:ascii="Verdana" w:hAnsi="Verdana"/>
          <w:color w:val="000000"/>
          <w:sz w:val="17"/>
          <w:szCs w:val="17"/>
        </w:rPr>
        <w:t xml:space="preserve">olvency </w:t>
      </w:r>
      <w:r w:rsidR="00EC26CD" w:rsidRPr="008838CC">
        <w:rPr>
          <w:rFonts w:ascii="Verdana" w:hAnsi="Verdana"/>
          <w:color w:val="000000"/>
          <w:sz w:val="17"/>
          <w:szCs w:val="17"/>
        </w:rPr>
        <w:t>II ratio whereas the key solvency ratio for banks (CET1) always increases due to the bank PLAM</w:t>
      </w:r>
      <w:r w:rsidR="00854F15">
        <w:rPr>
          <w:rFonts w:ascii="Verdana" w:hAnsi="Verdana"/>
          <w:color w:val="000000"/>
          <w:sz w:val="17"/>
          <w:szCs w:val="17"/>
        </w:rPr>
        <w:t>.</w:t>
      </w:r>
      <w:r w:rsidR="00563FCF" w:rsidRPr="008838CC">
        <w:rPr>
          <w:rFonts w:ascii="Verdana" w:hAnsi="Verdana"/>
          <w:color w:val="000000"/>
          <w:sz w:val="17"/>
          <w:szCs w:val="17"/>
        </w:rPr>
        <w:t xml:space="preserve"> Insurance Europe believes this inconsistency should be addressed</w:t>
      </w:r>
      <w:r w:rsidR="00EC26CD" w:rsidRPr="008838CC">
        <w:rPr>
          <w:rFonts w:ascii="Verdana" w:hAnsi="Verdana"/>
          <w:color w:val="000000"/>
          <w:sz w:val="17"/>
          <w:szCs w:val="17"/>
        </w:rPr>
        <w:t>.</w:t>
      </w:r>
    </w:p>
    <w:p w14:paraId="059FB1BB" w14:textId="77777777" w:rsidR="00EC26CD" w:rsidRPr="008838CC" w:rsidRDefault="00EC26CD" w:rsidP="005B26D0">
      <w:pPr>
        <w:rPr>
          <w:rFonts w:ascii="Verdana" w:hAnsi="Verdana"/>
          <w:color w:val="000000"/>
          <w:sz w:val="17"/>
          <w:szCs w:val="17"/>
        </w:rPr>
      </w:pPr>
    </w:p>
    <w:p w14:paraId="5130F39C" w14:textId="0E2B85EA" w:rsidR="005B26D0" w:rsidRPr="008838CC" w:rsidRDefault="005B26D0" w:rsidP="005B26D0">
      <w:pPr>
        <w:rPr>
          <w:rFonts w:ascii="Verdana" w:hAnsi="Verdana"/>
          <w:color w:val="000000"/>
          <w:sz w:val="17"/>
          <w:szCs w:val="17"/>
        </w:rPr>
      </w:pPr>
      <w:r w:rsidRPr="008838CC">
        <w:rPr>
          <w:rFonts w:ascii="Verdana" w:hAnsi="Verdana"/>
          <w:color w:val="000000"/>
          <w:sz w:val="17"/>
          <w:szCs w:val="17"/>
        </w:rPr>
        <w:t xml:space="preserve">Insurance Europe </w:t>
      </w:r>
      <w:r w:rsidR="00EC26CD" w:rsidRPr="008838CC">
        <w:rPr>
          <w:rFonts w:ascii="Verdana" w:hAnsi="Verdana"/>
          <w:color w:val="000000"/>
          <w:sz w:val="17"/>
          <w:szCs w:val="17"/>
        </w:rPr>
        <w:t>welcomes</w:t>
      </w:r>
      <w:r w:rsidRPr="008838CC">
        <w:rPr>
          <w:rFonts w:ascii="Verdana" w:hAnsi="Verdana"/>
          <w:color w:val="000000"/>
          <w:sz w:val="17"/>
          <w:szCs w:val="17"/>
        </w:rPr>
        <w:t xml:space="preserve"> the possibility given to supervisory authorities to grant a</w:t>
      </w:r>
      <w:r w:rsidR="004247B6" w:rsidRPr="008838CC">
        <w:rPr>
          <w:rFonts w:ascii="Verdana" w:hAnsi="Verdana"/>
          <w:color w:val="000000"/>
          <w:sz w:val="17"/>
          <w:szCs w:val="17"/>
        </w:rPr>
        <w:t>n exceptional</w:t>
      </w:r>
      <w:r w:rsidRPr="008838CC">
        <w:rPr>
          <w:rFonts w:ascii="Verdana" w:hAnsi="Verdana"/>
          <w:color w:val="000000"/>
          <w:sz w:val="17"/>
          <w:szCs w:val="17"/>
        </w:rPr>
        <w:t xml:space="preserve"> waiver from the require</w:t>
      </w:r>
      <w:r w:rsidR="0058149B" w:rsidRPr="008838CC">
        <w:rPr>
          <w:rFonts w:ascii="Verdana" w:hAnsi="Verdana"/>
          <w:color w:val="000000"/>
          <w:sz w:val="17"/>
          <w:szCs w:val="17"/>
        </w:rPr>
        <w:t>ment to write down.</w:t>
      </w:r>
    </w:p>
    <w:p w14:paraId="6A8F571A" w14:textId="403F500B" w:rsidR="003A69B4" w:rsidRPr="008838CC" w:rsidRDefault="003A69B4" w:rsidP="00644F0A">
      <w:pPr>
        <w:spacing w:line="276" w:lineRule="auto"/>
        <w:rPr>
          <w:rFonts w:ascii="Verdana" w:hAnsi="Verdana"/>
          <w:b/>
          <w:color w:val="000000"/>
          <w:sz w:val="17"/>
          <w:szCs w:val="17"/>
          <w:u w:val="single"/>
        </w:rPr>
      </w:pPr>
    </w:p>
    <w:p w14:paraId="0E27BF35" w14:textId="5AC94DD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19.5.4</w:t>
      </w:r>
    </w:p>
    <w:p w14:paraId="77BC149B" w14:textId="535AB170" w:rsidR="007429C8" w:rsidRPr="008838CC" w:rsidRDefault="007429C8" w:rsidP="00644F0A">
      <w:pPr>
        <w:spacing w:line="276" w:lineRule="auto"/>
        <w:rPr>
          <w:rFonts w:ascii="Verdana" w:hAnsi="Verdana"/>
          <w:b/>
          <w:color w:val="000000"/>
          <w:sz w:val="17"/>
          <w:szCs w:val="17"/>
          <w:u w:val="single"/>
        </w:rPr>
      </w:pPr>
    </w:p>
    <w:p w14:paraId="5955FF1C" w14:textId="095573EE" w:rsidR="007429C8" w:rsidRPr="008838CC" w:rsidRDefault="007429C8"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19.6 Early redemptions, tax calls and regulatory calls</w:t>
      </w:r>
    </w:p>
    <w:p w14:paraId="690E4D46" w14:textId="7DD9FECA" w:rsidR="007429C8"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19.6.1</w:t>
      </w:r>
    </w:p>
    <w:p w14:paraId="76E251FE"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19.6.2</w:t>
      </w:r>
    </w:p>
    <w:p w14:paraId="637074B5" w14:textId="6DD0912F"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19.6.3</w:t>
      </w:r>
      <w:r w:rsidR="007429C8" w:rsidRPr="008838CC">
        <w:rPr>
          <w:rFonts w:ascii="Verdana" w:hAnsi="Verdana"/>
          <w:b/>
          <w:color w:val="000000"/>
          <w:sz w:val="17"/>
          <w:szCs w:val="17"/>
          <w:u w:val="single"/>
        </w:rPr>
        <w:t xml:space="preserve"> Recommendation on whether to align with the banking regime</w:t>
      </w:r>
    </w:p>
    <w:p w14:paraId="755EB14E" w14:textId="6C2CA84B" w:rsidR="007429C8" w:rsidRPr="008838CC" w:rsidRDefault="00E938EA" w:rsidP="00644F0A">
      <w:pPr>
        <w:spacing w:line="276" w:lineRule="auto"/>
        <w:rPr>
          <w:rFonts w:ascii="Verdana" w:hAnsi="Verdana"/>
          <w:b/>
          <w:i/>
          <w:color w:val="000000"/>
          <w:sz w:val="17"/>
          <w:szCs w:val="17"/>
        </w:rPr>
      </w:pPr>
      <w:bookmarkStart w:id="51" w:name="_Hlk498335941"/>
      <w:r w:rsidRPr="008838CC">
        <w:rPr>
          <w:rFonts w:ascii="Verdana" w:hAnsi="Verdana"/>
          <w:b/>
          <w:i/>
          <w:color w:val="000000"/>
          <w:sz w:val="17"/>
          <w:szCs w:val="17"/>
        </w:rPr>
        <w:t xml:space="preserve">Paragraph </w:t>
      </w:r>
      <w:r w:rsidR="00EF1648" w:rsidRPr="008838CC">
        <w:rPr>
          <w:rFonts w:ascii="Verdana" w:hAnsi="Verdana"/>
          <w:b/>
          <w:i/>
          <w:color w:val="000000"/>
          <w:sz w:val="17"/>
          <w:szCs w:val="17"/>
        </w:rPr>
        <w:t>1505</w:t>
      </w:r>
    </w:p>
    <w:p w14:paraId="2296A0E0" w14:textId="723FFE1D" w:rsidR="00EF1648" w:rsidRPr="008838CC" w:rsidRDefault="00EF1648" w:rsidP="00EF1648">
      <w:pPr>
        <w:rPr>
          <w:rFonts w:ascii="Verdana" w:hAnsi="Verdana"/>
          <w:color w:val="000000"/>
          <w:sz w:val="17"/>
          <w:szCs w:val="17"/>
        </w:rPr>
      </w:pPr>
      <w:r w:rsidRPr="008838CC">
        <w:rPr>
          <w:rFonts w:ascii="Verdana" w:hAnsi="Verdana"/>
          <w:color w:val="000000"/>
          <w:sz w:val="17"/>
          <w:szCs w:val="17"/>
        </w:rPr>
        <w:t xml:space="preserve">Insurance Europe welcomes EIOPA’s advice not to restrict the wider ability under </w:t>
      </w:r>
      <w:r w:rsidR="003648FF">
        <w:rPr>
          <w:rFonts w:ascii="Verdana" w:hAnsi="Verdana"/>
          <w:color w:val="000000"/>
          <w:sz w:val="17"/>
          <w:szCs w:val="17"/>
        </w:rPr>
        <w:t>S</w:t>
      </w:r>
      <w:r w:rsidR="003648FF" w:rsidRPr="008838CC">
        <w:rPr>
          <w:rFonts w:ascii="Verdana" w:hAnsi="Verdana"/>
          <w:color w:val="000000"/>
          <w:sz w:val="17"/>
          <w:szCs w:val="17"/>
        </w:rPr>
        <w:t>olvency</w:t>
      </w:r>
      <w:r w:rsidR="003648FF">
        <w:rPr>
          <w:rFonts w:ascii="Verdana" w:hAnsi="Verdana"/>
          <w:color w:val="000000"/>
          <w:sz w:val="17"/>
          <w:szCs w:val="17"/>
        </w:rPr>
        <w:t xml:space="preserve"> II</w:t>
      </w:r>
      <w:r w:rsidR="003648FF" w:rsidRPr="008838CC">
        <w:rPr>
          <w:rFonts w:ascii="Verdana" w:hAnsi="Verdana"/>
          <w:color w:val="000000"/>
          <w:sz w:val="17"/>
          <w:szCs w:val="17"/>
        </w:rPr>
        <w:t xml:space="preserve"> </w:t>
      </w:r>
      <w:r w:rsidRPr="008838CC">
        <w:rPr>
          <w:rFonts w:ascii="Verdana" w:hAnsi="Verdana"/>
          <w:color w:val="000000"/>
          <w:sz w:val="17"/>
          <w:szCs w:val="17"/>
        </w:rPr>
        <w:t xml:space="preserve">for undertakings to repay rT1 or Tier 2 instruments in the first five years after issuance </w:t>
      </w:r>
      <w:r w:rsidR="003648FF">
        <w:rPr>
          <w:rFonts w:ascii="Verdana" w:hAnsi="Verdana"/>
          <w:color w:val="000000"/>
          <w:sz w:val="17"/>
          <w:szCs w:val="17"/>
        </w:rPr>
        <w:t xml:space="preserve">out of the proceeds of an issuance of the same quality. </w:t>
      </w:r>
    </w:p>
    <w:p w14:paraId="79FDAF67" w14:textId="77777777" w:rsidR="00EF1648" w:rsidRPr="008838CC" w:rsidRDefault="00EF1648" w:rsidP="00EF1648">
      <w:pPr>
        <w:rPr>
          <w:rFonts w:ascii="Verdana" w:hAnsi="Verdana"/>
          <w:color w:val="000000"/>
          <w:sz w:val="17"/>
          <w:szCs w:val="17"/>
        </w:rPr>
      </w:pPr>
    </w:p>
    <w:p w14:paraId="248B7AF3" w14:textId="77777777" w:rsidR="00EF1648" w:rsidRPr="008838CC" w:rsidRDefault="00EF1648" w:rsidP="00EF1648">
      <w:pPr>
        <w:spacing w:line="276" w:lineRule="auto"/>
        <w:rPr>
          <w:rFonts w:ascii="Verdana" w:hAnsi="Verdana"/>
          <w:b/>
          <w:i/>
          <w:color w:val="000000"/>
          <w:sz w:val="17"/>
          <w:szCs w:val="17"/>
        </w:rPr>
      </w:pPr>
      <w:r w:rsidRPr="008838CC">
        <w:rPr>
          <w:rFonts w:ascii="Verdana" w:hAnsi="Verdana"/>
          <w:b/>
          <w:i/>
          <w:color w:val="000000"/>
          <w:sz w:val="17"/>
          <w:szCs w:val="17"/>
        </w:rPr>
        <w:t>Paragraph 1506</w:t>
      </w:r>
    </w:p>
    <w:bookmarkEnd w:id="51"/>
    <w:p w14:paraId="3AE28CF8" w14:textId="0FEDD751" w:rsidR="00EF1648" w:rsidRPr="008838CC" w:rsidRDefault="00E938EA" w:rsidP="00EF1648">
      <w:pPr>
        <w:rPr>
          <w:rFonts w:ascii="Verdana" w:hAnsi="Verdana"/>
          <w:color w:val="000000"/>
          <w:sz w:val="17"/>
          <w:szCs w:val="17"/>
        </w:rPr>
      </w:pPr>
      <w:r w:rsidRPr="008838CC">
        <w:rPr>
          <w:rFonts w:ascii="Verdana" w:hAnsi="Verdana"/>
          <w:color w:val="000000"/>
          <w:sz w:val="17"/>
          <w:szCs w:val="17"/>
        </w:rPr>
        <w:t>Insurance Europ</w:t>
      </w:r>
      <w:r w:rsidR="004247B6" w:rsidRPr="008838CC">
        <w:rPr>
          <w:rFonts w:ascii="Verdana" w:hAnsi="Verdana"/>
          <w:color w:val="000000"/>
          <w:sz w:val="17"/>
          <w:szCs w:val="17"/>
        </w:rPr>
        <w:t>e fully supports EIOPA’s</w:t>
      </w:r>
      <w:r w:rsidRPr="008838CC">
        <w:rPr>
          <w:rFonts w:ascii="Verdana" w:hAnsi="Verdana"/>
          <w:color w:val="000000"/>
          <w:sz w:val="17"/>
          <w:szCs w:val="17"/>
        </w:rPr>
        <w:t xml:space="preserve"> recommendation to align</w:t>
      </w:r>
      <w:r w:rsidR="004247B6" w:rsidRPr="008838CC">
        <w:rPr>
          <w:rFonts w:ascii="Verdana" w:hAnsi="Verdana"/>
          <w:color w:val="000000"/>
          <w:sz w:val="17"/>
          <w:szCs w:val="17"/>
        </w:rPr>
        <w:t xml:space="preserve"> Solvency II with CRR </w:t>
      </w:r>
      <w:r w:rsidR="00AD66D0" w:rsidRPr="008838CC">
        <w:rPr>
          <w:rFonts w:ascii="Verdana" w:hAnsi="Verdana"/>
          <w:color w:val="000000"/>
          <w:sz w:val="17"/>
          <w:szCs w:val="17"/>
        </w:rPr>
        <w:t xml:space="preserve">and to allow for material and unforeseen tax and regulatory calls on rT1 and Tier 2 instruments under Solvency II </w:t>
      </w:r>
      <w:r w:rsidR="00EF1648" w:rsidRPr="008838CC">
        <w:rPr>
          <w:rFonts w:ascii="Verdana" w:hAnsi="Verdana"/>
          <w:color w:val="000000"/>
          <w:sz w:val="17"/>
          <w:szCs w:val="17"/>
        </w:rPr>
        <w:t xml:space="preserve">in the first five years, subject to supervisory approval. </w:t>
      </w:r>
    </w:p>
    <w:p w14:paraId="383E642D" w14:textId="77777777" w:rsidR="00E938EA" w:rsidRPr="008838CC" w:rsidRDefault="00E938EA" w:rsidP="00644F0A">
      <w:pPr>
        <w:spacing w:line="276" w:lineRule="auto"/>
        <w:rPr>
          <w:rFonts w:ascii="Verdana" w:hAnsi="Verdana"/>
          <w:b/>
          <w:color w:val="000000"/>
          <w:sz w:val="17"/>
          <w:szCs w:val="17"/>
        </w:rPr>
      </w:pPr>
    </w:p>
    <w:p w14:paraId="6C3A3245" w14:textId="6EEE668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19.6.4</w:t>
      </w:r>
      <w:r w:rsidR="00E938EA" w:rsidRPr="008838CC">
        <w:rPr>
          <w:rFonts w:ascii="Verdana" w:hAnsi="Verdana"/>
          <w:b/>
          <w:color w:val="000000"/>
          <w:sz w:val="17"/>
          <w:szCs w:val="17"/>
          <w:u w:val="single"/>
        </w:rPr>
        <w:t xml:space="preserve"> Proposed new articles</w:t>
      </w:r>
    </w:p>
    <w:p w14:paraId="4AE043A0" w14:textId="1A5D9530" w:rsidR="00E938EA" w:rsidRPr="008838CC" w:rsidRDefault="00EF1648" w:rsidP="00644F0A">
      <w:pPr>
        <w:spacing w:line="276" w:lineRule="auto"/>
        <w:rPr>
          <w:rFonts w:ascii="Verdana" w:hAnsi="Verdana"/>
          <w:b/>
          <w:color w:val="000000"/>
          <w:sz w:val="17"/>
          <w:szCs w:val="17"/>
          <w:u w:val="single"/>
        </w:rPr>
      </w:pPr>
      <w:r w:rsidRPr="008838CC">
        <w:rPr>
          <w:rFonts w:ascii="Verdana" w:hAnsi="Verdana"/>
          <w:color w:val="000000"/>
          <w:sz w:val="17"/>
          <w:szCs w:val="17"/>
        </w:rPr>
        <w:t xml:space="preserve">Insurance Europe supports the new articles EIOPA has put forward. </w:t>
      </w:r>
    </w:p>
    <w:p w14:paraId="0FA77E33" w14:textId="4AC41CB8"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19.7</w:t>
      </w:r>
      <w:r w:rsidR="00710089" w:rsidRPr="008838CC">
        <w:rPr>
          <w:rFonts w:ascii="Verdana" w:hAnsi="Verdana"/>
          <w:b/>
          <w:color w:val="000000"/>
          <w:sz w:val="17"/>
          <w:szCs w:val="17"/>
          <w:u w:val="single"/>
        </w:rPr>
        <w:t xml:space="preserve"> EIOPA’s advice</w:t>
      </w:r>
    </w:p>
    <w:p w14:paraId="608EAEC9" w14:textId="47CCEC32" w:rsidR="00710089" w:rsidRPr="008838CC" w:rsidRDefault="00710089" w:rsidP="00644F0A">
      <w:pPr>
        <w:spacing w:line="276" w:lineRule="auto"/>
        <w:rPr>
          <w:rFonts w:ascii="Verdana" w:hAnsi="Verdana"/>
          <w:b/>
          <w:color w:val="000000"/>
          <w:sz w:val="17"/>
          <w:szCs w:val="17"/>
          <w:u w:val="single"/>
        </w:rPr>
      </w:pPr>
    </w:p>
    <w:p w14:paraId="27A12B31" w14:textId="77777777" w:rsidR="00E97221" w:rsidRPr="008838CC" w:rsidRDefault="00230F04" w:rsidP="00E97221">
      <w:pPr>
        <w:pStyle w:val="Nadpis1"/>
        <w:rPr>
          <w:sz w:val="17"/>
          <w:szCs w:val="17"/>
        </w:rPr>
      </w:pPr>
      <w:r w:rsidRPr="008838CC">
        <w:rPr>
          <w:sz w:val="17"/>
          <w:szCs w:val="17"/>
        </w:rPr>
        <w:br w:type="page"/>
      </w:r>
      <w:bookmarkStart w:id="52" w:name="_Toc497908659"/>
      <w:r w:rsidR="00E97221" w:rsidRPr="008838CC">
        <w:rPr>
          <w:sz w:val="17"/>
          <w:szCs w:val="17"/>
        </w:rPr>
        <w:t>20. Capital instruments only eligible as tier 1 up to 20% of total tier 1</w:t>
      </w:r>
      <w:bookmarkEnd w:id="52"/>
    </w:p>
    <w:p w14:paraId="6D02C745" w14:textId="56F35921"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20.1</w:t>
      </w:r>
      <w:r w:rsidR="00D5690B">
        <w:rPr>
          <w:rFonts w:ascii="Verdana" w:hAnsi="Verdana"/>
          <w:b/>
          <w:color w:val="000000"/>
          <w:sz w:val="17"/>
          <w:szCs w:val="17"/>
          <w:u w:val="single"/>
        </w:rPr>
        <w:t xml:space="preserve"> Call for advice</w:t>
      </w:r>
    </w:p>
    <w:p w14:paraId="272945B7" w14:textId="7BF03366" w:rsidR="00166F76" w:rsidRPr="008838CC" w:rsidRDefault="00166F76" w:rsidP="00644F0A">
      <w:pPr>
        <w:spacing w:line="276" w:lineRule="auto"/>
        <w:rPr>
          <w:rFonts w:ascii="Verdana" w:hAnsi="Verdana"/>
          <w:color w:val="000000"/>
          <w:sz w:val="17"/>
          <w:szCs w:val="17"/>
        </w:rPr>
      </w:pPr>
      <w:r w:rsidRPr="008838CC">
        <w:rPr>
          <w:rFonts w:ascii="Verdana" w:hAnsi="Verdana"/>
          <w:color w:val="000000"/>
          <w:sz w:val="17"/>
          <w:szCs w:val="17"/>
        </w:rPr>
        <w:t xml:space="preserve">Insurance Europe acknowledges that EIOPA was asked in the EC call for advice to assess how eligibility criteria could be modified if the 20% limit on restricted Tier 1 own funds were to be removed. </w:t>
      </w:r>
      <w:r w:rsidR="00700D1C" w:rsidRPr="008838CC">
        <w:rPr>
          <w:rFonts w:ascii="Verdana" w:hAnsi="Verdana"/>
          <w:color w:val="000000"/>
          <w:sz w:val="17"/>
          <w:szCs w:val="17"/>
        </w:rPr>
        <w:t>Insurance Europe welcomes EIOPA</w:t>
      </w:r>
      <w:r w:rsidR="00D5690B">
        <w:rPr>
          <w:rFonts w:ascii="Verdana" w:hAnsi="Verdana"/>
          <w:color w:val="000000"/>
          <w:sz w:val="17"/>
          <w:szCs w:val="17"/>
        </w:rPr>
        <w:t>’s assessment that</w:t>
      </w:r>
      <w:r w:rsidR="00700D1C" w:rsidRPr="008838CC">
        <w:rPr>
          <w:rFonts w:ascii="Verdana" w:hAnsi="Verdana"/>
          <w:color w:val="000000"/>
          <w:sz w:val="17"/>
          <w:szCs w:val="17"/>
        </w:rPr>
        <w:t xml:space="preserve"> the status quo </w:t>
      </w:r>
      <w:r w:rsidR="00D5690B">
        <w:rPr>
          <w:rFonts w:ascii="Verdana" w:hAnsi="Verdana"/>
          <w:color w:val="000000"/>
          <w:sz w:val="17"/>
          <w:szCs w:val="17"/>
        </w:rPr>
        <w:t xml:space="preserve">should be preserved </w:t>
      </w:r>
      <w:r w:rsidR="00700D1C" w:rsidRPr="008838CC">
        <w:rPr>
          <w:rFonts w:ascii="Verdana" w:hAnsi="Verdana"/>
          <w:color w:val="000000"/>
          <w:sz w:val="17"/>
          <w:szCs w:val="17"/>
        </w:rPr>
        <w:t>in this area as the strengthening of the related criteria would only result in prohibiting most insurers from issuing Tier 1 instruments in the form of subordinated debt.</w:t>
      </w:r>
    </w:p>
    <w:p w14:paraId="32691AD5" w14:textId="77777777" w:rsidR="00700D1C" w:rsidRPr="008838CC" w:rsidRDefault="00700D1C" w:rsidP="00644F0A">
      <w:pPr>
        <w:spacing w:line="276" w:lineRule="auto"/>
        <w:rPr>
          <w:rFonts w:ascii="Verdana" w:hAnsi="Verdana"/>
          <w:color w:val="000000"/>
          <w:sz w:val="17"/>
          <w:szCs w:val="17"/>
        </w:rPr>
      </w:pPr>
    </w:p>
    <w:p w14:paraId="1EA3A56B"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20.2</w:t>
      </w:r>
    </w:p>
    <w:p w14:paraId="070DBD63"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20.3</w:t>
      </w:r>
    </w:p>
    <w:p w14:paraId="35272554"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20.4.1</w:t>
      </w:r>
    </w:p>
    <w:p w14:paraId="39CFE15B" w14:textId="61259960"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20.4.2</w:t>
      </w:r>
      <w:r w:rsidR="00C86430" w:rsidRPr="008838CC">
        <w:rPr>
          <w:rFonts w:ascii="Verdana" w:hAnsi="Verdana"/>
          <w:b/>
          <w:color w:val="000000"/>
          <w:sz w:val="17"/>
          <w:szCs w:val="17"/>
          <w:u w:val="single"/>
        </w:rPr>
        <w:t>. Analysis: retention of the 20% limit/strengthening of the features required from restricted Tier 1 instruments/removal from Article 71 of the Delegated Regulation of those features pertaining to hybrid instruments</w:t>
      </w:r>
    </w:p>
    <w:p w14:paraId="797C93AD" w14:textId="783E5347" w:rsidR="003035BA" w:rsidRPr="008838CC" w:rsidRDefault="003035BA" w:rsidP="003035BA">
      <w:pPr>
        <w:spacing w:line="276" w:lineRule="auto"/>
        <w:rPr>
          <w:rFonts w:ascii="Verdana" w:hAnsi="Verdana"/>
          <w:b/>
          <w:i/>
          <w:color w:val="000000"/>
          <w:sz w:val="17"/>
          <w:szCs w:val="17"/>
        </w:rPr>
      </w:pPr>
      <w:r w:rsidRPr="008838CC">
        <w:rPr>
          <w:rFonts w:ascii="Verdana" w:hAnsi="Verdana"/>
          <w:b/>
          <w:i/>
          <w:color w:val="000000"/>
          <w:sz w:val="17"/>
          <w:szCs w:val="17"/>
        </w:rPr>
        <w:t>Paragraph 1531</w:t>
      </w:r>
    </w:p>
    <w:p w14:paraId="3B3A576C" w14:textId="5454ABB2" w:rsidR="00986305" w:rsidRPr="008838CC" w:rsidRDefault="003035BA" w:rsidP="00986305">
      <w:pPr>
        <w:rPr>
          <w:rFonts w:ascii="Verdana" w:hAnsi="Verdana"/>
          <w:color w:val="000000"/>
          <w:sz w:val="17"/>
          <w:szCs w:val="17"/>
        </w:rPr>
      </w:pPr>
      <w:r w:rsidRPr="008838CC">
        <w:rPr>
          <w:rFonts w:ascii="Verdana" w:hAnsi="Verdana"/>
          <w:color w:val="000000"/>
          <w:sz w:val="17"/>
          <w:szCs w:val="17"/>
        </w:rPr>
        <w:t xml:space="preserve">Insurance Europe fully agrees with EIOPA that no strengthening of the features required for restricted Tier 1 instruments would exactly mitigate the effect on Tier 1 own funds of removing the 20% limit. In fact, </w:t>
      </w:r>
      <w:r w:rsidR="00986305" w:rsidRPr="008838CC">
        <w:rPr>
          <w:rFonts w:ascii="Verdana" w:hAnsi="Verdana"/>
          <w:color w:val="000000"/>
          <w:sz w:val="17"/>
          <w:szCs w:val="17"/>
        </w:rPr>
        <w:t>restricted Tier 1 instruments as currently foreseen are already riskier than equity in several aspects because of the inversion of the hierarchy of capital. Any strengthening of criteria will render them even less attractive, making it impossible for all but the strongest insurers to issue Tier 1 in the form of subordinated debt in the capital market.</w:t>
      </w:r>
    </w:p>
    <w:p w14:paraId="4838A293" w14:textId="7CB54FEA" w:rsidR="003035BA" w:rsidRPr="008838CC" w:rsidRDefault="003035BA" w:rsidP="003035BA">
      <w:pPr>
        <w:rPr>
          <w:rFonts w:ascii="Verdana" w:hAnsi="Verdana"/>
          <w:color w:val="000000"/>
          <w:sz w:val="17"/>
          <w:szCs w:val="17"/>
        </w:rPr>
      </w:pPr>
    </w:p>
    <w:p w14:paraId="0DB29FB9" w14:textId="5171B3D3" w:rsidR="007917C5" w:rsidRPr="008838CC" w:rsidRDefault="007917C5" w:rsidP="007917C5">
      <w:pPr>
        <w:spacing w:line="276" w:lineRule="auto"/>
        <w:rPr>
          <w:rFonts w:ascii="Verdana" w:hAnsi="Verdana"/>
          <w:b/>
          <w:i/>
          <w:color w:val="000000"/>
          <w:sz w:val="17"/>
          <w:szCs w:val="17"/>
        </w:rPr>
      </w:pPr>
      <w:r w:rsidRPr="008838CC">
        <w:rPr>
          <w:rFonts w:ascii="Verdana" w:hAnsi="Verdana"/>
          <w:b/>
          <w:i/>
          <w:color w:val="000000"/>
          <w:sz w:val="17"/>
          <w:szCs w:val="17"/>
        </w:rPr>
        <w:t>Paragraph 1532</w:t>
      </w:r>
    </w:p>
    <w:p w14:paraId="2C743656" w14:textId="77777777" w:rsidR="007917C5" w:rsidRPr="008838CC" w:rsidRDefault="007917C5" w:rsidP="007917C5">
      <w:pPr>
        <w:rPr>
          <w:rFonts w:ascii="Verdana" w:hAnsi="Verdana"/>
          <w:color w:val="000000"/>
          <w:sz w:val="17"/>
          <w:szCs w:val="17"/>
        </w:rPr>
      </w:pPr>
      <w:r w:rsidRPr="008838CC">
        <w:rPr>
          <w:rFonts w:ascii="Verdana" w:hAnsi="Verdana"/>
          <w:color w:val="000000"/>
          <w:sz w:val="17"/>
          <w:szCs w:val="17"/>
        </w:rPr>
        <w:t xml:space="preserve">Insurance Europe would disagree with such measures. </w:t>
      </w:r>
    </w:p>
    <w:p w14:paraId="2733A7E7" w14:textId="27D69310" w:rsidR="007917C5" w:rsidRPr="008838CC" w:rsidRDefault="007917C5" w:rsidP="007917C5">
      <w:pPr>
        <w:rPr>
          <w:rFonts w:ascii="Verdana" w:hAnsi="Verdana"/>
          <w:color w:val="000000"/>
          <w:sz w:val="17"/>
          <w:szCs w:val="17"/>
        </w:rPr>
      </w:pPr>
      <w:r w:rsidRPr="008838CC">
        <w:rPr>
          <w:rFonts w:ascii="Verdana" w:hAnsi="Verdana"/>
          <w:color w:val="000000"/>
          <w:sz w:val="17"/>
          <w:szCs w:val="17"/>
        </w:rPr>
        <w:t xml:space="preserve">Firstly, improving the permanence of restricted Tier 1 instruments by increasing the first call date to 10 years would not be desirable for insurers. The restricted Tier 1 call is not an obligation but a right. The call right allows insurers to replace the instrument with an otherwise identical, but lower cost, intstrument. Hence, setting the call right further from the issuance date reduces the quality of the instrument in the sense that it reduces its flexibility for the insurer. </w:t>
      </w:r>
    </w:p>
    <w:p w14:paraId="18A627BE" w14:textId="6D284730" w:rsidR="007917C5" w:rsidRPr="008838CC" w:rsidRDefault="007917C5" w:rsidP="007917C5">
      <w:pPr>
        <w:rPr>
          <w:rFonts w:ascii="Verdana" w:hAnsi="Verdana"/>
          <w:color w:val="000000"/>
          <w:sz w:val="17"/>
          <w:szCs w:val="17"/>
        </w:rPr>
      </w:pPr>
      <w:r w:rsidRPr="008838CC">
        <w:rPr>
          <w:rFonts w:ascii="Verdana" w:hAnsi="Verdana"/>
          <w:color w:val="000000"/>
          <w:sz w:val="17"/>
          <w:szCs w:val="17"/>
        </w:rPr>
        <w:t>Secondly, extending the first call date beyond five years would create an unjustifiable difference to the bank AT1.</w:t>
      </w:r>
    </w:p>
    <w:p w14:paraId="7F2DFF99" w14:textId="1810FEB3" w:rsidR="00C779A1" w:rsidRPr="008838CC" w:rsidRDefault="00C779A1" w:rsidP="00644F0A">
      <w:pPr>
        <w:spacing w:line="276" w:lineRule="auto"/>
        <w:rPr>
          <w:rFonts w:ascii="Verdana" w:hAnsi="Verdana"/>
          <w:b/>
          <w:color w:val="000000"/>
          <w:sz w:val="17"/>
          <w:szCs w:val="17"/>
          <w:u w:val="single"/>
        </w:rPr>
      </w:pPr>
    </w:p>
    <w:p w14:paraId="643E485B" w14:textId="71ED73EF" w:rsidR="00C779A1" w:rsidRPr="008838CC" w:rsidRDefault="00C779A1" w:rsidP="00C779A1">
      <w:pPr>
        <w:spacing w:line="276" w:lineRule="auto"/>
        <w:rPr>
          <w:rFonts w:ascii="Verdana" w:hAnsi="Verdana"/>
          <w:b/>
          <w:i/>
          <w:color w:val="000000"/>
          <w:sz w:val="17"/>
          <w:szCs w:val="17"/>
        </w:rPr>
      </w:pPr>
      <w:r w:rsidRPr="008838CC">
        <w:rPr>
          <w:rFonts w:ascii="Verdana" w:hAnsi="Verdana"/>
          <w:b/>
          <w:i/>
          <w:color w:val="000000"/>
          <w:sz w:val="17"/>
          <w:szCs w:val="17"/>
        </w:rPr>
        <w:t>Paragraph 1535</w:t>
      </w:r>
    </w:p>
    <w:p w14:paraId="51E3FE62" w14:textId="6AB6C53C" w:rsidR="003035BA" w:rsidRPr="008838CC" w:rsidRDefault="00C779A1" w:rsidP="00C779A1">
      <w:pPr>
        <w:rPr>
          <w:rFonts w:ascii="Verdana" w:hAnsi="Verdana"/>
          <w:color w:val="000000"/>
          <w:sz w:val="17"/>
          <w:szCs w:val="17"/>
        </w:rPr>
      </w:pPr>
      <w:r w:rsidRPr="008838CC">
        <w:rPr>
          <w:rFonts w:ascii="Verdana" w:hAnsi="Verdana"/>
          <w:color w:val="000000"/>
          <w:sz w:val="17"/>
          <w:szCs w:val="17"/>
        </w:rPr>
        <w:t xml:space="preserve">Insurance Europe notes that EIOPA’s analysis of the distribution of Restricted Tier 1 instruments across the industry shows that based on the current criteria, there is no meaningful amounts of restricted Tier 1 instruments issuance. </w:t>
      </w:r>
      <w:r w:rsidR="003035BA" w:rsidRPr="008838CC">
        <w:rPr>
          <w:rFonts w:ascii="Verdana" w:hAnsi="Verdana"/>
          <w:color w:val="000000"/>
          <w:sz w:val="17"/>
          <w:szCs w:val="17"/>
        </w:rPr>
        <w:t>Hence,</w:t>
      </w:r>
      <w:r w:rsidRPr="008838CC">
        <w:rPr>
          <w:rFonts w:ascii="Verdana" w:hAnsi="Verdana"/>
          <w:color w:val="000000"/>
          <w:sz w:val="17"/>
          <w:szCs w:val="17"/>
        </w:rPr>
        <w:t xml:space="preserve"> strengthening the loss absorbency of these instruments by changing the mandatory triggers</w:t>
      </w:r>
      <w:r w:rsidR="003035BA" w:rsidRPr="008838CC">
        <w:rPr>
          <w:rFonts w:ascii="Verdana" w:hAnsi="Verdana"/>
          <w:color w:val="000000"/>
          <w:sz w:val="17"/>
          <w:szCs w:val="17"/>
        </w:rPr>
        <w:t xml:space="preserve"> will imply more limited market access for a number of issuers, for a market which is already virtually non existent</w:t>
      </w:r>
    </w:p>
    <w:p w14:paraId="446ABADA" w14:textId="5F993B45" w:rsidR="00C779A1" w:rsidRPr="008838CC" w:rsidRDefault="003035BA" w:rsidP="00C779A1">
      <w:pPr>
        <w:rPr>
          <w:rFonts w:ascii="Verdana" w:hAnsi="Verdana"/>
          <w:color w:val="000000"/>
          <w:sz w:val="17"/>
          <w:szCs w:val="17"/>
        </w:rPr>
      </w:pPr>
      <w:r w:rsidRPr="008838CC">
        <w:rPr>
          <w:rFonts w:ascii="Verdana" w:hAnsi="Verdana"/>
          <w:color w:val="000000"/>
          <w:sz w:val="17"/>
          <w:szCs w:val="17"/>
        </w:rPr>
        <w:t>Therefore, Insurance Europe strongly urges EIOPA against this recommendation</w:t>
      </w:r>
      <w:r w:rsidR="00C779A1" w:rsidRPr="008838CC">
        <w:rPr>
          <w:rFonts w:ascii="Verdana" w:hAnsi="Verdana"/>
          <w:color w:val="000000"/>
          <w:sz w:val="17"/>
          <w:szCs w:val="17"/>
        </w:rPr>
        <w:t>.</w:t>
      </w:r>
    </w:p>
    <w:p w14:paraId="5F07E873" w14:textId="77777777" w:rsidR="00C779A1" w:rsidRPr="008838CC" w:rsidRDefault="00C779A1" w:rsidP="00644F0A">
      <w:pPr>
        <w:spacing w:line="276" w:lineRule="auto"/>
        <w:rPr>
          <w:rFonts w:ascii="Verdana" w:hAnsi="Verdana"/>
          <w:b/>
          <w:color w:val="000000"/>
          <w:sz w:val="17"/>
          <w:szCs w:val="17"/>
          <w:u w:val="single"/>
        </w:rPr>
      </w:pPr>
    </w:p>
    <w:p w14:paraId="1CEFB564" w14:textId="06D13CCA" w:rsidR="00B15DE9" w:rsidRPr="008838CC" w:rsidRDefault="00B15DE9" w:rsidP="00B15DE9">
      <w:pPr>
        <w:spacing w:line="276" w:lineRule="auto"/>
        <w:rPr>
          <w:rFonts w:ascii="Verdana" w:hAnsi="Verdana"/>
          <w:b/>
          <w:i/>
          <w:color w:val="000000"/>
          <w:sz w:val="17"/>
          <w:szCs w:val="17"/>
        </w:rPr>
      </w:pPr>
      <w:r w:rsidRPr="008838CC">
        <w:rPr>
          <w:rFonts w:ascii="Verdana" w:hAnsi="Verdana"/>
          <w:b/>
          <w:i/>
          <w:color w:val="000000"/>
          <w:sz w:val="17"/>
          <w:szCs w:val="17"/>
        </w:rPr>
        <w:t>Paragraph 1536</w:t>
      </w:r>
    </w:p>
    <w:p w14:paraId="5641201F" w14:textId="77777777" w:rsidR="00B15DE9" w:rsidRPr="008838CC" w:rsidRDefault="00B15DE9" w:rsidP="00B15DE9">
      <w:pPr>
        <w:rPr>
          <w:rFonts w:ascii="Verdana" w:hAnsi="Verdana"/>
          <w:color w:val="000000"/>
          <w:sz w:val="17"/>
          <w:szCs w:val="17"/>
        </w:rPr>
      </w:pPr>
      <w:r w:rsidRPr="008838CC">
        <w:rPr>
          <w:rFonts w:ascii="Verdana" w:hAnsi="Verdana"/>
          <w:color w:val="000000"/>
          <w:sz w:val="17"/>
          <w:szCs w:val="17"/>
        </w:rPr>
        <w:t>Insurance Europe would not agree with a blanket measure to withdraw altogether the ability for hybrid instruments to be recognised as tier 1 capital. There may be some hybrid capital instruments and subordinated liabilities that meet the tier 1 characteristics and as such these should be permitted to be included in tier 1.</w:t>
      </w:r>
    </w:p>
    <w:p w14:paraId="0944E8CC" w14:textId="77777777" w:rsidR="0058651C" w:rsidRPr="008838CC" w:rsidRDefault="0058651C" w:rsidP="00B15DE9">
      <w:pPr>
        <w:rPr>
          <w:rFonts w:ascii="Verdana" w:hAnsi="Verdana"/>
          <w:color w:val="000000"/>
          <w:sz w:val="17"/>
          <w:szCs w:val="17"/>
        </w:rPr>
      </w:pPr>
    </w:p>
    <w:p w14:paraId="41F12536" w14:textId="13E051FE" w:rsidR="00B15DE9" w:rsidRPr="008838CC" w:rsidRDefault="00B15DE9" w:rsidP="00B15DE9">
      <w:pPr>
        <w:spacing w:line="276" w:lineRule="auto"/>
        <w:rPr>
          <w:rFonts w:ascii="Verdana" w:hAnsi="Verdana"/>
          <w:b/>
          <w:i/>
          <w:color w:val="000000"/>
          <w:sz w:val="17"/>
          <w:szCs w:val="17"/>
        </w:rPr>
      </w:pPr>
      <w:r w:rsidRPr="008838CC">
        <w:rPr>
          <w:rFonts w:ascii="Verdana" w:hAnsi="Verdana"/>
          <w:b/>
          <w:i/>
          <w:color w:val="000000"/>
          <w:sz w:val="17"/>
          <w:szCs w:val="17"/>
        </w:rPr>
        <w:t>Paragraph 1538</w:t>
      </w:r>
    </w:p>
    <w:p w14:paraId="5B2D7111" w14:textId="69F1FBA7" w:rsidR="00B15DE9" w:rsidRPr="008838CC" w:rsidRDefault="00B15DE9" w:rsidP="00B15DE9">
      <w:pPr>
        <w:rPr>
          <w:rFonts w:ascii="Verdana" w:hAnsi="Verdana"/>
          <w:color w:val="000000"/>
          <w:sz w:val="17"/>
          <w:szCs w:val="17"/>
        </w:rPr>
      </w:pPr>
      <w:r w:rsidRPr="008838CC">
        <w:rPr>
          <w:rFonts w:ascii="Verdana" w:hAnsi="Verdana"/>
          <w:color w:val="000000"/>
          <w:sz w:val="17"/>
          <w:szCs w:val="17"/>
        </w:rPr>
        <w:t xml:space="preserve">Insurance Europe welcomes and supports EIOPA not recommending a blanket measure to withdraw altogether the ability for hybrid instruments to be recognised as tier 1 capital. </w:t>
      </w:r>
    </w:p>
    <w:p w14:paraId="4E2BFD13" w14:textId="379C7BC4" w:rsidR="00B96DB0" w:rsidRPr="008838CC" w:rsidRDefault="00B15DE9" w:rsidP="00B15DE9">
      <w:pPr>
        <w:rPr>
          <w:rFonts w:ascii="Verdana" w:hAnsi="Verdana"/>
          <w:color w:val="000000"/>
          <w:sz w:val="17"/>
          <w:szCs w:val="17"/>
        </w:rPr>
      </w:pPr>
      <w:r w:rsidRPr="008838CC">
        <w:rPr>
          <w:rFonts w:ascii="Verdana" w:hAnsi="Verdana"/>
          <w:color w:val="000000"/>
          <w:sz w:val="17"/>
          <w:szCs w:val="17"/>
        </w:rPr>
        <w:t xml:space="preserve"> </w:t>
      </w:r>
    </w:p>
    <w:p w14:paraId="770531BA" w14:textId="42B3DD73"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20.4.3</w:t>
      </w:r>
      <w:r w:rsidR="00C86430" w:rsidRPr="008838CC">
        <w:rPr>
          <w:rFonts w:ascii="Verdana" w:hAnsi="Verdana"/>
          <w:b/>
          <w:color w:val="000000"/>
          <w:sz w:val="17"/>
          <w:szCs w:val="17"/>
          <w:u w:val="single"/>
        </w:rPr>
        <w:t>. EIOPA’s advice</w:t>
      </w:r>
    </w:p>
    <w:p w14:paraId="3D1420A0" w14:textId="61ABD033" w:rsidR="0058651C" w:rsidRPr="008838CC" w:rsidRDefault="0058651C" w:rsidP="0058651C">
      <w:pPr>
        <w:spacing w:line="276" w:lineRule="auto"/>
        <w:rPr>
          <w:rFonts w:ascii="Verdana" w:hAnsi="Verdana"/>
          <w:b/>
          <w:i/>
          <w:color w:val="000000"/>
          <w:sz w:val="17"/>
          <w:szCs w:val="17"/>
        </w:rPr>
      </w:pPr>
      <w:r w:rsidRPr="008838CC">
        <w:rPr>
          <w:rFonts w:ascii="Verdana" w:hAnsi="Verdana"/>
          <w:b/>
          <w:i/>
          <w:color w:val="000000"/>
          <w:sz w:val="17"/>
          <w:szCs w:val="17"/>
        </w:rPr>
        <w:t>Paragraph 1539, 1540, &amp; 1541</w:t>
      </w:r>
    </w:p>
    <w:p w14:paraId="1DFC3665" w14:textId="77777777" w:rsidR="0058651C" w:rsidRPr="008838CC" w:rsidRDefault="0058651C" w:rsidP="0058651C">
      <w:pPr>
        <w:rPr>
          <w:rFonts w:ascii="Verdana" w:hAnsi="Verdana"/>
          <w:color w:val="000000"/>
          <w:sz w:val="17"/>
          <w:szCs w:val="17"/>
        </w:rPr>
      </w:pPr>
      <w:r w:rsidRPr="008838CC">
        <w:rPr>
          <w:rFonts w:ascii="Verdana" w:hAnsi="Verdana"/>
          <w:color w:val="000000"/>
          <w:sz w:val="17"/>
          <w:szCs w:val="17"/>
        </w:rPr>
        <w:t>Insurance Europe welcomes and supports EIOPA’s option 1 recommendation which advises the status quo (retaining the 20% limit).</w:t>
      </w:r>
    </w:p>
    <w:p w14:paraId="62EBD634" w14:textId="12B24E1D" w:rsidR="00F743D3" w:rsidRPr="008838CC" w:rsidRDefault="0058651C" w:rsidP="00F743D3">
      <w:pPr>
        <w:rPr>
          <w:rFonts w:ascii="Verdana" w:hAnsi="Verdana"/>
          <w:color w:val="000000"/>
          <w:sz w:val="17"/>
          <w:szCs w:val="17"/>
        </w:rPr>
      </w:pPr>
      <w:r w:rsidRPr="008838CC">
        <w:rPr>
          <w:rFonts w:ascii="Verdana" w:hAnsi="Verdana"/>
          <w:color w:val="000000"/>
          <w:sz w:val="17"/>
          <w:szCs w:val="17"/>
        </w:rPr>
        <w:t>However, Insurance Europe notes that EIOPA proposes a fallback option</w:t>
      </w:r>
      <w:r w:rsidR="00C920A7" w:rsidRPr="008838CC">
        <w:rPr>
          <w:rFonts w:ascii="Verdana" w:hAnsi="Verdana"/>
          <w:color w:val="000000"/>
          <w:sz w:val="17"/>
          <w:szCs w:val="17"/>
        </w:rPr>
        <w:t xml:space="preserve"> </w:t>
      </w:r>
      <w:r w:rsidRPr="008838CC">
        <w:rPr>
          <w:rFonts w:ascii="Verdana" w:hAnsi="Verdana"/>
          <w:color w:val="000000"/>
          <w:sz w:val="17"/>
          <w:szCs w:val="17"/>
        </w:rPr>
        <w:t xml:space="preserve">2 </w:t>
      </w:r>
      <w:r w:rsidR="00C920A7" w:rsidRPr="008838CC">
        <w:rPr>
          <w:rFonts w:ascii="Verdana" w:hAnsi="Verdana"/>
          <w:color w:val="000000"/>
          <w:sz w:val="17"/>
          <w:szCs w:val="17"/>
        </w:rPr>
        <w:t xml:space="preserve">– which provides additional criteria to strengthen the quality of hybrid instruments – </w:t>
      </w:r>
      <w:r w:rsidRPr="008838CC">
        <w:rPr>
          <w:rFonts w:ascii="Verdana" w:hAnsi="Verdana"/>
          <w:color w:val="000000"/>
          <w:sz w:val="17"/>
          <w:szCs w:val="17"/>
        </w:rPr>
        <w:t xml:space="preserve">in case option 1 is not accepted. </w:t>
      </w:r>
      <w:r w:rsidR="00F743D3" w:rsidRPr="008838CC">
        <w:rPr>
          <w:rFonts w:ascii="Verdana" w:hAnsi="Verdana"/>
          <w:color w:val="000000"/>
          <w:sz w:val="17"/>
          <w:szCs w:val="17"/>
        </w:rPr>
        <w:t>However Insurance Europe disagrees with option 2, as any strengthening of criteria will render r</w:t>
      </w:r>
      <w:r w:rsidR="00EC0616" w:rsidRPr="008838CC">
        <w:rPr>
          <w:rFonts w:ascii="Verdana" w:hAnsi="Verdana"/>
          <w:color w:val="000000"/>
          <w:sz w:val="17"/>
          <w:szCs w:val="17"/>
        </w:rPr>
        <w:t xml:space="preserve">estricted </w:t>
      </w:r>
      <w:r w:rsidR="00F743D3" w:rsidRPr="008838CC">
        <w:rPr>
          <w:rFonts w:ascii="Verdana" w:hAnsi="Verdana"/>
          <w:color w:val="000000"/>
          <w:sz w:val="17"/>
          <w:szCs w:val="17"/>
        </w:rPr>
        <w:t>T</w:t>
      </w:r>
      <w:r w:rsidR="00EC0616" w:rsidRPr="008838CC">
        <w:rPr>
          <w:rFonts w:ascii="Verdana" w:hAnsi="Verdana"/>
          <w:color w:val="000000"/>
          <w:sz w:val="17"/>
          <w:szCs w:val="17"/>
        </w:rPr>
        <w:t xml:space="preserve">ier </w:t>
      </w:r>
      <w:r w:rsidR="00F743D3" w:rsidRPr="008838CC">
        <w:rPr>
          <w:rFonts w:ascii="Verdana" w:hAnsi="Verdana"/>
          <w:color w:val="000000"/>
          <w:sz w:val="17"/>
          <w:szCs w:val="17"/>
        </w:rPr>
        <w:t>1 instruments even less attractive, making it impossible for all but the strongest insurers to issue Tier 1 in the form of subordinated debt in the capital market.</w:t>
      </w:r>
    </w:p>
    <w:p w14:paraId="06BB0CE1" w14:textId="23A59438" w:rsidR="0058651C" w:rsidRPr="008838CC" w:rsidRDefault="0058651C" w:rsidP="0058651C">
      <w:pPr>
        <w:rPr>
          <w:rFonts w:ascii="Verdana" w:hAnsi="Verdana"/>
          <w:color w:val="000000"/>
          <w:sz w:val="17"/>
          <w:szCs w:val="17"/>
        </w:rPr>
      </w:pPr>
    </w:p>
    <w:p w14:paraId="2B051C06" w14:textId="0FA26865" w:rsidR="0058651C" w:rsidRPr="008838CC" w:rsidRDefault="0058651C" w:rsidP="00644F0A">
      <w:pPr>
        <w:spacing w:line="276" w:lineRule="auto"/>
        <w:rPr>
          <w:rFonts w:ascii="Verdana" w:hAnsi="Verdana"/>
          <w:b/>
          <w:color w:val="000000"/>
          <w:sz w:val="17"/>
          <w:szCs w:val="17"/>
          <w:u w:val="single"/>
        </w:rPr>
      </w:pPr>
    </w:p>
    <w:p w14:paraId="648BB205" w14:textId="77777777" w:rsidR="0058651C" w:rsidRPr="008838CC" w:rsidRDefault="0058651C" w:rsidP="00644F0A">
      <w:pPr>
        <w:spacing w:line="276" w:lineRule="auto"/>
        <w:rPr>
          <w:rFonts w:ascii="Verdana" w:hAnsi="Verdana"/>
          <w:b/>
          <w:color w:val="000000"/>
          <w:sz w:val="17"/>
          <w:szCs w:val="17"/>
          <w:u w:val="single"/>
        </w:rPr>
      </w:pPr>
    </w:p>
    <w:p w14:paraId="1D51AC53"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20.4.4</w:t>
      </w:r>
    </w:p>
    <w:p w14:paraId="614CBA73" w14:textId="77777777" w:rsidR="00E97221" w:rsidRPr="008838CC" w:rsidRDefault="00230F04" w:rsidP="00E97221">
      <w:pPr>
        <w:pStyle w:val="Nadpis1"/>
        <w:rPr>
          <w:sz w:val="17"/>
          <w:szCs w:val="17"/>
        </w:rPr>
      </w:pPr>
      <w:r w:rsidRPr="008838CC">
        <w:rPr>
          <w:sz w:val="17"/>
          <w:szCs w:val="17"/>
        </w:rPr>
        <w:br w:type="page"/>
      </w:r>
      <w:bookmarkStart w:id="53" w:name="_Toc497908660"/>
      <w:r w:rsidR="00E97221" w:rsidRPr="008838CC">
        <w:rPr>
          <w:sz w:val="17"/>
          <w:szCs w:val="17"/>
        </w:rPr>
        <w:t>21. Draft Impact Assessment</w:t>
      </w:r>
      <w:bookmarkEnd w:id="53"/>
    </w:p>
    <w:p w14:paraId="5799C6DC"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w:t>
      </w:r>
    </w:p>
    <w:p w14:paraId="416ED424"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21.2</w:t>
      </w:r>
    </w:p>
    <w:p w14:paraId="53CD4A56"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21.3</w:t>
      </w:r>
    </w:p>
    <w:p w14:paraId="05A9963E"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21.4</w:t>
      </w:r>
    </w:p>
    <w:p w14:paraId="55F5898F"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21.5</w:t>
      </w:r>
    </w:p>
    <w:p w14:paraId="47AB2644"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21.6</w:t>
      </w:r>
    </w:p>
    <w:p w14:paraId="0BE7C716"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21.7</w:t>
      </w:r>
    </w:p>
    <w:p w14:paraId="55CD5C4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21.7.1</w:t>
      </w:r>
    </w:p>
    <w:p w14:paraId="425AD07C"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21.7.2</w:t>
      </w:r>
    </w:p>
    <w:p w14:paraId="30FD0F12"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21.7.3</w:t>
      </w:r>
    </w:p>
    <w:p w14:paraId="77380033"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21.8</w:t>
      </w:r>
    </w:p>
    <w:p w14:paraId="3A6C9C7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21.8.1</w:t>
      </w:r>
    </w:p>
    <w:p w14:paraId="73BC39E7"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21.8.2</w:t>
      </w:r>
    </w:p>
    <w:p w14:paraId="17065299"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21.8.3</w:t>
      </w:r>
    </w:p>
    <w:p w14:paraId="689B7ED6"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21.9</w:t>
      </w:r>
    </w:p>
    <w:p w14:paraId="305DCDFB"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21.10</w:t>
      </w:r>
    </w:p>
    <w:p w14:paraId="19B3E1CA"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21.11</w:t>
      </w:r>
    </w:p>
    <w:p w14:paraId="24E9C06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21.12</w:t>
      </w:r>
    </w:p>
    <w:p w14:paraId="3687D85C"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21.13</w:t>
      </w:r>
    </w:p>
    <w:p w14:paraId="14841532"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21.14</w:t>
      </w:r>
    </w:p>
    <w:p w14:paraId="2A2DD57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21.15</w:t>
      </w:r>
    </w:p>
    <w:p w14:paraId="3B63EA56"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21.16</w:t>
      </w:r>
    </w:p>
    <w:p w14:paraId="0321BB7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21.17</w:t>
      </w:r>
    </w:p>
    <w:p w14:paraId="40226082"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21.18</w:t>
      </w:r>
    </w:p>
    <w:p w14:paraId="01DD3A9E"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21.19</w:t>
      </w:r>
    </w:p>
    <w:p w14:paraId="1F1E6C48"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21.20</w:t>
      </w:r>
    </w:p>
    <w:p w14:paraId="6D2CD86D" w14:textId="77777777" w:rsidR="00644F0A" w:rsidRPr="008838CC" w:rsidRDefault="00644F0A" w:rsidP="00644F0A">
      <w:pPr>
        <w:spacing w:line="276" w:lineRule="auto"/>
        <w:rPr>
          <w:rFonts w:ascii="Verdana" w:hAnsi="Verdana"/>
          <w:b/>
          <w:color w:val="000000"/>
          <w:sz w:val="17"/>
          <w:szCs w:val="17"/>
          <w:u w:val="single"/>
        </w:rPr>
      </w:pPr>
      <w:r w:rsidRPr="008838CC">
        <w:rPr>
          <w:rFonts w:ascii="Verdana" w:hAnsi="Verdana"/>
          <w:b/>
          <w:color w:val="000000"/>
          <w:sz w:val="17"/>
          <w:szCs w:val="17"/>
          <w:u w:val="single"/>
        </w:rPr>
        <w:t>21.21</w:t>
      </w:r>
    </w:p>
    <w:p w14:paraId="056A29F9" w14:textId="242B04A8" w:rsidR="00EC2CCC" w:rsidRDefault="00230F04" w:rsidP="00E97221">
      <w:pPr>
        <w:pStyle w:val="Nadpis1"/>
        <w:rPr>
          <w:sz w:val="17"/>
          <w:szCs w:val="17"/>
        </w:rPr>
      </w:pPr>
      <w:r w:rsidRPr="008838CC">
        <w:rPr>
          <w:sz w:val="17"/>
          <w:szCs w:val="17"/>
        </w:rPr>
        <w:br w:type="page"/>
      </w:r>
      <w:bookmarkStart w:id="54" w:name="_Toc497908661"/>
      <w:r w:rsidR="00644F0A" w:rsidRPr="008838CC">
        <w:rPr>
          <w:sz w:val="17"/>
          <w:szCs w:val="17"/>
        </w:rPr>
        <w:t>22</w:t>
      </w:r>
      <w:r w:rsidR="00E97221" w:rsidRPr="008838CC">
        <w:rPr>
          <w:sz w:val="17"/>
          <w:szCs w:val="17"/>
        </w:rPr>
        <w:t>. Annex to chapter 1 – USP calibration</w:t>
      </w:r>
      <w:bookmarkStart w:id="55" w:name="_Toc497908662"/>
      <w:bookmarkEnd w:id="54"/>
    </w:p>
    <w:p w14:paraId="4417C3F7" w14:textId="72CDF9F1" w:rsidR="00EC2CCC" w:rsidRDefault="00644F0A" w:rsidP="00E97221">
      <w:pPr>
        <w:pStyle w:val="Nadpis1"/>
        <w:rPr>
          <w:sz w:val="17"/>
          <w:szCs w:val="17"/>
        </w:rPr>
      </w:pPr>
      <w:r w:rsidRPr="008838CC">
        <w:rPr>
          <w:sz w:val="17"/>
          <w:szCs w:val="17"/>
        </w:rPr>
        <w:t>23</w:t>
      </w:r>
      <w:r w:rsidR="00E97221" w:rsidRPr="008838CC">
        <w:rPr>
          <w:sz w:val="17"/>
          <w:szCs w:val="17"/>
        </w:rPr>
        <w:t>. Annex to chapter 1 – Results of the calibration for premium risks</w:t>
      </w:r>
      <w:bookmarkStart w:id="56" w:name="_Toc497908663"/>
      <w:bookmarkEnd w:id="55"/>
    </w:p>
    <w:p w14:paraId="7ADBCA0C" w14:textId="746B7EF6" w:rsidR="00EC2CCC" w:rsidRDefault="00230F04" w:rsidP="00E97221">
      <w:pPr>
        <w:pStyle w:val="Nadpis1"/>
        <w:rPr>
          <w:sz w:val="17"/>
          <w:szCs w:val="17"/>
        </w:rPr>
      </w:pPr>
      <w:r w:rsidRPr="008838CC">
        <w:rPr>
          <w:sz w:val="17"/>
          <w:szCs w:val="17"/>
        </w:rPr>
        <w:t>24</w:t>
      </w:r>
      <w:r w:rsidR="00E97221" w:rsidRPr="008838CC">
        <w:rPr>
          <w:sz w:val="17"/>
          <w:szCs w:val="17"/>
        </w:rPr>
        <w:t>. Annex to chapter 1 – Results of the calibration for reserve risks</w:t>
      </w:r>
      <w:bookmarkStart w:id="57" w:name="_Toc497908664"/>
      <w:bookmarkEnd w:id="56"/>
    </w:p>
    <w:p w14:paraId="4DDCA8DF" w14:textId="4D5A9C20" w:rsidR="00EC2CCC" w:rsidRDefault="00E97221" w:rsidP="00E97221">
      <w:pPr>
        <w:pStyle w:val="Nadpis1"/>
        <w:rPr>
          <w:sz w:val="17"/>
          <w:szCs w:val="17"/>
        </w:rPr>
      </w:pPr>
      <w:r w:rsidRPr="008838CC">
        <w:rPr>
          <w:sz w:val="17"/>
          <w:szCs w:val="17"/>
        </w:rPr>
        <w:t>25. Annex to chapter 1 – Weights used in the method 2</w:t>
      </w:r>
      <w:bookmarkEnd w:id="57"/>
      <w:r w:rsidRPr="008838CC">
        <w:rPr>
          <w:sz w:val="17"/>
          <w:szCs w:val="17"/>
        </w:rPr>
        <w:t xml:space="preserve"> </w:t>
      </w:r>
      <w:bookmarkStart w:id="58" w:name="_Toc497908665"/>
    </w:p>
    <w:p w14:paraId="78A5EB81" w14:textId="28F98AD4" w:rsidR="00EC2CCC" w:rsidRDefault="00E97221" w:rsidP="00E97221">
      <w:pPr>
        <w:pStyle w:val="Nadpis1"/>
        <w:rPr>
          <w:b w:val="0"/>
          <w:bCs w:val="0"/>
          <w:sz w:val="17"/>
          <w:szCs w:val="17"/>
        </w:rPr>
      </w:pPr>
      <w:r w:rsidRPr="008838CC">
        <w:rPr>
          <w:sz w:val="17"/>
          <w:szCs w:val="17"/>
        </w:rPr>
        <w:t>26. Annex to chapter 5 – Identification of largest man-made catastrophe exposures</w:t>
      </w:r>
      <w:bookmarkEnd w:id="58"/>
      <w:r w:rsidRPr="008838CC">
        <w:rPr>
          <w:b w:val="0"/>
          <w:bCs w:val="0"/>
          <w:sz w:val="17"/>
          <w:szCs w:val="17"/>
        </w:rPr>
        <w:t xml:space="preserve"> </w:t>
      </w:r>
      <w:bookmarkStart w:id="59" w:name="_Toc497908666"/>
    </w:p>
    <w:p w14:paraId="3B460969" w14:textId="6D892D29" w:rsidR="00EC2CCC" w:rsidRDefault="00E97221" w:rsidP="00E97221">
      <w:pPr>
        <w:pStyle w:val="Nadpis1"/>
        <w:rPr>
          <w:b w:val="0"/>
          <w:bCs w:val="0"/>
          <w:sz w:val="17"/>
          <w:szCs w:val="17"/>
        </w:rPr>
      </w:pPr>
      <w:r w:rsidRPr="008838CC">
        <w:rPr>
          <w:sz w:val="17"/>
          <w:szCs w:val="17"/>
        </w:rPr>
        <w:t>27. Annex to chapter 5 – Fire risk simplification</w:t>
      </w:r>
      <w:bookmarkEnd w:id="59"/>
      <w:r w:rsidRPr="008838CC">
        <w:rPr>
          <w:b w:val="0"/>
          <w:bCs w:val="0"/>
          <w:sz w:val="17"/>
          <w:szCs w:val="17"/>
        </w:rPr>
        <w:t xml:space="preserve"> </w:t>
      </w:r>
      <w:bookmarkStart w:id="60" w:name="_Toc497908667"/>
    </w:p>
    <w:p w14:paraId="204A56F7" w14:textId="6AF2AA3B" w:rsidR="00EC2CCC" w:rsidRDefault="00E97221" w:rsidP="00E97221">
      <w:pPr>
        <w:pStyle w:val="Nadpis1"/>
        <w:rPr>
          <w:sz w:val="17"/>
          <w:szCs w:val="17"/>
        </w:rPr>
      </w:pPr>
      <w:r w:rsidRPr="008838CC">
        <w:rPr>
          <w:sz w:val="17"/>
          <w:szCs w:val="17"/>
        </w:rPr>
        <w:t>28. Annex to chapter 6 – Natural Catastrophe risk simplification: mathematical formation and quantitative results</w:t>
      </w:r>
      <w:bookmarkEnd w:id="60"/>
      <w:r w:rsidRPr="008838CC">
        <w:rPr>
          <w:b w:val="0"/>
          <w:bCs w:val="0"/>
          <w:sz w:val="17"/>
          <w:szCs w:val="17"/>
        </w:rPr>
        <w:t xml:space="preserve"> </w:t>
      </w:r>
      <w:bookmarkStart w:id="61" w:name="_Toc497908668"/>
    </w:p>
    <w:p w14:paraId="5662FD3B" w14:textId="20BE884A" w:rsidR="00EC2CCC" w:rsidRDefault="00E97221" w:rsidP="00E97221">
      <w:pPr>
        <w:pStyle w:val="Nadpis1"/>
        <w:rPr>
          <w:sz w:val="17"/>
          <w:szCs w:val="17"/>
        </w:rPr>
      </w:pPr>
      <w:r w:rsidRPr="008838CC">
        <w:rPr>
          <w:sz w:val="17"/>
          <w:szCs w:val="17"/>
        </w:rPr>
        <w:t>29. Annex to chapter 6 – Description of recalibration process</w:t>
      </w:r>
      <w:bookmarkEnd w:id="61"/>
      <w:r w:rsidRPr="008838CC">
        <w:rPr>
          <w:sz w:val="17"/>
          <w:szCs w:val="17"/>
        </w:rPr>
        <w:t xml:space="preserve"> </w:t>
      </w:r>
      <w:bookmarkStart w:id="62" w:name="_Toc497908669"/>
    </w:p>
    <w:p w14:paraId="43C40AF5" w14:textId="76DFE740" w:rsidR="00EC2CCC" w:rsidRDefault="00E97221" w:rsidP="00E97221">
      <w:pPr>
        <w:pStyle w:val="Nadpis1"/>
        <w:rPr>
          <w:sz w:val="17"/>
          <w:szCs w:val="17"/>
        </w:rPr>
      </w:pPr>
      <w:r w:rsidRPr="008838CC">
        <w:rPr>
          <w:sz w:val="17"/>
          <w:szCs w:val="17"/>
        </w:rPr>
        <w:t>30. Annex to chapter 6 – Spanish Windstorm country factor recalibration</w:t>
      </w:r>
      <w:bookmarkEnd w:id="62"/>
      <w:r w:rsidRPr="008838CC">
        <w:rPr>
          <w:sz w:val="17"/>
          <w:szCs w:val="17"/>
        </w:rPr>
        <w:t xml:space="preserve"> </w:t>
      </w:r>
      <w:bookmarkStart w:id="63" w:name="_Toc497908670"/>
    </w:p>
    <w:p w14:paraId="766AB4B8" w14:textId="3C5C7A63" w:rsidR="00EC2CCC" w:rsidRDefault="00E97221" w:rsidP="00E97221">
      <w:pPr>
        <w:pStyle w:val="Nadpis1"/>
        <w:rPr>
          <w:sz w:val="17"/>
          <w:szCs w:val="17"/>
        </w:rPr>
      </w:pPr>
      <w:r w:rsidRPr="008838CC">
        <w:rPr>
          <w:sz w:val="17"/>
          <w:szCs w:val="17"/>
        </w:rPr>
        <w:t>31. Annex to chapter 6 – Example of model information</w:t>
      </w:r>
      <w:bookmarkEnd w:id="63"/>
      <w:r w:rsidRPr="008838CC">
        <w:rPr>
          <w:sz w:val="17"/>
          <w:szCs w:val="17"/>
        </w:rPr>
        <w:t xml:space="preserve"> </w:t>
      </w:r>
      <w:bookmarkStart w:id="64" w:name="_Toc497908671"/>
    </w:p>
    <w:p w14:paraId="61D333F3" w14:textId="2F9BB121" w:rsidR="00EC2CCC" w:rsidRDefault="00E97221" w:rsidP="00E97221">
      <w:pPr>
        <w:pStyle w:val="Nadpis1"/>
        <w:rPr>
          <w:sz w:val="17"/>
          <w:szCs w:val="17"/>
        </w:rPr>
      </w:pPr>
      <w:r w:rsidRPr="008838CC">
        <w:rPr>
          <w:sz w:val="17"/>
          <w:szCs w:val="17"/>
        </w:rPr>
        <w:t>32. Annex to chapter 7 – Statistical estimation of the affine model</w:t>
      </w:r>
      <w:bookmarkEnd w:id="64"/>
      <w:r w:rsidRPr="008838CC">
        <w:rPr>
          <w:sz w:val="17"/>
          <w:szCs w:val="17"/>
        </w:rPr>
        <w:t xml:space="preserve"> </w:t>
      </w:r>
      <w:bookmarkStart w:id="65" w:name="_Toc497908672"/>
    </w:p>
    <w:p w14:paraId="1CBEC006" w14:textId="4A798F92" w:rsidR="00EC2CCC" w:rsidRDefault="00E97221" w:rsidP="00E97221">
      <w:pPr>
        <w:pStyle w:val="Nadpis1"/>
        <w:rPr>
          <w:sz w:val="17"/>
          <w:szCs w:val="17"/>
        </w:rPr>
      </w:pPr>
      <w:r w:rsidRPr="008838CC">
        <w:rPr>
          <w:sz w:val="17"/>
          <w:szCs w:val="17"/>
        </w:rPr>
        <w:t>33. Annex to chapter 10 – Possible financial ratios</w:t>
      </w:r>
      <w:bookmarkEnd w:id="65"/>
      <w:r w:rsidRPr="008838CC">
        <w:rPr>
          <w:sz w:val="17"/>
          <w:szCs w:val="17"/>
        </w:rPr>
        <w:t xml:space="preserve"> </w:t>
      </w:r>
      <w:bookmarkStart w:id="66" w:name="_Toc497908673"/>
    </w:p>
    <w:p w14:paraId="07F97B32" w14:textId="4FA3B33D" w:rsidR="00EC2CCC" w:rsidRDefault="00E97221" w:rsidP="00E97221">
      <w:pPr>
        <w:pStyle w:val="Nadpis1"/>
        <w:rPr>
          <w:sz w:val="17"/>
          <w:szCs w:val="17"/>
        </w:rPr>
      </w:pPr>
      <w:r w:rsidRPr="008838CC">
        <w:rPr>
          <w:sz w:val="17"/>
          <w:szCs w:val="17"/>
        </w:rPr>
        <w:t>34. Annex to chapter 13 – Derivation of a simplification for the risk-mitigating effect of reinsurance arrangements</w:t>
      </w:r>
      <w:bookmarkEnd w:id="66"/>
      <w:r w:rsidRPr="008838CC">
        <w:rPr>
          <w:sz w:val="17"/>
          <w:szCs w:val="17"/>
        </w:rPr>
        <w:t xml:space="preserve"> </w:t>
      </w:r>
      <w:bookmarkStart w:id="67" w:name="_Toc497908674"/>
    </w:p>
    <w:p w14:paraId="01FB999E" w14:textId="77AAA898" w:rsidR="00EC2CCC" w:rsidRDefault="00E97221" w:rsidP="00E97221">
      <w:pPr>
        <w:pStyle w:val="Nadpis1"/>
        <w:rPr>
          <w:b w:val="0"/>
          <w:bCs w:val="0"/>
          <w:sz w:val="17"/>
          <w:szCs w:val="17"/>
        </w:rPr>
      </w:pPr>
      <w:r w:rsidRPr="008838CC">
        <w:rPr>
          <w:sz w:val="17"/>
          <w:szCs w:val="17"/>
        </w:rPr>
        <w:t>35. Annex to chapter 18 – Relative size of the risk margin</w:t>
      </w:r>
      <w:bookmarkEnd w:id="67"/>
      <w:r w:rsidRPr="008838CC">
        <w:rPr>
          <w:b w:val="0"/>
          <w:bCs w:val="0"/>
          <w:sz w:val="17"/>
          <w:szCs w:val="17"/>
        </w:rPr>
        <w:t xml:space="preserve"> </w:t>
      </w:r>
      <w:bookmarkStart w:id="68" w:name="_Toc497908675"/>
    </w:p>
    <w:p w14:paraId="720CBC1E" w14:textId="264A0DAE" w:rsidR="000102E7" w:rsidRPr="008838CC" w:rsidRDefault="00B9276F" w:rsidP="00E97221">
      <w:pPr>
        <w:pStyle w:val="Nadpis1"/>
        <w:rPr>
          <w:sz w:val="17"/>
          <w:szCs w:val="17"/>
        </w:rPr>
      </w:pPr>
      <w:r w:rsidRPr="008838CC">
        <w:rPr>
          <w:sz w:val="17"/>
          <w:szCs w:val="17"/>
        </w:rPr>
        <w:t>36. Annex to chapter 18 – EEA (re)insurance undertakings used to derive beta factor</w:t>
      </w:r>
      <w:bookmarkEnd w:id="68"/>
    </w:p>
    <w:p w14:paraId="6D99C195" w14:textId="06352C3D" w:rsidR="0069412E" w:rsidRPr="008838CC" w:rsidRDefault="0069412E" w:rsidP="0069412E">
      <w:pPr>
        <w:rPr>
          <w:rFonts w:ascii="Verdana" w:hAnsi="Verdana"/>
          <w:sz w:val="17"/>
          <w:szCs w:val="17"/>
        </w:rPr>
      </w:pPr>
    </w:p>
    <w:sectPr w:rsidR="0069412E" w:rsidRPr="008838CC" w:rsidSect="00235D76">
      <w:headerReference w:type="default" r:id="rId17"/>
      <w:footerReference w:type="even" r:id="rId18"/>
      <w:footerReference w:type="default" r:id="rId19"/>
      <w:type w:val="continuous"/>
      <w:pgSz w:w="16838" w:h="11906" w:orient="landscape"/>
      <w:pgMar w:top="1418" w:right="1418" w:bottom="1418" w:left="1134"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cofin" w:date="2017-11-10T16:55:00Z" w:initials="Ecofin">
    <w:p w14:paraId="4E77C222" w14:textId="0ED013DE" w:rsidR="00827BFD" w:rsidRDefault="00827BFD">
      <w:pPr>
        <w:pStyle w:val="Textkomentra"/>
      </w:pPr>
      <w:r w:rsidRPr="006D17E7">
        <w:rPr>
          <w:rStyle w:val="Odkaznakomentr"/>
          <w:highlight w:val="yellow"/>
        </w:rPr>
        <w:annotationRef/>
      </w:r>
      <w:r w:rsidRPr="00566EE3">
        <w:t>Do members have any particular views on the calibrations put forward by EIOPA?</w:t>
      </w:r>
    </w:p>
  </w:comment>
  <w:comment w:id="8" w:author="Ecofin" w:date="2017-11-10T16:56:00Z" w:initials="Ecofin">
    <w:p w14:paraId="350D6271" w14:textId="1A046B8A" w:rsidR="00827BFD" w:rsidRDefault="00827BFD">
      <w:pPr>
        <w:pStyle w:val="Textkomentra"/>
      </w:pPr>
      <w:r>
        <w:rPr>
          <w:rStyle w:val="Odkaznakomentr"/>
        </w:rPr>
        <w:annotationRef/>
      </w:r>
      <w:r w:rsidRPr="00566EE3">
        <w:t>Do members have any particular views on the calibrations put forward by EIOPA?</w:t>
      </w:r>
    </w:p>
  </w:comment>
  <w:comment w:id="11" w:author="Ecofin" w:date="2017-11-13T16:14:00Z" w:initials="ECO">
    <w:p w14:paraId="16001DB9" w14:textId="77777777" w:rsidR="00827BFD" w:rsidRDefault="00827BFD" w:rsidP="00D04285">
      <w:pPr>
        <w:pStyle w:val="Textkomentra"/>
      </w:pPr>
      <w:r>
        <w:rPr>
          <w:rStyle w:val="Odkaznakomentr"/>
        </w:rPr>
        <w:annotationRef/>
      </w:r>
      <w:r w:rsidRPr="00E336BF">
        <w:t>Members‘ feedback requested.</w:t>
      </w:r>
    </w:p>
    <w:p w14:paraId="7DAD77BF" w14:textId="67556E5B" w:rsidR="00827BFD" w:rsidRDefault="00827BFD" w:rsidP="00D04285">
      <w:pPr>
        <w:pStyle w:val="Textkomentra"/>
      </w:pPr>
      <w:r w:rsidRPr="00D04285">
        <w:t xml:space="preserve">Members are reminded that although EIOPA's study shows an anchor age of 60 years for a </w:t>
      </w:r>
      <w:r>
        <w:t xml:space="preserve">longevity </w:t>
      </w:r>
      <w:r w:rsidRPr="00D04285">
        <w:t>shock of 20% and from EIOPA's methodology, all age groups below 60 will get a shock higher than 20%, EIOPA's advice is to maintain the status quo regarding longevity risk, ie a longevity shock of 20% for all ages.</w:t>
      </w:r>
    </w:p>
    <w:p w14:paraId="684F8806" w14:textId="206D7FA4" w:rsidR="00827BFD" w:rsidRPr="009005D5" w:rsidRDefault="00827BFD" w:rsidP="00E0702E">
      <w:pPr>
        <w:pStyle w:val="Textkomentra"/>
      </w:pPr>
      <w:r>
        <w:t>The secretariat sees this as a positive outcome and has thererfore confined its response to supporting the status quo.</w:t>
      </w:r>
      <w:r w:rsidRPr="009005D5">
        <w:rPr>
          <w:rFonts w:ascii="Verdana" w:hAnsi="Verdana" w:cs="Verdana"/>
          <w:color w:val="000000"/>
          <w:sz w:val="22"/>
          <w:szCs w:val="22"/>
          <w:lang w:val="en-US" w:eastAsia="en-GB"/>
        </w:rPr>
        <w:t xml:space="preserve"> </w:t>
      </w:r>
    </w:p>
    <w:p w14:paraId="2DACB5FC" w14:textId="6F4B0E23" w:rsidR="00827BFD" w:rsidRDefault="00827BFD" w:rsidP="009005D5">
      <w:pPr>
        <w:pStyle w:val="Textkomentra"/>
      </w:pPr>
      <w:r>
        <w:t xml:space="preserve"> </w:t>
      </w:r>
    </w:p>
    <w:p w14:paraId="205DD36B" w14:textId="4A847BFF" w:rsidR="00827BFD" w:rsidRDefault="00827BFD">
      <w:pPr>
        <w:pStyle w:val="Textkomentra"/>
      </w:pPr>
    </w:p>
  </w:comment>
  <w:comment w:id="13" w:author="Ecofin" w:date="2017-11-10T15:11:00Z" w:initials="RAS">
    <w:p w14:paraId="1DC7E8DC" w14:textId="77777777" w:rsidR="00827BFD" w:rsidRPr="00C21B9E" w:rsidRDefault="00827BFD" w:rsidP="00015414">
      <w:pPr>
        <w:pStyle w:val="Textkomentra"/>
      </w:pPr>
      <w:r>
        <w:rPr>
          <w:rStyle w:val="Odkaznakomentr"/>
        </w:rPr>
        <w:annotationRef/>
      </w:r>
      <w:r w:rsidRPr="00C21B9E">
        <w:t xml:space="preserve">Members are requested to </w:t>
      </w:r>
      <w:r>
        <w:t>provide</w:t>
      </w:r>
      <w:r w:rsidRPr="00C21B9E">
        <w:t xml:space="preserve"> their assessment o</w:t>
      </w:r>
      <w:r>
        <w:t>f t</w:t>
      </w:r>
      <w:r w:rsidRPr="00C21B9E">
        <w:t>he recalibration of</w:t>
      </w:r>
      <w:r>
        <w:t xml:space="preserve"> </w:t>
      </w:r>
      <w:r w:rsidRPr="00C21B9E">
        <w:t>the</w:t>
      </w:r>
      <w:r>
        <w:t xml:space="preserve"> remaining scenarios ie the increase in the 1yr temporary disability and permanent disability.</w:t>
      </w:r>
      <w:r w:rsidRPr="00C21B9E">
        <w:t xml:space="preserve"> </w:t>
      </w:r>
      <w:r>
        <w:t xml:space="preserve"> </w:t>
      </w:r>
    </w:p>
  </w:comment>
  <w:comment w:id="15" w:author="Ecofin" w:date="2017-11-13T10:07:00Z" w:initials="RAS">
    <w:p w14:paraId="1B008784" w14:textId="16BE196C" w:rsidR="00827BFD" w:rsidRDefault="00827BFD">
      <w:pPr>
        <w:pStyle w:val="Textkomentra"/>
      </w:pPr>
      <w:r>
        <w:rPr>
          <w:rStyle w:val="Odkaznakomentr"/>
        </w:rPr>
        <w:annotationRef/>
      </w:r>
      <w:r>
        <w:t xml:space="preserve">Members are requested to read </w:t>
      </w:r>
      <w:r w:rsidRPr="00821B49">
        <w:rPr>
          <w:i/>
        </w:rPr>
        <w:t xml:space="preserve">Annex 5 – Fire risk Simplification </w:t>
      </w:r>
      <w:r>
        <w:t>for full details of the proposed simpification.</w:t>
      </w:r>
    </w:p>
  </w:comment>
  <w:comment w:id="17" w:author="Ecofin" w:date="2017-11-13T17:15:00Z" w:initials="RAS">
    <w:p w14:paraId="6DB7AA57" w14:textId="30400C4E" w:rsidR="00827BFD" w:rsidRDefault="00827BFD">
      <w:pPr>
        <w:pStyle w:val="Textkomentra"/>
      </w:pPr>
      <w:r>
        <w:rPr>
          <w:rStyle w:val="Odkaznakomentr"/>
        </w:rPr>
        <w:annotationRef/>
      </w:r>
      <w:r>
        <w:t>The secretariat will update this table based on bilateral discussion with relevant associations</w:t>
      </w:r>
    </w:p>
  </w:comment>
  <w:comment w:id="19" w:author="Ecofin" w:date="2017-11-15T18:32:00Z" w:initials="RAS">
    <w:p w14:paraId="6D7C3632" w14:textId="7CE46251" w:rsidR="00827BFD" w:rsidRDefault="00827BFD">
      <w:pPr>
        <w:pStyle w:val="Textkomentra"/>
      </w:pPr>
      <w:r>
        <w:rPr>
          <w:rStyle w:val="Odkaznakomentr"/>
        </w:rPr>
        <w:annotationRef/>
      </w:r>
      <w:r>
        <w:t>Members are requested to note that the secretariat proposes to include additional analysis and proposal to substantiate the support for the shifted method and requests input from members.</w:t>
      </w:r>
    </w:p>
  </w:comment>
  <w:comment w:id="21" w:author="Ecofin" w:date="2017-11-15T15:35:00Z" w:initials="ECOFIN">
    <w:p w14:paraId="7B2A7935" w14:textId="416BBD92" w:rsidR="00827BFD" w:rsidRDefault="00827BFD">
      <w:pPr>
        <w:pStyle w:val="Textkomentra"/>
      </w:pPr>
      <w:r>
        <w:rPr>
          <w:rStyle w:val="Odkaznakomentr"/>
        </w:rPr>
        <w:annotationRef/>
      </w:r>
      <w:r>
        <w:t>Members please advise whether otpion 1 or option 2 should be preffered (note EIOPA suggests Option 2)</w:t>
      </w:r>
    </w:p>
    <w:p w14:paraId="12349E31" w14:textId="22F5002C" w:rsidR="00827BFD" w:rsidRDefault="00827BFD">
      <w:pPr>
        <w:pStyle w:val="Textkomentra"/>
      </w:pPr>
    </w:p>
    <w:p w14:paraId="2C146CA8" w14:textId="11FC67CA" w:rsidR="00827BFD" w:rsidRDefault="00827BFD">
      <w:pPr>
        <w:pStyle w:val="Textkomentra"/>
      </w:pPr>
    </w:p>
    <w:p w14:paraId="1B267D43" w14:textId="01B09F6C" w:rsidR="00827BFD" w:rsidRDefault="00827BFD">
      <w:pPr>
        <w:pStyle w:val="Textkomentra"/>
      </w:pPr>
      <w:r>
        <w:t xml:space="preserve">Theoretically, option 1 would be more appropriate for cases where exposures are likely to have a credit rating, while option 2 for exposures w/o a credit rating. </w:t>
      </w:r>
    </w:p>
  </w:comment>
  <w:comment w:id="23" w:author="Ecofin" w:date="2017-11-13T19:49:00Z" w:initials="RAS">
    <w:p w14:paraId="5452A620" w14:textId="7556F496" w:rsidR="00827BFD" w:rsidRDefault="00827BFD">
      <w:pPr>
        <w:pStyle w:val="Textkomentra"/>
      </w:pPr>
      <w:r>
        <w:rPr>
          <w:rStyle w:val="Odkaznakomentr"/>
        </w:rPr>
        <w:annotationRef/>
      </w:r>
      <w:r>
        <w:t>The secretariat will follow up with EIOPA to fully understand the arguments they are making here and respond appropriately. It is not entirely clear from the consultation paper.</w:t>
      </w:r>
    </w:p>
  </w:comment>
  <w:comment w:id="25" w:author="Ecofin" w:date="2017-11-15T17:53:00Z" w:initials="ECOFIN">
    <w:p w14:paraId="2A89F1D8" w14:textId="370439AD" w:rsidR="00827BFD" w:rsidRDefault="00827BFD">
      <w:pPr>
        <w:pStyle w:val="Textkomentra"/>
      </w:pPr>
      <w:r>
        <w:rPr>
          <w:rStyle w:val="Odkaznakomentr"/>
        </w:rPr>
        <w:annotationRef/>
      </w:r>
      <w:r>
        <w:t>Members are invited to provide feedback on 1) which of the two approaches is preferrable and 2) which criteria requires amending</w:t>
      </w:r>
    </w:p>
  </w:comment>
  <w:comment w:id="27" w:author="Ecofin" w:date="2017-11-15T21:50:00Z" w:initials="ECOFIN">
    <w:p w14:paraId="08EA2D87" w14:textId="5FD3D313" w:rsidR="00827BFD" w:rsidRDefault="00827BFD">
      <w:pPr>
        <w:pStyle w:val="Textkomentra"/>
      </w:pPr>
      <w:r>
        <w:rPr>
          <w:rStyle w:val="Odkaznakomentr"/>
        </w:rPr>
        <w:annotationRef/>
      </w:r>
      <w:r>
        <w:t>Members’s feedback on the proposals is needed</w:t>
      </w:r>
    </w:p>
  </w:comment>
  <w:comment w:id="29" w:author="Ecofin" w:date="2017-11-14T21:57:00Z" w:initials="ECOFIN">
    <w:p w14:paraId="4E7AFCC2" w14:textId="77777777" w:rsidR="00827BFD" w:rsidRDefault="00827BFD" w:rsidP="004D1A13">
      <w:pPr>
        <w:pStyle w:val="Textkomentra"/>
      </w:pPr>
      <w:r>
        <w:rPr>
          <w:rStyle w:val="Odkaznakomentr"/>
        </w:rPr>
        <w:annotationRef/>
      </w:r>
      <w:r>
        <w:rPr>
          <w:rStyle w:val="Odkaznakomentr"/>
        </w:rPr>
        <w:annotationRef/>
      </w:r>
      <w:r>
        <w:rPr>
          <w:rStyle w:val="Odkaznakomentr"/>
        </w:rPr>
        <w:annotationRef/>
      </w:r>
      <w:r>
        <w:t xml:space="preserve">See Insurance Europe paper on strategic participations, adopted in May 2017 </w:t>
      </w:r>
      <w:hyperlink r:id="rId1" w:history="1">
        <w:r w:rsidRPr="00E12598">
          <w:rPr>
            <w:rStyle w:val="Hypertextovprepojenie"/>
          </w:rPr>
          <w:t>https://www.insuranceeurope.eu/sites/default/files/attachments/Proposal%20for%20an%20alternative%20treatment%20of%20equity%20risk%20under%20Solvency%20II%20-%20Strategic%20participations%20and%20long-term%20equity%20investment%20strategies.pdf</w:t>
        </w:r>
      </w:hyperlink>
    </w:p>
    <w:p w14:paraId="22B3B4A8" w14:textId="632646E7" w:rsidR="00827BFD" w:rsidRDefault="00827BFD">
      <w:pPr>
        <w:pStyle w:val="Textkomentra"/>
      </w:pPr>
    </w:p>
  </w:comment>
  <w:comment w:id="31" w:author="Ecofin" w:date="2017-11-14T15:52:00Z" w:initials="RAS">
    <w:p w14:paraId="4C56BFF8" w14:textId="539D224C" w:rsidR="00827BFD" w:rsidRDefault="00827BFD">
      <w:pPr>
        <w:pStyle w:val="Textkomentra"/>
      </w:pPr>
      <w:r>
        <w:rPr>
          <w:rStyle w:val="Odkaznakomentr"/>
        </w:rPr>
        <w:annotationRef/>
      </w:r>
      <w:r>
        <w:t>Members are requested to provide vews and comment on EIOPA’s simplification proposals.</w:t>
      </w:r>
    </w:p>
  </w:comment>
  <w:comment w:id="32" w:author="Ecofin" w:date="2017-11-15T09:00:00Z" w:initials="RAS">
    <w:p w14:paraId="545F7B2B" w14:textId="0761C50D" w:rsidR="00827BFD" w:rsidRDefault="00827BFD">
      <w:pPr>
        <w:pStyle w:val="Textkomentra"/>
      </w:pPr>
      <w:r>
        <w:rPr>
          <w:rStyle w:val="Odkaznakomentr"/>
        </w:rPr>
        <w:annotationRef/>
      </w:r>
      <w:r>
        <w:t>Members requested to review the EIOPA proposal and to provide feedback/comment</w:t>
      </w:r>
    </w:p>
  </w:comment>
  <w:comment w:id="33" w:author="Ecofin" w:date="2017-11-15T17:07:00Z" w:initials="RAS">
    <w:p w14:paraId="4EF0CA9B" w14:textId="4444954C" w:rsidR="00827BFD" w:rsidRDefault="00827BFD">
      <w:pPr>
        <w:pStyle w:val="Textkomentra"/>
      </w:pPr>
      <w:r>
        <w:rPr>
          <w:rStyle w:val="Odkaznakomentr"/>
        </w:rPr>
        <w:annotationRef/>
      </w:r>
      <w:r>
        <w:t>The secretariat notes that EIOPA’s advice is to provide a simplification which is more prudent than the original proposal by the NSA. Members are requested to advise if they support the less prudent proposal put forward by the NSA and, if so, to provide justification for this.</w:t>
      </w:r>
    </w:p>
  </w:comment>
  <w:comment w:id="35" w:author="Ecofin" w:date="2017-11-15T11:58:00Z" w:initials="ECOFIN">
    <w:p w14:paraId="550D3D30" w14:textId="6ABD7166" w:rsidR="00827BFD" w:rsidRDefault="00827BFD">
      <w:pPr>
        <w:pStyle w:val="Textkomentra"/>
      </w:pPr>
      <w:r>
        <w:rPr>
          <w:rStyle w:val="Odkaznakomentr"/>
        </w:rPr>
        <w:annotationRef/>
      </w:r>
      <w:r>
        <w:t>Members please advice what changes (if any) are needed to Article 305 to make the framework workable for insurers</w:t>
      </w:r>
    </w:p>
    <w:p w14:paraId="00B43FEF" w14:textId="5C4BAFC4" w:rsidR="00827BFD" w:rsidRDefault="00827BFD">
      <w:pPr>
        <w:pStyle w:val="Textkomentra"/>
      </w:pPr>
    </w:p>
    <w:p w14:paraId="5EA2E8E3" w14:textId="7AAB88BF" w:rsidR="00827BFD" w:rsidRDefault="00827BFD">
      <w:pPr>
        <w:pStyle w:val="Textkomentra"/>
      </w:pPr>
    </w:p>
    <w:p w14:paraId="21AA05CB" w14:textId="04A8CF2B" w:rsidR="00827BFD" w:rsidRDefault="00D10DE2">
      <w:pPr>
        <w:pStyle w:val="Textkomentra"/>
      </w:pPr>
      <w:hyperlink r:id="rId2" w:history="1">
        <w:r w:rsidR="00827BFD" w:rsidRPr="004F2E60">
          <w:rPr>
            <w:rStyle w:val="Hypertextovprepojenie"/>
          </w:rPr>
          <w:t>https://www.eba.europa.eu/regulation-and-policy/single-rulebook/interactive-single-rulebook/-/interactive-single-rulebook/article-id/2016</w:t>
        </w:r>
      </w:hyperlink>
    </w:p>
    <w:p w14:paraId="488F3F50" w14:textId="77777777" w:rsidR="00827BFD" w:rsidRDefault="00827BFD">
      <w:pPr>
        <w:pStyle w:val="Textkomentra"/>
      </w:pPr>
    </w:p>
  </w:comment>
  <w:comment w:id="36" w:author="Ecofin" w:date="2017-11-15T12:06:00Z" w:initials="ECOFIN">
    <w:p w14:paraId="5B93A2E1" w14:textId="172C24F3" w:rsidR="00827BFD" w:rsidRDefault="00827BFD">
      <w:pPr>
        <w:pStyle w:val="Textkomentra"/>
      </w:pPr>
      <w:r>
        <w:rPr>
          <w:rStyle w:val="Odkaznakomentr"/>
        </w:rPr>
        <w:annotationRef/>
      </w:r>
      <w:r>
        <w:t>Members please advise whether we should ask for option 2, but with revised parameters? The secretariat finds the introduction of the Adjustment for market risk complex and with downsides on capital in market risk</w:t>
      </w:r>
    </w:p>
  </w:comment>
  <w:comment w:id="39" w:author="Ecofin" w:date="2017-11-10T10:20:00Z" w:initials="Ecofin">
    <w:p w14:paraId="20443E1B" w14:textId="6E50F789" w:rsidR="00827BFD" w:rsidRDefault="00827BFD">
      <w:pPr>
        <w:pStyle w:val="Textkomentra"/>
      </w:pPr>
      <w:r w:rsidRPr="00083C62">
        <w:rPr>
          <w:rStyle w:val="Odkaznakomentr"/>
          <w:highlight w:val="yellow"/>
        </w:rPr>
        <w:annotationRef/>
      </w:r>
      <w:r w:rsidRPr="00C2771E">
        <w:t xml:space="preserve">Member’s </w:t>
      </w:r>
      <w:r>
        <w:t>feedback</w:t>
      </w:r>
      <w:r w:rsidRPr="00C2771E">
        <w:t xml:space="preserve"> requested</w:t>
      </w:r>
      <w:r>
        <w:t>.</w:t>
      </w:r>
    </w:p>
  </w:comment>
  <w:comment w:id="41" w:author="Ecofin" w:date="2017-11-13T18:18:00Z" w:initials="ECO">
    <w:p w14:paraId="7BBC9603" w14:textId="4FA22372" w:rsidR="00827BFD" w:rsidRDefault="00827BFD">
      <w:pPr>
        <w:pStyle w:val="Textkomentra"/>
      </w:pPr>
      <w:r>
        <w:rPr>
          <w:rStyle w:val="Odkaznakomentr"/>
        </w:rPr>
        <w:annotationRef/>
      </w:r>
      <w:r w:rsidRPr="00E336BF">
        <w:t>Members‘ feedback is requested.</w:t>
      </w:r>
    </w:p>
    <w:p w14:paraId="1A36AB6D" w14:textId="44360308" w:rsidR="00827BFD" w:rsidRDefault="00827BFD">
      <w:pPr>
        <w:pStyle w:val="Textkomentra"/>
      </w:pPr>
      <w:r>
        <w:t>This is an area where members had not provided preliminary feedback. In case no feedback is received, this proposal by the secretariat will be deleted.</w:t>
      </w:r>
    </w:p>
  </w:comment>
  <w:comment w:id="42" w:author="Ecofin" w:date="2017-11-09T11:08:00Z" w:initials="ECO">
    <w:p w14:paraId="67DFE19E" w14:textId="42AC4E3E" w:rsidR="00827BFD" w:rsidRPr="00AD0A3B" w:rsidRDefault="00827BFD" w:rsidP="001E45DA">
      <w:pPr>
        <w:pStyle w:val="Textkomentra"/>
        <w:rPr>
          <w:rFonts w:ascii="Verdana" w:hAnsi="Verdana" w:cs="Verdana"/>
          <w:color w:val="000000"/>
          <w:sz w:val="22"/>
          <w:szCs w:val="22"/>
          <w:lang w:val="en-US" w:eastAsia="en-GB"/>
        </w:rPr>
      </w:pPr>
      <w:r>
        <w:rPr>
          <w:rStyle w:val="Odkaznakomentr"/>
        </w:rPr>
        <w:annotationRef/>
      </w:r>
      <w:r w:rsidRPr="00E336BF">
        <w:t xml:space="preserve">Members‘ feedback is requested on </w:t>
      </w:r>
      <w:r w:rsidRPr="00E336BF">
        <w:rPr>
          <w:rFonts w:ascii="Verdana" w:hAnsi="Verdana" w:cs="Verdana"/>
          <w:i/>
          <w:iCs/>
          <w:color w:val="000000"/>
          <w:sz w:val="22"/>
          <w:szCs w:val="22"/>
          <w:lang w:val="en-US" w:eastAsia="en-GB"/>
        </w:rPr>
        <w:t>Key</w:t>
      </w:r>
      <w:r>
        <w:rPr>
          <w:rFonts w:ascii="Verdana" w:hAnsi="Verdana" w:cs="Verdana"/>
          <w:i/>
          <w:iCs/>
          <w:color w:val="000000"/>
          <w:sz w:val="22"/>
          <w:szCs w:val="22"/>
          <w:lang w:val="en-US" w:eastAsia="en-GB"/>
        </w:rPr>
        <w:t xml:space="preserve"> principle 6: F</w:t>
      </w:r>
      <w:r w:rsidRPr="001E45DA">
        <w:rPr>
          <w:rFonts w:ascii="Verdana" w:hAnsi="Verdana" w:cs="Verdana"/>
          <w:i/>
          <w:iCs/>
          <w:color w:val="000000"/>
          <w:sz w:val="22"/>
          <w:szCs w:val="22"/>
          <w:lang w:val="en-US" w:eastAsia="en-GB"/>
        </w:rPr>
        <w:t>uture profits stemming from return on assets in excess of technical provisions</w:t>
      </w:r>
    </w:p>
    <w:p w14:paraId="12DF54BA" w14:textId="77777777" w:rsidR="00827BFD" w:rsidRDefault="00827BFD" w:rsidP="001E45DA">
      <w:pPr>
        <w:pStyle w:val="Textkomentra"/>
      </w:pPr>
    </w:p>
  </w:comment>
  <w:comment w:id="43" w:author="Ecofin" w:date="2017-11-09T11:10:00Z" w:initials="ECO">
    <w:p w14:paraId="0BDD5CC0" w14:textId="56A9E45D" w:rsidR="00827BFD" w:rsidRDefault="00827BFD" w:rsidP="0065072A">
      <w:pPr>
        <w:pStyle w:val="Textkomentra"/>
        <w:rPr>
          <w:rFonts w:ascii="Verdana" w:hAnsi="Verdana" w:cs="Verdana"/>
          <w:i/>
          <w:iCs/>
          <w:color w:val="000000"/>
          <w:sz w:val="22"/>
          <w:szCs w:val="22"/>
          <w:lang w:val="en-US" w:eastAsia="en-GB"/>
        </w:rPr>
      </w:pPr>
      <w:r>
        <w:rPr>
          <w:rStyle w:val="Odkaznakomentr"/>
        </w:rPr>
        <w:annotationRef/>
      </w:r>
      <w:r w:rsidRPr="00E336BF">
        <w:t xml:space="preserve">Members‘ feedback is requested on </w:t>
      </w:r>
      <w:r w:rsidRPr="00E336BF">
        <w:rPr>
          <w:rFonts w:ascii="Verdana" w:hAnsi="Verdana" w:cs="Verdana"/>
          <w:i/>
          <w:iCs/>
          <w:color w:val="000000"/>
          <w:sz w:val="22"/>
          <w:szCs w:val="22"/>
          <w:lang w:val="en-US" w:eastAsia="en-GB"/>
        </w:rPr>
        <w:t>Key principle 8: Role of system of governance</w:t>
      </w:r>
    </w:p>
    <w:p w14:paraId="689DD633" w14:textId="2DD38ED6" w:rsidR="00827BFD" w:rsidRDefault="00827BFD" w:rsidP="008E45C1">
      <w:pPr>
        <w:pStyle w:val="Textkomentra"/>
        <w:numPr>
          <w:ilvl w:val="0"/>
          <w:numId w:val="12"/>
        </w:numPr>
        <w:rPr>
          <w:rFonts w:ascii="Verdana" w:hAnsi="Verdana" w:cs="Verdana"/>
          <w:i/>
          <w:iCs/>
          <w:color w:val="000000"/>
          <w:sz w:val="22"/>
          <w:szCs w:val="22"/>
          <w:lang w:val="en-US" w:eastAsia="en-GB"/>
        </w:rPr>
      </w:pPr>
      <w:r>
        <w:rPr>
          <w:rFonts w:ascii="Verdana" w:hAnsi="Verdana" w:cs="Verdana"/>
          <w:i/>
          <w:iCs/>
          <w:color w:val="000000"/>
          <w:sz w:val="22"/>
          <w:szCs w:val="22"/>
          <w:lang w:val="en-US" w:eastAsia="en-GB"/>
        </w:rPr>
        <w:t xml:space="preserve"> AMSB and key functions</w:t>
      </w:r>
    </w:p>
    <w:p w14:paraId="66F8E505" w14:textId="07E272C1" w:rsidR="00827BFD" w:rsidRDefault="00827BFD" w:rsidP="008E45C1">
      <w:pPr>
        <w:pStyle w:val="Textkomentra"/>
        <w:numPr>
          <w:ilvl w:val="0"/>
          <w:numId w:val="12"/>
        </w:numPr>
        <w:rPr>
          <w:rFonts w:ascii="Verdana" w:hAnsi="Verdana" w:cs="Verdana"/>
          <w:i/>
          <w:iCs/>
          <w:color w:val="000000"/>
          <w:sz w:val="22"/>
          <w:szCs w:val="22"/>
          <w:lang w:val="en-US" w:eastAsia="en-GB"/>
        </w:rPr>
      </w:pPr>
      <w:r>
        <w:rPr>
          <w:rFonts w:ascii="Verdana" w:hAnsi="Verdana" w:cs="Verdana"/>
          <w:i/>
          <w:iCs/>
          <w:color w:val="000000"/>
          <w:sz w:val="22"/>
          <w:szCs w:val="22"/>
          <w:lang w:val="en-US" w:eastAsia="en-GB"/>
        </w:rPr>
        <w:t xml:space="preserve"> Capital management</w:t>
      </w:r>
    </w:p>
    <w:p w14:paraId="0FDE625A" w14:textId="16229933" w:rsidR="00827BFD" w:rsidRPr="00AD0A3B" w:rsidRDefault="00827BFD" w:rsidP="008E45C1">
      <w:pPr>
        <w:pStyle w:val="Textkomentra"/>
        <w:numPr>
          <w:ilvl w:val="0"/>
          <w:numId w:val="12"/>
        </w:numPr>
        <w:rPr>
          <w:rFonts w:ascii="Verdana" w:hAnsi="Verdana" w:cs="Verdana"/>
          <w:color w:val="000000"/>
          <w:sz w:val="22"/>
          <w:szCs w:val="22"/>
          <w:lang w:val="en-US" w:eastAsia="en-GB"/>
        </w:rPr>
      </w:pPr>
      <w:r>
        <w:rPr>
          <w:rFonts w:ascii="Verdana" w:hAnsi="Verdana" w:cs="Verdana"/>
          <w:i/>
          <w:iCs/>
          <w:color w:val="000000"/>
          <w:sz w:val="22"/>
          <w:szCs w:val="22"/>
          <w:lang w:val="en-US" w:eastAsia="en-GB"/>
        </w:rPr>
        <w:t xml:space="preserve"> ORSA</w:t>
      </w:r>
    </w:p>
    <w:p w14:paraId="2499BEBE" w14:textId="30461697" w:rsidR="00827BFD" w:rsidRPr="0065072A" w:rsidRDefault="00827BFD" w:rsidP="0065072A">
      <w:pPr>
        <w:pStyle w:val="Textkomentra"/>
        <w:rPr>
          <w:lang w:val="en-US"/>
        </w:rPr>
      </w:pPr>
    </w:p>
  </w:comment>
  <w:comment w:id="44" w:author="Ecofin" w:date="2017-11-09T11:10:00Z" w:initials="ECO">
    <w:p w14:paraId="69EBD212" w14:textId="03CC1099" w:rsidR="00827BFD" w:rsidRPr="00AD0A3B" w:rsidRDefault="00827BFD" w:rsidP="00A747B6">
      <w:pPr>
        <w:pStyle w:val="Textkomentra"/>
        <w:rPr>
          <w:rFonts w:ascii="Verdana" w:hAnsi="Verdana" w:cs="Verdana"/>
          <w:color w:val="000000"/>
          <w:sz w:val="22"/>
          <w:szCs w:val="22"/>
          <w:lang w:val="en-US" w:eastAsia="en-GB"/>
        </w:rPr>
      </w:pPr>
      <w:r>
        <w:rPr>
          <w:rStyle w:val="Odkaznakomentr"/>
        </w:rPr>
        <w:annotationRef/>
      </w:r>
      <w:r w:rsidRPr="00E336BF">
        <w:t xml:space="preserve">Members‘ feedback is requested on </w:t>
      </w:r>
      <w:r w:rsidRPr="00E336BF">
        <w:rPr>
          <w:rFonts w:ascii="Verdana" w:hAnsi="Verdana" w:cs="Verdana"/>
          <w:i/>
          <w:iCs/>
          <w:color w:val="000000"/>
          <w:sz w:val="22"/>
          <w:szCs w:val="22"/>
          <w:lang w:val="en-US" w:eastAsia="en-GB"/>
        </w:rPr>
        <w:t>Key</w:t>
      </w:r>
      <w:r>
        <w:rPr>
          <w:rFonts w:ascii="Verdana" w:hAnsi="Verdana" w:cs="Verdana"/>
          <w:i/>
          <w:iCs/>
          <w:color w:val="000000"/>
          <w:sz w:val="22"/>
          <w:szCs w:val="22"/>
          <w:lang w:val="en-US" w:eastAsia="en-GB"/>
        </w:rPr>
        <w:t xml:space="preserve"> principle 9: Supervisory reporting and disclosure</w:t>
      </w:r>
    </w:p>
    <w:p w14:paraId="16E6F1F4" w14:textId="77777777" w:rsidR="00827BFD" w:rsidRPr="0065072A" w:rsidRDefault="00827BFD" w:rsidP="003C0DDA">
      <w:pPr>
        <w:pStyle w:val="Textkomentra"/>
        <w:rPr>
          <w:lang w:val="en-US"/>
        </w:rPr>
      </w:pPr>
    </w:p>
  </w:comment>
  <w:comment w:id="45" w:author="Ecofin" w:date="2017-11-09T11:10:00Z" w:initials="ECO">
    <w:p w14:paraId="5859DFFC" w14:textId="388B1100" w:rsidR="00827BFD" w:rsidRPr="00AD0A3B" w:rsidRDefault="00827BFD" w:rsidP="00A747B6">
      <w:pPr>
        <w:pStyle w:val="Textkomentra"/>
        <w:rPr>
          <w:rFonts w:ascii="Verdana" w:hAnsi="Verdana" w:cs="Verdana"/>
          <w:color w:val="000000"/>
          <w:sz w:val="22"/>
          <w:szCs w:val="22"/>
          <w:lang w:val="en-US" w:eastAsia="en-GB"/>
        </w:rPr>
      </w:pPr>
      <w:r>
        <w:rPr>
          <w:rStyle w:val="Odkaznakomentr"/>
        </w:rPr>
        <w:annotationRef/>
      </w:r>
      <w:r w:rsidRPr="00E336BF">
        <w:t xml:space="preserve">Members‘ feedback is requested on </w:t>
      </w:r>
      <w:r w:rsidRPr="00E336BF">
        <w:rPr>
          <w:rFonts w:ascii="Verdana" w:hAnsi="Verdana" w:cs="Verdana"/>
          <w:i/>
          <w:iCs/>
          <w:color w:val="000000"/>
          <w:sz w:val="22"/>
          <w:szCs w:val="22"/>
          <w:lang w:val="en-US" w:eastAsia="en-GB"/>
        </w:rPr>
        <w:t>the</w:t>
      </w:r>
      <w:r>
        <w:rPr>
          <w:rFonts w:ascii="Verdana" w:hAnsi="Verdana" w:cs="Verdana"/>
          <w:i/>
          <w:iCs/>
          <w:color w:val="000000"/>
          <w:sz w:val="22"/>
          <w:szCs w:val="22"/>
          <w:lang w:val="en-US" w:eastAsia="en-GB"/>
        </w:rPr>
        <w:t xml:space="preserve"> introduction of a simplified calculation to be used subject to the proportionality principle</w:t>
      </w:r>
    </w:p>
    <w:p w14:paraId="0AF2B2F9" w14:textId="77777777" w:rsidR="00827BFD" w:rsidRPr="0065072A" w:rsidRDefault="00827BFD" w:rsidP="00A747B6">
      <w:pPr>
        <w:pStyle w:val="Textkomentra"/>
        <w:rPr>
          <w:lang w:val="en-US"/>
        </w:rPr>
      </w:pPr>
    </w:p>
  </w:comment>
  <w:comment w:id="47" w:author="Ecofin" w:date="2017-11-14T09:45:00Z" w:initials="Ecofin">
    <w:p w14:paraId="33FF7FEC" w14:textId="63375815" w:rsidR="00827BFD" w:rsidRDefault="00827BFD">
      <w:pPr>
        <w:pStyle w:val="Textkomentra"/>
      </w:pPr>
      <w:r>
        <w:rPr>
          <w:rStyle w:val="Odkaznakomentr"/>
        </w:rPr>
        <w:annotationRef/>
      </w:r>
      <w:r>
        <w:t xml:space="preserve">Can memners provide examples or anecdotes on share buy-backs in Europe? </w:t>
      </w:r>
    </w:p>
  </w:comment>
  <w:comment w:id="48" w:author="Ecofin" w:date="2017-11-14T15:58:00Z" w:initials="Ecofin">
    <w:p w14:paraId="77154EC6" w14:textId="7822E4DD" w:rsidR="00827BFD" w:rsidRDefault="00827BFD">
      <w:pPr>
        <w:pStyle w:val="Textkomentra"/>
      </w:pPr>
      <w:r>
        <w:rPr>
          <w:rStyle w:val="Odkaznakomentr"/>
        </w:rPr>
        <w:annotationRef/>
      </w:r>
      <w:r>
        <w:t xml:space="preserve">Members advice is requested as to whether the US data regarding share buy-backs are representative for the European market.  </w:t>
      </w:r>
    </w:p>
  </w:comment>
  <w:comment w:id="50" w:author="Ecofin" w:date="2017-11-13T15:50:00Z" w:initials="Ecofin">
    <w:p w14:paraId="0FA7CCC0" w14:textId="72EC1FE7" w:rsidR="00827BFD" w:rsidRDefault="00827BFD">
      <w:pPr>
        <w:pStyle w:val="Textkomentra"/>
      </w:pPr>
      <w:r>
        <w:rPr>
          <w:rStyle w:val="Odkaznakomentr"/>
        </w:rPr>
        <w:annotationRef/>
      </w:r>
      <w:r w:rsidRPr="001D7D63">
        <w:t>Members input requested if and how how partial conversion should be applied</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77C222" w15:done="0"/>
  <w15:commentEx w15:paraId="350D6271" w15:done="0"/>
  <w15:commentEx w15:paraId="205DD36B" w15:done="0"/>
  <w15:commentEx w15:paraId="1DC7E8DC" w15:done="0"/>
  <w15:commentEx w15:paraId="1B008784" w15:done="0"/>
  <w15:commentEx w15:paraId="6DB7AA57" w15:done="0"/>
  <w15:commentEx w15:paraId="6D7C3632" w15:done="0"/>
  <w15:commentEx w15:paraId="1B267D43" w15:done="0"/>
  <w15:commentEx w15:paraId="5452A620" w15:done="0"/>
  <w15:commentEx w15:paraId="2A89F1D8" w15:done="0"/>
  <w15:commentEx w15:paraId="08EA2D87" w15:done="0"/>
  <w15:commentEx w15:paraId="22B3B4A8" w15:done="0"/>
  <w15:commentEx w15:paraId="4C56BFF8" w15:done="0"/>
  <w15:commentEx w15:paraId="545F7B2B" w15:done="0"/>
  <w15:commentEx w15:paraId="4EF0CA9B" w15:done="0"/>
  <w15:commentEx w15:paraId="488F3F50" w15:done="0"/>
  <w15:commentEx w15:paraId="5B93A2E1" w15:done="0"/>
  <w15:commentEx w15:paraId="20443E1B" w15:done="0"/>
  <w15:commentEx w15:paraId="1A36AB6D" w15:done="0"/>
  <w15:commentEx w15:paraId="12DF54BA" w15:done="0"/>
  <w15:commentEx w15:paraId="2499BEBE" w15:done="0"/>
  <w15:commentEx w15:paraId="16E6F1F4" w15:done="0"/>
  <w15:commentEx w15:paraId="0AF2B2F9" w15:done="0"/>
  <w15:commentEx w15:paraId="33FF7FEC" w15:done="0"/>
  <w15:commentEx w15:paraId="77154EC6" w15:done="0"/>
  <w15:commentEx w15:paraId="0FA7CC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3E9BD" w14:textId="77777777" w:rsidR="00827BFD" w:rsidRDefault="00827BFD">
      <w:r>
        <w:separator/>
      </w:r>
    </w:p>
  </w:endnote>
  <w:endnote w:type="continuationSeparator" w:id="0">
    <w:p w14:paraId="3A134FB0" w14:textId="77777777" w:rsidR="00827BFD" w:rsidRDefault="00827BFD">
      <w:r>
        <w:continuationSeparator/>
      </w:r>
    </w:p>
  </w:endnote>
  <w:endnote w:type="continuationNotice" w:id="1">
    <w:p w14:paraId="1376C155" w14:textId="77777777" w:rsidR="00827BFD" w:rsidRDefault="00827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4B82" w14:textId="77777777" w:rsidR="00827BFD" w:rsidRDefault="00827BF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20807007" w14:textId="77777777" w:rsidR="00827BFD" w:rsidRDefault="00827BF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B65D0" w14:textId="77777777" w:rsidR="00827BFD" w:rsidRPr="00342456" w:rsidRDefault="00827BFD" w:rsidP="00342456">
    <w:pPr>
      <w:ind w:left="278"/>
      <w:rPr>
        <w:rFonts w:ascii="Verdana" w:hAnsi="Verdana"/>
        <w:sz w:val="18"/>
        <w:szCs w:val="18"/>
      </w:rPr>
    </w:pPr>
    <w:r>
      <w:rPr>
        <w:rFonts w:ascii="Verdana" w:hAnsi="Verdana"/>
        <w:sz w:val="18"/>
        <w:szCs w:val="18"/>
      </w:rPr>
      <w:t>Template comments</w:t>
    </w:r>
  </w:p>
  <w:p w14:paraId="0FFDB668" w14:textId="759E8BE5" w:rsidR="00827BFD" w:rsidRPr="00447CC1" w:rsidRDefault="00827BFD" w:rsidP="00447CC1">
    <w:pPr>
      <w:jc w:val="center"/>
      <w:rPr>
        <w:rFonts w:ascii="Verdana" w:hAnsi="Verdana"/>
        <w:sz w:val="16"/>
        <w:szCs w:val="16"/>
      </w:rPr>
    </w:pPr>
    <w:r w:rsidRPr="00447CC1">
      <w:rPr>
        <w:rFonts w:ascii="Verdana" w:hAnsi="Verdana"/>
        <w:sz w:val="16"/>
        <w:szCs w:val="16"/>
      </w:rPr>
      <w:fldChar w:fldCharType="begin"/>
    </w:r>
    <w:r w:rsidRPr="00447CC1">
      <w:rPr>
        <w:rFonts w:ascii="Verdana" w:hAnsi="Verdana"/>
        <w:bCs/>
        <w:sz w:val="16"/>
        <w:szCs w:val="16"/>
      </w:rPr>
      <w:instrText xml:space="preserve"> PAGE </w:instrText>
    </w:r>
    <w:r w:rsidRPr="00447CC1">
      <w:rPr>
        <w:rFonts w:ascii="Verdana" w:hAnsi="Verdana"/>
        <w:sz w:val="16"/>
        <w:szCs w:val="16"/>
      </w:rPr>
      <w:fldChar w:fldCharType="separate"/>
    </w:r>
    <w:r w:rsidR="00D10DE2">
      <w:rPr>
        <w:rFonts w:ascii="Verdana" w:hAnsi="Verdana"/>
        <w:bCs/>
        <w:noProof/>
        <w:sz w:val="16"/>
        <w:szCs w:val="16"/>
      </w:rPr>
      <w:t>1</w:t>
    </w:r>
    <w:r w:rsidRPr="00447CC1">
      <w:rPr>
        <w:rFonts w:ascii="Verdana" w:hAnsi="Verdana"/>
        <w:sz w:val="16"/>
        <w:szCs w:val="16"/>
      </w:rPr>
      <w:fldChar w:fldCharType="end"/>
    </w:r>
    <w:r w:rsidRPr="00447CC1">
      <w:rPr>
        <w:rFonts w:ascii="Verdana" w:hAnsi="Verdana"/>
        <w:bCs/>
        <w:sz w:val="16"/>
        <w:szCs w:val="16"/>
      </w:rPr>
      <w:t>/</w:t>
    </w:r>
    <w:r w:rsidRPr="00447CC1">
      <w:rPr>
        <w:rFonts w:ascii="Verdana" w:hAnsi="Verdana"/>
        <w:sz w:val="16"/>
        <w:szCs w:val="16"/>
      </w:rPr>
      <w:fldChar w:fldCharType="begin"/>
    </w:r>
    <w:r w:rsidRPr="00447CC1">
      <w:rPr>
        <w:rFonts w:ascii="Verdana" w:hAnsi="Verdana"/>
        <w:bCs/>
        <w:sz w:val="16"/>
        <w:szCs w:val="16"/>
      </w:rPr>
      <w:instrText xml:space="preserve"> NUMPAGES </w:instrText>
    </w:r>
    <w:r w:rsidRPr="00447CC1">
      <w:rPr>
        <w:rFonts w:ascii="Verdana" w:hAnsi="Verdana"/>
        <w:sz w:val="16"/>
        <w:szCs w:val="16"/>
      </w:rPr>
      <w:fldChar w:fldCharType="separate"/>
    </w:r>
    <w:r w:rsidR="00D10DE2">
      <w:rPr>
        <w:rFonts w:ascii="Verdana" w:hAnsi="Verdana"/>
        <w:bCs/>
        <w:noProof/>
        <w:sz w:val="16"/>
        <w:szCs w:val="16"/>
      </w:rPr>
      <w:t>5</w:t>
    </w:r>
    <w:r w:rsidRPr="00447CC1">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F4B05" w14:textId="77777777" w:rsidR="00827BFD" w:rsidRDefault="00827BFD">
      <w:r>
        <w:separator/>
      </w:r>
    </w:p>
  </w:footnote>
  <w:footnote w:type="continuationSeparator" w:id="0">
    <w:p w14:paraId="53690096" w14:textId="77777777" w:rsidR="00827BFD" w:rsidRDefault="00827BFD">
      <w:r>
        <w:continuationSeparator/>
      </w:r>
    </w:p>
  </w:footnote>
  <w:footnote w:type="continuationNotice" w:id="1">
    <w:p w14:paraId="3B6A296D" w14:textId="77777777" w:rsidR="00827BFD" w:rsidRDefault="00827BFD"/>
  </w:footnote>
  <w:footnote w:id="2">
    <w:p w14:paraId="585CAFB2" w14:textId="15E44855" w:rsidR="00827BFD" w:rsidRPr="009645A9" w:rsidRDefault="00827BFD" w:rsidP="00243C1E">
      <w:pPr>
        <w:spacing w:line="276" w:lineRule="auto"/>
        <w:rPr>
          <w:color w:val="FF0000"/>
          <w:sz w:val="16"/>
          <w:szCs w:val="16"/>
          <w:lang w:val="en-US"/>
        </w:rPr>
      </w:pPr>
      <w:r w:rsidRPr="009645A9">
        <w:rPr>
          <w:rStyle w:val="Odkaznapoznmkupodiarou"/>
          <w:sz w:val="16"/>
          <w:szCs w:val="16"/>
        </w:rPr>
        <w:footnoteRef/>
      </w:r>
      <w:r w:rsidRPr="009645A9">
        <w:rPr>
          <w:sz w:val="16"/>
          <w:szCs w:val="16"/>
          <w:lang w:val="en-US"/>
        </w:rPr>
        <w:t xml:space="preserve"> </w:t>
      </w:r>
      <w:r w:rsidRPr="00344B3D">
        <w:rPr>
          <w:color w:val="000000"/>
          <w:sz w:val="16"/>
          <w:szCs w:val="20"/>
        </w:rPr>
        <w:t>Note: the arguments used in this paragraph are based on the CRO forum paper</w:t>
      </w:r>
      <w:r w:rsidRPr="00344B3D">
        <w:rPr>
          <w:rFonts w:ascii="Verdana" w:hAnsi="Verdana"/>
          <w:i/>
          <w:color w:val="000000"/>
          <w:sz w:val="16"/>
          <w:szCs w:val="20"/>
        </w:rPr>
        <w:t xml:space="preserve"> </w:t>
      </w:r>
      <w:r w:rsidRPr="00344B3D">
        <w:rPr>
          <w:rFonts w:ascii="Verdana" w:hAnsi="Verdana"/>
          <w:i/>
          <w:color w:val="000000"/>
          <w:sz w:val="20"/>
          <w:szCs w:val="20"/>
        </w:rPr>
        <w:t>(</w:t>
      </w:r>
      <w:hyperlink r:id="rId1" w:history="1">
        <w:r w:rsidRPr="00344B3D">
          <w:rPr>
            <w:rStyle w:val="Hypertextovprepojenie"/>
            <w:i/>
            <w:sz w:val="16"/>
            <w:szCs w:val="20"/>
            <w:u w:val="none"/>
          </w:rPr>
          <w:t>Link</w:t>
        </w:r>
      </w:hyperlink>
      <w:r w:rsidRPr="00344B3D">
        <w:rPr>
          <w:rFonts w:ascii="Verdana" w:hAnsi="Verdana"/>
          <w:i/>
          <w:color w:val="000000"/>
          <w:sz w:val="20"/>
          <w:szCs w:val="20"/>
        </w:rPr>
        <w:t>)</w:t>
      </w:r>
      <w:r w:rsidRPr="009645A9">
        <w:rPr>
          <w:sz w:val="16"/>
          <w:szCs w:val="16"/>
          <w:lang w:val="en-US"/>
        </w:rPr>
        <w:t>.</w:t>
      </w:r>
    </w:p>
  </w:footnote>
  <w:footnote w:id="3">
    <w:p w14:paraId="3877D62A" w14:textId="4FE53A5C" w:rsidR="00827BFD" w:rsidRPr="009645A9" w:rsidRDefault="00827BFD" w:rsidP="002D3C64">
      <w:pPr>
        <w:autoSpaceDE w:val="0"/>
        <w:autoSpaceDN w:val="0"/>
        <w:adjustRightInd w:val="0"/>
        <w:jc w:val="both"/>
        <w:rPr>
          <w:color w:val="FF0000"/>
          <w:sz w:val="16"/>
          <w:szCs w:val="16"/>
          <w:lang w:val="en-US"/>
        </w:rPr>
      </w:pPr>
      <w:r w:rsidRPr="009645A9">
        <w:rPr>
          <w:rStyle w:val="Odkaznapoznmkupodiarou"/>
          <w:sz w:val="16"/>
          <w:szCs w:val="16"/>
        </w:rPr>
        <w:footnoteRef/>
      </w:r>
      <w:r w:rsidRPr="009645A9">
        <w:rPr>
          <w:sz w:val="16"/>
          <w:szCs w:val="16"/>
          <w:lang w:val="en-US"/>
        </w:rPr>
        <w:t xml:space="preserve"> Transitory measures on basic own funds apply to Solvency 1 eligible subordinated debts: these debts are also eligible under Solvency </w:t>
      </w:r>
      <w:r>
        <w:rPr>
          <w:sz w:val="16"/>
          <w:szCs w:val="16"/>
          <w:lang w:val="en-US"/>
        </w:rPr>
        <w:t>II</w:t>
      </w:r>
      <w:r w:rsidRPr="009645A9">
        <w:rPr>
          <w:sz w:val="16"/>
          <w:szCs w:val="16"/>
          <w:lang w:val="en-US"/>
        </w:rPr>
        <w:t xml:space="preserve"> until 2026.</w:t>
      </w:r>
    </w:p>
  </w:footnote>
  <w:footnote w:id="4">
    <w:p w14:paraId="15035DEC" w14:textId="52E4047C" w:rsidR="00827BFD" w:rsidRPr="009645A9" w:rsidRDefault="00827BFD" w:rsidP="00243C1E">
      <w:pPr>
        <w:spacing w:line="276" w:lineRule="auto"/>
        <w:rPr>
          <w:color w:val="FF0000"/>
          <w:sz w:val="16"/>
          <w:szCs w:val="16"/>
          <w:lang w:val="en-US"/>
        </w:rPr>
      </w:pPr>
      <w:r w:rsidRPr="009645A9">
        <w:rPr>
          <w:rStyle w:val="Odkaznapoznmkupodiarou"/>
          <w:sz w:val="16"/>
          <w:szCs w:val="16"/>
        </w:rPr>
        <w:footnoteRef/>
      </w:r>
      <w:r w:rsidRPr="009645A9">
        <w:rPr>
          <w:sz w:val="16"/>
          <w:szCs w:val="16"/>
          <w:lang w:val="en-US"/>
        </w:rPr>
        <w:t xml:space="preserve"> </w:t>
      </w:r>
      <w:r w:rsidRPr="00344B3D">
        <w:rPr>
          <w:color w:val="000000"/>
          <w:sz w:val="16"/>
          <w:szCs w:val="20"/>
        </w:rPr>
        <w:t>Note: the arguments used in this paragraph are based on the CRO forum paper</w:t>
      </w:r>
      <w:r w:rsidRPr="00344B3D">
        <w:rPr>
          <w:rFonts w:ascii="Verdana" w:hAnsi="Verdana"/>
          <w:i/>
          <w:color w:val="000000"/>
          <w:sz w:val="16"/>
          <w:szCs w:val="20"/>
        </w:rPr>
        <w:t xml:space="preserve"> </w:t>
      </w:r>
      <w:r w:rsidRPr="00344B3D">
        <w:rPr>
          <w:rFonts w:ascii="Verdana" w:hAnsi="Verdana"/>
          <w:i/>
          <w:color w:val="000000"/>
          <w:sz w:val="20"/>
          <w:szCs w:val="20"/>
        </w:rPr>
        <w:t>(</w:t>
      </w:r>
      <w:hyperlink r:id="rId2" w:history="1">
        <w:r w:rsidRPr="00344B3D">
          <w:rPr>
            <w:rStyle w:val="Hypertextovprepojenie"/>
            <w:i/>
            <w:sz w:val="16"/>
            <w:szCs w:val="20"/>
            <w:u w:val="none"/>
          </w:rPr>
          <w:t>Link</w:t>
        </w:r>
      </w:hyperlink>
      <w:r w:rsidRPr="00344B3D">
        <w:rPr>
          <w:rFonts w:ascii="Verdana" w:hAnsi="Verdana"/>
          <w:i/>
          <w:color w:val="000000"/>
          <w:sz w:val="20"/>
          <w:szCs w:val="20"/>
        </w:rPr>
        <w:t>)</w:t>
      </w:r>
      <w:r w:rsidRPr="009645A9">
        <w:rPr>
          <w:sz w:val="16"/>
          <w:szCs w:val="16"/>
          <w:lang w:val="en-US"/>
        </w:rPr>
        <w:t>.</w:t>
      </w:r>
    </w:p>
  </w:footnote>
  <w:footnote w:id="5">
    <w:p w14:paraId="15E8D3EF" w14:textId="77777777" w:rsidR="00827BFD" w:rsidRPr="008C22D3" w:rsidRDefault="00827BFD" w:rsidP="00EB2FEC">
      <w:pPr>
        <w:pStyle w:val="Textpoznmkypodiarou"/>
        <w:jc w:val="both"/>
        <w:rPr>
          <w:sz w:val="18"/>
          <w:szCs w:val="18"/>
          <w:lang w:val="en-US"/>
        </w:rPr>
      </w:pPr>
      <w:r w:rsidRPr="008C22D3">
        <w:rPr>
          <w:rStyle w:val="Odkaznapoznmkupodiarou"/>
          <w:sz w:val="18"/>
          <w:szCs w:val="18"/>
        </w:rPr>
        <w:footnoteRef/>
      </w:r>
      <w:r w:rsidRPr="008C22D3">
        <w:rPr>
          <w:sz w:val="18"/>
          <w:szCs w:val="18"/>
          <w:lang w:val="en-US"/>
        </w:rPr>
        <w:t xml:space="preserve"> See for example a report by 2008 JP Morgan, available here: </w:t>
      </w:r>
      <w:hyperlink r:id="rId3" w:history="1">
        <w:r w:rsidRPr="008C22D3">
          <w:rPr>
            <w:rStyle w:val="Hypertextovprepojenie"/>
            <w:sz w:val="18"/>
            <w:szCs w:val="18"/>
            <w:lang w:val="en-US"/>
          </w:rPr>
          <w:t>https://www.jpmorgan.com/jpmpdf/1320675769380.pdf</w:t>
        </w:r>
      </w:hyperlink>
      <w:r w:rsidRPr="008C22D3">
        <w:rPr>
          <w:sz w:val="18"/>
          <w:szCs w:val="18"/>
          <w:lang w:val="en-US"/>
        </w:rPr>
        <w:t xml:space="preserve">, or more recently a 2013 report from Ibbotson, available here: </w:t>
      </w:r>
      <w:hyperlink r:id="rId4" w:history="1">
        <w:r w:rsidRPr="008C22D3">
          <w:rPr>
            <w:rStyle w:val="Hypertextovprepojenie"/>
            <w:sz w:val="18"/>
            <w:szCs w:val="18"/>
            <w:lang w:val="en-US"/>
          </w:rPr>
          <w:t>http://www.healthinquiry.net/Public%20Submissions/Netcare%20Ex%20GH-. 75%20Ibbotson.pdf</w:t>
        </w:r>
      </w:hyperlink>
      <w:r w:rsidRPr="008C22D3">
        <w:rPr>
          <w:sz w:val="18"/>
          <w:szCs w:val="18"/>
          <w:lang w:val="en-US"/>
        </w:rPr>
        <w:t xml:space="preserve">, which both support this. This is discussed in appendix D.4 of the 2008 paper. </w:t>
      </w:r>
    </w:p>
  </w:footnote>
  <w:footnote w:id="6">
    <w:p w14:paraId="3E4F5479" w14:textId="7A74D69F" w:rsidR="00827BFD" w:rsidRPr="007B5EC7" w:rsidRDefault="00827BFD" w:rsidP="00EB2FEC">
      <w:pPr>
        <w:pStyle w:val="Textpoznmkypodiarou"/>
        <w:rPr>
          <w:lang w:val="en-GB"/>
        </w:rPr>
      </w:pPr>
      <w:r>
        <w:rPr>
          <w:rStyle w:val="Odkaznapoznmkupodiarou"/>
        </w:rPr>
        <w:footnoteRef/>
      </w:r>
      <w:r w:rsidRPr="00D34851">
        <w:rPr>
          <w:lang w:val="en-US"/>
        </w:rPr>
        <w:t xml:space="preserve"> </w:t>
      </w:r>
      <w:r w:rsidRPr="007B5EC7">
        <w:rPr>
          <w:sz w:val="18"/>
          <w:szCs w:val="18"/>
          <w:lang w:val="en-US"/>
        </w:rPr>
        <w:t xml:space="preserve">For example, Damodoran 2011 finds that an adjustment of </w:t>
      </w:r>
      <w:r>
        <w:rPr>
          <w:sz w:val="18"/>
          <w:szCs w:val="18"/>
          <w:lang w:val="en-US"/>
        </w:rPr>
        <w:t>around</w:t>
      </w:r>
      <w:r w:rsidRPr="007B5EC7">
        <w:rPr>
          <w:sz w:val="18"/>
          <w:szCs w:val="18"/>
          <w:lang w:val="en-US"/>
        </w:rPr>
        <w:t xml:space="preserve"> 2% is required only to correct for the survivorship bias alone</w:t>
      </w:r>
    </w:p>
  </w:footnote>
  <w:footnote w:id="7">
    <w:p w14:paraId="77995B7E" w14:textId="77777777" w:rsidR="00827BFD" w:rsidRPr="00973393" w:rsidRDefault="00827BFD" w:rsidP="00EB2FEC">
      <w:pPr>
        <w:pStyle w:val="Textpoznmkypodiarou"/>
        <w:rPr>
          <w:sz w:val="18"/>
          <w:szCs w:val="18"/>
          <w:lang w:val="en-US"/>
        </w:rPr>
      </w:pPr>
      <w:r w:rsidRPr="00973393">
        <w:rPr>
          <w:rStyle w:val="Odkaznapoznmkupodiarou"/>
          <w:sz w:val="18"/>
          <w:szCs w:val="18"/>
        </w:rPr>
        <w:footnoteRef/>
      </w:r>
      <w:r w:rsidRPr="00973393">
        <w:rPr>
          <w:sz w:val="18"/>
          <w:szCs w:val="18"/>
          <w:lang w:val="en-US"/>
        </w:rPr>
        <w:t xml:space="preserve"> </w:t>
      </w:r>
      <w:r w:rsidRPr="008C22D3">
        <w:rPr>
          <w:sz w:val="18"/>
          <w:szCs w:val="18"/>
          <w:lang w:val="en-US"/>
        </w:rPr>
        <w:t>Based</w:t>
      </w:r>
      <w:r w:rsidRPr="00973393">
        <w:rPr>
          <w:sz w:val="18"/>
          <w:szCs w:val="18"/>
          <w:lang w:val="en-US"/>
        </w:rPr>
        <w:t xml:space="preserve"> </w:t>
      </w:r>
      <w:r w:rsidRPr="008C22D3">
        <w:rPr>
          <w:sz w:val="18"/>
          <w:szCs w:val="18"/>
          <w:lang w:val="en-US"/>
        </w:rPr>
        <w:t xml:space="preserve">on </w:t>
      </w:r>
      <w:r w:rsidRPr="00973393">
        <w:rPr>
          <w:sz w:val="18"/>
          <w:szCs w:val="18"/>
          <w:lang w:val="en-US"/>
        </w:rPr>
        <w:t xml:space="preserve">ASR absolute strategy research, </w:t>
      </w:r>
      <w:r w:rsidRPr="008C22D3">
        <w:rPr>
          <w:sz w:val="18"/>
          <w:szCs w:val="18"/>
          <w:lang w:val="en-US"/>
        </w:rPr>
        <w:t>which relies on</w:t>
      </w:r>
      <w:r w:rsidRPr="00973393">
        <w:rPr>
          <w:sz w:val="18"/>
          <w:szCs w:val="18"/>
          <w:lang w:val="en-US"/>
        </w:rPr>
        <w:t xml:space="preserve"> </w:t>
      </w:r>
      <w:r w:rsidRPr="008C22D3">
        <w:rPr>
          <w:sz w:val="18"/>
          <w:szCs w:val="18"/>
          <w:lang w:val="en-US"/>
        </w:rPr>
        <w:t>the median</w:t>
      </w:r>
      <w:r w:rsidRPr="00973393">
        <w:rPr>
          <w:sz w:val="18"/>
          <w:szCs w:val="18"/>
          <w:lang w:val="en-US"/>
        </w:rPr>
        <w:t xml:space="preserve"> of 8 different methods</w:t>
      </w:r>
      <w:r w:rsidRPr="008C22D3">
        <w:rPr>
          <w:sz w:val="18"/>
          <w:szCs w:val="18"/>
          <w:lang w:val="en-US"/>
        </w:rPr>
        <w:t xml:space="preserve"> to calculate the Risk premium</w:t>
      </w:r>
      <w:r w:rsidRPr="00973393">
        <w:rPr>
          <w:sz w:val="18"/>
          <w:szCs w:val="18"/>
          <w:lang w:val="en-US"/>
        </w:rPr>
        <w:t xml:space="preserve">. </w:t>
      </w:r>
    </w:p>
  </w:footnote>
  <w:footnote w:id="8">
    <w:p w14:paraId="58DAB9BD" w14:textId="7A99775A" w:rsidR="00827BFD" w:rsidRPr="009645A9" w:rsidRDefault="00827BFD" w:rsidP="00243C1E">
      <w:pPr>
        <w:spacing w:line="276" w:lineRule="auto"/>
        <w:rPr>
          <w:color w:val="FF0000"/>
          <w:sz w:val="16"/>
          <w:szCs w:val="16"/>
          <w:lang w:val="en-US"/>
        </w:rPr>
      </w:pPr>
      <w:r w:rsidRPr="009645A9">
        <w:rPr>
          <w:rStyle w:val="Odkaznapoznmkupodiarou"/>
          <w:sz w:val="16"/>
          <w:szCs w:val="16"/>
        </w:rPr>
        <w:footnoteRef/>
      </w:r>
      <w:r w:rsidRPr="009645A9">
        <w:rPr>
          <w:sz w:val="16"/>
          <w:szCs w:val="16"/>
          <w:lang w:val="en-US"/>
        </w:rPr>
        <w:t xml:space="preserve"> </w:t>
      </w:r>
      <w:r w:rsidRPr="00344B3D">
        <w:rPr>
          <w:color w:val="000000"/>
          <w:sz w:val="16"/>
          <w:szCs w:val="20"/>
        </w:rPr>
        <w:t>Note: the arguments used in this paragraph are based on the CRO forum paper</w:t>
      </w:r>
      <w:r w:rsidRPr="00344B3D">
        <w:rPr>
          <w:rFonts w:ascii="Verdana" w:hAnsi="Verdana"/>
          <w:i/>
          <w:color w:val="000000"/>
          <w:sz w:val="16"/>
          <w:szCs w:val="20"/>
        </w:rPr>
        <w:t xml:space="preserve"> </w:t>
      </w:r>
      <w:r w:rsidRPr="00344B3D">
        <w:rPr>
          <w:rFonts w:ascii="Verdana" w:hAnsi="Verdana"/>
          <w:i/>
          <w:color w:val="000000"/>
          <w:sz w:val="20"/>
          <w:szCs w:val="20"/>
        </w:rPr>
        <w:t>(</w:t>
      </w:r>
      <w:hyperlink r:id="rId5" w:history="1">
        <w:r w:rsidRPr="00344B3D">
          <w:rPr>
            <w:rStyle w:val="Hypertextovprepojenie"/>
            <w:i/>
            <w:sz w:val="16"/>
            <w:szCs w:val="20"/>
            <w:u w:val="none"/>
          </w:rPr>
          <w:t>Link</w:t>
        </w:r>
      </w:hyperlink>
      <w:r w:rsidRPr="00344B3D">
        <w:rPr>
          <w:rFonts w:ascii="Verdana" w:hAnsi="Verdana"/>
          <w:i/>
          <w:color w:val="000000"/>
          <w:sz w:val="20"/>
          <w:szCs w:val="20"/>
        </w:rPr>
        <w:t>)</w:t>
      </w:r>
    </w:p>
  </w:footnote>
  <w:footnote w:id="9">
    <w:p w14:paraId="4EE64DF0" w14:textId="50982EC8" w:rsidR="00827BFD" w:rsidRPr="00EC0616" w:rsidRDefault="00827BFD" w:rsidP="006B45B2">
      <w:pPr>
        <w:spacing w:before="120"/>
        <w:rPr>
          <w:sz w:val="18"/>
          <w:szCs w:val="18"/>
        </w:rPr>
      </w:pPr>
      <w:r w:rsidRPr="008C22D3">
        <w:rPr>
          <w:rStyle w:val="Odkaznapoznmkupodiarou"/>
          <w:sz w:val="18"/>
          <w:szCs w:val="18"/>
        </w:rPr>
        <w:footnoteRef/>
      </w:r>
      <w:r w:rsidRPr="008C22D3">
        <w:rPr>
          <w:sz w:val="18"/>
          <w:szCs w:val="18"/>
          <w:lang w:val="en-US"/>
        </w:rPr>
        <w:t xml:space="preserve"> </w:t>
      </w:r>
      <w:r>
        <w:rPr>
          <w:sz w:val="18"/>
          <w:szCs w:val="18"/>
          <w:lang w:val="en-US" w:eastAsia="nl-NL"/>
        </w:rPr>
        <w:t>A</w:t>
      </w:r>
      <w:r w:rsidRPr="006B45B2">
        <w:rPr>
          <w:sz w:val="18"/>
          <w:szCs w:val="18"/>
          <w:lang w:val="en-US" w:eastAsia="nl-NL"/>
        </w:rPr>
        <w:t xml:space="preserve"> comprehensive study by NYU Stern found an unlevered beta for insurance companies of about 0.65.</w:t>
      </w:r>
      <w:r>
        <w:rPr>
          <w:sz w:val="18"/>
          <w:szCs w:val="18"/>
          <w:lang w:val="en-US" w:eastAsia="nl-NL"/>
        </w:rPr>
        <w:t xml:space="preserve"> </w:t>
      </w:r>
      <w:hyperlink r:id="rId6" w:history="1">
        <w:r w:rsidRPr="00EC0616">
          <w:rPr>
            <w:rStyle w:val="Hypertextovprepojenie"/>
            <w:sz w:val="18"/>
            <w:szCs w:val="18"/>
          </w:rPr>
          <w:t>http://pages.stern.nyu.edu/~adamodar/New_Home_Page/datafile/Betas.html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E75D4" w14:textId="02CA25B4" w:rsidR="00827BFD" w:rsidRPr="00F63CE0" w:rsidRDefault="00827BFD" w:rsidP="00F63CE0">
    <w:pPr>
      <w:pStyle w:val="Hlavika"/>
      <w:jc w:val="right"/>
      <w:rPr>
        <w:color w:val="FF0000"/>
      </w:rPr>
    </w:pPr>
    <w:r w:rsidRPr="00F63CE0">
      <w:rPr>
        <w:color w:val="FF0000"/>
      </w:rPr>
      <w:t>DRAFT 1</w:t>
    </w:r>
    <w:r>
      <w:rPr>
        <w:color w:val="FF0000"/>
      </w:rPr>
      <w:t xml:space="preserve"> - response to EIOPA consultation on 2</w:t>
    </w:r>
    <w:r w:rsidRPr="008E5D89">
      <w:rPr>
        <w:color w:val="FF0000"/>
        <w:vertAlign w:val="superscript"/>
      </w:rPr>
      <w:t>nd</w:t>
    </w:r>
    <w:r>
      <w:rPr>
        <w:color w:val="FF0000"/>
      </w:rPr>
      <w:t xml:space="preserve"> draft advice to the EC on SII review</w:t>
    </w:r>
  </w:p>
  <w:p w14:paraId="494B3AD4" w14:textId="77777777" w:rsidR="00827BFD" w:rsidRDefault="00827BFD">
    <w:pPr>
      <w:pStyle w:val="Hlavika"/>
    </w:pPr>
  </w:p>
  <w:p w14:paraId="661CB7AC" w14:textId="77777777" w:rsidR="00827BFD" w:rsidRDefault="00827BFD">
    <w:pPr>
      <w:pStyle w:val="Hlavika"/>
    </w:pPr>
  </w:p>
  <w:p w14:paraId="76BF2775" w14:textId="77777777" w:rsidR="00827BFD" w:rsidRDefault="00827BFD">
    <w:pPr>
      <w:pStyle w:val="Hlavika"/>
    </w:pPr>
  </w:p>
  <w:p w14:paraId="1E59BBE0" w14:textId="77777777" w:rsidR="00827BFD" w:rsidRDefault="00827BFD">
    <w:pPr>
      <w:pStyle w:val="Hlavika"/>
    </w:pPr>
  </w:p>
  <w:p w14:paraId="73894A54" w14:textId="77777777" w:rsidR="00827BFD" w:rsidRDefault="00827BFD">
    <w:pPr>
      <w:pStyle w:val="Hlavika"/>
    </w:pPr>
  </w:p>
  <w:p w14:paraId="74F55D11" w14:textId="3B408ED2" w:rsidR="00827BFD" w:rsidRDefault="00827BFD">
    <w:pPr>
      <w:pStyle w:val="Hlavika"/>
    </w:pPr>
    <w:r>
      <w:rPr>
        <w:noProof/>
        <w:lang w:val="sk-SK" w:eastAsia="sk-SK"/>
      </w:rPr>
      <w:drawing>
        <wp:anchor distT="0" distB="0" distL="114300" distR="114300" simplePos="0" relativeHeight="251658240" behindDoc="0" locked="0" layoutInCell="1" allowOverlap="1" wp14:anchorId="0787439E" wp14:editId="3A932D60">
          <wp:simplePos x="0" y="0"/>
          <wp:positionH relativeFrom="page">
            <wp:posOffset>795655</wp:posOffset>
          </wp:positionH>
          <wp:positionV relativeFrom="page">
            <wp:posOffset>290830</wp:posOffset>
          </wp:positionV>
          <wp:extent cx="1457325" cy="895350"/>
          <wp:effectExtent l="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9372CEC"/>
    <w:multiLevelType w:val="hybridMultilevel"/>
    <w:tmpl w:val="2B303E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B741A4F"/>
    <w:multiLevelType w:val="hybridMultilevel"/>
    <w:tmpl w:val="210E6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11CBC"/>
    <w:multiLevelType w:val="hybridMultilevel"/>
    <w:tmpl w:val="3D880146"/>
    <w:lvl w:ilvl="0" w:tplc="CED2F9E6">
      <w:start w:val="1"/>
      <w:numFmt w:val="bullet"/>
      <w:pStyle w:val="ContinuousSquareBullet"/>
      <w:lvlText w:val="•"/>
      <w:lvlJc w:val="left"/>
      <w:pPr>
        <w:tabs>
          <w:tab w:val="num" w:pos="720"/>
        </w:tabs>
        <w:ind w:left="720" w:hanging="360"/>
      </w:pPr>
      <w:rPr>
        <w:rFonts w:ascii="Times New Roman" w:hAnsi="Times New Roman" w:hint="default"/>
      </w:rPr>
    </w:lvl>
    <w:lvl w:ilvl="1" w:tplc="88CEAC74">
      <w:start w:val="139"/>
      <w:numFmt w:val="bullet"/>
      <w:lvlText w:val=""/>
      <w:lvlJc w:val="left"/>
      <w:pPr>
        <w:tabs>
          <w:tab w:val="num" w:pos="1440"/>
        </w:tabs>
        <w:ind w:left="1440" w:hanging="360"/>
      </w:pPr>
      <w:rPr>
        <w:rFonts w:ascii="Wingdings" w:hAnsi="Wingdings" w:hint="default"/>
      </w:rPr>
    </w:lvl>
    <w:lvl w:ilvl="2" w:tplc="5022BF44" w:tentative="1">
      <w:start w:val="1"/>
      <w:numFmt w:val="bullet"/>
      <w:lvlText w:val="•"/>
      <w:lvlJc w:val="left"/>
      <w:pPr>
        <w:tabs>
          <w:tab w:val="num" w:pos="2160"/>
        </w:tabs>
        <w:ind w:left="2160" w:hanging="360"/>
      </w:pPr>
      <w:rPr>
        <w:rFonts w:ascii="Times New Roman" w:hAnsi="Times New Roman" w:hint="default"/>
      </w:rPr>
    </w:lvl>
    <w:lvl w:ilvl="3" w:tplc="1CA66618" w:tentative="1">
      <w:start w:val="1"/>
      <w:numFmt w:val="bullet"/>
      <w:lvlText w:val="•"/>
      <w:lvlJc w:val="left"/>
      <w:pPr>
        <w:tabs>
          <w:tab w:val="num" w:pos="2880"/>
        </w:tabs>
        <w:ind w:left="2880" w:hanging="360"/>
      </w:pPr>
      <w:rPr>
        <w:rFonts w:ascii="Times New Roman" w:hAnsi="Times New Roman" w:hint="default"/>
      </w:rPr>
    </w:lvl>
    <w:lvl w:ilvl="4" w:tplc="3B3AADD0" w:tentative="1">
      <w:start w:val="1"/>
      <w:numFmt w:val="bullet"/>
      <w:lvlText w:val="•"/>
      <w:lvlJc w:val="left"/>
      <w:pPr>
        <w:tabs>
          <w:tab w:val="num" w:pos="3600"/>
        </w:tabs>
        <w:ind w:left="3600" w:hanging="360"/>
      </w:pPr>
      <w:rPr>
        <w:rFonts w:ascii="Times New Roman" w:hAnsi="Times New Roman" w:hint="default"/>
      </w:rPr>
    </w:lvl>
    <w:lvl w:ilvl="5" w:tplc="A160562C" w:tentative="1">
      <w:start w:val="1"/>
      <w:numFmt w:val="bullet"/>
      <w:lvlText w:val="•"/>
      <w:lvlJc w:val="left"/>
      <w:pPr>
        <w:tabs>
          <w:tab w:val="num" w:pos="4320"/>
        </w:tabs>
        <w:ind w:left="4320" w:hanging="360"/>
      </w:pPr>
      <w:rPr>
        <w:rFonts w:ascii="Times New Roman" w:hAnsi="Times New Roman" w:hint="default"/>
      </w:rPr>
    </w:lvl>
    <w:lvl w:ilvl="6" w:tplc="4FD89ACE" w:tentative="1">
      <w:start w:val="1"/>
      <w:numFmt w:val="bullet"/>
      <w:lvlText w:val="•"/>
      <w:lvlJc w:val="left"/>
      <w:pPr>
        <w:tabs>
          <w:tab w:val="num" w:pos="5040"/>
        </w:tabs>
        <w:ind w:left="5040" w:hanging="360"/>
      </w:pPr>
      <w:rPr>
        <w:rFonts w:ascii="Times New Roman" w:hAnsi="Times New Roman" w:hint="default"/>
      </w:rPr>
    </w:lvl>
    <w:lvl w:ilvl="7" w:tplc="6B482094" w:tentative="1">
      <w:start w:val="1"/>
      <w:numFmt w:val="bullet"/>
      <w:lvlText w:val="•"/>
      <w:lvlJc w:val="left"/>
      <w:pPr>
        <w:tabs>
          <w:tab w:val="num" w:pos="5760"/>
        </w:tabs>
        <w:ind w:left="5760" w:hanging="360"/>
      </w:pPr>
      <w:rPr>
        <w:rFonts w:ascii="Times New Roman" w:hAnsi="Times New Roman" w:hint="default"/>
      </w:rPr>
    </w:lvl>
    <w:lvl w:ilvl="8" w:tplc="1D886C5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5A799D"/>
    <w:multiLevelType w:val="hybridMultilevel"/>
    <w:tmpl w:val="B2B2F0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09E2605"/>
    <w:multiLevelType w:val="hybridMultilevel"/>
    <w:tmpl w:val="7072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377"/>
    <w:multiLevelType w:val="hybridMultilevel"/>
    <w:tmpl w:val="7DDA73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C1CCF"/>
    <w:multiLevelType w:val="hybridMultilevel"/>
    <w:tmpl w:val="AE64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85236"/>
    <w:multiLevelType w:val="hybridMultilevel"/>
    <w:tmpl w:val="486CC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91016"/>
    <w:multiLevelType w:val="hybridMultilevel"/>
    <w:tmpl w:val="9EF4931C"/>
    <w:lvl w:ilvl="0" w:tplc="0809000F">
      <w:start w:val="1"/>
      <w:numFmt w:val="decimal"/>
      <w:pStyle w:val="Alinenummering-standaard"/>
      <w:lvlText w:val="%1."/>
      <w:lvlJc w:val="left"/>
      <w:pPr>
        <w:tabs>
          <w:tab w:val="num" w:pos="0"/>
        </w:tabs>
        <w:ind w:hanging="510"/>
      </w:pPr>
      <w:rPr>
        <w:rFonts w:hint="default"/>
      </w:rPr>
    </w:lvl>
    <w:lvl w:ilvl="1" w:tplc="B4409E2A">
      <w:start w:val="1"/>
      <w:numFmt w:val="bullet"/>
      <w:lvlText w:val=""/>
      <w:lvlJc w:val="left"/>
      <w:pPr>
        <w:tabs>
          <w:tab w:val="num" w:pos="1440"/>
        </w:tabs>
        <w:ind w:left="1440" w:hanging="360"/>
      </w:pPr>
      <w:rPr>
        <w:rFonts w:ascii="Wingdings" w:hAnsi="Wingdings" w:cs="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10" w15:restartNumberingAfterBreak="0">
    <w:nsid w:val="26647949"/>
    <w:multiLevelType w:val="hybridMultilevel"/>
    <w:tmpl w:val="8200A34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2A6F10C3"/>
    <w:multiLevelType w:val="hybridMultilevel"/>
    <w:tmpl w:val="696E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4B3270"/>
    <w:multiLevelType w:val="hybridMultilevel"/>
    <w:tmpl w:val="DD36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F60D9"/>
    <w:multiLevelType w:val="hybridMultilevel"/>
    <w:tmpl w:val="5D18CDD2"/>
    <w:lvl w:ilvl="0" w:tplc="2CF65F2A">
      <w:start w:val="165"/>
      <w:numFmt w:val="bullet"/>
      <w:lvlText w:val=""/>
      <w:lvlPicBulletId w:val="0"/>
      <w:lvlJc w:val="left"/>
      <w:pPr>
        <w:ind w:left="720" w:hanging="360"/>
      </w:pPr>
      <w:rPr>
        <w:rFonts w:ascii="Symbol" w:hAnsi="Symbol" w:hint="default"/>
        <w:color w:val="auto"/>
      </w:rPr>
    </w:lvl>
    <w:lvl w:ilvl="1" w:tplc="0809000F">
      <w:start w:val="1"/>
      <w:numFmt w:val="decimal"/>
      <w:lvlText w:val="%2."/>
      <w:lvlJc w:val="left"/>
      <w:pPr>
        <w:ind w:left="1440" w:hanging="360"/>
      </w:pPr>
    </w:lvl>
    <w:lvl w:ilvl="2" w:tplc="0809000F">
      <w:start w:val="1"/>
      <w:numFmt w:val="decimal"/>
      <w:lvlText w:val="%3."/>
      <w:lvlJc w:val="left"/>
      <w:pPr>
        <w:ind w:left="720" w:hanging="360"/>
      </w:pPr>
      <w:rPr>
        <w:rFonts w:hint="default"/>
      </w:rPr>
    </w:lvl>
    <w:lvl w:ilvl="3" w:tplc="0409000F">
      <w:start w:val="1"/>
      <w:numFmt w:val="decimal"/>
      <w:lvlText w:val="%4."/>
      <w:lvlJc w:val="left"/>
      <w:pPr>
        <w:ind w:left="2880" w:hanging="360"/>
      </w:pPr>
      <w:rPr>
        <w:rFont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055E9"/>
    <w:multiLevelType w:val="hybridMultilevel"/>
    <w:tmpl w:val="316A04C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48DD1B49"/>
    <w:multiLevelType w:val="hybridMultilevel"/>
    <w:tmpl w:val="C6FE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755C5"/>
    <w:multiLevelType w:val="multilevel"/>
    <w:tmpl w:val="62ACFB1A"/>
    <w:lvl w:ilvl="0">
      <w:start w:val="1"/>
      <w:numFmt w:val="upperLetter"/>
      <w:lvlText w:val="%1."/>
      <w:lvlJc w:val="left"/>
      <w:pPr>
        <w:tabs>
          <w:tab w:val="num" w:pos="360"/>
        </w:tabs>
        <w:ind w:left="0" w:firstLine="0"/>
      </w:pPr>
      <w:rPr>
        <w:rFonts w:hint="default"/>
      </w:rPr>
    </w:lvl>
    <w:lvl w:ilvl="1">
      <w:start w:val="1"/>
      <w:numFmt w:val="none"/>
      <w:pStyle w:val="Nadpis2"/>
      <w:lvlText w:val="A.1."/>
      <w:lvlJc w:val="left"/>
      <w:pPr>
        <w:tabs>
          <w:tab w:val="num" w:pos="1080"/>
        </w:tabs>
        <w:ind w:left="720" w:firstLine="0"/>
      </w:pPr>
      <w:rPr>
        <w:rFonts w:hint="default"/>
        <w:b w:val="0"/>
        <w:i w:val="0"/>
        <w:sz w:val="20"/>
      </w:rPr>
    </w:lvl>
    <w:lvl w:ilvl="2">
      <w:start w:val="1"/>
      <w:numFmt w:val="decimal"/>
      <w:pStyle w:val="Nadpis3"/>
      <w:lvlText w:val="%3."/>
      <w:lvlJc w:val="left"/>
      <w:pPr>
        <w:tabs>
          <w:tab w:val="num" w:pos="1800"/>
        </w:tabs>
        <w:ind w:left="1440" w:firstLine="0"/>
      </w:pPr>
      <w:rPr>
        <w:rFonts w:hint="default"/>
      </w:rPr>
    </w:lvl>
    <w:lvl w:ilvl="3">
      <w:start w:val="1"/>
      <w:numFmt w:val="lowerLetter"/>
      <w:pStyle w:val="Nadpis4"/>
      <w:lvlText w:val="%4)"/>
      <w:lvlJc w:val="left"/>
      <w:pPr>
        <w:tabs>
          <w:tab w:val="num" w:pos="2520"/>
        </w:tabs>
        <w:ind w:left="2160" w:firstLine="0"/>
      </w:pPr>
      <w:rPr>
        <w:rFonts w:hint="default"/>
      </w:rPr>
    </w:lvl>
    <w:lvl w:ilvl="4">
      <w:start w:val="1"/>
      <w:numFmt w:val="decimal"/>
      <w:pStyle w:val="Nadpis5"/>
      <w:lvlText w:val="(%5)"/>
      <w:lvlJc w:val="left"/>
      <w:pPr>
        <w:tabs>
          <w:tab w:val="num" w:pos="3240"/>
        </w:tabs>
        <w:ind w:left="2880" w:firstLine="0"/>
      </w:pPr>
      <w:rPr>
        <w:rFonts w:hint="default"/>
      </w:rPr>
    </w:lvl>
    <w:lvl w:ilvl="5">
      <w:start w:val="1"/>
      <w:numFmt w:val="lowerLetter"/>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19" w15:restartNumberingAfterBreak="0">
    <w:nsid w:val="4B83214D"/>
    <w:multiLevelType w:val="hybridMultilevel"/>
    <w:tmpl w:val="867C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71C83"/>
    <w:multiLevelType w:val="hybridMultilevel"/>
    <w:tmpl w:val="F2B0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55390"/>
    <w:multiLevelType w:val="hybridMultilevel"/>
    <w:tmpl w:val="12E421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5E581933"/>
    <w:multiLevelType w:val="hybridMultilevel"/>
    <w:tmpl w:val="02B4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44AA2"/>
    <w:multiLevelType w:val="hybridMultilevel"/>
    <w:tmpl w:val="CA68AB7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65061CA"/>
    <w:multiLevelType w:val="hybridMultilevel"/>
    <w:tmpl w:val="89145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C152DE0"/>
    <w:multiLevelType w:val="hybridMultilevel"/>
    <w:tmpl w:val="2AF66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8762B3"/>
    <w:multiLevelType w:val="hybridMultilevel"/>
    <w:tmpl w:val="8EF2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A28D8"/>
    <w:multiLevelType w:val="hybridMultilevel"/>
    <w:tmpl w:val="6640467E"/>
    <w:lvl w:ilvl="0" w:tplc="2CF65F2A">
      <w:start w:val="165"/>
      <w:numFmt w:val="bullet"/>
      <w:lvlText w:val=""/>
      <w:lvlPicBulletId w:val="0"/>
      <w:lvlJc w:val="left"/>
      <w:pPr>
        <w:ind w:left="720" w:hanging="360"/>
      </w:pPr>
      <w:rPr>
        <w:rFonts w:ascii="Symbol" w:hAnsi="Symbol" w:hint="default"/>
        <w:color w:val="auto"/>
      </w:rPr>
    </w:lvl>
    <w:lvl w:ilvl="1" w:tplc="0809000F">
      <w:start w:val="1"/>
      <w:numFmt w:val="decimal"/>
      <w:lvlText w:val="%2."/>
      <w:lvlJc w:val="left"/>
      <w:pPr>
        <w:ind w:left="1440" w:hanging="360"/>
      </w:pPr>
    </w:lvl>
    <w:lvl w:ilvl="2" w:tplc="0809000F">
      <w:start w:val="1"/>
      <w:numFmt w:val="decimal"/>
      <w:lvlText w:val="%3."/>
      <w:lvlJc w:val="left"/>
      <w:pPr>
        <w:ind w:left="720" w:hanging="360"/>
      </w:pPr>
      <w:rPr>
        <w:rFont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86B0587"/>
    <w:multiLevelType w:val="hybridMultilevel"/>
    <w:tmpl w:val="C77681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9"/>
  </w:num>
  <w:num w:numId="2">
    <w:abstractNumId w:val="2"/>
  </w:num>
  <w:num w:numId="3">
    <w:abstractNumId w:val="15"/>
  </w:num>
  <w:num w:numId="4">
    <w:abstractNumId w:val="12"/>
  </w:num>
  <w:num w:numId="5">
    <w:abstractNumId w:val="8"/>
  </w:num>
  <w:num w:numId="6">
    <w:abstractNumId w:val="18"/>
  </w:num>
  <w:num w:numId="7">
    <w:abstractNumId w:val="25"/>
  </w:num>
  <w:num w:numId="8">
    <w:abstractNumId w:val="22"/>
  </w:num>
  <w:num w:numId="9">
    <w:abstractNumId w:val="23"/>
  </w:num>
  <w:num w:numId="10">
    <w:abstractNumId w:val="10"/>
  </w:num>
  <w:num w:numId="11">
    <w:abstractNumId w:val="26"/>
  </w:num>
  <w:num w:numId="12">
    <w:abstractNumId w:val="7"/>
  </w:num>
  <w:num w:numId="13">
    <w:abstractNumId w:val="5"/>
  </w:num>
  <w:num w:numId="14">
    <w:abstractNumId w:val="29"/>
  </w:num>
  <w:num w:numId="15">
    <w:abstractNumId w:val="20"/>
  </w:num>
  <w:num w:numId="16">
    <w:abstractNumId w:val="28"/>
  </w:num>
  <w:num w:numId="17">
    <w:abstractNumId w:val="21"/>
  </w:num>
  <w:num w:numId="18">
    <w:abstractNumId w:val="3"/>
  </w:num>
  <w:num w:numId="19">
    <w:abstractNumId w:val="16"/>
  </w:num>
  <w:num w:numId="20">
    <w:abstractNumId w:val="0"/>
  </w:num>
  <w:num w:numId="21">
    <w:abstractNumId w:val="14"/>
  </w:num>
  <w:num w:numId="22">
    <w:abstractNumId w:val="11"/>
  </w:num>
  <w:num w:numId="23">
    <w:abstractNumId w:val="13"/>
  </w:num>
  <w:num w:numId="24">
    <w:abstractNumId w:val="19"/>
  </w:num>
  <w:num w:numId="25">
    <w:abstractNumId w:val="4"/>
  </w:num>
  <w:num w:numId="26">
    <w:abstractNumId w:val="6"/>
  </w:num>
  <w:num w:numId="27">
    <w:abstractNumId w:val="27"/>
  </w:num>
  <w:num w:numId="28">
    <w:abstractNumId w:val="17"/>
  </w:num>
  <w:num w:numId="29">
    <w:abstractNumId w:val="1"/>
  </w:num>
  <w:num w:numId="30">
    <w:abstractNumId w:val="2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cofin">
    <w15:presenceInfo w15:providerId="None" w15:userId="Ecof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o:colormru v:ext="edit" colors="#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D78DD"/>
    <w:rsid w:val="0000075D"/>
    <w:rsid w:val="000014BC"/>
    <w:rsid w:val="00003A3B"/>
    <w:rsid w:val="00004B5B"/>
    <w:rsid w:val="00004EDA"/>
    <w:rsid w:val="00005884"/>
    <w:rsid w:val="0000755F"/>
    <w:rsid w:val="000102E7"/>
    <w:rsid w:val="0001046A"/>
    <w:rsid w:val="000109CD"/>
    <w:rsid w:val="00012FEA"/>
    <w:rsid w:val="00015293"/>
    <w:rsid w:val="00015414"/>
    <w:rsid w:val="00016292"/>
    <w:rsid w:val="00020EEB"/>
    <w:rsid w:val="00022235"/>
    <w:rsid w:val="000229C1"/>
    <w:rsid w:val="0002434E"/>
    <w:rsid w:val="0002624B"/>
    <w:rsid w:val="00027E00"/>
    <w:rsid w:val="00031402"/>
    <w:rsid w:val="00031D9A"/>
    <w:rsid w:val="00032045"/>
    <w:rsid w:val="00034407"/>
    <w:rsid w:val="00034C53"/>
    <w:rsid w:val="00035827"/>
    <w:rsid w:val="00035B70"/>
    <w:rsid w:val="000363C5"/>
    <w:rsid w:val="00040F83"/>
    <w:rsid w:val="000411F1"/>
    <w:rsid w:val="00041627"/>
    <w:rsid w:val="00041E70"/>
    <w:rsid w:val="00044C79"/>
    <w:rsid w:val="000452D0"/>
    <w:rsid w:val="000471F7"/>
    <w:rsid w:val="00051423"/>
    <w:rsid w:val="00052570"/>
    <w:rsid w:val="000529DB"/>
    <w:rsid w:val="00052CDE"/>
    <w:rsid w:val="000536CB"/>
    <w:rsid w:val="000536D7"/>
    <w:rsid w:val="00053AC3"/>
    <w:rsid w:val="000569A6"/>
    <w:rsid w:val="00056B35"/>
    <w:rsid w:val="00061CF8"/>
    <w:rsid w:val="000649C8"/>
    <w:rsid w:val="00066115"/>
    <w:rsid w:val="00066ABD"/>
    <w:rsid w:val="0007200C"/>
    <w:rsid w:val="00072855"/>
    <w:rsid w:val="00074EEC"/>
    <w:rsid w:val="0007705A"/>
    <w:rsid w:val="000772EB"/>
    <w:rsid w:val="0008066A"/>
    <w:rsid w:val="0008084C"/>
    <w:rsid w:val="00082B03"/>
    <w:rsid w:val="00083C62"/>
    <w:rsid w:val="00083F7F"/>
    <w:rsid w:val="00084B95"/>
    <w:rsid w:val="00084CDE"/>
    <w:rsid w:val="00084F5B"/>
    <w:rsid w:val="000867A5"/>
    <w:rsid w:val="00086905"/>
    <w:rsid w:val="00086CDC"/>
    <w:rsid w:val="0008777A"/>
    <w:rsid w:val="00092142"/>
    <w:rsid w:val="0009243A"/>
    <w:rsid w:val="00096230"/>
    <w:rsid w:val="000969BD"/>
    <w:rsid w:val="00097E70"/>
    <w:rsid w:val="000A1E93"/>
    <w:rsid w:val="000A207B"/>
    <w:rsid w:val="000A20D8"/>
    <w:rsid w:val="000A2299"/>
    <w:rsid w:val="000A45CE"/>
    <w:rsid w:val="000A672C"/>
    <w:rsid w:val="000A6736"/>
    <w:rsid w:val="000A6D0F"/>
    <w:rsid w:val="000A710B"/>
    <w:rsid w:val="000B1AD3"/>
    <w:rsid w:val="000B20EA"/>
    <w:rsid w:val="000B222E"/>
    <w:rsid w:val="000B3C7A"/>
    <w:rsid w:val="000B4151"/>
    <w:rsid w:val="000B623B"/>
    <w:rsid w:val="000B74A6"/>
    <w:rsid w:val="000B7540"/>
    <w:rsid w:val="000C0AFF"/>
    <w:rsid w:val="000C1F15"/>
    <w:rsid w:val="000C308B"/>
    <w:rsid w:val="000C372E"/>
    <w:rsid w:val="000D018E"/>
    <w:rsid w:val="000D04FF"/>
    <w:rsid w:val="000D0EC2"/>
    <w:rsid w:val="000D22C9"/>
    <w:rsid w:val="000D2F9C"/>
    <w:rsid w:val="000D3080"/>
    <w:rsid w:val="000D4F15"/>
    <w:rsid w:val="000E01D9"/>
    <w:rsid w:val="000E08E4"/>
    <w:rsid w:val="000E1EBF"/>
    <w:rsid w:val="000E267C"/>
    <w:rsid w:val="000E3560"/>
    <w:rsid w:val="000E43B2"/>
    <w:rsid w:val="000E774E"/>
    <w:rsid w:val="000F0254"/>
    <w:rsid w:val="000F0F5C"/>
    <w:rsid w:val="000F1B7A"/>
    <w:rsid w:val="000F2C55"/>
    <w:rsid w:val="000F3111"/>
    <w:rsid w:val="000F5450"/>
    <w:rsid w:val="000F5B11"/>
    <w:rsid w:val="0010187E"/>
    <w:rsid w:val="001019CB"/>
    <w:rsid w:val="00102289"/>
    <w:rsid w:val="00104156"/>
    <w:rsid w:val="00105531"/>
    <w:rsid w:val="00107B21"/>
    <w:rsid w:val="0011298C"/>
    <w:rsid w:val="00112AEB"/>
    <w:rsid w:val="00114372"/>
    <w:rsid w:val="00115B29"/>
    <w:rsid w:val="00115D76"/>
    <w:rsid w:val="0011721B"/>
    <w:rsid w:val="00120D08"/>
    <w:rsid w:val="00121E96"/>
    <w:rsid w:val="00122420"/>
    <w:rsid w:val="00122527"/>
    <w:rsid w:val="00123E91"/>
    <w:rsid w:val="0012453F"/>
    <w:rsid w:val="0012513F"/>
    <w:rsid w:val="00126079"/>
    <w:rsid w:val="00127375"/>
    <w:rsid w:val="00130FD3"/>
    <w:rsid w:val="00132FB8"/>
    <w:rsid w:val="00137079"/>
    <w:rsid w:val="00137157"/>
    <w:rsid w:val="00137A26"/>
    <w:rsid w:val="001423D8"/>
    <w:rsid w:val="0014253C"/>
    <w:rsid w:val="001435FD"/>
    <w:rsid w:val="00145F0C"/>
    <w:rsid w:val="001466FC"/>
    <w:rsid w:val="001477C9"/>
    <w:rsid w:val="00154177"/>
    <w:rsid w:val="0015602E"/>
    <w:rsid w:val="00157777"/>
    <w:rsid w:val="0016158E"/>
    <w:rsid w:val="001624D8"/>
    <w:rsid w:val="0016317D"/>
    <w:rsid w:val="0016489E"/>
    <w:rsid w:val="0016605C"/>
    <w:rsid w:val="00166A12"/>
    <w:rsid w:val="00166F76"/>
    <w:rsid w:val="001702CE"/>
    <w:rsid w:val="00172A53"/>
    <w:rsid w:val="00175210"/>
    <w:rsid w:val="00175ADC"/>
    <w:rsid w:val="00180329"/>
    <w:rsid w:val="00180FDD"/>
    <w:rsid w:val="00183736"/>
    <w:rsid w:val="00184256"/>
    <w:rsid w:val="0018432F"/>
    <w:rsid w:val="001847E2"/>
    <w:rsid w:val="00184B50"/>
    <w:rsid w:val="00184EBC"/>
    <w:rsid w:val="0018577F"/>
    <w:rsid w:val="00186902"/>
    <w:rsid w:val="00187941"/>
    <w:rsid w:val="00190FFA"/>
    <w:rsid w:val="00196A0F"/>
    <w:rsid w:val="00196DEF"/>
    <w:rsid w:val="001A1951"/>
    <w:rsid w:val="001A5E2C"/>
    <w:rsid w:val="001A687E"/>
    <w:rsid w:val="001A7558"/>
    <w:rsid w:val="001B1D18"/>
    <w:rsid w:val="001B55EF"/>
    <w:rsid w:val="001B613F"/>
    <w:rsid w:val="001B6E8F"/>
    <w:rsid w:val="001B738E"/>
    <w:rsid w:val="001B768A"/>
    <w:rsid w:val="001C2CDF"/>
    <w:rsid w:val="001C2D56"/>
    <w:rsid w:val="001C589B"/>
    <w:rsid w:val="001C5C2A"/>
    <w:rsid w:val="001C6C07"/>
    <w:rsid w:val="001C6D75"/>
    <w:rsid w:val="001D0C1C"/>
    <w:rsid w:val="001D10F4"/>
    <w:rsid w:val="001D155B"/>
    <w:rsid w:val="001D172C"/>
    <w:rsid w:val="001D3388"/>
    <w:rsid w:val="001D5489"/>
    <w:rsid w:val="001D650E"/>
    <w:rsid w:val="001D7D63"/>
    <w:rsid w:val="001E3871"/>
    <w:rsid w:val="001E45DA"/>
    <w:rsid w:val="001E4859"/>
    <w:rsid w:val="001E6FE7"/>
    <w:rsid w:val="001E71D9"/>
    <w:rsid w:val="001E7F38"/>
    <w:rsid w:val="001F0B8A"/>
    <w:rsid w:val="001F2053"/>
    <w:rsid w:val="001F22F2"/>
    <w:rsid w:val="001F2A38"/>
    <w:rsid w:val="001F4C6B"/>
    <w:rsid w:val="001F4DA5"/>
    <w:rsid w:val="001F4EF8"/>
    <w:rsid w:val="001F4F86"/>
    <w:rsid w:val="001F5259"/>
    <w:rsid w:val="001F7137"/>
    <w:rsid w:val="0020002E"/>
    <w:rsid w:val="0020072C"/>
    <w:rsid w:val="00200C1C"/>
    <w:rsid w:val="00201F43"/>
    <w:rsid w:val="002063B1"/>
    <w:rsid w:val="00212B60"/>
    <w:rsid w:val="00213650"/>
    <w:rsid w:val="002142E7"/>
    <w:rsid w:val="00214A15"/>
    <w:rsid w:val="002150B3"/>
    <w:rsid w:val="00215E8A"/>
    <w:rsid w:val="00216ECE"/>
    <w:rsid w:val="00217AF0"/>
    <w:rsid w:val="0022366B"/>
    <w:rsid w:val="00224809"/>
    <w:rsid w:val="00224CEB"/>
    <w:rsid w:val="00226071"/>
    <w:rsid w:val="00226147"/>
    <w:rsid w:val="00226A74"/>
    <w:rsid w:val="00227A08"/>
    <w:rsid w:val="00230110"/>
    <w:rsid w:val="00230F04"/>
    <w:rsid w:val="00234093"/>
    <w:rsid w:val="00234A04"/>
    <w:rsid w:val="002351EC"/>
    <w:rsid w:val="00235D76"/>
    <w:rsid w:val="0023690E"/>
    <w:rsid w:val="00240936"/>
    <w:rsid w:val="00243997"/>
    <w:rsid w:val="00243A5C"/>
    <w:rsid w:val="00243C1E"/>
    <w:rsid w:val="00246E0E"/>
    <w:rsid w:val="002470A2"/>
    <w:rsid w:val="002474C8"/>
    <w:rsid w:val="00247655"/>
    <w:rsid w:val="00250049"/>
    <w:rsid w:val="002516F3"/>
    <w:rsid w:val="002532D9"/>
    <w:rsid w:val="00255476"/>
    <w:rsid w:val="0025559B"/>
    <w:rsid w:val="00256630"/>
    <w:rsid w:val="00260381"/>
    <w:rsid w:val="002604DA"/>
    <w:rsid w:val="002609E3"/>
    <w:rsid w:val="002625F6"/>
    <w:rsid w:val="00262969"/>
    <w:rsid w:val="002646F0"/>
    <w:rsid w:val="002647C9"/>
    <w:rsid w:val="0026576D"/>
    <w:rsid w:val="0026595D"/>
    <w:rsid w:val="00265D27"/>
    <w:rsid w:val="002660D0"/>
    <w:rsid w:val="00266848"/>
    <w:rsid w:val="00267BC0"/>
    <w:rsid w:val="0027232A"/>
    <w:rsid w:val="002730E4"/>
    <w:rsid w:val="002762E1"/>
    <w:rsid w:val="00276B67"/>
    <w:rsid w:val="00277397"/>
    <w:rsid w:val="00280C3E"/>
    <w:rsid w:val="002856B4"/>
    <w:rsid w:val="0028606A"/>
    <w:rsid w:val="00286857"/>
    <w:rsid w:val="00287330"/>
    <w:rsid w:val="002874F5"/>
    <w:rsid w:val="00287D65"/>
    <w:rsid w:val="0029094E"/>
    <w:rsid w:val="002918C5"/>
    <w:rsid w:val="0029267B"/>
    <w:rsid w:val="00295242"/>
    <w:rsid w:val="00295D60"/>
    <w:rsid w:val="00297D9B"/>
    <w:rsid w:val="002A1127"/>
    <w:rsid w:val="002A2788"/>
    <w:rsid w:val="002A362B"/>
    <w:rsid w:val="002A38B8"/>
    <w:rsid w:val="002A5C1F"/>
    <w:rsid w:val="002A69B1"/>
    <w:rsid w:val="002A7A91"/>
    <w:rsid w:val="002B0939"/>
    <w:rsid w:val="002B23E5"/>
    <w:rsid w:val="002B2D6F"/>
    <w:rsid w:val="002B3E39"/>
    <w:rsid w:val="002B3EBB"/>
    <w:rsid w:val="002B7F85"/>
    <w:rsid w:val="002C21A8"/>
    <w:rsid w:val="002C4366"/>
    <w:rsid w:val="002C479A"/>
    <w:rsid w:val="002C7D30"/>
    <w:rsid w:val="002D04E7"/>
    <w:rsid w:val="002D2B47"/>
    <w:rsid w:val="002D3C64"/>
    <w:rsid w:val="002D43AD"/>
    <w:rsid w:val="002D444D"/>
    <w:rsid w:val="002D520F"/>
    <w:rsid w:val="002D61BC"/>
    <w:rsid w:val="002D671C"/>
    <w:rsid w:val="002D7C6D"/>
    <w:rsid w:val="002E0F1A"/>
    <w:rsid w:val="002E1412"/>
    <w:rsid w:val="002E374F"/>
    <w:rsid w:val="002E43C6"/>
    <w:rsid w:val="002E49B0"/>
    <w:rsid w:val="002E67F4"/>
    <w:rsid w:val="002E68EE"/>
    <w:rsid w:val="002E7336"/>
    <w:rsid w:val="002F08F0"/>
    <w:rsid w:val="002F0ECA"/>
    <w:rsid w:val="002F0EFB"/>
    <w:rsid w:val="002F1DB2"/>
    <w:rsid w:val="002F25E4"/>
    <w:rsid w:val="002F40AF"/>
    <w:rsid w:val="002F5277"/>
    <w:rsid w:val="002F77CF"/>
    <w:rsid w:val="002F7F54"/>
    <w:rsid w:val="003023D2"/>
    <w:rsid w:val="00302D8E"/>
    <w:rsid w:val="003035BA"/>
    <w:rsid w:val="0030434D"/>
    <w:rsid w:val="00305ED0"/>
    <w:rsid w:val="0031002E"/>
    <w:rsid w:val="00310A5A"/>
    <w:rsid w:val="00311345"/>
    <w:rsid w:val="00312C21"/>
    <w:rsid w:val="003130F7"/>
    <w:rsid w:val="003130F9"/>
    <w:rsid w:val="00313B17"/>
    <w:rsid w:val="003147B2"/>
    <w:rsid w:val="00315438"/>
    <w:rsid w:val="00317597"/>
    <w:rsid w:val="00317717"/>
    <w:rsid w:val="00321079"/>
    <w:rsid w:val="00321221"/>
    <w:rsid w:val="00321C22"/>
    <w:rsid w:val="003225AE"/>
    <w:rsid w:val="00327A7C"/>
    <w:rsid w:val="00327E86"/>
    <w:rsid w:val="00330007"/>
    <w:rsid w:val="003301AD"/>
    <w:rsid w:val="00330317"/>
    <w:rsid w:val="00331000"/>
    <w:rsid w:val="00331D93"/>
    <w:rsid w:val="00332697"/>
    <w:rsid w:val="00334577"/>
    <w:rsid w:val="00334A14"/>
    <w:rsid w:val="0033648A"/>
    <w:rsid w:val="0033670F"/>
    <w:rsid w:val="00340C61"/>
    <w:rsid w:val="00341A34"/>
    <w:rsid w:val="00342456"/>
    <w:rsid w:val="003444E0"/>
    <w:rsid w:val="00344B3D"/>
    <w:rsid w:val="00344CB7"/>
    <w:rsid w:val="00347934"/>
    <w:rsid w:val="003503FB"/>
    <w:rsid w:val="00350584"/>
    <w:rsid w:val="0035179A"/>
    <w:rsid w:val="00351EB0"/>
    <w:rsid w:val="0035230A"/>
    <w:rsid w:val="003554F8"/>
    <w:rsid w:val="0035610F"/>
    <w:rsid w:val="00356FC3"/>
    <w:rsid w:val="0036130F"/>
    <w:rsid w:val="00363274"/>
    <w:rsid w:val="00363949"/>
    <w:rsid w:val="003648FF"/>
    <w:rsid w:val="00370140"/>
    <w:rsid w:val="00370B7C"/>
    <w:rsid w:val="00370FDD"/>
    <w:rsid w:val="00371F89"/>
    <w:rsid w:val="003722FF"/>
    <w:rsid w:val="00381839"/>
    <w:rsid w:val="00382664"/>
    <w:rsid w:val="00385A64"/>
    <w:rsid w:val="00386E86"/>
    <w:rsid w:val="00387D6F"/>
    <w:rsid w:val="00387D7F"/>
    <w:rsid w:val="0039488F"/>
    <w:rsid w:val="00395BE2"/>
    <w:rsid w:val="00395E60"/>
    <w:rsid w:val="003A1730"/>
    <w:rsid w:val="003A5C25"/>
    <w:rsid w:val="003A69B4"/>
    <w:rsid w:val="003B02F4"/>
    <w:rsid w:val="003B049C"/>
    <w:rsid w:val="003B1F5D"/>
    <w:rsid w:val="003B216D"/>
    <w:rsid w:val="003B39D0"/>
    <w:rsid w:val="003B4972"/>
    <w:rsid w:val="003B5734"/>
    <w:rsid w:val="003B7969"/>
    <w:rsid w:val="003C021A"/>
    <w:rsid w:val="003C0DDA"/>
    <w:rsid w:val="003C15F3"/>
    <w:rsid w:val="003C2F63"/>
    <w:rsid w:val="003C430E"/>
    <w:rsid w:val="003C4FC3"/>
    <w:rsid w:val="003D300C"/>
    <w:rsid w:val="003D3662"/>
    <w:rsid w:val="003D4F71"/>
    <w:rsid w:val="003D6DB4"/>
    <w:rsid w:val="003D7292"/>
    <w:rsid w:val="003D765B"/>
    <w:rsid w:val="003D7905"/>
    <w:rsid w:val="003D7922"/>
    <w:rsid w:val="003E0F34"/>
    <w:rsid w:val="003E1281"/>
    <w:rsid w:val="003E1FDD"/>
    <w:rsid w:val="003E2304"/>
    <w:rsid w:val="003E2646"/>
    <w:rsid w:val="003E2C82"/>
    <w:rsid w:val="003E3C71"/>
    <w:rsid w:val="003E531E"/>
    <w:rsid w:val="003E7F91"/>
    <w:rsid w:val="003F0B73"/>
    <w:rsid w:val="003F0B9C"/>
    <w:rsid w:val="003F4613"/>
    <w:rsid w:val="003F709A"/>
    <w:rsid w:val="003F75FC"/>
    <w:rsid w:val="0040017D"/>
    <w:rsid w:val="00400C55"/>
    <w:rsid w:val="004030B1"/>
    <w:rsid w:val="00410683"/>
    <w:rsid w:val="0041199E"/>
    <w:rsid w:val="00412592"/>
    <w:rsid w:val="00414EAD"/>
    <w:rsid w:val="0041764B"/>
    <w:rsid w:val="00420BAA"/>
    <w:rsid w:val="00420F6C"/>
    <w:rsid w:val="00420FE4"/>
    <w:rsid w:val="00422456"/>
    <w:rsid w:val="0042306E"/>
    <w:rsid w:val="00423AD4"/>
    <w:rsid w:val="004247B6"/>
    <w:rsid w:val="00425355"/>
    <w:rsid w:val="00425A82"/>
    <w:rsid w:val="004260B2"/>
    <w:rsid w:val="0043208B"/>
    <w:rsid w:val="00432CFE"/>
    <w:rsid w:val="004334BD"/>
    <w:rsid w:val="004361DE"/>
    <w:rsid w:val="0043673B"/>
    <w:rsid w:val="00436E18"/>
    <w:rsid w:val="00440717"/>
    <w:rsid w:val="00441B9D"/>
    <w:rsid w:val="00443342"/>
    <w:rsid w:val="0044473D"/>
    <w:rsid w:val="0044590E"/>
    <w:rsid w:val="00445DD4"/>
    <w:rsid w:val="00447CC1"/>
    <w:rsid w:val="0045099C"/>
    <w:rsid w:val="004546B5"/>
    <w:rsid w:val="0045489C"/>
    <w:rsid w:val="00455FD0"/>
    <w:rsid w:val="004560AF"/>
    <w:rsid w:val="004573D4"/>
    <w:rsid w:val="004601F2"/>
    <w:rsid w:val="00460F3F"/>
    <w:rsid w:val="00461BDE"/>
    <w:rsid w:val="00462425"/>
    <w:rsid w:val="004626A4"/>
    <w:rsid w:val="004628E2"/>
    <w:rsid w:val="00463628"/>
    <w:rsid w:val="004644CC"/>
    <w:rsid w:val="0046493E"/>
    <w:rsid w:val="00472F88"/>
    <w:rsid w:val="0047531A"/>
    <w:rsid w:val="00476C41"/>
    <w:rsid w:val="00476D02"/>
    <w:rsid w:val="004853C0"/>
    <w:rsid w:val="004863C6"/>
    <w:rsid w:val="004932F0"/>
    <w:rsid w:val="004939DC"/>
    <w:rsid w:val="00495ACD"/>
    <w:rsid w:val="00495BA2"/>
    <w:rsid w:val="00496C51"/>
    <w:rsid w:val="004A1B2F"/>
    <w:rsid w:val="004A2540"/>
    <w:rsid w:val="004A46B7"/>
    <w:rsid w:val="004A59A3"/>
    <w:rsid w:val="004A6BE2"/>
    <w:rsid w:val="004A6D87"/>
    <w:rsid w:val="004A70C2"/>
    <w:rsid w:val="004A70C4"/>
    <w:rsid w:val="004A7B3A"/>
    <w:rsid w:val="004B0BD8"/>
    <w:rsid w:val="004B1BC4"/>
    <w:rsid w:val="004B2332"/>
    <w:rsid w:val="004B2F56"/>
    <w:rsid w:val="004B3995"/>
    <w:rsid w:val="004B7381"/>
    <w:rsid w:val="004C0DA6"/>
    <w:rsid w:val="004C1291"/>
    <w:rsid w:val="004C202F"/>
    <w:rsid w:val="004C5000"/>
    <w:rsid w:val="004C57C8"/>
    <w:rsid w:val="004C6278"/>
    <w:rsid w:val="004C6E51"/>
    <w:rsid w:val="004C7A25"/>
    <w:rsid w:val="004C7A2E"/>
    <w:rsid w:val="004D085A"/>
    <w:rsid w:val="004D1A13"/>
    <w:rsid w:val="004D4BC9"/>
    <w:rsid w:val="004D4D68"/>
    <w:rsid w:val="004D508F"/>
    <w:rsid w:val="004D60AB"/>
    <w:rsid w:val="004D63F4"/>
    <w:rsid w:val="004D77D2"/>
    <w:rsid w:val="004E06E3"/>
    <w:rsid w:val="004E1753"/>
    <w:rsid w:val="004E3D96"/>
    <w:rsid w:val="004E6899"/>
    <w:rsid w:val="004E6E44"/>
    <w:rsid w:val="004E70B7"/>
    <w:rsid w:val="004E7F32"/>
    <w:rsid w:val="004F0B82"/>
    <w:rsid w:val="004F35D6"/>
    <w:rsid w:val="004F3740"/>
    <w:rsid w:val="004F4873"/>
    <w:rsid w:val="004F55F7"/>
    <w:rsid w:val="004F5A01"/>
    <w:rsid w:val="004F5BB1"/>
    <w:rsid w:val="004F612B"/>
    <w:rsid w:val="004F7505"/>
    <w:rsid w:val="004F773B"/>
    <w:rsid w:val="005002D0"/>
    <w:rsid w:val="00501751"/>
    <w:rsid w:val="00501793"/>
    <w:rsid w:val="005018B8"/>
    <w:rsid w:val="005027D3"/>
    <w:rsid w:val="00502F54"/>
    <w:rsid w:val="00503EE1"/>
    <w:rsid w:val="00503F4E"/>
    <w:rsid w:val="0050407C"/>
    <w:rsid w:val="00505D5D"/>
    <w:rsid w:val="00506B99"/>
    <w:rsid w:val="00507094"/>
    <w:rsid w:val="0051132B"/>
    <w:rsid w:val="00512794"/>
    <w:rsid w:val="00513E9A"/>
    <w:rsid w:val="0051434E"/>
    <w:rsid w:val="0051518C"/>
    <w:rsid w:val="00515300"/>
    <w:rsid w:val="00515AA7"/>
    <w:rsid w:val="00515BB7"/>
    <w:rsid w:val="0052128D"/>
    <w:rsid w:val="005246BF"/>
    <w:rsid w:val="00524A6F"/>
    <w:rsid w:val="00524AB2"/>
    <w:rsid w:val="00524C8A"/>
    <w:rsid w:val="0052793A"/>
    <w:rsid w:val="00527BEC"/>
    <w:rsid w:val="0053045D"/>
    <w:rsid w:val="00531E62"/>
    <w:rsid w:val="00532644"/>
    <w:rsid w:val="0053269D"/>
    <w:rsid w:val="00532DB6"/>
    <w:rsid w:val="00533BA7"/>
    <w:rsid w:val="00533DA7"/>
    <w:rsid w:val="005369B9"/>
    <w:rsid w:val="00537252"/>
    <w:rsid w:val="00537BC0"/>
    <w:rsid w:val="00541F4D"/>
    <w:rsid w:val="005427E1"/>
    <w:rsid w:val="00542AE4"/>
    <w:rsid w:val="00542AED"/>
    <w:rsid w:val="00542E09"/>
    <w:rsid w:val="00543BC4"/>
    <w:rsid w:val="0054411E"/>
    <w:rsid w:val="00544B1D"/>
    <w:rsid w:val="0054540A"/>
    <w:rsid w:val="00545BA2"/>
    <w:rsid w:val="00545F05"/>
    <w:rsid w:val="00547247"/>
    <w:rsid w:val="00551349"/>
    <w:rsid w:val="005514C6"/>
    <w:rsid w:val="00553170"/>
    <w:rsid w:val="00554C5F"/>
    <w:rsid w:val="00554C78"/>
    <w:rsid w:val="00555E2F"/>
    <w:rsid w:val="005560BB"/>
    <w:rsid w:val="00556D5D"/>
    <w:rsid w:val="00557FED"/>
    <w:rsid w:val="00560FC6"/>
    <w:rsid w:val="005615DB"/>
    <w:rsid w:val="0056267A"/>
    <w:rsid w:val="005634F4"/>
    <w:rsid w:val="00563C58"/>
    <w:rsid w:val="00563FCF"/>
    <w:rsid w:val="00564D47"/>
    <w:rsid w:val="00564E98"/>
    <w:rsid w:val="005651BB"/>
    <w:rsid w:val="00566A3E"/>
    <w:rsid w:val="00566EE3"/>
    <w:rsid w:val="00570075"/>
    <w:rsid w:val="005716FF"/>
    <w:rsid w:val="005751DF"/>
    <w:rsid w:val="00575D5F"/>
    <w:rsid w:val="0058149B"/>
    <w:rsid w:val="005819B7"/>
    <w:rsid w:val="0058372C"/>
    <w:rsid w:val="00584C25"/>
    <w:rsid w:val="00585F51"/>
    <w:rsid w:val="0058651C"/>
    <w:rsid w:val="00587EEE"/>
    <w:rsid w:val="0059292B"/>
    <w:rsid w:val="0059322E"/>
    <w:rsid w:val="005934EF"/>
    <w:rsid w:val="0059470C"/>
    <w:rsid w:val="0059483B"/>
    <w:rsid w:val="00594F31"/>
    <w:rsid w:val="00595FC3"/>
    <w:rsid w:val="00596997"/>
    <w:rsid w:val="005976C7"/>
    <w:rsid w:val="005978A5"/>
    <w:rsid w:val="0059798C"/>
    <w:rsid w:val="005A0062"/>
    <w:rsid w:val="005A12E4"/>
    <w:rsid w:val="005A2DD8"/>
    <w:rsid w:val="005A5B32"/>
    <w:rsid w:val="005A66ED"/>
    <w:rsid w:val="005A6B0B"/>
    <w:rsid w:val="005A6EC0"/>
    <w:rsid w:val="005B0A3B"/>
    <w:rsid w:val="005B1688"/>
    <w:rsid w:val="005B26D0"/>
    <w:rsid w:val="005B3D66"/>
    <w:rsid w:val="005B402D"/>
    <w:rsid w:val="005B5C9F"/>
    <w:rsid w:val="005C00CD"/>
    <w:rsid w:val="005C0237"/>
    <w:rsid w:val="005C0AD4"/>
    <w:rsid w:val="005C125C"/>
    <w:rsid w:val="005C2214"/>
    <w:rsid w:val="005C2676"/>
    <w:rsid w:val="005C5488"/>
    <w:rsid w:val="005C7563"/>
    <w:rsid w:val="005C7A2E"/>
    <w:rsid w:val="005C7A38"/>
    <w:rsid w:val="005D4C00"/>
    <w:rsid w:val="005D565D"/>
    <w:rsid w:val="005D59A8"/>
    <w:rsid w:val="005D7565"/>
    <w:rsid w:val="005E21F2"/>
    <w:rsid w:val="005E3931"/>
    <w:rsid w:val="005E4A33"/>
    <w:rsid w:val="005E53B3"/>
    <w:rsid w:val="005E63DD"/>
    <w:rsid w:val="005F5FD3"/>
    <w:rsid w:val="005F77DD"/>
    <w:rsid w:val="00600336"/>
    <w:rsid w:val="00600520"/>
    <w:rsid w:val="00601F8E"/>
    <w:rsid w:val="006030A9"/>
    <w:rsid w:val="00603580"/>
    <w:rsid w:val="0060361D"/>
    <w:rsid w:val="00603AB4"/>
    <w:rsid w:val="006041F0"/>
    <w:rsid w:val="00605AA3"/>
    <w:rsid w:val="00606121"/>
    <w:rsid w:val="006069BA"/>
    <w:rsid w:val="006126F3"/>
    <w:rsid w:val="00615D9C"/>
    <w:rsid w:val="0061702F"/>
    <w:rsid w:val="006203DB"/>
    <w:rsid w:val="00621929"/>
    <w:rsid w:val="00621998"/>
    <w:rsid w:val="00622547"/>
    <w:rsid w:val="00622E5F"/>
    <w:rsid w:val="006238B4"/>
    <w:rsid w:val="0062394D"/>
    <w:rsid w:val="0063031A"/>
    <w:rsid w:val="006316D0"/>
    <w:rsid w:val="00631F63"/>
    <w:rsid w:val="00632832"/>
    <w:rsid w:val="006351C2"/>
    <w:rsid w:val="006364C5"/>
    <w:rsid w:val="00636536"/>
    <w:rsid w:val="00636FEE"/>
    <w:rsid w:val="0064086E"/>
    <w:rsid w:val="00641917"/>
    <w:rsid w:val="0064295B"/>
    <w:rsid w:val="0064366C"/>
    <w:rsid w:val="00644261"/>
    <w:rsid w:val="0064476A"/>
    <w:rsid w:val="00644F0A"/>
    <w:rsid w:val="006472F0"/>
    <w:rsid w:val="00647E0C"/>
    <w:rsid w:val="0065072A"/>
    <w:rsid w:val="006507A7"/>
    <w:rsid w:val="00651977"/>
    <w:rsid w:val="00651C58"/>
    <w:rsid w:val="0065251F"/>
    <w:rsid w:val="006533D4"/>
    <w:rsid w:val="006534BF"/>
    <w:rsid w:val="0065524C"/>
    <w:rsid w:val="0066044C"/>
    <w:rsid w:val="006619C2"/>
    <w:rsid w:val="00662531"/>
    <w:rsid w:val="00663027"/>
    <w:rsid w:val="00663053"/>
    <w:rsid w:val="006633A6"/>
    <w:rsid w:val="00663AEF"/>
    <w:rsid w:val="0066562E"/>
    <w:rsid w:val="00666FBA"/>
    <w:rsid w:val="00667E4B"/>
    <w:rsid w:val="00670E78"/>
    <w:rsid w:val="00672BCA"/>
    <w:rsid w:val="00672E80"/>
    <w:rsid w:val="00674BF3"/>
    <w:rsid w:val="006752DD"/>
    <w:rsid w:val="00675F90"/>
    <w:rsid w:val="006769A6"/>
    <w:rsid w:val="00677836"/>
    <w:rsid w:val="00680782"/>
    <w:rsid w:val="00681A31"/>
    <w:rsid w:val="00681F47"/>
    <w:rsid w:val="00683148"/>
    <w:rsid w:val="00683487"/>
    <w:rsid w:val="006852F0"/>
    <w:rsid w:val="00686B20"/>
    <w:rsid w:val="006906F0"/>
    <w:rsid w:val="00690C8E"/>
    <w:rsid w:val="006917C6"/>
    <w:rsid w:val="00693207"/>
    <w:rsid w:val="00693EA9"/>
    <w:rsid w:val="0069412E"/>
    <w:rsid w:val="0069585B"/>
    <w:rsid w:val="006A0E2C"/>
    <w:rsid w:val="006A624D"/>
    <w:rsid w:val="006A7E7B"/>
    <w:rsid w:val="006B1062"/>
    <w:rsid w:val="006B3849"/>
    <w:rsid w:val="006B45B2"/>
    <w:rsid w:val="006B480E"/>
    <w:rsid w:val="006B6BBC"/>
    <w:rsid w:val="006C04B6"/>
    <w:rsid w:val="006C1352"/>
    <w:rsid w:val="006C142C"/>
    <w:rsid w:val="006C2204"/>
    <w:rsid w:val="006C43DC"/>
    <w:rsid w:val="006C6FF6"/>
    <w:rsid w:val="006C7D31"/>
    <w:rsid w:val="006D040D"/>
    <w:rsid w:val="006D15D4"/>
    <w:rsid w:val="006D161A"/>
    <w:rsid w:val="006D17E7"/>
    <w:rsid w:val="006D18EF"/>
    <w:rsid w:val="006D394A"/>
    <w:rsid w:val="006D63DA"/>
    <w:rsid w:val="006D6C65"/>
    <w:rsid w:val="006D7693"/>
    <w:rsid w:val="006E55C7"/>
    <w:rsid w:val="006E6508"/>
    <w:rsid w:val="006E66E0"/>
    <w:rsid w:val="006E7158"/>
    <w:rsid w:val="006F05CC"/>
    <w:rsid w:val="006F0AC8"/>
    <w:rsid w:val="006F45AD"/>
    <w:rsid w:val="006F4E29"/>
    <w:rsid w:val="006F6810"/>
    <w:rsid w:val="00700D1C"/>
    <w:rsid w:val="0070141D"/>
    <w:rsid w:val="007023E8"/>
    <w:rsid w:val="00704E76"/>
    <w:rsid w:val="007054AB"/>
    <w:rsid w:val="00705A17"/>
    <w:rsid w:val="00706435"/>
    <w:rsid w:val="00706CA3"/>
    <w:rsid w:val="00707BB2"/>
    <w:rsid w:val="00710089"/>
    <w:rsid w:val="0071451B"/>
    <w:rsid w:val="00714828"/>
    <w:rsid w:val="00714DE7"/>
    <w:rsid w:val="00715C1C"/>
    <w:rsid w:val="00716929"/>
    <w:rsid w:val="007176DA"/>
    <w:rsid w:val="00721BBC"/>
    <w:rsid w:val="0072471F"/>
    <w:rsid w:val="0072476B"/>
    <w:rsid w:val="00724E56"/>
    <w:rsid w:val="007262A9"/>
    <w:rsid w:val="00726D13"/>
    <w:rsid w:val="00732EAC"/>
    <w:rsid w:val="007332D1"/>
    <w:rsid w:val="00733422"/>
    <w:rsid w:val="00736ED3"/>
    <w:rsid w:val="00737A9C"/>
    <w:rsid w:val="00737E03"/>
    <w:rsid w:val="0074143D"/>
    <w:rsid w:val="0074210D"/>
    <w:rsid w:val="007422E0"/>
    <w:rsid w:val="007429C8"/>
    <w:rsid w:val="00742ECE"/>
    <w:rsid w:val="00744296"/>
    <w:rsid w:val="00744A3E"/>
    <w:rsid w:val="0074543E"/>
    <w:rsid w:val="00745535"/>
    <w:rsid w:val="0074664F"/>
    <w:rsid w:val="0075036C"/>
    <w:rsid w:val="00750C2B"/>
    <w:rsid w:val="00751167"/>
    <w:rsid w:val="007515B7"/>
    <w:rsid w:val="007517B7"/>
    <w:rsid w:val="00752182"/>
    <w:rsid w:val="00755844"/>
    <w:rsid w:val="0075672C"/>
    <w:rsid w:val="00756885"/>
    <w:rsid w:val="00757D03"/>
    <w:rsid w:val="00757D27"/>
    <w:rsid w:val="00760328"/>
    <w:rsid w:val="00760B1F"/>
    <w:rsid w:val="00760B4C"/>
    <w:rsid w:val="00762128"/>
    <w:rsid w:val="007628CC"/>
    <w:rsid w:val="00762C92"/>
    <w:rsid w:val="00762F49"/>
    <w:rsid w:val="007655CD"/>
    <w:rsid w:val="00766B42"/>
    <w:rsid w:val="00770570"/>
    <w:rsid w:val="007708BD"/>
    <w:rsid w:val="00774F92"/>
    <w:rsid w:val="0077611C"/>
    <w:rsid w:val="00777543"/>
    <w:rsid w:val="007802EA"/>
    <w:rsid w:val="00781F40"/>
    <w:rsid w:val="00782800"/>
    <w:rsid w:val="007829BF"/>
    <w:rsid w:val="00782B5C"/>
    <w:rsid w:val="00782DA3"/>
    <w:rsid w:val="00784547"/>
    <w:rsid w:val="00787A1E"/>
    <w:rsid w:val="007908C4"/>
    <w:rsid w:val="007917C5"/>
    <w:rsid w:val="0079271C"/>
    <w:rsid w:val="00793301"/>
    <w:rsid w:val="0079544F"/>
    <w:rsid w:val="00796143"/>
    <w:rsid w:val="00796E2E"/>
    <w:rsid w:val="00797C14"/>
    <w:rsid w:val="00797F82"/>
    <w:rsid w:val="007A14D8"/>
    <w:rsid w:val="007A2A2D"/>
    <w:rsid w:val="007A3C23"/>
    <w:rsid w:val="007A5238"/>
    <w:rsid w:val="007A564A"/>
    <w:rsid w:val="007A5B35"/>
    <w:rsid w:val="007B21E0"/>
    <w:rsid w:val="007B31A3"/>
    <w:rsid w:val="007B31AB"/>
    <w:rsid w:val="007B5400"/>
    <w:rsid w:val="007B72BE"/>
    <w:rsid w:val="007C012D"/>
    <w:rsid w:val="007C1941"/>
    <w:rsid w:val="007C205A"/>
    <w:rsid w:val="007C4196"/>
    <w:rsid w:val="007C4389"/>
    <w:rsid w:val="007C4973"/>
    <w:rsid w:val="007C4CEB"/>
    <w:rsid w:val="007C5390"/>
    <w:rsid w:val="007C613C"/>
    <w:rsid w:val="007C6709"/>
    <w:rsid w:val="007D03D9"/>
    <w:rsid w:val="007D5887"/>
    <w:rsid w:val="007D623C"/>
    <w:rsid w:val="007D64D7"/>
    <w:rsid w:val="007E09D7"/>
    <w:rsid w:val="007E17D8"/>
    <w:rsid w:val="007E1BA6"/>
    <w:rsid w:val="007E2239"/>
    <w:rsid w:val="007E4056"/>
    <w:rsid w:val="007E4319"/>
    <w:rsid w:val="007E4350"/>
    <w:rsid w:val="007E489D"/>
    <w:rsid w:val="007E637F"/>
    <w:rsid w:val="007F33C8"/>
    <w:rsid w:val="007F3AC1"/>
    <w:rsid w:val="007F68A7"/>
    <w:rsid w:val="008006F2"/>
    <w:rsid w:val="008014F2"/>
    <w:rsid w:val="008038E7"/>
    <w:rsid w:val="00804046"/>
    <w:rsid w:val="0080417A"/>
    <w:rsid w:val="00805A07"/>
    <w:rsid w:val="0080767C"/>
    <w:rsid w:val="0081001D"/>
    <w:rsid w:val="00810954"/>
    <w:rsid w:val="00810981"/>
    <w:rsid w:val="00810A19"/>
    <w:rsid w:val="00812827"/>
    <w:rsid w:val="00812F11"/>
    <w:rsid w:val="008130B6"/>
    <w:rsid w:val="00813AC9"/>
    <w:rsid w:val="008140C1"/>
    <w:rsid w:val="00814A32"/>
    <w:rsid w:val="008166FC"/>
    <w:rsid w:val="00817A4D"/>
    <w:rsid w:val="00820B7A"/>
    <w:rsid w:val="00821B49"/>
    <w:rsid w:val="00822477"/>
    <w:rsid w:val="0082247B"/>
    <w:rsid w:val="0082315D"/>
    <w:rsid w:val="00823706"/>
    <w:rsid w:val="0082416E"/>
    <w:rsid w:val="0082441D"/>
    <w:rsid w:val="0082519A"/>
    <w:rsid w:val="008259FF"/>
    <w:rsid w:val="0082605D"/>
    <w:rsid w:val="00827BFD"/>
    <w:rsid w:val="008302C0"/>
    <w:rsid w:val="00830DD4"/>
    <w:rsid w:val="008310E9"/>
    <w:rsid w:val="00831203"/>
    <w:rsid w:val="00832DB0"/>
    <w:rsid w:val="00833FEF"/>
    <w:rsid w:val="008348E0"/>
    <w:rsid w:val="00835FEC"/>
    <w:rsid w:val="00837353"/>
    <w:rsid w:val="00840869"/>
    <w:rsid w:val="00842CA5"/>
    <w:rsid w:val="00843107"/>
    <w:rsid w:val="0084503C"/>
    <w:rsid w:val="008456F0"/>
    <w:rsid w:val="00846369"/>
    <w:rsid w:val="00847FF1"/>
    <w:rsid w:val="00850DC3"/>
    <w:rsid w:val="00854AD6"/>
    <w:rsid w:val="00854F15"/>
    <w:rsid w:val="00855C22"/>
    <w:rsid w:val="00855DDD"/>
    <w:rsid w:val="008560AD"/>
    <w:rsid w:val="00856175"/>
    <w:rsid w:val="008577D8"/>
    <w:rsid w:val="00857912"/>
    <w:rsid w:val="00857C8E"/>
    <w:rsid w:val="00860531"/>
    <w:rsid w:val="00861C08"/>
    <w:rsid w:val="00862D23"/>
    <w:rsid w:val="00863209"/>
    <w:rsid w:val="008644E8"/>
    <w:rsid w:val="00865008"/>
    <w:rsid w:val="0086507E"/>
    <w:rsid w:val="0086529E"/>
    <w:rsid w:val="008654C2"/>
    <w:rsid w:val="00865B04"/>
    <w:rsid w:val="00871F72"/>
    <w:rsid w:val="008724B9"/>
    <w:rsid w:val="00872D33"/>
    <w:rsid w:val="008731CD"/>
    <w:rsid w:val="00875190"/>
    <w:rsid w:val="008756E5"/>
    <w:rsid w:val="00876E6E"/>
    <w:rsid w:val="008804E9"/>
    <w:rsid w:val="00881BEA"/>
    <w:rsid w:val="008831ED"/>
    <w:rsid w:val="00883439"/>
    <w:rsid w:val="008838CC"/>
    <w:rsid w:val="00885B6F"/>
    <w:rsid w:val="00886EAB"/>
    <w:rsid w:val="00887052"/>
    <w:rsid w:val="0088750B"/>
    <w:rsid w:val="00891BE9"/>
    <w:rsid w:val="00893917"/>
    <w:rsid w:val="0089411C"/>
    <w:rsid w:val="0089550B"/>
    <w:rsid w:val="00895E69"/>
    <w:rsid w:val="00896002"/>
    <w:rsid w:val="00896CFC"/>
    <w:rsid w:val="008977FE"/>
    <w:rsid w:val="008A2089"/>
    <w:rsid w:val="008A2AFA"/>
    <w:rsid w:val="008A4E58"/>
    <w:rsid w:val="008A5209"/>
    <w:rsid w:val="008A5809"/>
    <w:rsid w:val="008A67B8"/>
    <w:rsid w:val="008B0F9E"/>
    <w:rsid w:val="008B1EE7"/>
    <w:rsid w:val="008B1F2B"/>
    <w:rsid w:val="008B349E"/>
    <w:rsid w:val="008B6E4A"/>
    <w:rsid w:val="008B6F6B"/>
    <w:rsid w:val="008B7864"/>
    <w:rsid w:val="008C285E"/>
    <w:rsid w:val="008C3429"/>
    <w:rsid w:val="008C34F7"/>
    <w:rsid w:val="008C620B"/>
    <w:rsid w:val="008C6C49"/>
    <w:rsid w:val="008C7124"/>
    <w:rsid w:val="008C76C2"/>
    <w:rsid w:val="008D14F8"/>
    <w:rsid w:val="008D1B44"/>
    <w:rsid w:val="008D2D57"/>
    <w:rsid w:val="008D3148"/>
    <w:rsid w:val="008D3BBC"/>
    <w:rsid w:val="008D3F0D"/>
    <w:rsid w:val="008D4793"/>
    <w:rsid w:val="008D73AB"/>
    <w:rsid w:val="008D7C88"/>
    <w:rsid w:val="008E0025"/>
    <w:rsid w:val="008E1ED5"/>
    <w:rsid w:val="008E45C1"/>
    <w:rsid w:val="008E4637"/>
    <w:rsid w:val="008E50DF"/>
    <w:rsid w:val="008E5D89"/>
    <w:rsid w:val="008F02D3"/>
    <w:rsid w:val="008F29DE"/>
    <w:rsid w:val="008F2D1B"/>
    <w:rsid w:val="008F3296"/>
    <w:rsid w:val="008F3A4B"/>
    <w:rsid w:val="008F4014"/>
    <w:rsid w:val="008F4572"/>
    <w:rsid w:val="008F48FE"/>
    <w:rsid w:val="008F56F0"/>
    <w:rsid w:val="008F74D8"/>
    <w:rsid w:val="008F7C47"/>
    <w:rsid w:val="009005D5"/>
    <w:rsid w:val="00903094"/>
    <w:rsid w:val="00903B75"/>
    <w:rsid w:val="00906A9A"/>
    <w:rsid w:val="00906ED2"/>
    <w:rsid w:val="00907097"/>
    <w:rsid w:val="00910195"/>
    <w:rsid w:val="0091137C"/>
    <w:rsid w:val="0091560A"/>
    <w:rsid w:val="009204A1"/>
    <w:rsid w:val="00921B69"/>
    <w:rsid w:val="009220EB"/>
    <w:rsid w:val="0092348D"/>
    <w:rsid w:val="00923C96"/>
    <w:rsid w:val="00924248"/>
    <w:rsid w:val="009263DD"/>
    <w:rsid w:val="00927412"/>
    <w:rsid w:val="00927B57"/>
    <w:rsid w:val="0093024F"/>
    <w:rsid w:val="00932D89"/>
    <w:rsid w:val="00934243"/>
    <w:rsid w:val="00944886"/>
    <w:rsid w:val="00944F50"/>
    <w:rsid w:val="009471F3"/>
    <w:rsid w:val="0095129E"/>
    <w:rsid w:val="0095475F"/>
    <w:rsid w:val="0095703B"/>
    <w:rsid w:val="00960BB5"/>
    <w:rsid w:val="0096100F"/>
    <w:rsid w:val="00963BB1"/>
    <w:rsid w:val="009656B9"/>
    <w:rsid w:val="00966267"/>
    <w:rsid w:val="00966752"/>
    <w:rsid w:val="00967FBF"/>
    <w:rsid w:val="0097104F"/>
    <w:rsid w:val="00972018"/>
    <w:rsid w:val="009736C7"/>
    <w:rsid w:val="00974415"/>
    <w:rsid w:val="009757D9"/>
    <w:rsid w:val="00980061"/>
    <w:rsid w:val="0098117F"/>
    <w:rsid w:val="00982D25"/>
    <w:rsid w:val="0098384B"/>
    <w:rsid w:val="00985BA7"/>
    <w:rsid w:val="0098611B"/>
    <w:rsid w:val="00986305"/>
    <w:rsid w:val="009876D0"/>
    <w:rsid w:val="00993B46"/>
    <w:rsid w:val="00993BF3"/>
    <w:rsid w:val="0099441A"/>
    <w:rsid w:val="00995949"/>
    <w:rsid w:val="00996517"/>
    <w:rsid w:val="00996CA5"/>
    <w:rsid w:val="00996E44"/>
    <w:rsid w:val="00997E43"/>
    <w:rsid w:val="009A3EB4"/>
    <w:rsid w:val="009A4945"/>
    <w:rsid w:val="009A699A"/>
    <w:rsid w:val="009A6CF4"/>
    <w:rsid w:val="009A7526"/>
    <w:rsid w:val="009A79A9"/>
    <w:rsid w:val="009B550C"/>
    <w:rsid w:val="009B5FAA"/>
    <w:rsid w:val="009C1553"/>
    <w:rsid w:val="009C2F5F"/>
    <w:rsid w:val="009C57DB"/>
    <w:rsid w:val="009C6C30"/>
    <w:rsid w:val="009D13B6"/>
    <w:rsid w:val="009D36F4"/>
    <w:rsid w:val="009D4FD8"/>
    <w:rsid w:val="009D62D3"/>
    <w:rsid w:val="009D7B41"/>
    <w:rsid w:val="009D7CD3"/>
    <w:rsid w:val="009E56BA"/>
    <w:rsid w:val="009E5C6F"/>
    <w:rsid w:val="009E6844"/>
    <w:rsid w:val="009E77AA"/>
    <w:rsid w:val="009F063C"/>
    <w:rsid w:val="009F11D7"/>
    <w:rsid w:val="009F1692"/>
    <w:rsid w:val="009F3C12"/>
    <w:rsid w:val="009F52FF"/>
    <w:rsid w:val="009F5572"/>
    <w:rsid w:val="009F5A74"/>
    <w:rsid w:val="00A01C80"/>
    <w:rsid w:val="00A01D2C"/>
    <w:rsid w:val="00A029D7"/>
    <w:rsid w:val="00A02B21"/>
    <w:rsid w:val="00A034F0"/>
    <w:rsid w:val="00A0561B"/>
    <w:rsid w:val="00A06F8D"/>
    <w:rsid w:val="00A100AE"/>
    <w:rsid w:val="00A1032F"/>
    <w:rsid w:val="00A12D1B"/>
    <w:rsid w:val="00A13B22"/>
    <w:rsid w:val="00A13D02"/>
    <w:rsid w:val="00A15479"/>
    <w:rsid w:val="00A20EEE"/>
    <w:rsid w:val="00A224B1"/>
    <w:rsid w:val="00A25732"/>
    <w:rsid w:val="00A262E4"/>
    <w:rsid w:val="00A27F3C"/>
    <w:rsid w:val="00A30484"/>
    <w:rsid w:val="00A319FF"/>
    <w:rsid w:val="00A32750"/>
    <w:rsid w:val="00A32E3D"/>
    <w:rsid w:val="00A34614"/>
    <w:rsid w:val="00A34CED"/>
    <w:rsid w:val="00A415C9"/>
    <w:rsid w:val="00A42D60"/>
    <w:rsid w:val="00A441FC"/>
    <w:rsid w:val="00A46CA8"/>
    <w:rsid w:val="00A478DE"/>
    <w:rsid w:val="00A52807"/>
    <w:rsid w:val="00A531AD"/>
    <w:rsid w:val="00A5340A"/>
    <w:rsid w:val="00A5472F"/>
    <w:rsid w:val="00A54F8E"/>
    <w:rsid w:val="00A56552"/>
    <w:rsid w:val="00A609AD"/>
    <w:rsid w:val="00A628CA"/>
    <w:rsid w:val="00A65321"/>
    <w:rsid w:val="00A66EF1"/>
    <w:rsid w:val="00A70F57"/>
    <w:rsid w:val="00A719CD"/>
    <w:rsid w:val="00A71B05"/>
    <w:rsid w:val="00A73A7D"/>
    <w:rsid w:val="00A73CA9"/>
    <w:rsid w:val="00A740BA"/>
    <w:rsid w:val="00A747B6"/>
    <w:rsid w:val="00A7577B"/>
    <w:rsid w:val="00A7798E"/>
    <w:rsid w:val="00A807C3"/>
    <w:rsid w:val="00A82E3C"/>
    <w:rsid w:val="00A837EC"/>
    <w:rsid w:val="00A850A7"/>
    <w:rsid w:val="00A856E2"/>
    <w:rsid w:val="00A857AF"/>
    <w:rsid w:val="00A8582F"/>
    <w:rsid w:val="00A87797"/>
    <w:rsid w:val="00A9027D"/>
    <w:rsid w:val="00A91EFC"/>
    <w:rsid w:val="00A92F3D"/>
    <w:rsid w:val="00A93498"/>
    <w:rsid w:val="00A93546"/>
    <w:rsid w:val="00A95013"/>
    <w:rsid w:val="00A96427"/>
    <w:rsid w:val="00A97B61"/>
    <w:rsid w:val="00A97E69"/>
    <w:rsid w:val="00AA087A"/>
    <w:rsid w:val="00AA2E52"/>
    <w:rsid w:val="00AA33E6"/>
    <w:rsid w:val="00AA436F"/>
    <w:rsid w:val="00AA4F3A"/>
    <w:rsid w:val="00AA62AE"/>
    <w:rsid w:val="00AA6DC9"/>
    <w:rsid w:val="00AA79A4"/>
    <w:rsid w:val="00AB071D"/>
    <w:rsid w:val="00AB097A"/>
    <w:rsid w:val="00AB1794"/>
    <w:rsid w:val="00AB1AB4"/>
    <w:rsid w:val="00AB298A"/>
    <w:rsid w:val="00AB3903"/>
    <w:rsid w:val="00AB3FAE"/>
    <w:rsid w:val="00AB50E3"/>
    <w:rsid w:val="00AB5E2F"/>
    <w:rsid w:val="00AB620A"/>
    <w:rsid w:val="00AB65F6"/>
    <w:rsid w:val="00AB776F"/>
    <w:rsid w:val="00AB7E85"/>
    <w:rsid w:val="00AC07CF"/>
    <w:rsid w:val="00AC2398"/>
    <w:rsid w:val="00AC277F"/>
    <w:rsid w:val="00AC31A9"/>
    <w:rsid w:val="00AC339F"/>
    <w:rsid w:val="00AC33B2"/>
    <w:rsid w:val="00AC4EFC"/>
    <w:rsid w:val="00AD0A3B"/>
    <w:rsid w:val="00AD0DEB"/>
    <w:rsid w:val="00AD16A7"/>
    <w:rsid w:val="00AD1A79"/>
    <w:rsid w:val="00AD351A"/>
    <w:rsid w:val="00AD4025"/>
    <w:rsid w:val="00AD5D12"/>
    <w:rsid w:val="00AD66D0"/>
    <w:rsid w:val="00AE039D"/>
    <w:rsid w:val="00AE1AF0"/>
    <w:rsid w:val="00AE358C"/>
    <w:rsid w:val="00AE55F2"/>
    <w:rsid w:val="00AF2388"/>
    <w:rsid w:val="00AF26FD"/>
    <w:rsid w:val="00AF2733"/>
    <w:rsid w:val="00AF3452"/>
    <w:rsid w:val="00AF5BE3"/>
    <w:rsid w:val="00AF6DDB"/>
    <w:rsid w:val="00B00768"/>
    <w:rsid w:val="00B00C89"/>
    <w:rsid w:val="00B02463"/>
    <w:rsid w:val="00B02688"/>
    <w:rsid w:val="00B03349"/>
    <w:rsid w:val="00B0598D"/>
    <w:rsid w:val="00B066AF"/>
    <w:rsid w:val="00B116F5"/>
    <w:rsid w:val="00B11EC6"/>
    <w:rsid w:val="00B12EF7"/>
    <w:rsid w:val="00B13318"/>
    <w:rsid w:val="00B15DE9"/>
    <w:rsid w:val="00B17DFA"/>
    <w:rsid w:val="00B20EC2"/>
    <w:rsid w:val="00B21881"/>
    <w:rsid w:val="00B22BB6"/>
    <w:rsid w:val="00B23EB2"/>
    <w:rsid w:val="00B2795D"/>
    <w:rsid w:val="00B3055D"/>
    <w:rsid w:val="00B32FF4"/>
    <w:rsid w:val="00B34EA0"/>
    <w:rsid w:val="00B35408"/>
    <w:rsid w:val="00B35590"/>
    <w:rsid w:val="00B35A45"/>
    <w:rsid w:val="00B35D21"/>
    <w:rsid w:val="00B3612A"/>
    <w:rsid w:val="00B36DA1"/>
    <w:rsid w:val="00B37664"/>
    <w:rsid w:val="00B43C65"/>
    <w:rsid w:val="00B45027"/>
    <w:rsid w:val="00B45ABE"/>
    <w:rsid w:val="00B45C48"/>
    <w:rsid w:val="00B46098"/>
    <w:rsid w:val="00B51D35"/>
    <w:rsid w:val="00B5343F"/>
    <w:rsid w:val="00B541B3"/>
    <w:rsid w:val="00B54257"/>
    <w:rsid w:val="00B5450C"/>
    <w:rsid w:val="00B5515C"/>
    <w:rsid w:val="00B55547"/>
    <w:rsid w:val="00B555D0"/>
    <w:rsid w:val="00B569FE"/>
    <w:rsid w:val="00B57269"/>
    <w:rsid w:val="00B61A39"/>
    <w:rsid w:val="00B632F0"/>
    <w:rsid w:val="00B638EB"/>
    <w:rsid w:val="00B64F05"/>
    <w:rsid w:val="00B65865"/>
    <w:rsid w:val="00B65D67"/>
    <w:rsid w:val="00B7110A"/>
    <w:rsid w:val="00B71C9A"/>
    <w:rsid w:val="00B731D4"/>
    <w:rsid w:val="00B7446F"/>
    <w:rsid w:val="00B77994"/>
    <w:rsid w:val="00B80B71"/>
    <w:rsid w:val="00B814A3"/>
    <w:rsid w:val="00B82D0F"/>
    <w:rsid w:val="00B8423B"/>
    <w:rsid w:val="00B84F79"/>
    <w:rsid w:val="00B86EBD"/>
    <w:rsid w:val="00B876AD"/>
    <w:rsid w:val="00B913DB"/>
    <w:rsid w:val="00B9276F"/>
    <w:rsid w:val="00B93BCD"/>
    <w:rsid w:val="00B940A4"/>
    <w:rsid w:val="00B96DB0"/>
    <w:rsid w:val="00B977A0"/>
    <w:rsid w:val="00B977F0"/>
    <w:rsid w:val="00BA0C67"/>
    <w:rsid w:val="00BA1583"/>
    <w:rsid w:val="00BA2E0D"/>
    <w:rsid w:val="00BA2E40"/>
    <w:rsid w:val="00BA436B"/>
    <w:rsid w:val="00BA5054"/>
    <w:rsid w:val="00BA5B45"/>
    <w:rsid w:val="00BA646A"/>
    <w:rsid w:val="00BA7693"/>
    <w:rsid w:val="00BB09C9"/>
    <w:rsid w:val="00BB0A68"/>
    <w:rsid w:val="00BB37A6"/>
    <w:rsid w:val="00BB3802"/>
    <w:rsid w:val="00BB38C8"/>
    <w:rsid w:val="00BB44BC"/>
    <w:rsid w:val="00BB5745"/>
    <w:rsid w:val="00BB5908"/>
    <w:rsid w:val="00BB5E3C"/>
    <w:rsid w:val="00BC1D22"/>
    <w:rsid w:val="00BC304F"/>
    <w:rsid w:val="00BC356B"/>
    <w:rsid w:val="00BC396E"/>
    <w:rsid w:val="00BC3D59"/>
    <w:rsid w:val="00BC66D5"/>
    <w:rsid w:val="00BD0B6E"/>
    <w:rsid w:val="00BD24C3"/>
    <w:rsid w:val="00BD27E3"/>
    <w:rsid w:val="00BD3BA8"/>
    <w:rsid w:val="00BD3BC1"/>
    <w:rsid w:val="00BD3C37"/>
    <w:rsid w:val="00BD44D1"/>
    <w:rsid w:val="00BD4A5B"/>
    <w:rsid w:val="00BD4ABB"/>
    <w:rsid w:val="00BD511A"/>
    <w:rsid w:val="00BD67E4"/>
    <w:rsid w:val="00BD6E94"/>
    <w:rsid w:val="00BD74A4"/>
    <w:rsid w:val="00BE086B"/>
    <w:rsid w:val="00BE545D"/>
    <w:rsid w:val="00BE6CE5"/>
    <w:rsid w:val="00BF065B"/>
    <w:rsid w:val="00BF4A73"/>
    <w:rsid w:val="00BF628C"/>
    <w:rsid w:val="00BF6E4C"/>
    <w:rsid w:val="00C00621"/>
    <w:rsid w:val="00C01BCD"/>
    <w:rsid w:val="00C03D83"/>
    <w:rsid w:val="00C044B4"/>
    <w:rsid w:val="00C05BBC"/>
    <w:rsid w:val="00C073CA"/>
    <w:rsid w:val="00C07581"/>
    <w:rsid w:val="00C11D10"/>
    <w:rsid w:val="00C123D3"/>
    <w:rsid w:val="00C12EBC"/>
    <w:rsid w:val="00C14EFC"/>
    <w:rsid w:val="00C15097"/>
    <w:rsid w:val="00C15F7D"/>
    <w:rsid w:val="00C17015"/>
    <w:rsid w:val="00C20101"/>
    <w:rsid w:val="00C21879"/>
    <w:rsid w:val="00C2464D"/>
    <w:rsid w:val="00C26620"/>
    <w:rsid w:val="00C2719D"/>
    <w:rsid w:val="00C27581"/>
    <w:rsid w:val="00C2771E"/>
    <w:rsid w:val="00C313D0"/>
    <w:rsid w:val="00C31CE0"/>
    <w:rsid w:val="00C326FB"/>
    <w:rsid w:val="00C40653"/>
    <w:rsid w:val="00C40B5F"/>
    <w:rsid w:val="00C40CEE"/>
    <w:rsid w:val="00C42062"/>
    <w:rsid w:val="00C42311"/>
    <w:rsid w:val="00C423BC"/>
    <w:rsid w:val="00C42523"/>
    <w:rsid w:val="00C43D3F"/>
    <w:rsid w:val="00C465B8"/>
    <w:rsid w:val="00C479ED"/>
    <w:rsid w:val="00C50468"/>
    <w:rsid w:val="00C50C82"/>
    <w:rsid w:val="00C51CAF"/>
    <w:rsid w:val="00C51F17"/>
    <w:rsid w:val="00C525B8"/>
    <w:rsid w:val="00C54833"/>
    <w:rsid w:val="00C5529D"/>
    <w:rsid w:val="00C559CD"/>
    <w:rsid w:val="00C67A59"/>
    <w:rsid w:val="00C70656"/>
    <w:rsid w:val="00C707F1"/>
    <w:rsid w:val="00C7151B"/>
    <w:rsid w:val="00C7176E"/>
    <w:rsid w:val="00C717BF"/>
    <w:rsid w:val="00C71E82"/>
    <w:rsid w:val="00C73A3C"/>
    <w:rsid w:val="00C74945"/>
    <w:rsid w:val="00C74DAE"/>
    <w:rsid w:val="00C759E6"/>
    <w:rsid w:val="00C773F7"/>
    <w:rsid w:val="00C779A1"/>
    <w:rsid w:val="00C8214E"/>
    <w:rsid w:val="00C8259C"/>
    <w:rsid w:val="00C83714"/>
    <w:rsid w:val="00C83C87"/>
    <w:rsid w:val="00C84C33"/>
    <w:rsid w:val="00C85104"/>
    <w:rsid w:val="00C86430"/>
    <w:rsid w:val="00C90108"/>
    <w:rsid w:val="00C90888"/>
    <w:rsid w:val="00C91A51"/>
    <w:rsid w:val="00C920A7"/>
    <w:rsid w:val="00C93DE5"/>
    <w:rsid w:val="00C93FB4"/>
    <w:rsid w:val="00C97542"/>
    <w:rsid w:val="00C97B00"/>
    <w:rsid w:val="00CA0977"/>
    <w:rsid w:val="00CA1237"/>
    <w:rsid w:val="00CA25EF"/>
    <w:rsid w:val="00CA28E6"/>
    <w:rsid w:val="00CA29C4"/>
    <w:rsid w:val="00CA528E"/>
    <w:rsid w:val="00CA59F0"/>
    <w:rsid w:val="00CA5A1C"/>
    <w:rsid w:val="00CA5D82"/>
    <w:rsid w:val="00CB2771"/>
    <w:rsid w:val="00CB2ADF"/>
    <w:rsid w:val="00CB38F4"/>
    <w:rsid w:val="00CB3A5D"/>
    <w:rsid w:val="00CB462F"/>
    <w:rsid w:val="00CB524B"/>
    <w:rsid w:val="00CB6637"/>
    <w:rsid w:val="00CC219B"/>
    <w:rsid w:val="00CC4D62"/>
    <w:rsid w:val="00CD22B9"/>
    <w:rsid w:val="00CD35BB"/>
    <w:rsid w:val="00CD58AE"/>
    <w:rsid w:val="00CD6C8F"/>
    <w:rsid w:val="00CD78DD"/>
    <w:rsid w:val="00CE0395"/>
    <w:rsid w:val="00CE05A8"/>
    <w:rsid w:val="00CE0F03"/>
    <w:rsid w:val="00CE19A0"/>
    <w:rsid w:val="00CE2846"/>
    <w:rsid w:val="00CE32C9"/>
    <w:rsid w:val="00CE4E2A"/>
    <w:rsid w:val="00CE66E8"/>
    <w:rsid w:val="00CE677B"/>
    <w:rsid w:val="00CE7A73"/>
    <w:rsid w:val="00CF23B2"/>
    <w:rsid w:val="00CF2571"/>
    <w:rsid w:val="00CF363D"/>
    <w:rsid w:val="00CF3E65"/>
    <w:rsid w:val="00CF6E6C"/>
    <w:rsid w:val="00CF6EC0"/>
    <w:rsid w:val="00CF6F82"/>
    <w:rsid w:val="00CF6F94"/>
    <w:rsid w:val="00CF76C9"/>
    <w:rsid w:val="00CF7BB6"/>
    <w:rsid w:val="00D00A4C"/>
    <w:rsid w:val="00D0212E"/>
    <w:rsid w:val="00D04285"/>
    <w:rsid w:val="00D04C52"/>
    <w:rsid w:val="00D05321"/>
    <w:rsid w:val="00D0558E"/>
    <w:rsid w:val="00D0610F"/>
    <w:rsid w:val="00D07800"/>
    <w:rsid w:val="00D10DE2"/>
    <w:rsid w:val="00D12134"/>
    <w:rsid w:val="00D12295"/>
    <w:rsid w:val="00D132F8"/>
    <w:rsid w:val="00D133AB"/>
    <w:rsid w:val="00D148FB"/>
    <w:rsid w:val="00D151AF"/>
    <w:rsid w:val="00D15722"/>
    <w:rsid w:val="00D15C1B"/>
    <w:rsid w:val="00D15E0D"/>
    <w:rsid w:val="00D21953"/>
    <w:rsid w:val="00D22DE7"/>
    <w:rsid w:val="00D232EB"/>
    <w:rsid w:val="00D27078"/>
    <w:rsid w:val="00D30038"/>
    <w:rsid w:val="00D3087B"/>
    <w:rsid w:val="00D309DC"/>
    <w:rsid w:val="00D30DA5"/>
    <w:rsid w:val="00D30E45"/>
    <w:rsid w:val="00D3374F"/>
    <w:rsid w:val="00D33915"/>
    <w:rsid w:val="00D33A04"/>
    <w:rsid w:val="00D41402"/>
    <w:rsid w:val="00D41C45"/>
    <w:rsid w:val="00D443B5"/>
    <w:rsid w:val="00D47AA9"/>
    <w:rsid w:val="00D47DDD"/>
    <w:rsid w:val="00D5063B"/>
    <w:rsid w:val="00D516EB"/>
    <w:rsid w:val="00D51A2D"/>
    <w:rsid w:val="00D51B0D"/>
    <w:rsid w:val="00D54566"/>
    <w:rsid w:val="00D5690B"/>
    <w:rsid w:val="00D57443"/>
    <w:rsid w:val="00D57FBD"/>
    <w:rsid w:val="00D613D3"/>
    <w:rsid w:val="00D619B9"/>
    <w:rsid w:val="00D61DCD"/>
    <w:rsid w:val="00D63129"/>
    <w:rsid w:val="00D63B42"/>
    <w:rsid w:val="00D64607"/>
    <w:rsid w:val="00D648DE"/>
    <w:rsid w:val="00D67E3B"/>
    <w:rsid w:val="00D708F8"/>
    <w:rsid w:val="00D7227E"/>
    <w:rsid w:val="00D727AD"/>
    <w:rsid w:val="00D72C0C"/>
    <w:rsid w:val="00D735D6"/>
    <w:rsid w:val="00D74133"/>
    <w:rsid w:val="00D80341"/>
    <w:rsid w:val="00D81A4C"/>
    <w:rsid w:val="00D82275"/>
    <w:rsid w:val="00D822C7"/>
    <w:rsid w:val="00D82F32"/>
    <w:rsid w:val="00D845C0"/>
    <w:rsid w:val="00D90059"/>
    <w:rsid w:val="00D90A7D"/>
    <w:rsid w:val="00D91949"/>
    <w:rsid w:val="00D92E06"/>
    <w:rsid w:val="00D93A69"/>
    <w:rsid w:val="00D94B90"/>
    <w:rsid w:val="00DA233F"/>
    <w:rsid w:val="00DA49CF"/>
    <w:rsid w:val="00DA51CB"/>
    <w:rsid w:val="00DA5C58"/>
    <w:rsid w:val="00DA7141"/>
    <w:rsid w:val="00DA7A66"/>
    <w:rsid w:val="00DB0B03"/>
    <w:rsid w:val="00DB3534"/>
    <w:rsid w:val="00DB5141"/>
    <w:rsid w:val="00DB6068"/>
    <w:rsid w:val="00DB7393"/>
    <w:rsid w:val="00DB77BF"/>
    <w:rsid w:val="00DC14F5"/>
    <w:rsid w:val="00DC4DE9"/>
    <w:rsid w:val="00DC4EA2"/>
    <w:rsid w:val="00DC52F1"/>
    <w:rsid w:val="00DC6C04"/>
    <w:rsid w:val="00DC711C"/>
    <w:rsid w:val="00DC71B1"/>
    <w:rsid w:val="00DD075E"/>
    <w:rsid w:val="00DD1177"/>
    <w:rsid w:val="00DD29C8"/>
    <w:rsid w:val="00DD433A"/>
    <w:rsid w:val="00DD53AE"/>
    <w:rsid w:val="00DD7C25"/>
    <w:rsid w:val="00DE027E"/>
    <w:rsid w:val="00DE431F"/>
    <w:rsid w:val="00DE479B"/>
    <w:rsid w:val="00DE4DB6"/>
    <w:rsid w:val="00DE6027"/>
    <w:rsid w:val="00DF0399"/>
    <w:rsid w:val="00DF15D3"/>
    <w:rsid w:val="00DF4F26"/>
    <w:rsid w:val="00E0702E"/>
    <w:rsid w:val="00E10831"/>
    <w:rsid w:val="00E10A0A"/>
    <w:rsid w:val="00E10B37"/>
    <w:rsid w:val="00E129A0"/>
    <w:rsid w:val="00E129E7"/>
    <w:rsid w:val="00E12DFF"/>
    <w:rsid w:val="00E13059"/>
    <w:rsid w:val="00E13947"/>
    <w:rsid w:val="00E13CE8"/>
    <w:rsid w:val="00E14BDB"/>
    <w:rsid w:val="00E15187"/>
    <w:rsid w:val="00E15E32"/>
    <w:rsid w:val="00E1644E"/>
    <w:rsid w:val="00E21FFA"/>
    <w:rsid w:val="00E22F12"/>
    <w:rsid w:val="00E23F96"/>
    <w:rsid w:val="00E25D58"/>
    <w:rsid w:val="00E279A8"/>
    <w:rsid w:val="00E30182"/>
    <w:rsid w:val="00E31D3F"/>
    <w:rsid w:val="00E32199"/>
    <w:rsid w:val="00E336BF"/>
    <w:rsid w:val="00E33E52"/>
    <w:rsid w:val="00E34E5E"/>
    <w:rsid w:val="00E34F0E"/>
    <w:rsid w:val="00E40706"/>
    <w:rsid w:val="00E4132A"/>
    <w:rsid w:val="00E41EFB"/>
    <w:rsid w:val="00E41F45"/>
    <w:rsid w:val="00E420FD"/>
    <w:rsid w:val="00E42275"/>
    <w:rsid w:val="00E42DA7"/>
    <w:rsid w:val="00E43880"/>
    <w:rsid w:val="00E44730"/>
    <w:rsid w:val="00E45283"/>
    <w:rsid w:val="00E45D9B"/>
    <w:rsid w:val="00E461A2"/>
    <w:rsid w:val="00E50414"/>
    <w:rsid w:val="00E50930"/>
    <w:rsid w:val="00E56DFD"/>
    <w:rsid w:val="00E56F2B"/>
    <w:rsid w:val="00E579DD"/>
    <w:rsid w:val="00E602A6"/>
    <w:rsid w:val="00E60586"/>
    <w:rsid w:val="00E63220"/>
    <w:rsid w:val="00E63B5C"/>
    <w:rsid w:val="00E6412B"/>
    <w:rsid w:val="00E64AC6"/>
    <w:rsid w:val="00E667C1"/>
    <w:rsid w:val="00E70060"/>
    <w:rsid w:val="00E70281"/>
    <w:rsid w:val="00E70677"/>
    <w:rsid w:val="00E71088"/>
    <w:rsid w:val="00E723E5"/>
    <w:rsid w:val="00E72FE7"/>
    <w:rsid w:val="00E735A7"/>
    <w:rsid w:val="00E74A0B"/>
    <w:rsid w:val="00E74C67"/>
    <w:rsid w:val="00E76134"/>
    <w:rsid w:val="00E762A0"/>
    <w:rsid w:val="00E804D7"/>
    <w:rsid w:val="00E81BC8"/>
    <w:rsid w:val="00E82457"/>
    <w:rsid w:val="00E8365A"/>
    <w:rsid w:val="00E86C14"/>
    <w:rsid w:val="00E872AF"/>
    <w:rsid w:val="00E90056"/>
    <w:rsid w:val="00E907ED"/>
    <w:rsid w:val="00E91044"/>
    <w:rsid w:val="00E9163B"/>
    <w:rsid w:val="00E91AA5"/>
    <w:rsid w:val="00E938DD"/>
    <w:rsid w:val="00E938EA"/>
    <w:rsid w:val="00E94079"/>
    <w:rsid w:val="00E94C1F"/>
    <w:rsid w:val="00E97012"/>
    <w:rsid w:val="00E97221"/>
    <w:rsid w:val="00E972C6"/>
    <w:rsid w:val="00EA0067"/>
    <w:rsid w:val="00EA0B30"/>
    <w:rsid w:val="00EA10A0"/>
    <w:rsid w:val="00EA263B"/>
    <w:rsid w:val="00EA2A4F"/>
    <w:rsid w:val="00EA4835"/>
    <w:rsid w:val="00EB1C1B"/>
    <w:rsid w:val="00EB2536"/>
    <w:rsid w:val="00EB2AF8"/>
    <w:rsid w:val="00EB2FEC"/>
    <w:rsid w:val="00EB30AB"/>
    <w:rsid w:val="00EB5412"/>
    <w:rsid w:val="00EB578D"/>
    <w:rsid w:val="00EB670A"/>
    <w:rsid w:val="00EB7331"/>
    <w:rsid w:val="00EB7D9F"/>
    <w:rsid w:val="00EB7DDB"/>
    <w:rsid w:val="00EC00D2"/>
    <w:rsid w:val="00EC0616"/>
    <w:rsid w:val="00EC0A93"/>
    <w:rsid w:val="00EC201C"/>
    <w:rsid w:val="00EC24B8"/>
    <w:rsid w:val="00EC26CD"/>
    <w:rsid w:val="00EC29DD"/>
    <w:rsid w:val="00EC2CCC"/>
    <w:rsid w:val="00EC2CFE"/>
    <w:rsid w:val="00EC51D5"/>
    <w:rsid w:val="00EC5671"/>
    <w:rsid w:val="00EC758C"/>
    <w:rsid w:val="00ED435D"/>
    <w:rsid w:val="00ED488A"/>
    <w:rsid w:val="00ED49B9"/>
    <w:rsid w:val="00ED7026"/>
    <w:rsid w:val="00ED7487"/>
    <w:rsid w:val="00ED7742"/>
    <w:rsid w:val="00EE6911"/>
    <w:rsid w:val="00EF064C"/>
    <w:rsid w:val="00EF0844"/>
    <w:rsid w:val="00EF1648"/>
    <w:rsid w:val="00EF235C"/>
    <w:rsid w:val="00EF3C63"/>
    <w:rsid w:val="00EF583C"/>
    <w:rsid w:val="00F0065E"/>
    <w:rsid w:val="00F00780"/>
    <w:rsid w:val="00F00AD1"/>
    <w:rsid w:val="00F0191D"/>
    <w:rsid w:val="00F020A9"/>
    <w:rsid w:val="00F03CC9"/>
    <w:rsid w:val="00F057CC"/>
    <w:rsid w:val="00F06901"/>
    <w:rsid w:val="00F116CE"/>
    <w:rsid w:val="00F177C6"/>
    <w:rsid w:val="00F1780D"/>
    <w:rsid w:val="00F214A7"/>
    <w:rsid w:val="00F220EA"/>
    <w:rsid w:val="00F22BAD"/>
    <w:rsid w:val="00F23EE6"/>
    <w:rsid w:val="00F25271"/>
    <w:rsid w:val="00F252E1"/>
    <w:rsid w:val="00F27B56"/>
    <w:rsid w:val="00F349F0"/>
    <w:rsid w:val="00F352F1"/>
    <w:rsid w:val="00F35E21"/>
    <w:rsid w:val="00F368DD"/>
    <w:rsid w:val="00F40616"/>
    <w:rsid w:val="00F4066A"/>
    <w:rsid w:val="00F42424"/>
    <w:rsid w:val="00F43128"/>
    <w:rsid w:val="00F44226"/>
    <w:rsid w:val="00F4431F"/>
    <w:rsid w:val="00F53FA3"/>
    <w:rsid w:val="00F553CC"/>
    <w:rsid w:val="00F55B40"/>
    <w:rsid w:val="00F5611F"/>
    <w:rsid w:val="00F569F8"/>
    <w:rsid w:val="00F57FBD"/>
    <w:rsid w:val="00F63CE0"/>
    <w:rsid w:val="00F655E6"/>
    <w:rsid w:val="00F65BA7"/>
    <w:rsid w:val="00F66207"/>
    <w:rsid w:val="00F706DA"/>
    <w:rsid w:val="00F70DD0"/>
    <w:rsid w:val="00F728EB"/>
    <w:rsid w:val="00F72932"/>
    <w:rsid w:val="00F743D3"/>
    <w:rsid w:val="00F752A4"/>
    <w:rsid w:val="00F7549C"/>
    <w:rsid w:val="00F75502"/>
    <w:rsid w:val="00F75902"/>
    <w:rsid w:val="00F76034"/>
    <w:rsid w:val="00F772FD"/>
    <w:rsid w:val="00F777B8"/>
    <w:rsid w:val="00F85B5E"/>
    <w:rsid w:val="00F8727A"/>
    <w:rsid w:val="00F8768C"/>
    <w:rsid w:val="00F877DA"/>
    <w:rsid w:val="00F91D99"/>
    <w:rsid w:val="00F927A4"/>
    <w:rsid w:val="00F93040"/>
    <w:rsid w:val="00F93439"/>
    <w:rsid w:val="00F93475"/>
    <w:rsid w:val="00F9482F"/>
    <w:rsid w:val="00F948A6"/>
    <w:rsid w:val="00F95946"/>
    <w:rsid w:val="00F972CF"/>
    <w:rsid w:val="00FA098C"/>
    <w:rsid w:val="00FA0FFD"/>
    <w:rsid w:val="00FA1C9B"/>
    <w:rsid w:val="00FA2F06"/>
    <w:rsid w:val="00FA3DAB"/>
    <w:rsid w:val="00FA6C77"/>
    <w:rsid w:val="00FA6CBB"/>
    <w:rsid w:val="00FB179D"/>
    <w:rsid w:val="00FB1E0B"/>
    <w:rsid w:val="00FB3A9E"/>
    <w:rsid w:val="00FB4F3E"/>
    <w:rsid w:val="00FB6302"/>
    <w:rsid w:val="00FB6F80"/>
    <w:rsid w:val="00FC0A25"/>
    <w:rsid w:val="00FC0F34"/>
    <w:rsid w:val="00FC3D2C"/>
    <w:rsid w:val="00FC5A96"/>
    <w:rsid w:val="00FD4AEA"/>
    <w:rsid w:val="00FD63AB"/>
    <w:rsid w:val="00FD78F3"/>
    <w:rsid w:val="00FE1E6E"/>
    <w:rsid w:val="00FE4912"/>
    <w:rsid w:val="00FE52BC"/>
    <w:rsid w:val="00FE674D"/>
    <w:rsid w:val="00FF034B"/>
    <w:rsid w:val="00FF0E07"/>
    <w:rsid w:val="00FF0EB3"/>
    <w:rsid w:val="00FF12FA"/>
    <w:rsid w:val="00FF3E38"/>
    <w:rsid w:val="00FF3E3E"/>
    <w:rsid w:val="00FF6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1E33765D"/>
  <w15:chartTrackingRefBased/>
  <w15:docId w15:val="{FC703331-874B-438E-932A-DAE7193D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5DE9"/>
    <w:rPr>
      <w:sz w:val="24"/>
      <w:szCs w:val="24"/>
      <w:lang w:val="de-DE" w:eastAsia="de-DE"/>
    </w:rPr>
  </w:style>
  <w:style w:type="paragraph" w:styleId="Nadpis1">
    <w:name w:val="heading 1"/>
    <w:basedOn w:val="Normlny"/>
    <w:next w:val="Normlny"/>
    <w:qFormat/>
    <w:rsid w:val="00B555D0"/>
    <w:pPr>
      <w:spacing w:before="120" w:line="276" w:lineRule="auto"/>
      <w:ind w:right="72"/>
      <w:outlineLvl w:val="0"/>
    </w:pPr>
    <w:rPr>
      <w:rFonts w:ascii="Verdana" w:hAnsi="Verdana"/>
      <w:b/>
      <w:bCs/>
      <w:color w:val="000000"/>
      <w:sz w:val="20"/>
      <w:szCs w:val="20"/>
      <w:u w:val="single"/>
      <w:lang w:val="en-GB"/>
    </w:rPr>
  </w:style>
  <w:style w:type="paragraph" w:styleId="Nadpis2">
    <w:name w:val="heading 2"/>
    <w:basedOn w:val="Normlny"/>
    <w:next w:val="Normlny"/>
    <w:qFormat/>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y"/>
    <w:next w:val="Normlny"/>
    <w:qFormat/>
    <w:pPr>
      <w:keepNext/>
      <w:numPr>
        <w:ilvl w:val="2"/>
        <w:numId w:val="6"/>
      </w:numPr>
      <w:outlineLvl w:val="2"/>
    </w:pPr>
    <w:rPr>
      <w:rFonts w:ascii="Arial" w:hAnsi="Arial" w:cs="Arial"/>
      <w:b/>
      <w:bCs/>
      <w:lang w:val="en-GB" w:eastAsia="en-US"/>
    </w:rPr>
  </w:style>
  <w:style w:type="paragraph" w:styleId="Nadpis4">
    <w:name w:val="heading 4"/>
    <w:basedOn w:val="Normlny"/>
    <w:next w:val="Normlny"/>
    <w:qFormat/>
    <w:rsid w:val="001C2D56"/>
    <w:pPr>
      <w:keepNext/>
      <w:numPr>
        <w:ilvl w:val="3"/>
        <w:numId w:val="6"/>
      </w:numPr>
      <w:spacing w:before="240" w:after="60"/>
      <w:outlineLvl w:val="3"/>
    </w:pPr>
    <w:rPr>
      <w:b/>
      <w:bCs/>
      <w:sz w:val="28"/>
      <w:szCs w:val="28"/>
    </w:rPr>
  </w:style>
  <w:style w:type="paragraph" w:styleId="Nadpis5">
    <w:name w:val="heading 5"/>
    <w:basedOn w:val="Normlny"/>
    <w:next w:val="Normlny"/>
    <w:qFormat/>
    <w:pPr>
      <w:numPr>
        <w:ilvl w:val="4"/>
        <w:numId w:val="6"/>
      </w:numPr>
      <w:spacing w:before="240" w:after="60"/>
      <w:outlineLvl w:val="4"/>
    </w:pPr>
    <w:rPr>
      <w:b/>
      <w:bCs/>
      <w:i/>
      <w:iCs/>
      <w:sz w:val="26"/>
      <w:szCs w:val="26"/>
    </w:rPr>
  </w:style>
  <w:style w:type="paragraph" w:styleId="Nadpis6">
    <w:name w:val="heading 6"/>
    <w:basedOn w:val="Normlny"/>
    <w:next w:val="Normlny"/>
    <w:qFormat/>
    <w:rsid w:val="001C2D56"/>
    <w:pPr>
      <w:numPr>
        <w:ilvl w:val="5"/>
        <w:numId w:val="6"/>
      </w:numPr>
      <w:spacing w:before="240" w:after="60"/>
      <w:outlineLvl w:val="5"/>
    </w:pPr>
    <w:rPr>
      <w:b/>
      <w:bCs/>
      <w:sz w:val="22"/>
      <w:szCs w:val="22"/>
    </w:rPr>
  </w:style>
  <w:style w:type="paragraph" w:styleId="Nadpis7">
    <w:name w:val="heading 7"/>
    <w:basedOn w:val="Normlny"/>
    <w:next w:val="Normlny"/>
    <w:qFormat/>
    <w:rsid w:val="001C2D56"/>
    <w:pPr>
      <w:numPr>
        <w:ilvl w:val="6"/>
        <w:numId w:val="6"/>
      </w:numPr>
      <w:spacing w:before="240" w:after="60"/>
      <w:outlineLvl w:val="6"/>
    </w:pPr>
  </w:style>
  <w:style w:type="paragraph" w:styleId="Nadpis8">
    <w:name w:val="heading 8"/>
    <w:basedOn w:val="Normlny"/>
    <w:next w:val="Normlny"/>
    <w:qFormat/>
    <w:rsid w:val="001C2D56"/>
    <w:pPr>
      <w:numPr>
        <w:ilvl w:val="7"/>
        <w:numId w:val="6"/>
      </w:numPr>
      <w:spacing w:before="240" w:after="60"/>
      <w:outlineLvl w:val="7"/>
    </w:pPr>
    <w:rPr>
      <w:i/>
      <w:iCs/>
    </w:rPr>
  </w:style>
  <w:style w:type="paragraph" w:styleId="Nadpis9">
    <w:name w:val="heading 9"/>
    <w:basedOn w:val="Normlny"/>
    <w:next w:val="Normlny"/>
    <w:qFormat/>
    <w:rsid w:val="001C2D56"/>
    <w:pPr>
      <w:numPr>
        <w:ilvl w:val="8"/>
        <w:numId w:val="6"/>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rPr>
      <w:sz w:val="20"/>
    </w:rPr>
  </w:style>
  <w:style w:type="paragraph" w:styleId="Hlavika">
    <w:name w:val="header"/>
    <w:basedOn w:val="Normlny"/>
    <w:pPr>
      <w:tabs>
        <w:tab w:val="center" w:pos="4320"/>
        <w:tab w:val="right" w:pos="8640"/>
      </w:tabs>
    </w:pPr>
    <w:rPr>
      <w:rFonts w:ascii="Arial" w:eastAsia="Arial Unicode MS" w:hAnsi="Arial" w:cs="Arial"/>
      <w:sz w:val="18"/>
      <w:szCs w:val="18"/>
      <w:lang w:val="en-GB" w:eastAsia="en-US"/>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arkazkladnhotextu">
    <w:name w:val="Body Text Indent"/>
    <w:basedOn w:val="Normlny"/>
    <w:pPr>
      <w:ind w:left="720"/>
    </w:pPr>
    <w:rPr>
      <w:rFonts w:ascii="Arial" w:hAnsi="Arial" w:cs="Arial"/>
      <w:lang w:val="en-GB" w:eastAsia="en-US"/>
    </w:rPr>
  </w:style>
  <w:style w:type="paragraph" w:styleId="Zkladntext">
    <w:name w:val="Body Text"/>
    <w:basedOn w:val="Normlny"/>
    <w:pPr>
      <w:spacing w:after="120"/>
    </w:pPr>
  </w:style>
  <w:style w:type="character" w:styleId="Hypertextovprepojenie">
    <w:name w:val="Hyperlink"/>
    <w:uiPriority w:val="99"/>
    <w:rPr>
      <w:color w:val="0000FF"/>
      <w:u w:val="single"/>
    </w:rPr>
  </w:style>
  <w:style w:type="paragraph" w:styleId="Zarkazkladnhotextu2">
    <w:name w:val="Body Text Indent 2"/>
    <w:basedOn w:val="Normlny"/>
    <w:pPr>
      <w:spacing w:after="120" w:line="480" w:lineRule="auto"/>
      <w:ind w:left="283"/>
    </w:pPr>
  </w:style>
  <w:style w:type="paragraph" w:customStyle="1" w:styleId="Subbulet">
    <w:name w:val="Subbulet"/>
    <w:basedOn w:val="Normlny"/>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lny"/>
    <w:pPr>
      <w:numPr>
        <w:numId w:val="2"/>
      </w:numPr>
      <w:spacing w:after="280" w:line="280" w:lineRule="exact"/>
    </w:pPr>
    <w:rPr>
      <w:rFonts w:ascii="Arial" w:hAnsi="Arial"/>
      <w:sz w:val="23"/>
      <w:szCs w:val="20"/>
      <w:lang w:val="en-GB" w:eastAsia="en-US"/>
    </w:rPr>
  </w:style>
  <w:style w:type="paragraph" w:styleId="Zarkazkladnhotextu3">
    <w:name w:val="Body Text Indent 3"/>
    <w:basedOn w:val="Normlny"/>
    <w:pPr>
      <w:spacing w:after="120"/>
      <w:ind w:left="283"/>
    </w:pPr>
    <w:rPr>
      <w:sz w:val="16"/>
      <w:szCs w:val="16"/>
    </w:rPr>
  </w:style>
  <w:style w:type="paragraph" w:styleId="Textpoznmkypodiarou">
    <w:name w:val="footnote text"/>
    <w:basedOn w:val="Normlny"/>
    <w:link w:val="TextpoznmkypodiarouChar"/>
    <w:uiPriority w:val="99"/>
    <w:semiHidden/>
    <w:rPr>
      <w:szCs w:val="20"/>
      <w:lang w:val="nl-NL" w:eastAsia="nl-NL"/>
    </w:rPr>
  </w:style>
  <w:style w:type="character" w:styleId="Odkaznapoznmkupodiarou">
    <w:name w:val="footnote reference"/>
    <w:uiPriority w:val="99"/>
    <w:semiHidden/>
    <w:rPr>
      <w:vertAlign w:val="superscript"/>
    </w:rPr>
  </w:style>
  <w:style w:type="paragraph" w:styleId="Zkladntext3">
    <w:name w:val="Body Text 3"/>
    <w:basedOn w:val="Normlny"/>
    <w:pPr>
      <w:spacing w:after="120"/>
    </w:pPr>
    <w:rPr>
      <w:sz w:val="16"/>
      <w:szCs w:val="16"/>
    </w:rPr>
  </w:style>
  <w:style w:type="paragraph" w:styleId="Zkladntext2">
    <w:name w:val="Body Text 2"/>
    <w:basedOn w:val="Normlny"/>
    <w:pPr>
      <w:spacing w:after="120" w:line="480" w:lineRule="auto"/>
    </w:pPr>
  </w:style>
  <w:style w:type="paragraph" w:customStyle="1" w:styleId="Anglais">
    <w:name w:val="Anglais"/>
    <w:basedOn w:val="Normlny"/>
    <w:rPr>
      <w:szCs w:val="20"/>
      <w:lang w:val="en-GB" w:eastAsia="en-US"/>
    </w:rPr>
  </w:style>
  <w:style w:type="character" w:styleId="Odkaznavysvetlivku">
    <w:name w:val="endnote reference"/>
    <w:semiHidden/>
    <w:rPr>
      <w:vertAlign w:val="superscript"/>
    </w:rPr>
  </w:style>
  <w:style w:type="paragraph" w:customStyle="1" w:styleId="BalloonText1">
    <w:name w:val="Balloon Text1"/>
    <w:basedOn w:val="Normlny"/>
    <w:semiHidden/>
    <w:rPr>
      <w:rFonts w:ascii="Tahoma" w:hAnsi="Tahoma" w:cs="Tahoma"/>
      <w:sz w:val="16"/>
      <w:szCs w:val="16"/>
    </w:rPr>
  </w:style>
  <w:style w:type="paragraph" w:styleId="Textbubliny">
    <w:name w:val="Balloon Text"/>
    <w:basedOn w:val="Normlny"/>
    <w:semiHidden/>
    <w:rsid w:val="00CD78DD"/>
    <w:rPr>
      <w:rFonts w:ascii="Tahoma" w:hAnsi="Tahoma" w:cs="Tahoma"/>
      <w:sz w:val="16"/>
      <w:szCs w:val="16"/>
    </w:rPr>
  </w:style>
  <w:style w:type="paragraph" w:customStyle="1" w:styleId="FirmaSchlu">
    <w:name w:val="FirmaSchluß"/>
    <w:basedOn w:val="Normlny"/>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lny"/>
    <w:rPr>
      <w:rFonts w:ascii="Arial" w:hAnsi="Arial"/>
      <w:szCs w:val="20"/>
      <w:lang w:val="en-GB"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lny"/>
    <w:next w:val="Normlny"/>
    <w:pPr>
      <w:spacing w:after="240"/>
      <w:jc w:val="both"/>
    </w:pPr>
    <w:rPr>
      <w:b/>
      <w:szCs w:val="20"/>
      <w:lang w:val="en-GB"/>
    </w:rPr>
  </w:style>
  <w:style w:type="paragraph" w:customStyle="1" w:styleId="000">
    <w:name w:val="000"/>
    <w:aliases w:val="standaard"/>
    <w:basedOn w:val="Normlny"/>
    <w:pPr>
      <w:overflowPunct w:val="0"/>
      <w:autoSpaceDE w:val="0"/>
      <w:autoSpaceDN w:val="0"/>
      <w:adjustRightInd w:val="0"/>
      <w:spacing w:line="280" w:lineRule="atLeast"/>
      <w:jc w:val="both"/>
      <w:textAlignment w:val="baseline"/>
    </w:pPr>
    <w:rPr>
      <w:szCs w:val="20"/>
      <w:lang w:val="en-US" w:eastAsia="en-US"/>
    </w:rPr>
  </w:style>
  <w:style w:type="paragraph" w:styleId="Normlnysozarkami">
    <w:name w:val="Normal Indent"/>
    <w:basedOn w:val="Normlny"/>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lny"/>
    <w:pPr>
      <w:autoSpaceDE w:val="0"/>
      <w:autoSpaceDN w:val="0"/>
      <w:adjustRightInd w:val="0"/>
    </w:pPr>
    <w:rPr>
      <w:rFonts w:ascii="Arial" w:hAnsi="Arial"/>
      <w:sz w:val="20"/>
      <w:szCs w:val="20"/>
      <w:lang w:val="en-GB" w:eastAsia="en-US"/>
    </w:rPr>
  </w:style>
  <w:style w:type="paragraph" w:customStyle="1" w:styleId="BodyText-CEA">
    <w:name w:val="Body Text - CEA"/>
    <w:basedOn w:val="Normlny"/>
    <w:autoRedefine/>
    <w:rsid w:val="00243997"/>
    <w:pPr>
      <w:jc w:val="both"/>
    </w:pPr>
    <w:rPr>
      <w:rFonts w:ascii="Verdana" w:hAnsi="Verdana"/>
      <w:sz w:val="22"/>
      <w:szCs w:val="22"/>
      <w:lang w:val="en-GB"/>
    </w:rPr>
  </w:style>
  <w:style w:type="paragraph" w:customStyle="1" w:styleId="Heading2-CEA">
    <w:name w:val="Heading 2 - CEA"/>
    <w:basedOn w:val="Normlny"/>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lny"/>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lny"/>
    <w:autoRedefine/>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lny"/>
    <w:autoRedefine/>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lny"/>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lny"/>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Zkladntext"/>
    <w:rsid w:val="0030434D"/>
    <w:pPr>
      <w:spacing w:after="240"/>
      <w:ind w:left="720" w:hanging="720"/>
      <w:jc w:val="both"/>
    </w:pPr>
    <w:rPr>
      <w:lang w:val="en-GB" w:eastAsia="en-US"/>
    </w:rPr>
  </w:style>
  <w:style w:type="paragraph" w:customStyle="1" w:styleId="i">
    <w:name w:val="(i)"/>
    <w:basedOn w:val="Zkladntext"/>
    <w:rsid w:val="0030434D"/>
    <w:pPr>
      <w:tabs>
        <w:tab w:val="right" w:pos="1296"/>
      </w:tabs>
      <w:spacing w:after="240"/>
      <w:ind w:left="1440" w:hanging="1440"/>
      <w:jc w:val="both"/>
    </w:pPr>
    <w:rPr>
      <w:lang w:val="en-GB" w:eastAsia="en-US"/>
    </w:rPr>
  </w:style>
  <w:style w:type="character" w:styleId="Odkaznakomentr">
    <w:name w:val="annotation reference"/>
    <w:uiPriority w:val="99"/>
    <w:semiHidden/>
    <w:rsid w:val="0039488F"/>
    <w:rPr>
      <w:sz w:val="16"/>
      <w:szCs w:val="16"/>
    </w:rPr>
  </w:style>
  <w:style w:type="paragraph" w:styleId="Textkomentra">
    <w:name w:val="annotation text"/>
    <w:basedOn w:val="Normlny"/>
    <w:link w:val="TextkomentraChar"/>
    <w:uiPriority w:val="99"/>
    <w:semiHidden/>
    <w:rsid w:val="0039488F"/>
    <w:rPr>
      <w:sz w:val="20"/>
      <w:szCs w:val="20"/>
    </w:rPr>
  </w:style>
  <w:style w:type="paragraph" w:styleId="Predmetkomentra">
    <w:name w:val="annotation subject"/>
    <w:basedOn w:val="Textkomentra"/>
    <w:next w:val="Textkomentra"/>
    <w:semiHidden/>
    <w:rsid w:val="0039488F"/>
    <w:rPr>
      <w:b/>
      <w:bCs/>
    </w:rPr>
  </w:style>
  <w:style w:type="paragraph" w:customStyle="1" w:styleId="DocTitle">
    <w:name w:val="DocTitle"/>
    <w:basedOn w:val="Normlny"/>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lny"/>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lny"/>
    <w:rsid w:val="008C3429"/>
    <w:pPr>
      <w:spacing w:after="240"/>
      <w:ind w:left="1134"/>
      <w:jc w:val="both"/>
    </w:pPr>
    <w:rPr>
      <w:rFonts w:ascii="Verdana" w:eastAsia="MS Mincho" w:hAnsi="Verdana"/>
      <w:sz w:val="22"/>
      <w:szCs w:val="20"/>
      <w:lang w:val="en-GB" w:eastAsia="ja-JP"/>
    </w:rPr>
  </w:style>
  <w:style w:type="paragraph" w:customStyle="1" w:styleId="Texteretrait">
    <w:name w:val="Texte retrait"/>
    <w:basedOn w:val="Normlny"/>
    <w:qFormat/>
    <w:rsid w:val="00DB5141"/>
    <w:pPr>
      <w:suppressAutoHyphens/>
      <w:spacing w:before="120" w:after="120"/>
      <w:ind w:left="567"/>
      <w:jc w:val="both"/>
    </w:pPr>
    <w:rPr>
      <w:rFonts w:eastAsia="Calibri"/>
      <w:lang w:val="fr-FR" w:eastAsia="en-US"/>
    </w:rPr>
  </w:style>
  <w:style w:type="paragraph" w:customStyle="1" w:styleId="Alinenummering-standaard">
    <w:name w:val="Alinenummering-standaard"/>
    <w:basedOn w:val="Normlny"/>
    <w:rsid w:val="00327A7C"/>
    <w:pPr>
      <w:numPr>
        <w:numId w:val="5"/>
      </w:numPr>
      <w:spacing w:after="200" w:line="276" w:lineRule="auto"/>
    </w:pPr>
    <w:rPr>
      <w:rFonts w:ascii="Frutiger LT Com 45 Light" w:hAnsi="Frutiger LT Com 45 Light" w:cs="Frutiger LT Com 45 Light"/>
      <w:snapToGrid w:val="0"/>
      <w:sz w:val="22"/>
      <w:szCs w:val="22"/>
      <w:lang w:val="en-US" w:eastAsia="en-GB"/>
    </w:rPr>
  </w:style>
  <w:style w:type="character" w:customStyle="1" w:styleId="1">
    <w:name w:val="1"/>
    <w:semiHidden/>
    <w:rsid w:val="00DA5C58"/>
    <w:rPr>
      <w:rFonts w:ascii="Verdana" w:hAnsi="Verdana"/>
      <w:b w:val="0"/>
      <w:bCs w:val="0"/>
      <w:i w:val="0"/>
      <w:iCs w:val="0"/>
      <w:strike w:val="0"/>
      <w:color w:val="auto"/>
      <w:sz w:val="20"/>
      <w:szCs w:val="20"/>
      <w:u w:val="none"/>
    </w:rPr>
  </w:style>
  <w:style w:type="character" w:styleId="PouitHypertextovPrepojenie">
    <w:name w:val="FollowedHyperlink"/>
    <w:uiPriority w:val="99"/>
    <w:rsid w:val="00DE431F"/>
    <w:rPr>
      <w:color w:val="800080"/>
      <w:u w:val="single"/>
    </w:rPr>
  </w:style>
  <w:style w:type="table" w:styleId="Mriekatabuky">
    <w:name w:val="Table Grid"/>
    <w:basedOn w:val="Normlnatabuka"/>
    <w:rsid w:val="0078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ABullet-Level1">
    <w:name w:val="CEA Bullet - Level 1"/>
    <w:basedOn w:val="Normlny"/>
    <w:qFormat/>
    <w:rsid w:val="00644F0A"/>
    <w:pPr>
      <w:numPr>
        <w:numId w:val="7"/>
      </w:numPr>
      <w:tabs>
        <w:tab w:val="num" w:pos="360"/>
      </w:tabs>
      <w:autoSpaceDE w:val="0"/>
      <w:autoSpaceDN w:val="0"/>
      <w:spacing w:line="288" w:lineRule="auto"/>
      <w:jc w:val="both"/>
    </w:pPr>
    <w:rPr>
      <w:rFonts w:ascii="Verdana" w:eastAsia="Calibri" w:hAnsi="Verdana" w:cs="Calibri"/>
      <w:color w:val="000000"/>
      <w:sz w:val="17"/>
      <w:szCs w:val="17"/>
      <w:lang w:val="en-GB" w:eastAsia="en-GB"/>
    </w:rPr>
  </w:style>
  <w:style w:type="paragraph" w:styleId="Hlavikaobsahu">
    <w:name w:val="TOC Heading"/>
    <w:basedOn w:val="Nadpis1"/>
    <w:next w:val="Normlny"/>
    <w:uiPriority w:val="39"/>
    <w:unhideWhenUsed/>
    <w:qFormat/>
    <w:rsid w:val="00B555D0"/>
    <w:pPr>
      <w:keepLines/>
      <w:spacing w:line="259" w:lineRule="auto"/>
      <w:outlineLvl w:val="9"/>
    </w:pPr>
    <w:rPr>
      <w:rFonts w:ascii="Calibri Light" w:hAnsi="Calibri Light"/>
      <w:b w:val="0"/>
      <w:bCs w:val="0"/>
      <w:color w:val="2F5496"/>
      <w:lang w:val="en-US" w:eastAsia="en-US"/>
    </w:rPr>
  </w:style>
  <w:style w:type="paragraph" w:styleId="Obsah1">
    <w:name w:val="toc 1"/>
    <w:basedOn w:val="Normlny"/>
    <w:next w:val="Normlny"/>
    <w:autoRedefine/>
    <w:uiPriority w:val="39"/>
    <w:rsid w:val="00B555D0"/>
  </w:style>
  <w:style w:type="character" w:customStyle="1" w:styleId="TextkomentraChar">
    <w:name w:val="Text komentára Char"/>
    <w:basedOn w:val="Predvolenpsmoodseku"/>
    <w:link w:val="Textkomentra"/>
    <w:uiPriority w:val="99"/>
    <w:semiHidden/>
    <w:rsid w:val="00714828"/>
    <w:rPr>
      <w:lang w:val="de-DE" w:eastAsia="de-DE"/>
    </w:rPr>
  </w:style>
  <w:style w:type="character" w:customStyle="1" w:styleId="UnresolvedMention1">
    <w:name w:val="Unresolved Mention1"/>
    <w:basedOn w:val="Predvolenpsmoodseku"/>
    <w:uiPriority w:val="99"/>
    <w:semiHidden/>
    <w:unhideWhenUsed/>
    <w:rsid w:val="005D7565"/>
    <w:rPr>
      <w:color w:val="808080"/>
      <w:shd w:val="clear" w:color="auto" w:fill="E6E6E6"/>
    </w:rPr>
  </w:style>
  <w:style w:type="paragraph" w:styleId="Odsekzoznamu">
    <w:name w:val="List Paragraph"/>
    <w:aliases w:val="Normal punkter"/>
    <w:basedOn w:val="Normlny"/>
    <w:link w:val="OdsekzoznamuChar"/>
    <w:uiPriority w:val="34"/>
    <w:qFormat/>
    <w:rsid w:val="00EB1C1B"/>
    <w:pPr>
      <w:spacing w:line="288" w:lineRule="auto"/>
      <w:ind w:left="720"/>
      <w:contextualSpacing/>
      <w:jc w:val="both"/>
    </w:pPr>
    <w:rPr>
      <w:rFonts w:ascii="Verdana" w:hAnsi="Verdana"/>
      <w:sz w:val="20"/>
      <w:lang w:val="en-GB" w:eastAsia="en-US"/>
    </w:rPr>
  </w:style>
  <w:style w:type="character" w:customStyle="1" w:styleId="OdsekzoznamuChar">
    <w:name w:val="Odsek zoznamu Char"/>
    <w:aliases w:val="Normal punkter Char"/>
    <w:link w:val="Odsekzoznamu"/>
    <w:uiPriority w:val="34"/>
    <w:rsid w:val="00EB1C1B"/>
    <w:rPr>
      <w:rFonts w:ascii="Verdana" w:hAnsi="Verdana"/>
      <w:szCs w:val="24"/>
      <w:lang w:eastAsia="en-US"/>
    </w:rPr>
  </w:style>
  <w:style w:type="character" w:customStyle="1" w:styleId="TextpoznmkypodiarouChar">
    <w:name w:val="Text poznámky pod čiarou Char"/>
    <w:basedOn w:val="Predvolenpsmoodseku"/>
    <w:link w:val="Textpoznmkypodiarou"/>
    <w:uiPriority w:val="99"/>
    <w:semiHidden/>
    <w:rsid w:val="0043673B"/>
    <w:rPr>
      <w:sz w:val="24"/>
      <w:lang w:val="nl-NL" w:eastAsia="nl-NL"/>
    </w:rPr>
  </w:style>
  <w:style w:type="paragraph" w:styleId="Normlnywebov">
    <w:name w:val="Normal (Web)"/>
    <w:basedOn w:val="Normlny"/>
    <w:uiPriority w:val="99"/>
    <w:unhideWhenUsed/>
    <w:rsid w:val="00387D7F"/>
    <w:pPr>
      <w:spacing w:before="100" w:beforeAutospacing="1" w:after="100" w:afterAutospacing="1"/>
    </w:pPr>
    <w:rPr>
      <w:lang w:val="en-GB" w:eastAsia="en-GB"/>
    </w:rPr>
  </w:style>
  <w:style w:type="character" w:customStyle="1" w:styleId="UnresolvedMention10">
    <w:name w:val="Unresolved Mention1"/>
    <w:basedOn w:val="Predvolenpsmoodseku"/>
    <w:uiPriority w:val="99"/>
    <w:semiHidden/>
    <w:unhideWhenUsed/>
    <w:rsid w:val="00B711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9046">
      <w:bodyDiv w:val="1"/>
      <w:marLeft w:val="0"/>
      <w:marRight w:val="0"/>
      <w:marTop w:val="0"/>
      <w:marBottom w:val="0"/>
      <w:divBdr>
        <w:top w:val="none" w:sz="0" w:space="0" w:color="auto"/>
        <w:left w:val="none" w:sz="0" w:space="0" w:color="auto"/>
        <w:bottom w:val="none" w:sz="0" w:space="0" w:color="auto"/>
        <w:right w:val="none" w:sz="0" w:space="0" w:color="auto"/>
      </w:divBdr>
    </w:div>
    <w:div w:id="81920970">
      <w:bodyDiv w:val="1"/>
      <w:marLeft w:val="0"/>
      <w:marRight w:val="0"/>
      <w:marTop w:val="0"/>
      <w:marBottom w:val="0"/>
      <w:divBdr>
        <w:top w:val="none" w:sz="0" w:space="0" w:color="auto"/>
        <w:left w:val="none" w:sz="0" w:space="0" w:color="auto"/>
        <w:bottom w:val="none" w:sz="0" w:space="0" w:color="auto"/>
        <w:right w:val="none" w:sz="0" w:space="0" w:color="auto"/>
      </w:divBdr>
    </w:div>
    <w:div w:id="103506209">
      <w:bodyDiv w:val="1"/>
      <w:marLeft w:val="0"/>
      <w:marRight w:val="0"/>
      <w:marTop w:val="0"/>
      <w:marBottom w:val="0"/>
      <w:divBdr>
        <w:top w:val="none" w:sz="0" w:space="0" w:color="auto"/>
        <w:left w:val="none" w:sz="0" w:space="0" w:color="auto"/>
        <w:bottom w:val="none" w:sz="0" w:space="0" w:color="auto"/>
        <w:right w:val="none" w:sz="0" w:space="0" w:color="auto"/>
      </w:divBdr>
    </w:div>
    <w:div w:id="194275174">
      <w:bodyDiv w:val="1"/>
      <w:marLeft w:val="0"/>
      <w:marRight w:val="0"/>
      <w:marTop w:val="0"/>
      <w:marBottom w:val="0"/>
      <w:divBdr>
        <w:top w:val="none" w:sz="0" w:space="0" w:color="auto"/>
        <w:left w:val="none" w:sz="0" w:space="0" w:color="auto"/>
        <w:bottom w:val="none" w:sz="0" w:space="0" w:color="auto"/>
        <w:right w:val="none" w:sz="0" w:space="0" w:color="auto"/>
      </w:divBdr>
    </w:div>
    <w:div w:id="233242989">
      <w:bodyDiv w:val="1"/>
      <w:marLeft w:val="0"/>
      <w:marRight w:val="0"/>
      <w:marTop w:val="0"/>
      <w:marBottom w:val="0"/>
      <w:divBdr>
        <w:top w:val="none" w:sz="0" w:space="0" w:color="auto"/>
        <w:left w:val="none" w:sz="0" w:space="0" w:color="auto"/>
        <w:bottom w:val="none" w:sz="0" w:space="0" w:color="auto"/>
        <w:right w:val="none" w:sz="0" w:space="0" w:color="auto"/>
      </w:divBdr>
    </w:div>
    <w:div w:id="259920538">
      <w:bodyDiv w:val="1"/>
      <w:marLeft w:val="0"/>
      <w:marRight w:val="0"/>
      <w:marTop w:val="0"/>
      <w:marBottom w:val="0"/>
      <w:divBdr>
        <w:top w:val="none" w:sz="0" w:space="0" w:color="auto"/>
        <w:left w:val="none" w:sz="0" w:space="0" w:color="auto"/>
        <w:bottom w:val="none" w:sz="0" w:space="0" w:color="auto"/>
        <w:right w:val="none" w:sz="0" w:space="0" w:color="auto"/>
      </w:divBdr>
    </w:div>
    <w:div w:id="260063558">
      <w:bodyDiv w:val="1"/>
      <w:marLeft w:val="0"/>
      <w:marRight w:val="0"/>
      <w:marTop w:val="0"/>
      <w:marBottom w:val="0"/>
      <w:divBdr>
        <w:top w:val="none" w:sz="0" w:space="0" w:color="auto"/>
        <w:left w:val="none" w:sz="0" w:space="0" w:color="auto"/>
        <w:bottom w:val="none" w:sz="0" w:space="0" w:color="auto"/>
        <w:right w:val="none" w:sz="0" w:space="0" w:color="auto"/>
      </w:divBdr>
    </w:div>
    <w:div w:id="408428190">
      <w:bodyDiv w:val="1"/>
      <w:marLeft w:val="0"/>
      <w:marRight w:val="0"/>
      <w:marTop w:val="0"/>
      <w:marBottom w:val="0"/>
      <w:divBdr>
        <w:top w:val="none" w:sz="0" w:space="0" w:color="auto"/>
        <w:left w:val="none" w:sz="0" w:space="0" w:color="auto"/>
        <w:bottom w:val="none" w:sz="0" w:space="0" w:color="auto"/>
        <w:right w:val="none" w:sz="0" w:space="0" w:color="auto"/>
      </w:divBdr>
    </w:div>
    <w:div w:id="431902778">
      <w:bodyDiv w:val="1"/>
      <w:marLeft w:val="0"/>
      <w:marRight w:val="0"/>
      <w:marTop w:val="0"/>
      <w:marBottom w:val="0"/>
      <w:divBdr>
        <w:top w:val="none" w:sz="0" w:space="0" w:color="auto"/>
        <w:left w:val="none" w:sz="0" w:space="0" w:color="auto"/>
        <w:bottom w:val="none" w:sz="0" w:space="0" w:color="auto"/>
        <w:right w:val="none" w:sz="0" w:space="0" w:color="auto"/>
      </w:divBdr>
    </w:div>
    <w:div w:id="487523126">
      <w:bodyDiv w:val="1"/>
      <w:marLeft w:val="0"/>
      <w:marRight w:val="0"/>
      <w:marTop w:val="0"/>
      <w:marBottom w:val="0"/>
      <w:divBdr>
        <w:top w:val="none" w:sz="0" w:space="0" w:color="auto"/>
        <w:left w:val="none" w:sz="0" w:space="0" w:color="auto"/>
        <w:bottom w:val="none" w:sz="0" w:space="0" w:color="auto"/>
        <w:right w:val="none" w:sz="0" w:space="0" w:color="auto"/>
      </w:divBdr>
    </w:div>
    <w:div w:id="597717709">
      <w:bodyDiv w:val="1"/>
      <w:marLeft w:val="0"/>
      <w:marRight w:val="0"/>
      <w:marTop w:val="0"/>
      <w:marBottom w:val="0"/>
      <w:divBdr>
        <w:top w:val="none" w:sz="0" w:space="0" w:color="auto"/>
        <w:left w:val="none" w:sz="0" w:space="0" w:color="auto"/>
        <w:bottom w:val="none" w:sz="0" w:space="0" w:color="auto"/>
        <w:right w:val="none" w:sz="0" w:space="0" w:color="auto"/>
      </w:divBdr>
    </w:div>
    <w:div w:id="731387506">
      <w:bodyDiv w:val="1"/>
      <w:marLeft w:val="0"/>
      <w:marRight w:val="0"/>
      <w:marTop w:val="0"/>
      <w:marBottom w:val="0"/>
      <w:divBdr>
        <w:top w:val="none" w:sz="0" w:space="0" w:color="auto"/>
        <w:left w:val="none" w:sz="0" w:space="0" w:color="auto"/>
        <w:bottom w:val="none" w:sz="0" w:space="0" w:color="auto"/>
        <w:right w:val="none" w:sz="0" w:space="0" w:color="auto"/>
      </w:divBdr>
    </w:div>
    <w:div w:id="734011024">
      <w:bodyDiv w:val="1"/>
      <w:marLeft w:val="0"/>
      <w:marRight w:val="0"/>
      <w:marTop w:val="0"/>
      <w:marBottom w:val="0"/>
      <w:divBdr>
        <w:top w:val="none" w:sz="0" w:space="0" w:color="auto"/>
        <w:left w:val="none" w:sz="0" w:space="0" w:color="auto"/>
        <w:bottom w:val="none" w:sz="0" w:space="0" w:color="auto"/>
        <w:right w:val="none" w:sz="0" w:space="0" w:color="auto"/>
      </w:divBdr>
    </w:div>
    <w:div w:id="751271390">
      <w:bodyDiv w:val="1"/>
      <w:marLeft w:val="0"/>
      <w:marRight w:val="0"/>
      <w:marTop w:val="0"/>
      <w:marBottom w:val="0"/>
      <w:divBdr>
        <w:top w:val="none" w:sz="0" w:space="0" w:color="auto"/>
        <w:left w:val="none" w:sz="0" w:space="0" w:color="auto"/>
        <w:bottom w:val="none" w:sz="0" w:space="0" w:color="auto"/>
        <w:right w:val="none" w:sz="0" w:space="0" w:color="auto"/>
      </w:divBdr>
    </w:div>
    <w:div w:id="808322233">
      <w:bodyDiv w:val="1"/>
      <w:marLeft w:val="0"/>
      <w:marRight w:val="0"/>
      <w:marTop w:val="0"/>
      <w:marBottom w:val="0"/>
      <w:divBdr>
        <w:top w:val="none" w:sz="0" w:space="0" w:color="auto"/>
        <w:left w:val="none" w:sz="0" w:space="0" w:color="auto"/>
        <w:bottom w:val="none" w:sz="0" w:space="0" w:color="auto"/>
        <w:right w:val="none" w:sz="0" w:space="0" w:color="auto"/>
      </w:divBdr>
      <w:divsChild>
        <w:div w:id="385952188">
          <w:marLeft w:val="0"/>
          <w:marRight w:val="0"/>
          <w:marTop w:val="0"/>
          <w:marBottom w:val="0"/>
          <w:divBdr>
            <w:top w:val="none" w:sz="0" w:space="0" w:color="auto"/>
            <w:left w:val="none" w:sz="0" w:space="0" w:color="auto"/>
            <w:bottom w:val="none" w:sz="0" w:space="0" w:color="auto"/>
            <w:right w:val="none" w:sz="0" w:space="0" w:color="auto"/>
          </w:divBdr>
          <w:divsChild>
            <w:div w:id="1621454599">
              <w:marLeft w:val="0"/>
              <w:marRight w:val="0"/>
              <w:marTop w:val="0"/>
              <w:marBottom w:val="0"/>
              <w:divBdr>
                <w:top w:val="none" w:sz="0" w:space="0" w:color="auto"/>
                <w:left w:val="none" w:sz="0" w:space="0" w:color="auto"/>
                <w:bottom w:val="none" w:sz="0" w:space="0" w:color="auto"/>
                <w:right w:val="none" w:sz="0" w:space="0" w:color="auto"/>
              </w:divBdr>
              <w:divsChild>
                <w:div w:id="15610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981">
      <w:bodyDiv w:val="1"/>
      <w:marLeft w:val="0"/>
      <w:marRight w:val="0"/>
      <w:marTop w:val="0"/>
      <w:marBottom w:val="0"/>
      <w:divBdr>
        <w:top w:val="none" w:sz="0" w:space="0" w:color="auto"/>
        <w:left w:val="none" w:sz="0" w:space="0" w:color="auto"/>
        <w:bottom w:val="none" w:sz="0" w:space="0" w:color="auto"/>
        <w:right w:val="none" w:sz="0" w:space="0" w:color="auto"/>
      </w:divBdr>
    </w:div>
    <w:div w:id="849876819">
      <w:bodyDiv w:val="1"/>
      <w:marLeft w:val="0"/>
      <w:marRight w:val="0"/>
      <w:marTop w:val="0"/>
      <w:marBottom w:val="0"/>
      <w:divBdr>
        <w:top w:val="none" w:sz="0" w:space="0" w:color="auto"/>
        <w:left w:val="none" w:sz="0" w:space="0" w:color="auto"/>
        <w:bottom w:val="none" w:sz="0" w:space="0" w:color="auto"/>
        <w:right w:val="none" w:sz="0" w:space="0" w:color="auto"/>
      </w:divBdr>
    </w:div>
    <w:div w:id="1080567971">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322351289">
      <w:bodyDiv w:val="1"/>
      <w:marLeft w:val="0"/>
      <w:marRight w:val="0"/>
      <w:marTop w:val="0"/>
      <w:marBottom w:val="0"/>
      <w:divBdr>
        <w:top w:val="none" w:sz="0" w:space="0" w:color="auto"/>
        <w:left w:val="none" w:sz="0" w:space="0" w:color="auto"/>
        <w:bottom w:val="none" w:sz="0" w:space="0" w:color="auto"/>
        <w:right w:val="none" w:sz="0" w:space="0" w:color="auto"/>
      </w:divBdr>
    </w:div>
    <w:div w:id="1368068915">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71302995">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829128446">
      <w:bodyDiv w:val="1"/>
      <w:marLeft w:val="0"/>
      <w:marRight w:val="0"/>
      <w:marTop w:val="0"/>
      <w:marBottom w:val="0"/>
      <w:divBdr>
        <w:top w:val="none" w:sz="0" w:space="0" w:color="auto"/>
        <w:left w:val="none" w:sz="0" w:space="0" w:color="auto"/>
        <w:bottom w:val="none" w:sz="0" w:space="0" w:color="auto"/>
        <w:right w:val="none" w:sz="0" w:space="0" w:color="auto"/>
      </w:divBdr>
    </w:div>
    <w:div w:id="1835291222">
      <w:bodyDiv w:val="1"/>
      <w:marLeft w:val="0"/>
      <w:marRight w:val="0"/>
      <w:marTop w:val="0"/>
      <w:marBottom w:val="0"/>
      <w:divBdr>
        <w:top w:val="none" w:sz="0" w:space="0" w:color="auto"/>
        <w:left w:val="none" w:sz="0" w:space="0" w:color="auto"/>
        <w:bottom w:val="none" w:sz="0" w:space="0" w:color="auto"/>
        <w:right w:val="none" w:sz="0" w:space="0" w:color="auto"/>
      </w:divBdr>
    </w:div>
    <w:div w:id="1865439611">
      <w:bodyDiv w:val="1"/>
      <w:marLeft w:val="0"/>
      <w:marRight w:val="0"/>
      <w:marTop w:val="0"/>
      <w:marBottom w:val="0"/>
      <w:divBdr>
        <w:top w:val="none" w:sz="0" w:space="0" w:color="auto"/>
        <w:left w:val="none" w:sz="0" w:space="0" w:color="auto"/>
        <w:bottom w:val="none" w:sz="0" w:space="0" w:color="auto"/>
        <w:right w:val="none" w:sz="0" w:space="0" w:color="auto"/>
      </w:divBdr>
    </w:div>
    <w:div w:id="1883471594">
      <w:bodyDiv w:val="1"/>
      <w:marLeft w:val="0"/>
      <w:marRight w:val="0"/>
      <w:marTop w:val="0"/>
      <w:marBottom w:val="0"/>
      <w:divBdr>
        <w:top w:val="none" w:sz="0" w:space="0" w:color="auto"/>
        <w:left w:val="none" w:sz="0" w:space="0" w:color="auto"/>
        <w:bottom w:val="none" w:sz="0" w:space="0" w:color="auto"/>
        <w:right w:val="none" w:sz="0" w:space="0" w:color="auto"/>
      </w:divBdr>
    </w:div>
    <w:div w:id="1979528103">
      <w:bodyDiv w:val="1"/>
      <w:marLeft w:val="0"/>
      <w:marRight w:val="0"/>
      <w:marTop w:val="0"/>
      <w:marBottom w:val="0"/>
      <w:divBdr>
        <w:top w:val="none" w:sz="0" w:space="0" w:color="auto"/>
        <w:left w:val="none" w:sz="0" w:space="0" w:color="auto"/>
        <w:bottom w:val="none" w:sz="0" w:space="0" w:color="auto"/>
        <w:right w:val="none" w:sz="0" w:space="0" w:color="auto"/>
      </w:divBdr>
    </w:div>
    <w:div w:id="2031296358">
      <w:bodyDiv w:val="1"/>
      <w:marLeft w:val="0"/>
      <w:marRight w:val="0"/>
      <w:marTop w:val="0"/>
      <w:marBottom w:val="0"/>
      <w:divBdr>
        <w:top w:val="none" w:sz="0" w:space="0" w:color="auto"/>
        <w:left w:val="none" w:sz="0" w:space="0" w:color="auto"/>
        <w:bottom w:val="none" w:sz="0" w:space="0" w:color="auto"/>
        <w:right w:val="none" w:sz="0" w:space="0" w:color="auto"/>
      </w:divBdr>
      <w:divsChild>
        <w:div w:id="1468275203">
          <w:marLeft w:val="0"/>
          <w:marRight w:val="0"/>
          <w:marTop w:val="0"/>
          <w:marBottom w:val="0"/>
          <w:divBdr>
            <w:top w:val="none" w:sz="0" w:space="0" w:color="auto"/>
            <w:left w:val="none" w:sz="0" w:space="0" w:color="auto"/>
            <w:bottom w:val="none" w:sz="0" w:space="0" w:color="auto"/>
            <w:right w:val="none" w:sz="0" w:space="0" w:color="auto"/>
          </w:divBdr>
          <w:divsChild>
            <w:div w:id="1233588888">
              <w:marLeft w:val="0"/>
              <w:marRight w:val="0"/>
              <w:marTop w:val="0"/>
              <w:marBottom w:val="0"/>
              <w:divBdr>
                <w:top w:val="none" w:sz="0" w:space="0" w:color="auto"/>
                <w:left w:val="none" w:sz="0" w:space="0" w:color="auto"/>
                <w:bottom w:val="none" w:sz="0" w:space="0" w:color="auto"/>
                <w:right w:val="none" w:sz="0" w:space="0" w:color="auto"/>
              </w:divBdr>
              <w:divsChild>
                <w:div w:id="3183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6548">
      <w:bodyDiv w:val="1"/>
      <w:marLeft w:val="0"/>
      <w:marRight w:val="0"/>
      <w:marTop w:val="0"/>
      <w:marBottom w:val="0"/>
      <w:divBdr>
        <w:top w:val="none" w:sz="0" w:space="0" w:color="auto"/>
        <w:left w:val="none" w:sz="0" w:space="0" w:color="auto"/>
        <w:bottom w:val="none" w:sz="0" w:space="0" w:color="auto"/>
        <w:right w:val="none" w:sz="0" w:space="0" w:color="auto"/>
      </w:divBdr>
    </w:div>
    <w:div w:id="2084795543">
      <w:bodyDiv w:val="1"/>
      <w:marLeft w:val="0"/>
      <w:marRight w:val="0"/>
      <w:marTop w:val="0"/>
      <w:marBottom w:val="0"/>
      <w:divBdr>
        <w:top w:val="none" w:sz="0" w:space="0" w:color="auto"/>
        <w:left w:val="none" w:sz="0" w:space="0" w:color="auto"/>
        <w:bottom w:val="none" w:sz="0" w:space="0" w:color="auto"/>
        <w:right w:val="none" w:sz="0" w:space="0" w:color="auto"/>
      </w:divBdr>
    </w:div>
    <w:div w:id="2108649308">
      <w:bodyDiv w:val="1"/>
      <w:marLeft w:val="0"/>
      <w:marRight w:val="0"/>
      <w:marTop w:val="0"/>
      <w:marBottom w:val="0"/>
      <w:divBdr>
        <w:top w:val="none" w:sz="0" w:space="0" w:color="auto"/>
        <w:left w:val="none" w:sz="0" w:space="0" w:color="auto"/>
        <w:bottom w:val="none" w:sz="0" w:space="0" w:color="auto"/>
        <w:right w:val="none" w:sz="0" w:space="0" w:color="auto"/>
      </w:divBdr>
    </w:div>
    <w:div w:id="21134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eba.europa.eu/regulation-and-policy/single-rulebook/interactive-single-rulebook/-/interactive-single-rulebook/article-id/2016" TargetMode="External"/><Relationship Id="rId1" Type="http://schemas.openxmlformats.org/officeDocument/2006/relationships/hyperlink" Target="https://www.insuranceeurope.eu/sites/default/files/attachments/Proposal%20for%20an%20alternative%20treatment%20of%20equity%20risk%20under%20Solvency%20II%20-%20Strategic%20participations%20and%20long-term%20equity%20investment%20strategies.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xtranet.insuranceeurope.eu/Solvency%20II%20Working%20Group/PublishedDocuments/CRO-CFO%20Risk%20margin%20paper%20v20170925%20-%20Sent%20to%20EIOPA%20-%20clea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iopa.europa.eu/CEIOPS-Archive/Documents/Advices/CEIOPS-Calibration-paper-Solvency-II.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pmorgan.com/jpmpdf/1320675769380.pdf" TargetMode="External"/><Relationship Id="rId2" Type="http://schemas.openxmlformats.org/officeDocument/2006/relationships/hyperlink" Target="https://extranet.insuranceeurope.eu/Solvency%20II%20Working%20Group/PublishedDocuments/CRO-CFO%20Risk%20margin%20paper%20v20170925%20-%20Sent%20to%20EIOPA%20-%20clean.pdf" TargetMode="External"/><Relationship Id="rId1" Type="http://schemas.openxmlformats.org/officeDocument/2006/relationships/hyperlink" Target="https://extranet.insuranceeurope.eu/Solvency%20II%20Working%20Group/PublishedDocuments/CRO-CFO%20Risk%20margin%20paper%20v20170925%20-%20Sent%20to%20EIOPA%20-%20clean.pdf" TargetMode="External"/><Relationship Id="rId6" Type="http://schemas.openxmlformats.org/officeDocument/2006/relationships/hyperlink" Target="http://pages.stern.nyu.edu/~adamodar/New_Home_Page/datafile/Betas.html" TargetMode="External"/><Relationship Id="rId5" Type="http://schemas.openxmlformats.org/officeDocument/2006/relationships/hyperlink" Target="https://extranet.insuranceeurope.eu/Solvency%20II%20Working%20Group/PublishedDocuments/CRO-CFO%20Risk%20margin%20paper%20v20170925%20-%20Sent%20to%20EIOPA%20-%20clean.pdf" TargetMode="External"/><Relationship Id="rId4" Type="http://schemas.openxmlformats.org/officeDocument/2006/relationships/hyperlink" Target="http://www.healthinquiry.net/Public%20Submissions/Netcare%20Ex%20GH-75%20Ibbots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8DCAD-4E5D-4EE9-8BBE-36A2A3FB4BC7}">
  <ds:schemaRefs>
    <ds:schemaRef ds:uri="http://schemas.microsoft.com/sharepoint/v3/contenttype/forms"/>
  </ds:schemaRefs>
</ds:datastoreItem>
</file>

<file path=customXml/itemProps2.xml><?xml version="1.0" encoding="utf-8"?>
<ds:datastoreItem xmlns:ds="http://schemas.openxmlformats.org/officeDocument/2006/customXml" ds:itemID="{D0749DE3-0ECF-4B7A-8BD9-117B07FAAE11}">
  <ds:schemaRefs>
    <ds:schemaRef ds:uri="http://schemas.microsoft.com/office/2006/metadata/longProperties"/>
  </ds:schemaRefs>
</ds:datastoreItem>
</file>

<file path=customXml/itemProps3.xml><?xml version="1.0" encoding="utf-8"?>
<ds:datastoreItem xmlns:ds="http://schemas.openxmlformats.org/officeDocument/2006/customXml" ds:itemID="{DE71F079-CC8D-421D-96CA-778E73CBAB41}">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ED3CE12-B43E-4630-B25D-D776443D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BDBF2E0-F0B7-4906-8095-14CDD18E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14348</Words>
  <Characters>81785</Characters>
  <Application>Microsoft Office Word</Application>
  <DocSecurity>0</DocSecurity>
  <Lines>681</Lines>
  <Paragraphs>191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EIOPA_Template-for-Comments-on-CP-17-006</vt:lpstr>
      <vt:lpstr>EIOPA_Template-for-Comments-on-CP-17-006</vt:lpstr>
    </vt:vector>
  </TitlesOfParts>
  <Company>Ceiops</Company>
  <LinksUpToDate>false</LinksUpToDate>
  <CharactersWithSpaces>95942</CharactersWithSpaces>
  <SharedDoc>false</SharedDoc>
  <HLinks>
    <vt:vector size="228" baseType="variant">
      <vt:variant>
        <vt:i4>1572917</vt:i4>
      </vt:variant>
      <vt:variant>
        <vt:i4>224</vt:i4>
      </vt:variant>
      <vt:variant>
        <vt:i4>0</vt:i4>
      </vt:variant>
      <vt:variant>
        <vt:i4>5</vt:i4>
      </vt:variant>
      <vt:variant>
        <vt:lpwstr/>
      </vt:variant>
      <vt:variant>
        <vt:lpwstr>_Toc497908675</vt:lpwstr>
      </vt:variant>
      <vt:variant>
        <vt:i4>1572917</vt:i4>
      </vt:variant>
      <vt:variant>
        <vt:i4>218</vt:i4>
      </vt:variant>
      <vt:variant>
        <vt:i4>0</vt:i4>
      </vt:variant>
      <vt:variant>
        <vt:i4>5</vt:i4>
      </vt:variant>
      <vt:variant>
        <vt:lpwstr/>
      </vt:variant>
      <vt:variant>
        <vt:lpwstr>_Toc497908674</vt:lpwstr>
      </vt:variant>
      <vt:variant>
        <vt:i4>1572917</vt:i4>
      </vt:variant>
      <vt:variant>
        <vt:i4>212</vt:i4>
      </vt:variant>
      <vt:variant>
        <vt:i4>0</vt:i4>
      </vt:variant>
      <vt:variant>
        <vt:i4>5</vt:i4>
      </vt:variant>
      <vt:variant>
        <vt:lpwstr/>
      </vt:variant>
      <vt:variant>
        <vt:lpwstr>_Toc497908673</vt:lpwstr>
      </vt:variant>
      <vt:variant>
        <vt:i4>1572917</vt:i4>
      </vt:variant>
      <vt:variant>
        <vt:i4>206</vt:i4>
      </vt:variant>
      <vt:variant>
        <vt:i4>0</vt:i4>
      </vt:variant>
      <vt:variant>
        <vt:i4>5</vt:i4>
      </vt:variant>
      <vt:variant>
        <vt:lpwstr/>
      </vt:variant>
      <vt:variant>
        <vt:lpwstr>_Toc497908672</vt:lpwstr>
      </vt:variant>
      <vt:variant>
        <vt:i4>1572917</vt:i4>
      </vt:variant>
      <vt:variant>
        <vt:i4>200</vt:i4>
      </vt:variant>
      <vt:variant>
        <vt:i4>0</vt:i4>
      </vt:variant>
      <vt:variant>
        <vt:i4>5</vt:i4>
      </vt:variant>
      <vt:variant>
        <vt:lpwstr/>
      </vt:variant>
      <vt:variant>
        <vt:lpwstr>_Toc497908671</vt:lpwstr>
      </vt:variant>
      <vt:variant>
        <vt:i4>1572917</vt:i4>
      </vt:variant>
      <vt:variant>
        <vt:i4>194</vt:i4>
      </vt:variant>
      <vt:variant>
        <vt:i4>0</vt:i4>
      </vt:variant>
      <vt:variant>
        <vt:i4>5</vt:i4>
      </vt:variant>
      <vt:variant>
        <vt:lpwstr/>
      </vt:variant>
      <vt:variant>
        <vt:lpwstr>_Toc497908670</vt:lpwstr>
      </vt:variant>
      <vt:variant>
        <vt:i4>1638453</vt:i4>
      </vt:variant>
      <vt:variant>
        <vt:i4>188</vt:i4>
      </vt:variant>
      <vt:variant>
        <vt:i4>0</vt:i4>
      </vt:variant>
      <vt:variant>
        <vt:i4>5</vt:i4>
      </vt:variant>
      <vt:variant>
        <vt:lpwstr/>
      </vt:variant>
      <vt:variant>
        <vt:lpwstr>_Toc497908669</vt:lpwstr>
      </vt:variant>
      <vt:variant>
        <vt:i4>1638453</vt:i4>
      </vt:variant>
      <vt:variant>
        <vt:i4>182</vt:i4>
      </vt:variant>
      <vt:variant>
        <vt:i4>0</vt:i4>
      </vt:variant>
      <vt:variant>
        <vt:i4>5</vt:i4>
      </vt:variant>
      <vt:variant>
        <vt:lpwstr/>
      </vt:variant>
      <vt:variant>
        <vt:lpwstr>_Toc497908668</vt:lpwstr>
      </vt:variant>
      <vt:variant>
        <vt:i4>1638453</vt:i4>
      </vt:variant>
      <vt:variant>
        <vt:i4>176</vt:i4>
      </vt:variant>
      <vt:variant>
        <vt:i4>0</vt:i4>
      </vt:variant>
      <vt:variant>
        <vt:i4>5</vt:i4>
      </vt:variant>
      <vt:variant>
        <vt:lpwstr/>
      </vt:variant>
      <vt:variant>
        <vt:lpwstr>_Toc497908667</vt:lpwstr>
      </vt:variant>
      <vt:variant>
        <vt:i4>1638453</vt:i4>
      </vt:variant>
      <vt:variant>
        <vt:i4>170</vt:i4>
      </vt:variant>
      <vt:variant>
        <vt:i4>0</vt:i4>
      </vt:variant>
      <vt:variant>
        <vt:i4>5</vt:i4>
      </vt:variant>
      <vt:variant>
        <vt:lpwstr/>
      </vt:variant>
      <vt:variant>
        <vt:lpwstr>_Toc497908666</vt:lpwstr>
      </vt:variant>
      <vt:variant>
        <vt:i4>1638453</vt:i4>
      </vt:variant>
      <vt:variant>
        <vt:i4>164</vt:i4>
      </vt:variant>
      <vt:variant>
        <vt:i4>0</vt:i4>
      </vt:variant>
      <vt:variant>
        <vt:i4>5</vt:i4>
      </vt:variant>
      <vt:variant>
        <vt:lpwstr/>
      </vt:variant>
      <vt:variant>
        <vt:lpwstr>_Toc497908665</vt:lpwstr>
      </vt:variant>
      <vt:variant>
        <vt:i4>1638453</vt:i4>
      </vt:variant>
      <vt:variant>
        <vt:i4>158</vt:i4>
      </vt:variant>
      <vt:variant>
        <vt:i4>0</vt:i4>
      </vt:variant>
      <vt:variant>
        <vt:i4>5</vt:i4>
      </vt:variant>
      <vt:variant>
        <vt:lpwstr/>
      </vt:variant>
      <vt:variant>
        <vt:lpwstr>_Toc497908664</vt:lpwstr>
      </vt:variant>
      <vt:variant>
        <vt:i4>1638453</vt:i4>
      </vt:variant>
      <vt:variant>
        <vt:i4>152</vt:i4>
      </vt:variant>
      <vt:variant>
        <vt:i4>0</vt:i4>
      </vt:variant>
      <vt:variant>
        <vt:i4>5</vt:i4>
      </vt:variant>
      <vt:variant>
        <vt:lpwstr/>
      </vt:variant>
      <vt:variant>
        <vt:lpwstr>_Toc497908663</vt:lpwstr>
      </vt:variant>
      <vt:variant>
        <vt:i4>1638453</vt:i4>
      </vt:variant>
      <vt:variant>
        <vt:i4>146</vt:i4>
      </vt:variant>
      <vt:variant>
        <vt:i4>0</vt:i4>
      </vt:variant>
      <vt:variant>
        <vt:i4>5</vt:i4>
      </vt:variant>
      <vt:variant>
        <vt:lpwstr/>
      </vt:variant>
      <vt:variant>
        <vt:lpwstr>_Toc497908662</vt:lpwstr>
      </vt:variant>
      <vt:variant>
        <vt:i4>1638453</vt:i4>
      </vt:variant>
      <vt:variant>
        <vt:i4>140</vt:i4>
      </vt:variant>
      <vt:variant>
        <vt:i4>0</vt:i4>
      </vt:variant>
      <vt:variant>
        <vt:i4>5</vt:i4>
      </vt:variant>
      <vt:variant>
        <vt:lpwstr/>
      </vt:variant>
      <vt:variant>
        <vt:lpwstr>_Toc497908661</vt:lpwstr>
      </vt:variant>
      <vt:variant>
        <vt:i4>1638453</vt:i4>
      </vt:variant>
      <vt:variant>
        <vt:i4>134</vt:i4>
      </vt:variant>
      <vt:variant>
        <vt:i4>0</vt:i4>
      </vt:variant>
      <vt:variant>
        <vt:i4>5</vt:i4>
      </vt:variant>
      <vt:variant>
        <vt:lpwstr/>
      </vt:variant>
      <vt:variant>
        <vt:lpwstr>_Toc497908660</vt:lpwstr>
      </vt:variant>
      <vt:variant>
        <vt:i4>1703989</vt:i4>
      </vt:variant>
      <vt:variant>
        <vt:i4>128</vt:i4>
      </vt:variant>
      <vt:variant>
        <vt:i4>0</vt:i4>
      </vt:variant>
      <vt:variant>
        <vt:i4>5</vt:i4>
      </vt:variant>
      <vt:variant>
        <vt:lpwstr/>
      </vt:variant>
      <vt:variant>
        <vt:lpwstr>_Toc497908659</vt:lpwstr>
      </vt:variant>
      <vt:variant>
        <vt:i4>1703989</vt:i4>
      </vt:variant>
      <vt:variant>
        <vt:i4>122</vt:i4>
      </vt:variant>
      <vt:variant>
        <vt:i4>0</vt:i4>
      </vt:variant>
      <vt:variant>
        <vt:i4>5</vt:i4>
      </vt:variant>
      <vt:variant>
        <vt:lpwstr/>
      </vt:variant>
      <vt:variant>
        <vt:lpwstr>_Toc497908658</vt:lpwstr>
      </vt:variant>
      <vt:variant>
        <vt:i4>1703989</vt:i4>
      </vt:variant>
      <vt:variant>
        <vt:i4>116</vt:i4>
      </vt:variant>
      <vt:variant>
        <vt:i4>0</vt:i4>
      </vt:variant>
      <vt:variant>
        <vt:i4>5</vt:i4>
      </vt:variant>
      <vt:variant>
        <vt:lpwstr/>
      </vt:variant>
      <vt:variant>
        <vt:lpwstr>_Toc497908657</vt:lpwstr>
      </vt:variant>
      <vt:variant>
        <vt:i4>1703989</vt:i4>
      </vt:variant>
      <vt:variant>
        <vt:i4>110</vt:i4>
      </vt:variant>
      <vt:variant>
        <vt:i4>0</vt:i4>
      </vt:variant>
      <vt:variant>
        <vt:i4>5</vt:i4>
      </vt:variant>
      <vt:variant>
        <vt:lpwstr/>
      </vt:variant>
      <vt:variant>
        <vt:lpwstr>_Toc497908656</vt:lpwstr>
      </vt:variant>
      <vt:variant>
        <vt:i4>1703989</vt:i4>
      </vt:variant>
      <vt:variant>
        <vt:i4>104</vt:i4>
      </vt:variant>
      <vt:variant>
        <vt:i4>0</vt:i4>
      </vt:variant>
      <vt:variant>
        <vt:i4>5</vt:i4>
      </vt:variant>
      <vt:variant>
        <vt:lpwstr/>
      </vt:variant>
      <vt:variant>
        <vt:lpwstr>_Toc497908655</vt:lpwstr>
      </vt:variant>
      <vt:variant>
        <vt:i4>1703989</vt:i4>
      </vt:variant>
      <vt:variant>
        <vt:i4>98</vt:i4>
      </vt:variant>
      <vt:variant>
        <vt:i4>0</vt:i4>
      </vt:variant>
      <vt:variant>
        <vt:i4>5</vt:i4>
      </vt:variant>
      <vt:variant>
        <vt:lpwstr/>
      </vt:variant>
      <vt:variant>
        <vt:lpwstr>_Toc497908654</vt:lpwstr>
      </vt:variant>
      <vt:variant>
        <vt:i4>1703989</vt:i4>
      </vt:variant>
      <vt:variant>
        <vt:i4>92</vt:i4>
      </vt:variant>
      <vt:variant>
        <vt:i4>0</vt:i4>
      </vt:variant>
      <vt:variant>
        <vt:i4>5</vt:i4>
      </vt:variant>
      <vt:variant>
        <vt:lpwstr/>
      </vt:variant>
      <vt:variant>
        <vt:lpwstr>_Toc497908653</vt:lpwstr>
      </vt:variant>
      <vt:variant>
        <vt:i4>1703989</vt:i4>
      </vt:variant>
      <vt:variant>
        <vt:i4>86</vt:i4>
      </vt:variant>
      <vt:variant>
        <vt:i4>0</vt:i4>
      </vt:variant>
      <vt:variant>
        <vt:i4>5</vt:i4>
      </vt:variant>
      <vt:variant>
        <vt:lpwstr/>
      </vt:variant>
      <vt:variant>
        <vt:lpwstr>_Toc497908652</vt:lpwstr>
      </vt:variant>
      <vt:variant>
        <vt:i4>1703989</vt:i4>
      </vt:variant>
      <vt:variant>
        <vt:i4>80</vt:i4>
      </vt:variant>
      <vt:variant>
        <vt:i4>0</vt:i4>
      </vt:variant>
      <vt:variant>
        <vt:i4>5</vt:i4>
      </vt:variant>
      <vt:variant>
        <vt:lpwstr/>
      </vt:variant>
      <vt:variant>
        <vt:lpwstr>_Toc497908651</vt:lpwstr>
      </vt:variant>
      <vt:variant>
        <vt:i4>1703989</vt:i4>
      </vt:variant>
      <vt:variant>
        <vt:i4>74</vt:i4>
      </vt:variant>
      <vt:variant>
        <vt:i4>0</vt:i4>
      </vt:variant>
      <vt:variant>
        <vt:i4>5</vt:i4>
      </vt:variant>
      <vt:variant>
        <vt:lpwstr/>
      </vt:variant>
      <vt:variant>
        <vt:lpwstr>_Toc497908650</vt:lpwstr>
      </vt:variant>
      <vt:variant>
        <vt:i4>1769525</vt:i4>
      </vt:variant>
      <vt:variant>
        <vt:i4>68</vt:i4>
      </vt:variant>
      <vt:variant>
        <vt:i4>0</vt:i4>
      </vt:variant>
      <vt:variant>
        <vt:i4>5</vt:i4>
      </vt:variant>
      <vt:variant>
        <vt:lpwstr/>
      </vt:variant>
      <vt:variant>
        <vt:lpwstr>_Toc497908649</vt:lpwstr>
      </vt:variant>
      <vt:variant>
        <vt:i4>1769525</vt:i4>
      </vt:variant>
      <vt:variant>
        <vt:i4>62</vt:i4>
      </vt:variant>
      <vt:variant>
        <vt:i4>0</vt:i4>
      </vt:variant>
      <vt:variant>
        <vt:i4>5</vt:i4>
      </vt:variant>
      <vt:variant>
        <vt:lpwstr/>
      </vt:variant>
      <vt:variant>
        <vt:lpwstr>_Toc497908648</vt:lpwstr>
      </vt:variant>
      <vt:variant>
        <vt:i4>1769525</vt:i4>
      </vt:variant>
      <vt:variant>
        <vt:i4>56</vt:i4>
      </vt:variant>
      <vt:variant>
        <vt:i4>0</vt:i4>
      </vt:variant>
      <vt:variant>
        <vt:i4>5</vt:i4>
      </vt:variant>
      <vt:variant>
        <vt:lpwstr/>
      </vt:variant>
      <vt:variant>
        <vt:lpwstr>_Toc497908647</vt:lpwstr>
      </vt:variant>
      <vt:variant>
        <vt:i4>1769525</vt:i4>
      </vt:variant>
      <vt:variant>
        <vt:i4>50</vt:i4>
      </vt:variant>
      <vt:variant>
        <vt:i4>0</vt:i4>
      </vt:variant>
      <vt:variant>
        <vt:i4>5</vt:i4>
      </vt:variant>
      <vt:variant>
        <vt:lpwstr/>
      </vt:variant>
      <vt:variant>
        <vt:lpwstr>_Toc497908646</vt:lpwstr>
      </vt:variant>
      <vt:variant>
        <vt:i4>1769525</vt:i4>
      </vt:variant>
      <vt:variant>
        <vt:i4>44</vt:i4>
      </vt:variant>
      <vt:variant>
        <vt:i4>0</vt:i4>
      </vt:variant>
      <vt:variant>
        <vt:i4>5</vt:i4>
      </vt:variant>
      <vt:variant>
        <vt:lpwstr/>
      </vt:variant>
      <vt:variant>
        <vt:lpwstr>_Toc497908645</vt:lpwstr>
      </vt:variant>
      <vt:variant>
        <vt:i4>1769525</vt:i4>
      </vt:variant>
      <vt:variant>
        <vt:i4>38</vt:i4>
      </vt:variant>
      <vt:variant>
        <vt:i4>0</vt:i4>
      </vt:variant>
      <vt:variant>
        <vt:i4>5</vt:i4>
      </vt:variant>
      <vt:variant>
        <vt:lpwstr/>
      </vt:variant>
      <vt:variant>
        <vt:lpwstr>_Toc497908644</vt:lpwstr>
      </vt:variant>
      <vt:variant>
        <vt:i4>1769525</vt:i4>
      </vt:variant>
      <vt:variant>
        <vt:i4>32</vt:i4>
      </vt:variant>
      <vt:variant>
        <vt:i4>0</vt:i4>
      </vt:variant>
      <vt:variant>
        <vt:i4>5</vt:i4>
      </vt:variant>
      <vt:variant>
        <vt:lpwstr/>
      </vt:variant>
      <vt:variant>
        <vt:lpwstr>_Toc497908643</vt:lpwstr>
      </vt:variant>
      <vt:variant>
        <vt:i4>1769525</vt:i4>
      </vt:variant>
      <vt:variant>
        <vt:i4>26</vt:i4>
      </vt:variant>
      <vt:variant>
        <vt:i4>0</vt:i4>
      </vt:variant>
      <vt:variant>
        <vt:i4>5</vt:i4>
      </vt:variant>
      <vt:variant>
        <vt:lpwstr/>
      </vt:variant>
      <vt:variant>
        <vt:lpwstr>_Toc497908642</vt:lpwstr>
      </vt:variant>
      <vt:variant>
        <vt:i4>1769525</vt:i4>
      </vt:variant>
      <vt:variant>
        <vt:i4>20</vt:i4>
      </vt:variant>
      <vt:variant>
        <vt:i4>0</vt:i4>
      </vt:variant>
      <vt:variant>
        <vt:i4>5</vt:i4>
      </vt:variant>
      <vt:variant>
        <vt:lpwstr/>
      </vt:variant>
      <vt:variant>
        <vt:lpwstr>_Toc497908641</vt:lpwstr>
      </vt:variant>
      <vt:variant>
        <vt:i4>1769525</vt:i4>
      </vt:variant>
      <vt:variant>
        <vt:i4>14</vt:i4>
      </vt:variant>
      <vt:variant>
        <vt:i4>0</vt:i4>
      </vt:variant>
      <vt:variant>
        <vt:i4>5</vt:i4>
      </vt:variant>
      <vt:variant>
        <vt:lpwstr/>
      </vt:variant>
      <vt:variant>
        <vt:lpwstr>_Toc497908640</vt:lpwstr>
      </vt:variant>
      <vt:variant>
        <vt:i4>1835061</vt:i4>
      </vt:variant>
      <vt:variant>
        <vt:i4>8</vt:i4>
      </vt:variant>
      <vt:variant>
        <vt:i4>0</vt:i4>
      </vt:variant>
      <vt:variant>
        <vt:i4>5</vt:i4>
      </vt:variant>
      <vt:variant>
        <vt:lpwstr/>
      </vt:variant>
      <vt:variant>
        <vt:lpwstr>_Toc497908639</vt:lpwstr>
      </vt:variant>
      <vt:variant>
        <vt:i4>1835061</vt:i4>
      </vt:variant>
      <vt:variant>
        <vt:i4>2</vt:i4>
      </vt:variant>
      <vt:variant>
        <vt:i4>0</vt:i4>
      </vt:variant>
      <vt:variant>
        <vt:i4>5</vt:i4>
      </vt:variant>
      <vt:variant>
        <vt:lpwstr/>
      </vt:variant>
      <vt:variant>
        <vt:lpwstr>_Toc497908638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EIOPA_Template-for-Comments-on-CP-17-006</dc:title>
  <dc:subject/>
  <dc:creator>Alpertin</dc:creator>
  <cp:keywords/>
  <cp:lastModifiedBy>Bachníček Jozef</cp:lastModifiedBy>
  <cp:revision>2</cp:revision>
  <cp:lastPrinted>2010-11-15T07:47:00Z</cp:lastPrinted>
  <dcterms:created xsi:type="dcterms:W3CDTF">2017-11-16T11:02:00Z</dcterms:created>
  <dcterms:modified xsi:type="dcterms:W3CDTF">2017-11-16T11:02:00Z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1545056427</vt:i4>
  </property>
  <property fmtid="{D5CDD505-2E9C-101B-9397-08002B2CF9AE}" pid="3" name="_NewReviewCycle">
    <vt:lpwstr/>
  </property>
  <property fmtid="{D5CDD505-2E9C-101B-9397-08002B2CF9AE}" pid="4" name="_EmailSubject">
    <vt:lpwstr>For immediate publication</vt:lpwstr>
  </property>
  <property fmtid="{D5CDD505-2E9C-101B-9397-08002B2CF9AE}" pid="5" name="_AuthorEmail">
    <vt:lpwstr>jerneja.orthmayr@eiopa.europa.eu</vt:lpwstr>
  </property>
  <property fmtid="{D5CDD505-2E9C-101B-9397-08002B2CF9AE}" pid="6" name="_AuthorEmailDisplayName">
    <vt:lpwstr>Jerneja Orthmayr</vt:lpwstr>
  </property>
  <property fmtid="{D5CDD505-2E9C-101B-9397-08002B2CF9AE}" pid="7" name="Involved Party">
    <vt:lpwstr/>
  </property>
  <property fmtid="{D5CDD505-2E9C-101B-9397-08002B2CF9AE}" pid="8" name="lf7ec453acb346f5b4feea7d032d6f2c">
    <vt:lpwstr>Consultations|ddff7902-49ec-459a-92cf-7fd9db3027c6</vt:lpwstr>
  </property>
  <property fmtid="{D5CDD505-2E9C-101B-9397-08002B2CF9AE}" pid="9" name="m4764fd034b84a6e893e168ee26c887c">
    <vt:lpwstr/>
  </property>
  <property fmtid="{D5CDD505-2E9C-101B-9397-08002B2CF9AE}" pid="10" name="Document Topic">
    <vt:lpwstr/>
  </property>
  <property fmtid="{D5CDD505-2E9C-101B-9397-08002B2CF9AE}" pid="11" name="StartDate">
    <vt:lpwstr>2017-11-06T17:24:00Z</vt:lpwstr>
  </property>
  <property fmtid="{D5CDD505-2E9C-101B-9397-08002B2CF9AE}" pid="12" name="Document Type">
    <vt:lpwstr>43;#Consultations|ddff7902-49ec-459a-92cf-7fd9db3027c6</vt:lpwstr>
  </property>
  <property fmtid="{D5CDD505-2E9C-101B-9397-08002B2CF9AE}" pid="13" name="obb4efe42ba0440ebcc21f478af52bc7">
    <vt:lpwstr/>
  </property>
  <property fmtid="{D5CDD505-2E9C-101B-9397-08002B2CF9AE}" pid="14" name="TaxCatchAll">
    <vt:lpwstr>43;#Consultations|ddff7902-49ec-459a-92cf-7fd9db3027c6</vt:lpwstr>
  </property>
  <property fmtid="{D5CDD505-2E9C-101B-9397-08002B2CF9AE}" pid="15" name="_ReviewingToolsShownOnce">
    <vt:lpwstr/>
  </property>
  <property fmtid="{D5CDD505-2E9C-101B-9397-08002B2CF9AE}" pid="16" name="ContentTypeId">
    <vt:lpwstr>0x010100A96ED0052EB2E848B8D9B3847498F708</vt:lpwstr>
  </property>
  <property fmtid="{D5CDD505-2E9C-101B-9397-08002B2CF9AE}" pid="17" name="Can be edited">
    <vt:bool>true</vt:bool>
  </property>
  <property fmtid="{D5CDD505-2E9C-101B-9397-08002B2CF9AE}" pid="18" name="Validated">
    <vt:bool>false</vt:bool>
  </property>
  <property fmtid="{D5CDD505-2E9C-101B-9397-08002B2CF9AE}" pid="19" name="Display validated documents library button">
    <vt:bool>true</vt:bool>
  </property>
  <property fmtid="{D5CDD505-2E9C-101B-9397-08002B2CF9AE}" pid="20" name="AllowComments">
    <vt:bool>false</vt:bool>
  </property>
  <property fmtid="{D5CDD505-2E9C-101B-9397-08002B2CF9AE}" pid="21" name="Uploads">
    <vt:bool>true</vt:bool>
  </property>
  <property fmtid="{D5CDD505-2E9C-101B-9397-08002B2CF9AE}" pid="22" name="isAnnex">
    <vt:lpwstr>True</vt:lpwstr>
  </property>
</Properties>
</file>