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D577C0" w14:textId="73E33351" w:rsidR="00DE7C03" w:rsidRDefault="00D651D4">
      <w:pPr>
        <w:rPr>
          <w:b/>
          <w:bCs/>
        </w:rPr>
      </w:pPr>
      <w:bookmarkStart w:id="0" w:name="_GoBack"/>
      <w:bookmarkEnd w:id="0"/>
      <w:r w:rsidRPr="00D651D4">
        <w:rPr>
          <w:b/>
          <w:bCs/>
        </w:rPr>
        <w:t>ESRB – Enhancing the macroprudential dimension of Solvency II</w:t>
      </w:r>
    </w:p>
    <w:p w14:paraId="6E349C3D" w14:textId="3DA7FC7C" w:rsidR="008D2FE4" w:rsidRDefault="008D2FE4">
      <w:pPr>
        <w:rPr>
          <w:b/>
          <w:bCs/>
        </w:rPr>
      </w:pPr>
      <w:r>
        <w:rPr>
          <w:b/>
          <w:bCs/>
        </w:rPr>
        <w:t>Draft analysis_v1</w:t>
      </w:r>
    </w:p>
    <w:p w14:paraId="27FDA47E" w14:textId="372AFF64" w:rsidR="00D651D4" w:rsidRDefault="00D651D4">
      <w:pPr>
        <w:rPr>
          <w:b/>
          <w:bCs/>
        </w:rPr>
      </w:pPr>
      <w:r>
        <w:rPr>
          <w:b/>
          <w:bCs/>
        </w:rPr>
        <w:t>March 2020</w:t>
      </w:r>
    </w:p>
    <w:tbl>
      <w:tblPr>
        <w:tblStyle w:val="Mriekatabuky"/>
        <w:tblW w:w="14480" w:type="dxa"/>
        <w:tblLook w:val="04A0" w:firstRow="1" w:lastRow="0" w:firstColumn="1" w:lastColumn="0" w:noHBand="0" w:noVBand="1"/>
      </w:tblPr>
      <w:tblGrid>
        <w:gridCol w:w="7240"/>
        <w:gridCol w:w="7240"/>
      </w:tblGrid>
      <w:tr w:rsidR="00652F8A" w14:paraId="2D81EA83" w14:textId="77777777" w:rsidTr="00652F8A">
        <w:trPr>
          <w:trHeight w:val="249"/>
        </w:trPr>
        <w:tc>
          <w:tcPr>
            <w:tcW w:w="7240" w:type="dxa"/>
            <w:shd w:val="clear" w:color="auto" w:fill="44546A" w:themeFill="text2"/>
          </w:tcPr>
          <w:p w14:paraId="73935958" w14:textId="19958FD5" w:rsidR="00652F8A" w:rsidRPr="00652F8A" w:rsidRDefault="00652F8A">
            <w:pPr>
              <w:rPr>
                <w:b/>
                <w:bCs/>
                <w:color w:val="FFFFFF" w:themeColor="background1"/>
              </w:rPr>
            </w:pPr>
            <w:r>
              <w:rPr>
                <w:b/>
                <w:bCs/>
                <w:color w:val="FFFFFF" w:themeColor="background1"/>
              </w:rPr>
              <w:t xml:space="preserve">Summary of </w:t>
            </w:r>
            <w:r w:rsidRPr="00652F8A">
              <w:rPr>
                <w:b/>
                <w:bCs/>
                <w:color w:val="FFFFFF" w:themeColor="background1"/>
              </w:rPr>
              <w:t>ESRB proposals</w:t>
            </w:r>
          </w:p>
        </w:tc>
        <w:tc>
          <w:tcPr>
            <w:tcW w:w="7240" w:type="dxa"/>
            <w:shd w:val="clear" w:color="auto" w:fill="44546A" w:themeFill="text2"/>
          </w:tcPr>
          <w:p w14:paraId="76D78804" w14:textId="418442F5" w:rsidR="00652F8A" w:rsidRPr="00652F8A" w:rsidRDefault="00652F8A">
            <w:pPr>
              <w:rPr>
                <w:b/>
                <w:bCs/>
                <w:color w:val="FFFFFF" w:themeColor="background1"/>
              </w:rPr>
            </w:pPr>
            <w:r w:rsidRPr="00652F8A">
              <w:rPr>
                <w:b/>
                <w:bCs/>
                <w:color w:val="FFFFFF" w:themeColor="background1"/>
              </w:rPr>
              <w:t>Secretariat</w:t>
            </w:r>
            <w:r w:rsidR="00736A43">
              <w:rPr>
                <w:b/>
                <w:bCs/>
                <w:color w:val="FFFFFF" w:themeColor="background1"/>
              </w:rPr>
              <w:t>/member</w:t>
            </w:r>
            <w:r w:rsidRPr="00652F8A">
              <w:rPr>
                <w:b/>
                <w:bCs/>
                <w:color w:val="FFFFFF" w:themeColor="background1"/>
              </w:rPr>
              <w:t xml:space="preserve"> comments</w:t>
            </w:r>
          </w:p>
        </w:tc>
      </w:tr>
      <w:tr w:rsidR="00652F8A" w14:paraId="42E9596B" w14:textId="77777777" w:rsidTr="00944697">
        <w:trPr>
          <w:trHeight w:val="498"/>
        </w:trPr>
        <w:tc>
          <w:tcPr>
            <w:tcW w:w="14480" w:type="dxa"/>
            <w:gridSpan w:val="2"/>
            <w:shd w:val="clear" w:color="auto" w:fill="DEEAF6" w:themeFill="accent5" w:themeFillTint="33"/>
          </w:tcPr>
          <w:p w14:paraId="5491AD1E" w14:textId="3B128AC3" w:rsidR="00652F8A" w:rsidRDefault="00652F8A">
            <w:pPr>
              <w:rPr>
                <w:b/>
                <w:bCs/>
              </w:rPr>
            </w:pPr>
            <w:r>
              <w:rPr>
                <w:b/>
                <w:bCs/>
              </w:rPr>
              <w:t xml:space="preserve">Section 1 - </w:t>
            </w:r>
            <w:r w:rsidRPr="00D651D4">
              <w:rPr>
                <w:b/>
                <w:bCs/>
              </w:rPr>
              <w:t>Solvency tools addressing cyclical risks via symmetric adjustments</w:t>
            </w:r>
          </w:p>
        </w:tc>
      </w:tr>
      <w:tr w:rsidR="00652F8A" w14:paraId="6A68E9E5" w14:textId="77777777" w:rsidTr="00652F8A">
        <w:trPr>
          <w:trHeight w:val="239"/>
        </w:trPr>
        <w:tc>
          <w:tcPr>
            <w:tcW w:w="7240" w:type="dxa"/>
          </w:tcPr>
          <w:p w14:paraId="7F887F15" w14:textId="77777777" w:rsidR="00652F8A" w:rsidRPr="00652F8A" w:rsidRDefault="00652F8A" w:rsidP="00652F8A">
            <w:pPr>
              <w:rPr>
                <w:b/>
                <w:bCs/>
                <w:u w:val="single"/>
              </w:rPr>
            </w:pPr>
            <w:r w:rsidRPr="00652F8A">
              <w:rPr>
                <w:b/>
                <w:bCs/>
                <w:u w:val="single"/>
              </w:rPr>
              <w:t>Symmetric VA</w:t>
            </w:r>
          </w:p>
          <w:p w14:paraId="4EA92EA0" w14:textId="690F4492" w:rsidR="0061187D" w:rsidRDefault="0061187D" w:rsidP="0061187D">
            <w:pPr>
              <w:pStyle w:val="Odsekzoznamu"/>
              <w:numPr>
                <w:ilvl w:val="0"/>
                <w:numId w:val="2"/>
              </w:numPr>
            </w:pPr>
            <w:r>
              <w:t>Introduce “</w:t>
            </w:r>
            <w:r w:rsidRPr="0061187D">
              <w:rPr>
                <w:b/>
                <w:bCs/>
              </w:rPr>
              <w:t>symmetry</w:t>
            </w:r>
            <w:r>
              <w:t>” to the VA</w:t>
            </w:r>
            <w:r w:rsidR="00FE4774">
              <w:t xml:space="preserve">. This </w:t>
            </w:r>
            <w:r w:rsidR="002C06F3">
              <w:t>would be</w:t>
            </w:r>
            <w:r w:rsidR="00FE4774">
              <w:t xml:space="preserve"> achieved by measuring the </w:t>
            </w:r>
            <w:r>
              <w:t xml:space="preserve">calculating the credit spreads relative to a historical average. </w:t>
            </w:r>
          </w:p>
          <w:p w14:paraId="26FBD573" w14:textId="16A9890C" w:rsidR="00652F8A" w:rsidRDefault="0061187D" w:rsidP="0061187D">
            <w:pPr>
              <w:pStyle w:val="Odsekzoznamu"/>
              <w:numPr>
                <w:ilvl w:val="0"/>
                <w:numId w:val="2"/>
              </w:numPr>
            </w:pPr>
            <w:r>
              <w:t xml:space="preserve">Change the </w:t>
            </w:r>
            <w:r w:rsidRPr="0061187D">
              <w:rPr>
                <w:b/>
                <w:bCs/>
              </w:rPr>
              <w:t>risk correction</w:t>
            </w:r>
            <w:r>
              <w:t xml:space="preserve"> to be a 30/50% of the prevailing or historical average spread (ie consistent with EIOPA</w:t>
            </w:r>
            <w:r w:rsidR="002C06F3">
              <w:t xml:space="preserve"> proposal</w:t>
            </w:r>
            <w:r>
              <w:t>).</w:t>
            </w:r>
          </w:p>
          <w:p w14:paraId="6D2A26D3" w14:textId="66332E6F" w:rsidR="0061187D" w:rsidRDefault="0061187D" w:rsidP="0061187D">
            <w:pPr>
              <w:pStyle w:val="Odsekzoznamu"/>
              <w:numPr>
                <w:ilvl w:val="0"/>
                <w:numId w:val="2"/>
              </w:numPr>
            </w:pPr>
            <w:r>
              <w:t xml:space="preserve">The symmetric VA is applied to the </w:t>
            </w:r>
            <w:r w:rsidRPr="0061187D">
              <w:rPr>
                <w:b/>
                <w:bCs/>
              </w:rPr>
              <w:t>asset cashflows</w:t>
            </w:r>
            <w:r>
              <w:t xml:space="preserve"> rather than the liability cashflows to avoid undershooting/overshooting.</w:t>
            </w:r>
            <w:r w:rsidR="00EF2E1A">
              <w:t xml:space="preserve"> Alternatively, it supports a duration ratio approach.</w:t>
            </w:r>
          </w:p>
          <w:p w14:paraId="148C80C4" w14:textId="2A1CF926" w:rsidR="0061187D" w:rsidRDefault="0061187D" w:rsidP="002C06F3">
            <w:pPr>
              <w:pStyle w:val="Odsekzoznamu"/>
              <w:numPr>
                <w:ilvl w:val="0"/>
                <w:numId w:val="2"/>
              </w:numPr>
            </w:pPr>
            <w:r>
              <w:t xml:space="preserve">The </w:t>
            </w:r>
            <w:r w:rsidR="0009293F">
              <w:t>impact of the VA</w:t>
            </w:r>
            <w:r>
              <w:t xml:space="preserve"> is recorded as </w:t>
            </w:r>
            <w:r w:rsidRPr="00EF2E1A">
              <w:rPr>
                <w:b/>
                <w:bCs/>
              </w:rPr>
              <w:t xml:space="preserve">separate </w:t>
            </w:r>
            <w:r w:rsidR="0009293F">
              <w:rPr>
                <w:b/>
                <w:bCs/>
              </w:rPr>
              <w:t xml:space="preserve">VA </w:t>
            </w:r>
            <w:r w:rsidR="00EF2E1A">
              <w:rPr>
                <w:b/>
                <w:bCs/>
              </w:rPr>
              <w:t xml:space="preserve">Own Funds </w:t>
            </w:r>
            <w:r w:rsidRPr="00EF2E1A">
              <w:rPr>
                <w:b/>
                <w:bCs/>
              </w:rPr>
              <w:t>item on the balance sheet</w:t>
            </w:r>
            <w:r w:rsidR="00EF2E1A">
              <w:t xml:space="preserve"> to increase transparency</w:t>
            </w:r>
            <w:r>
              <w:t xml:space="preserve">. </w:t>
            </w:r>
          </w:p>
          <w:p w14:paraId="2B9ED76D" w14:textId="7D559084" w:rsidR="00EF2E1A" w:rsidRDefault="00EF2E1A" w:rsidP="002C06F3">
            <w:pPr>
              <w:pStyle w:val="Odsekzoznamu"/>
              <w:numPr>
                <w:ilvl w:val="0"/>
                <w:numId w:val="2"/>
              </w:numPr>
            </w:pPr>
            <w:r>
              <w:t xml:space="preserve">ESRB suggest there should be further discussion on whether the </w:t>
            </w:r>
            <w:r w:rsidRPr="00EF2E1A">
              <w:rPr>
                <w:b/>
                <w:bCs/>
              </w:rPr>
              <w:t>VA Own Funds item should be</w:t>
            </w:r>
            <w:r>
              <w:t xml:space="preserve"> </w:t>
            </w:r>
            <w:r w:rsidRPr="00EF2E1A">
              <w:rPr>
                <w:b/>
                <w:bCs/>
              </w:rPr>
              <w:t>Tier 2 or 3</w:t>
            </w:r>
            <w:r w:rsidR="002C06F3">
              <w:rPr>
                <w:b/>
                <w:bCs/>
              </w:rPr>
              <w:t xml:space="preserve"> </w:t>
            </w:r>
            <w:r w:rsidR="002C06F3" w:rsidRPr="002C06F3">
              <w:t>(as opposed to the current impact which is Tier 1)</w:t>
            </w:r>
            <w:r>
              <w:t>.</w:t>
            </w:r>
          </w:p>
          <w:p w14:paraId="69C891C3" w14:textId="6A20481F" w:rsidR="0009293F" w:rsidRDefault="00DA0A71" w:rsidP="002C06F3">
            <w:pPr>
              <w:pStyle w:val="Odsekzoznamu"/>
              <w:numPr>
                <w:ilvl w:val="0"/>
                <w:numId w:val="2"/>
              </w:numPr>
            </w:pPr>
            <w:r>
              <w:t xml:space="preserve">Suggest that </w:t>
            </w:r>
            <w:r w:rsidRPr="002C06F3">
              <w:rPr>
                <w:b/>
                <w:bCs/>
              </w:rPr>
              <w:t>undertaking-specific credit spreads</w:t>
            </w:r>
            <w:r>
              <w:t xml:space="preserve"> could be used to further mitigate the under/overshooting impacts.</w:t>
            </w:r>
          </w:p>
          <w:p w14:paraId="79EFCD82" w14:textId="225AC5D6" w:rsidR="00EF2E1A" w:rsidRDefault="00DA0A71" w:rsidP="0061187D">
            <w:pPr>
              <w:pStyle w:val="Odsekzoznamu"/>
              <w:numPr>
                <w:ilvl w:val="0"/>
                <w:numId w:val="2"/>
              </w:numPr>
            </w:pPr>
            <w:r>
              <w:t xml:space="preserve">ESRB test their proposals using different parameters but suggest </w:t>
            </w:r>
            <w:r w:rsidR="002A7B48">
              <w:t xml:space="preserve">that EIOPA provides the calibration. </w:t>
            </w:r>
          </w:p>
          <w:p w14:paraId="0D182EB9" w14:textId="55BF4D0D" w:rsidR="0061187D" w:rsidRPr="00652F8A" w:rsidRDefault="0061187D" w:rsidP="00652F8A"/>
        </w:tc>
        <w:tc>
          <w:tcPr>
            <w:tcW w:w="7240" w:type="dxa"/>
          </w:tcPr>
          <w:p w14:paraId="11310942" w14:textId="77777777" w:rsidR="00652F8A" w:rsidRDefault="00652F8A">
            <w:pPr>
              <w:rPr>
                <w:b/>
                <w:bCs/>
              </w:rPr>
            </w:pPr>
          </w:p>
          <w:p w14:paraId="5C6C266F" w14:textId="10812639" w:rsidR="00652F8A" w:rsidRDefault="0061187D" w:rsidP="0061187D">
            <w:pPr>
              <w:pStyle w:val="Odsekzoznamu"/>
              <w:numPr>
                <w:ilvl w:val="0"/>
                <w:numId w:val="2"/>
              </w:numPr>
            </w:pPr>
            <w:r>
              <w:t xml:space="preserve">ESRB proposals would severely limit the VA-benefit both in terms of the level of the VA and the protection it provides against </w:t>
            </w:r>
            <w:r w:rsidR="00FE4774">
              <w:t xml:space="preserve">elevated </w:t>
            </w:r>
            <w:r>
              <w:t xml:space="preserve">spread environments. </w:t>
            </w:r>
            <w:r w:rsidR="002A7B48">
              <w:t>This is clearly demonstrated in its own analysis (see charts 4 and 5).</w:t>
            </w:r>
          </w:p>
          <w:p w14:paraId="666AF795" w14:textId="77777777" w:rsidR="002C06F3" w:rsidRDefault="002C06F3" w:rsidP="002C06F3">
            <w:pPr>
              <w:pStyle w:val="Odsekzoznamu"/>
              <w:numPr>
                <w:ilvl w:val="0"/>
                <w:numId w:val="2"/>
              </w:numPr>
            </w:pPr>
            <w:r>
              <w:t>The s</w:t>
            </w:r>
            <w:r w:rsidRPr="002A7B48">
              <w:t>upport for EIOPA’s proposals on the risk correction is unhelpful and need to be challenged. It</w:t>
            </w:r>
            <w:r>
              <w:t xml:space="preserve"> also appears to be </w:t>
            </w:r>
            <w:r w:rsidRPr="002A7B48">
              <w:t>inconsistent with</w:t>
            </w:r>
            <w:r>
              <w:t xml:space="preserve"> its </w:t>
            </w:r>
            <w:r w:rsidRPr="002A7B48">
              <w:t xml:space="preserve">proposal to introduce the symmetric element </w:t>
            </w:r>
            <w:r>
              <w:t xml:space="preserve">based on long-term averages. </w:t>
            </w:r>
          </w:p>
          <w:p w14:paraId="523949FA" w14:textId="6A17A91D" w:rsidR="008E28E9" w:rsidRDefault="00666769" w:rsidP="00613317">
            <w:pPr>
              <w:pStyle w:val="Odsekzoznamu"/>
              <w:numPr>
                <w:ilvl w:val="0"/>
                <w:numId w:val="2"/>
              </w:numPr>
            </w:pPr>
            <w:r>
              <w:t>Its</w:t>
            </w:r>
            <w:r w:rsidR="008E28E9">
              <w:t xml:space="preserve"> </w:t>
            </w:r>
            <w:r w:rsidR="00613317">
              <w:t>view of the VA appears to be restricted to its use as an anticyclical too</w:t>
            </w:r>
            <w:r>
              <w:t>l. I</w:t>
            </w:r>
            <w:r w:rsidR="002A7B48">
              <w:t>t is</w:t>
            </w:r>
            <w:r w:rsidR="00E034B1">
              <w:t xml:space="preserve">, therefore, </w:t>
            </w:r>
            <w:r w:rsidR="002A7B48">
              <w:t xml:space="preserve">unclear why the ESRB supports changes to the VA which would increase procyclicality. </w:t>
            </w:r>
          </w:p>
          <w:p w14:paraId="3B922D8B" w14:textId="7D46975A" w:rsidR="00666769" w:rsidRDefault="00E034B1" w:rsidP="00613317">
            <w:pPr>
              <w:pStyle w:val="Odsekzoznamu"/>
              <w:numPr>
                <w:ilvl w:val="0"/>
                <w:numId w:val="2"/>
              </w:numPr>
            </w:pPr>
            <w:r>
              <w:t xml:space="preserve">ESRB </w:t>
            </w:r>
            <w:r w:rsidR="002C06F3">
              <w:t xml:space="preserve">appears not to </w:t>
            </w:r>
            <w:r w:rsidR="00666769">
              <w:t>agree</w:t>
            </w:r>
            <w:r w:rsidR="002C06F3">
              <w:t xml:space="preserve"> with industry view </w:t>
            </w:r>
            <w:r w:rsidR="00666769">
              <w:t>that the VA should be a reflection of insurer’s funding costs ie. the VA should only compensate for any difference in spreads relative to the historical average</w:t>
            </w:r>
            <w:r>
              <w:t xml:space="preserve"> and should not reflect the risk premiums insurers can earn from fixed income assets</w:t>
            </w:r>
            <w:r w:rsidR="00666769">
              <w:t>.</w:t>
            </w:r>
          </w:p>
          <w:p w14:paraId="4892E1B7" w14:textId="77777777" w:rsidR="0061187D" w:rsidRDefault="0061187D" w:rsidP="0061187D"/>
          <w:p w14:paraId="73C5224E" w14:textId="54D69EB1" w:rsidR="0061187D" w:rsidRPr="00652F8A" w:rsidRDefault="0061187D" w:rsidP="0061187D"/>
        </w:tc>
      </w:tr>
      <w:tr w:rsidR="00652F8A" w14:paraId="41B20223" w14:textId="77777777" w:rsidTr="00652F8A">
        <w:trPr>
          <w:trHeight w:val="249"/>
        </w:trPr>
        <w:tc>
          <w:tcPr>
            <w:tcW w:w="7240" w:type="dxa"/>
          </w:tcPr>
          <w:p w14:paraId="14E03C86" w14:textId="77777777" w:rsidR="00652F8A" w:rsidRPr="00662EA2" w:rsidRDefault="00662EA2">
            <w:pPr>
              <w:rPr>
                <w:b/>
                <w:bCs/>
                <w:u w:val="single"/>
              </w:rPr>
            </w:pPr>
            <w:r w:rsidRPr="00662EA2">
              <w:rPr>
                <w:b/>
                <w:bCs/>
                <w:u w:val="single"/>
              </w:rPr>
              <w:t>Symmetric adjustment for equity risk</w:t>
            </w:r>
          </w:p>
          <w:p w14:paraId="66FEFF0B" w14:textId="77777777" w:rsidR="00662EA2" w:rsidRDefault="00FF48A9" w:rsidP="00FF48A9">
            <w:pPr>
              <w:pStyle w:val="Odsekzoznamu"/>
              <w:numPr>
                <w:ilvl w:val="0"/>
                <w:numId w:val="3"/>
              </w:numPr>
            </w:pPr>
            <w:r w:rsidRPr="00CB5EB8">
              <w:rPr>
                <w:b/>
                <w:bCs/>
              </w:rPr>
              <w:t>Remove +/-10% cap</w:t>
            </w:r>
            <w:r>
              <w:t xml:space="preserve"> on the symmetric equity adjustment.</w:t>
            </w:r>
          </w:p>
          <w:p w14:paraId="0A0EA8B1" w14:textId="77777777" w:rsidR="00FF48A9" w:rsidRDefault="00FF48A9" w:rsidP="00FF48A9"/>
          <w:p w14:paraId="5A786CAC" w14:textId="77777777" w:rsidR="00FF48A9" w:rsidRDefault="00FF48A9" w:rsidP="00FF48A9">
            <w:r>
              <w:t>The ESRB also notes that it does not support the 22% stress factor for duration-based equities, strategic equity investments and long-term equities.</w:t>
            </w:r>
            <w:r w:rsidRPr="00FF48A9">
              <w:t xml:space="preserve"> </w:t>
            </w:r>
          </w:p>
          <w:p w14:paraId="55E1EFF3" w14:textId="1806DDD1" w:rsidR="00E034B1" w:rsidRPr="00FF48A9" w:rsidRDefault="00E034B1" w:rsidP="00FF48A9"/>
        </w:tc>
        <w:tc>
          <w:tcPr>
            <w:tcW w:w="7240" w:type="dxa"/>
          </w:tcPr>
          <w:p w14:paraId="3F768404" w14:textId="77777777" w:rsidR="00652F8A" w:rsidRDefault="00652F8A">
            <w:pPr>
              <w:rPr>
                <w:b/>
                <w:bCs/>
              </w:rPr>
            </w:pPr>
          </w:p>
          <w:p w14:paraId="7C4898BF" w14:textId="7A10E9C4" w:rsidR="00FF48A9" w:rsidRPr="00FF48A9" w:rsidRDefault="00FF48A9" w:rsidP="00FF48A9">
            <w:pPr>
              <w:pStyle w:val="Odsekzoznamu"/>
              <w:numPr>
                <w:ilvl w:val="0"/>
                <w:numId w:val="3"/>
              </w:numPr>
              <w:rPr>
                <w:b/>
                <w:bCs/>
              </w:rPr>
            </w:pPr>
            <w:r>
              <w:t xml:space="preserve">This would potentially be helpful in </w:t>
            </w:r>
            <w:r w:rsidR="00FE4774">
              <w:t>a crisis</w:t>
            </w:r>
            <w:r>
              <w:t>, but it may also increase capital requirements in rising markets.</w:t>
            </w:r>
          </w:p>
          <w:p w14:paraId="57BF1D7C" w14:textId="786D07AF" w:rsidR="00FF48A9" w:rsidRPr="00FF48A9" w:rsidRDefault="00FF48A9" w:rsidP="00FF48A9">
            <w:pPr>
              <w:rPr>
                <w:b/>
                <w:bCs/>
              </w:rPr>
            </w:pPr>
          </w:p>
        </w:tc>
      </w:tr>
      <w:tr w:rsidR="00652F8A" w14:paraId="48BE774E" w14:textId="77777777" w:rsidTr="00652F8A">
        <w:trPr>
          <w:trHeight w:val="249"/>
        </w:trPr>
        <w:tc>
          <w:tcPr>
            <w:tcW w:w="7240" w:type="dxa"/>
          </w:tcPr>
          <w:p w14:paraId="336878F6" w14:textId="77777777" w:rsidR="00652F8A" w:rsidRDefault="00FF48A9">
            <w:pPr>
              <w:rPr>
                <w:b/>
                <w:bCs/>
                <w:u w:val="single"/>
              </w:rPr>
            </w:pPr>
            <w:r w:rsidRPr="00FF48A9">
              <w:rPr>
                <w:b/>
                <w:bCs/>
                <w:u w:val="single"/>
              </w:rPr>
              <w:lastRenderedPageBreak/>
              <w:t>Symmetric adjustment for spread risk</w:t>
            </w:r>
          </w:p>
          <w:p w14:paraId="6DEFE02E" w14:textId="74B71DAB" w:rsidR="00FF48A9" w:rsidRDefault="00FF48A9" w:rsidP="00FF48A9">
            <w:pPr>
              <w:pStyle w:val="Odsekzoznamu"/>
              <w:numPr>
                <w:ilvl w:val="0"/>
                <w:numId w:val="4"/>
              </w:numPr>
            </w:pPr>
            <w:r>
              <w:t>As an alternative to the symmetric VA, ESRB propose a symmetric adjustment to the spread risk submodule</w:t>
            </w:r>
            <w:r w:rsidR="000E7C75">
              <w:t xml:space="preserve"> which takes into account the level of the spread relative to a historical average</w:t>
            </w:r>
            <w:r>
              <w:t xml:space="preserve">.  </w:t>
            </w:r>
          </w:p>
          <w:p w14:paraId="39244293" w14:textId="77777777" w:rsidR="000E7C75" w:rsidRDefault="000E7C75" w:rsidP="00FF48A9">
            <w:pPr>
              <w:pStyle w:val="Odsekzoznamu"/>
              <w:numPr>
                <w:ilvl w:val="0"/>
                <w:numId w:val="4"/>
              </w:numPr>
            </w:pPr>
            <w:r>
              <w:t>If this was adopted, ESRB support removal of corporate assets from</w:t>
            </w:r>
            <w:r w:rsidR="00666769">
              <w:t xml:space="preserve"> the VA.</w:t>
            </w:r>
          </w:p>
          <w:p w14:paraId="6508C06B" w14:textId="58EDE2D7" w:rsidR="00E034B1" w:rsidRPr="00FF48A9" w:rsidRDefault="00E034B1" w:rsidP="00E034B1">
            <w:pPr>
              <w:pStyle w:val="Odsekzoznamu"/>
            </w:pPr>
          </w:p>
        </w:tc>
        <w:tc>
          <w:tcPr>
            <w:tcW w:w="7240" w:type="dxa"/>
          </w:tcPr>
          <w:p w14:paraId="7DDF3C4A" w14:textId="77777777" w:rsidR="00652F8A" w:rsidRDefault="00652F8A">
            <w:pPr>
              <w:rPr>
                <w:b/>
                <w:bCs/>
              </w:rPr>
            </w:pPr>
          </w:p>
          <w:p w14:paraId="024BA2DE" w14:textId="535E5515" w:rsidR="00E034B1" w:rsidRDefault="007174BB" w:rsidP="00E034B1">
            <w:pPr>
              <w:pStyle w:val="Odsekzoznamu"/>
              <w:numPr>
                <w:ilvl w:val="0"/>
                <w:numId w:val="4"/>
              </w:numPr>
            </w:pPr>
            <w:r>
              <w:t>This proposal potentially makes more sense that the symmetric VA</w:t>
            </w:r>
            <w:r w:rsidR="002C06F3">
              <w:t>. However, it should still be treated with caution</w:t>
            </w:r>
            <w:r w:rsidR="008E28E9">
              <w:t xml:space="preserve">. </w:t>
            </w:r>
          </w:p>
          <w:p w14:paraId="27088B8C" w14:textId="18104F08" w:rsidR="00FF48A9" w:rsidRDefault="008E28E9" w:rsidP="008E28E9">
            <w:pPr>
              <w:pStyle w:val="Odsekzoznamu"/>
              <w:numPr>
                <w:ilvl w:val="0"/>
                <w:numId w:val="4"/>
              </w:numPr>
            </w:pPr>
            <w:r>
              <w:t xml:space="preserve">The idea that </w:t>
            </w:r>
            <w:r w:rsidR="007174BB">
              <w:t>corporate bonds should be removed from the VA</w:t>
            </w:r>
            <w:r>
              <w:t xml:space="preserve"> if there is a symmetric adjustment to spread risk </w:t>
            </w:r>
            <w:r w:rsidR="00F25575">
              <w:t>s</w:t>
            </w:r>
            <w:r>
              <w:t>eems counterintuitive</w:t>
            </w:r>
            <w:r w:rsidR="00F25575">
              <w:t>.</w:t>
            </w:r>
            <w:r>
              <w:t xml:space="preserve"> </w:t>
            </w:r>
          </w:p>
          <w:p w14:paraId="108A3B28" w14:textId="6780D1DF" w:rsidR="00E034B1" w:rsidRDefault="00F25575" w:rsidP="008E28E9">
            <w:pPr>
              <w:pStyle w:val="Odsekzoznamu"/>
              <w:numPr>
                <w:ilvl w:val="0"/>
                <w:numId w:val="4"/>
              </w:numPr>
            </w:pPr>
            <w:r>
              <w:t>T</w:t>
            </w:r>
            <w:r w:rsidR="00E034B1">
              <w:t xml:space="preserve">he existing SII standard formula stresses already </w:t>
            </w:r>
            <w:r>
              <w:t xml:space="preserve">have an implicit </w:t>
            </w:r>
            <w:r w:rsidR="00E034B1">
              <w:t xml:space="preserve">anticyclical element. This is because </w:t>
            </w:r>
            <w:r>
              <w:t>the stresses are set as a fixed % of the value of the bond and the bond values are higher when spreads are compressed (all else being equal).</w:t>
            </w:r>
            <w:r w:rsidR="00E034B1">
              <w:t xml:space="preserve">  </w:t>
            </w:r>
          </w:p>
          <w:p w14:paraId="1BCAC28F" w14:textId="0A5F9956" w:rsidR="00E034B1" w:rsidRPr="000E7C75" w:rsidRDefault="00E034B1" w:rsidP="00E034B1">
            <w:pPr>
              <w:pStyle w:val="Odsekzoznamu"/>
            </w:pPr>
          </w:p>
        </w:tc>
      </w:tr>
      <w:tr w:rsidR="00652F8A" w14:paraId="6CD1CDA9" w14:textId="77777777" w:rsidTr="00652F8A">
        <w:trPr>
          <w:trHeight w:val="249"/>
        </w:trPr>
        <w:tc>
          <w:tcPr>
            <w:tcW w:w="7240" w:type="dxa"/>
          </w:tcPr>
          <w:p w14:paraId="61D14641" w14:textId="77777777" w:rsidR="00652F8A" w:rsidRDefault="00FE4774">
            <w:pPr>
              <w:rPr>
                <w:b/>
                <w:bCs/>
                <w:u w:val="single"/>
              </w:rPr>
            </w:pPr>
            <w:r w:rsidRPr="00FE4774">
              <w:rPr>
                <w:b/>
                <w:bCs/>
                <w:u w:val="single"/>
              </w:rPr>
              <w:t>Symmetric adjustment for interest rate risk</w:t>
            </w:r>
          </w:p>
          <w:p w14:paraId="53E142CF" w14:textId="77777777" w:rsidR="00CB5EB8" w:rsidRPr="00CB5EB8" w:rsidRDefault="00CB5EB8" w:rsidP="00FE4774">
            <w:pPr>
              <w:pStyle w:val="Odsekzoznamu"/>
              <w:numPr>
                <w:ilvl w:val="0"/>
                <w:numId w:val="5"/>
              </w:numPr>
              <w:rPr>
                <w:b/>
                <w:bCs/>
                <w:u w:val="single"/>
              </w:rPr>
            </w:pPr>
            <w:r w:rsidRPr="00CB5EB8">
              <w:rPr>
                <w:b/>
                <w:bCs/>
              </w:rPr>
              <w:t>No symmetric adjustment for interest rate risk</w:t>
            </w:r>
            <w:r>
              <w:t xml:space="preserve"> is proposed. </w:t>
            </w:r>
          </w:p>
          <w:p w14:paraId="4DF3BF54" w14:textId="07CCB8FC" w:rsidR="00FE4774" w:rsidRPr="00FE4774" w:rsidRDefault="00FE4774" w:rsidP="00FE4774">
            <w:pPr>
              <w:pStyle w:val="Odsekzoznamu"/>
              <w:numPr>
                <w:ilvl w:val="0"/>
                <w:numId w:val="5"/>
              </w:numPr>
              <w:rPr>
                <w:b/>
                <w:bCs/>
                <w:u w:val="single"/>
              </w:rPr>
            </w:pPr>
            <w:r>
              <w:t xml:space="preserve">The ESRB concludes that there is an absence of compelling argumentation for procyclical behaviour and deficiencies with the existing calibrations. </w:t>
            </w:r>
          </w:p>
        </w:tc>
        <w:tc>
          <w:tcPr>
            <w:tcW w:w="7240" w:type="dxa"/>
          </w:tcPr>
          <w:p w14:paraId="0D7342EB" w14:textId="77777777" w:rsidR="00652F8A" w:rsidRDefault="00652F8A">
            <w:pPr>
              <w:rPr>
                <w:b/>
                <w:bCs/>
              </w:rPr>
            </w:pPr>
          </w:p>
          <w:p w14:paraId="488763D3" w14:textId="77777777" w:rsidR="007174BB" w:rsidRDefault="007174BB" w:rsidP="00FE4774">
            <w:pPr>
              <w:pStyle w:val="Odsekzoznamu"/>
              <w:numPr>
                <w:ilvl w:val="0"/>
                <w:numId w:val="5"/>
              </w:numPr>
            </w:pPr>
            <w:r>
              <w:t xml:space="preserve">Including a </w:t>
            </w:r>
            <w:r w:rsidR="00FE4774" w:rsidRPr="00FE4774">
              <w:t>s</w:t>
            </w:r>
            <w:r>
              <w:t xml:space="preserve">ymmetric adjustment to interest rate risk stress factor could be another option to mitigate the impact of EIOPA’s proposals on interest rate risk. However, it would likely be accompanied by a more general acceptance of symmetric adjustments (such as spread risk/VA). </w:t>
            </w:r>
          </w:p>
          <w:p w14:paraId="1AFFEB1C" w14:textId="341A223A" w:rsidR="00FE4774" w:rsidRPr="00FE4774" w:rsidRDefault="00FE4774" w:rsidP="00666769">
            <w:pPr>
              <w:pStyle w:val="Odsekzoznamu"/>
            </w:pPr>
          </w:p>
        </w:tc>
      </w:tr>
      <w:tr w:rsidR="007174BB" w14:paraId="7CA32807" w14:textId="77777777" w:rsidTr="00652F8A">
        <w:trPr>
          <w:trHeight w:val="249"/>
        </w:trPr>
        <w:tc>
          <w:tcPr>
            <w:tcW w:w="7240" w:type="dxa"/>
          </w:tcPr>
          <w:p w14:paraId="5DE11DEB" w14:textId="77777777" w:rsidR="007174BB" w:rsidRDefault="007174BB">
            <w:pPr>
              <w:rPr>
                <w:b/>
                <w:bCs/>
                <w:u w:val="single"/>
              </w:rPr>
            </w:pPr>
            <w:r>
              <w:rPr>
                <w:b/>
                <w:bCs/>
                <w:u w:val="single"/>
              </w:rPr>
              <w:t>Internal models</w:t>
            </w:r>
          </w:p>
          <w:p w14:paraId="7A386FB3" w14:textId="77777777" w:rsidR="007174BB" w:rsidRDefault="008E28E9" w:rsidP="007174BB">
            <w:pPr>
              <w:pStyle w:val="Odsekzoznamu"/>
              <w:numPr>
                <w:ilvl w:val="0"/>
                <w:numId w:val="6"/>
              </w:numPr>
            </w:pPr>
            <w:r w:rsidRPr="00CB5EB8">
              <w:rPr>
                <w:b/>
                <w:bCs/>
              </w:rPr>
              <w:t>IM users should also have to model symmetric adjustments</w:t>
            </w:r>
            <w:r>
              <w:t>, either using the standard formula design (</w:t>
            </w:r>
            <w:r w:rsidR="007174BB">
              <w:t xml:space="preserve">if it </w:t>
            </w:r>
            <w:r>
              <w:t xml:space="preserve">is consistent with the IM approach) or tailored to the IM. </w:t>
            </w:r>
          </w:p>
          <w:p w14:paraId="68917189" w14:textId="5D9E1134" w:rsidR="008E28E9" w:rsidRDefault="008E28E9" w:rsidP="007174BB">
            <w:pPr>
              <w:pStyle w:val="Odsekzoznamu"/>
              <w:numPr>
                <w:ilvl w:val="0"/>
                <w:numId w:val="6"/>
              </w:numPr>
            </w:pPr>
            <w:r>
              <w:t>ESRB accept that the use of symmetric adjustments would alter the confidence interval</w:t>
            </w:r>
            <w:r w:rsidR="00613317">
              <w:t xml:space="preserve"> but argue that, </w:t>
            </w:r>
            <w:r w:rsidR="00613317" w:rsidRPr="00613317">
              <w:rPr>
                <w:i/>
                <w:iCs/>
              </w:rPr>
              <w:t>on average</w:t>
            </w:r>
            <w:r w:rsidR="00613317">
              <w:t xml:space="preserve">, the 99,5% confidence interval would be maintained. </w:t>
            </w:r>
          </w:p>
          <w:p w14:paraId="7824F5FF" w14:textId="5BF33558" w:rsidR="00D5679F" w:rsidRPr="007174BB" w:rsidRDefault="00D5679F" w:rsidP="007174BB">
            <w:pPr>
              <w:pStyle w:val="Odsekzoznamu"/>
              <w:numPr>
                <w:ilvl w:val="0"/>
                <w:numId w:val="6"/>
              </w:numPr>
            </w:pPr>
            <w:r w:rsidRPr="00666769">
              <w:rPr>
                <w:b/>
                <w:bCs/>
              </w:rPr>
              <w:t>Reject the use of DVA</w:t>
            </w:r>
            <w:r>
              <w:t xml:space="preserve"> as it “double counts” the impact of the countercyclical tool</w:t>
            </w:r>
            <w:r w:rsidR="00CF4679">
              <w:t>.</w:t>
            </w:r>
          </w:p>
        </w:tc>
        <w:tc>
          <w:tcPr>
            <w:tcW w:w="7240" w:type="dxa"/>
          </w:tcPr>
          <w:p w14:paraId="641ECAD0" w14:textId="77777777" w:rsidR="007174BB" w:rsidRDefault="007174BB">
            <w:pPr>
              <w:rPr>
                <w:b/>
                <w:bCs/>
              </w:rPr>
            </w:pPr>
          </w:p>
          <w:p w14:paraId="13C9F4CD" w14:textId="77777777" w:rsidR="006C52B6" w:rsidRDefault="00666769" w:rsidP="00613317">
            <w:pPr>
              <w:pStyle w:val="Odsekzoznamu"/>
              <w:numPr>
                <w:ilvl w:val="0"/>
                <w:numId w:val="6"/>
              </w:numPr>
            </w:pPr>
            <w:r w:rsidRPr="00666769">
              <w:t xml:space="preserve">The </w:t>
            </w:r>
            <w:r>
              <w:t xml:space="preserve">narrative on the DVA is concerning and </w:t>
            </w:r>
            <w:r w:rsidR="006C52B6">
              <w:t xml:space="preserve">again </w:t>
            </w:r>
            <w:r>
              <w:t xml:space="preserve">shows the </w:t>
            </w:r>
            <w:r w:rsidR="006C52B6">
              <w:t xml:space="preserve">ESRB’s </w:t>
            </w:r>
            <w:r>
              <w:t>narrow interpretation of the VA</w:t>
            </w:r>
            <w:r w:rsidR="006C52B6">
              <w:t xml:space="preserve">. </w:t>
            </w:r>
          </w:p>
          <w:p w14:paraId="3CFE2376" w14:textId="7C9294D2" w:rsidR="00613317" w:rsidRPr="00666769" w:rsidRDefault="006C52B6" w:rsidP="00613317">
            <w:pPr>
              <w:pStyle w:val="Odsekzoznamu"/>
              <w:numPr>
                <w:ilvl w:val="0"/>
                <w:numId w:val="6"/>
              </w:numPr>
            </w:pPr>
            <w:r>
              <w:t xml:space="preserve">Its argumentation that the VA should not affect both the Own Funds and the SCR demonstrates a strange interpretation of the purpose and calculation of the SCR. </w:t>
            </w:r>
          </w:p>
        </w:tc>
      </w:tr>
      <w:tr w:rsidR="006C52B6" w14:paraId="0DAAE58B" w14:textId="77777777" w:rsidTr="00944697">
        <w:trPr>
          <w:trHeight w:val="249"/>
        </w:trPr>
        <w:tc>
          <w:tcPr>
            <w:tcW w:w="14480" w:type="dxa"/>
            <w:gridSpan w:val="2"/>
            <w:shd w:val="clear" w:color="auto" w:fill="DEEAF6" w:themeFill="accent5" w:themeFillTint="33"/>
          </w:tcPr>
          <w:p w14:paraId="2C85A761" w14:textId="77777777" w:rsidR="006C52B6" w:rsidRDefault="006C52B6">
            <w:pPr>
              <w:rPr>
                <w:b/>
                <w:bCs/>
              </w:rPr>
            </w:pPr>
            <w:r w:rsidRPr="006C52B6">
              <w:rPr>
                <w:b/>
                <w:bCs/>
              </w:rPr>
              <w:t>Section 2 - Liquidity tools addressing risks arising on the assets and liabilities side</w:t>
            </w:r>
          </w:p>
          <w:p w14:paraId="07601FA6" w14:textId="43158B16" w:rsidR="006C52B6" w:rsidRPr="006C52B6" w:rsidRDefault="006C52B6">
            <w:pPr>
              <w:rPr>
                <w:b/>
                <w:bCs/>
              </w:rPr>
            </w:pPr>
          </w:p>
        </w:tc>
      </w:tr>
      <w:tr w:rsidR="007174BB" w14:paraId="516DFC83" w14:textId="77777777" w:rsidTr="00652F8A">
        <w:trPr>
          <w:trHeight w:val="249"/>
        </w:trPr>
        <w:tc>
          <w:tcPr>
            <w:tcW w:w="7240" w:type="dxa"/>
          </w:tcPr>
          <w:p w14:paraId="537839E7" w14:textId="77777777" w:rsidR="00271598" w:rsidRDefault="00271598" w:rsidP="006C52B6">
            <w:pPr>
              <w:rPr>
                <w:b/>
                <w:bCs/>
                <w:u w:val="single"/>
              </w:rPr>
            </w:pPr>
            <w:r>
              <w:rPr>
                <w:b/>
                <w:bCs/>
                <w:u w:val="single"/>
              </w:rPr>
              <w:t>Proposals to address</w:t>
            </w:r>
            <w:r w:rsidRPr="00271598">
              <w:rPr>
                <w:b/>
                <w:bCs/>
                <w:u w:val="single"/>
              </w:rPr>
              <w:t xml:space="preserve"> liquidity risk stemming from (re)insurers’ use of derivatives</w:t>
            </w:r>
          </w:p>
          <w:p w14:paraId="125B4662" w14:textId="16CAB65B" w:rsidR="00271598" w:rsidRDefault="006C52B6" w:rsidP="00271598">
            <w:pPr>
              <w:pStyle w:val="Odsekzoznamu"/>
              <w:numPr>
                <w:ilvl w:val="0"/>
                <w:numId w:val="7"/>
              </w:numPr>
            </w:pPr>
            <w:r w:rsidRPr="00271598">
              <w:t>Re</w:t>
            </w:r>
            <w:r w:rsidR="00271598">
              <w:t xml:space="preserve">quire </w:t>
            </w:r>
            <w:r w:rsidR="00271598" w:rsidRPr="007A6DB5">
              <w:rPr>
                <w:b/>
                <w:bCs/>
              </w:rPr>
              <w:t>liquidity stress testing</w:t>
            </w:r>
            <w:r w:rsidR="00271598">
              <w:t xml:space="preserve"> as part of their ORSA.</w:t>
            </w:r>
          </w:p>
          <w:p w14:paraId="02E1659B" w14:textId="12980E85" w:rsidR="00271598" w:rsidRPr="00271598" w:rsidRDefault="00271598" w:rsidP="007F57A0">
            <w:pPr>
              <w:pStyle w:val="Odsekzoznamu"/>
              <w:numPr>
                <w:ilvl w:val="0"/>
                <w:numId w:val="7"/>
              </w:numPr>
            </w:pPr>
            <w:r>
              <w:lastRenderedPageBreak/>
              <w:t xml:space="preserve">Give </w:t>
            </w:r>
            <w:r w:rsidR="007A6DB5">
              <w:t>NSAs</w:t>
            </w:r>
            <w:r w:rsidR="006C52B6" w:rsidRPr="00271598">
              <w:t xml:space="preserve"> </w:t>
            </w:r>
            <w:r>
              <w:t xml:space="preserve">the power </w:t>
            </w:r>
            <w:r w:rsidRPr="007A6DB5">
              <w:rPr>
                <w:b/>
                <w:bCs/>
              </w:rPr>
              <w:t>to</w:t>
            </w:r>
            <w:r w:rsidR="006C52B6" w:rsidRPr="007A6DB5">
              <w:rPr>
                <w:b/>
                <w:bCs/>
              </w:rPr>
              <w:t xml:space="preserve"> require a liquidity buffer</w:t>
            </w:r>
            <w:r w:rsidR="006C52B6" w:rsidRPr="00271598">
              <w:t xml:space="preserve"> </w:t>
            </w:r>
            <w:r>
              <w:t>where they deem that there is a risk of a liquidity shortfall.</w:t>
            </w:r>
          </w:p>
        </w:tc>
        <w:tc>
          <w:tcPr>
            <w:tcW w:w="7240" w:type="dxa"/>
          </w:tcPr>
          <w:p w14:paraId="65D7DD60" w14:textId="77777777" w:rsidR="007174BB" w:rsidRDefault="007174BB">
            <w:pPr>
              <w:rPr>
                <w:b/>
                <w:bCs/>
              </w:rPr>
            </w:pPr>
          </w:p>
          <w:p w14:paraId="62F96D68" w14:textId="77777777" w:rsidR="00F25575" w:rsidRDefault="00F25575" w:rsidP="00F25575"/>
          <w:p w14:paraId="4CBC917A" w14:textId="44B4B10F" w:rsidR="00F14274" w:rsidRDefault="007F57A0" w:rsidP="007F57A0">
            <w:pPr>
              <w:pStyle w:val="Odsekzoznamu"/>
              <w:numPr>
                <w:ilvl w:val="0"/>
                <w:numId w:val="7"/>
              </w:numPr>
            </w:pPr>
            <w:r w:rsidRPr="007F57A0">
              <w:lastRenderedPageBreak/>
              <w:t>It is positive that the ESRB does not propose any Pillar I liquidity requirements</w:t>
            </w:r>
            <w:r>
              <w:t xml:space="preserve">. It also recognises that there is already a number of Pillar II requirements which address liquidity risk. </w:t>
            </w:r>
          </w:p>
          <w:p w14:paraId="48C7932C" w14:textId="77777777" w:rsidR="007F57A0" w:rsidRDefault="007F57A0" w:rsidP="007F57A0">
            <w:pPr>
              <w:pStyle w:val="Odsekzoznamu"/>
              <w:numPr>
                <w:ilvl w:val="0"/>
                <w:numId w:val="7"/>
              </w:numPr>
            </w:pPr>
            <w:r>
              <w:t xml:space="preserve">The proposal to grant NSAs the power to demand liquidity buffer goes against the Freedom of Investment principle. However, along with some increased Pillar II and Pillar III requirements, it may be the least onerous was to address supervisory concerns about liquidity. </w:t>
            </w:r>
          </w:p>
          <w:p w14:paraId="1C039B6A" w14:textId="426F7425" w:rsidR="00F25575" w:rsidRPr="007F57A0" w:rsidRDefault="00F25575" w:rsidP="00F25575">
            <w:pPr>
              <w:pStyle w:val="Odsekzoznamu"/>
            </w:pPr>
          </w:p>
        </w:tc>
      </w:tr>
      <w:tr w:rsidR="006C52B6" w14:paraId="302771F3" w14:textId="77777777" w:rsidTr="00652F8A">
        <w:trPr>
          <w:trHeight w:val="249"/>
        </w:trPr>
        <w:tc>
          <w:tcPr>
            <w:tcW w:w="7240" w:type="dxa"/>
          </w:tcPr>
          <w:p w14:paraId="707F69E8" w14:textId="3EB1731B" w:rsidR="006C52B6" w:rsidRDefault="00F14274">
            <w:pPr>
              <w:rPr>
                <w:b/>
                <w:bCs/>
                <w:u w:val="single"/>
              </w:rPr>
            </w:pPr>
            <w:r w:rsidRPr="00F14274">
              <w:rPr>
                <w:b/>
                <w:bCs/>
                <w:u w:val="single"/>
              </w:rPr>
              <w:lastRenderedPageBreak/>
              <w:t>Impact of mass lapse events on insurers’ liquidity management</w:t>
            </w:r>
          </w:p>
          <w:p w14:paraId="28F301E8" w14:textId="77777777" w:rsidR="007A6DB5" w:rsidRDefault="007A6DB5" w:rsidP="007A6DB5">
            <w:pPr>
              <w:pStyle w:val="Odsekzoznamu"/>
              <w:numPr>
                <w:ilvl w:val="0"/>
                <w:numId w:val="8"/>
              </w:numPr>
            </w:pPr>
            <w:r w:rsidRPr="007A6DB5">
              <w:t>ESRB do not</w:t>
            </w:r>
            <w:r>
              <w:t xml:space="preserve"> make any firm policy proposals in this area but do make a </w:t>
            </w:r>
            <w:proofErr w:type="spellStart"/>
            <w:r>
              <w:t>a</w:t>
            </w:r>
            <w:proofErr w:type="spellEnd"/>
            <w:r>
              <w:t xml:space="preserve"> number of suggestions. These include:</w:t>
            </w:r>
          </w:p>
          <w:p w14:paraId="70DFD1E7" w14:textId="77777777" w:rsidR="007A6DB5" w:rsidRDefault="007A6DB5" w:rsidP="007A6DB5">
            <w:pPr>
              <w:pStyle w:val="Odsekzoznamu"/>
              <w:numPr>
                <w:ilvl w:val="0"/>
                <w:numId w:val="8"/>
              </w:numPr>
            </w:pPr>
            <w:r w:rsidRPr="00F14274">
              <w:rPr>
                <w:b/>
                <w:bCs/>
              </w:rPr>
              <w:t>Supplementing QRT data</w:t>
            </w:r>
            <w:r>
              <w:t xml:space="preserve"> with information on surrender options (the data requested by NBB is referenced as an example).</w:t>
            </w:r>
          </w:p>
          <w:p w14:paraId="3D02ECA5" w14:textId="7BC8F4B8" w:rsidR="007A6DB5" w:rsidRPr="007A6DB5" w:rsidRDefault="007A6DB5" w:rsidP="007A6DB5">
            <w:pPr>
              <w:pStyle w:val="Odsekzoznamu"/>
              <w:numPr>
                <w:ilvl w:val="0"/>
                <w:numId w:val="8"/>
              </w:numPr>
            </w:pPr>
            <w:r w:rsidRPr="00F14274">
              <w:rPr>
                <w:b/>
                <w:bCs/>
              </w:rPr>
              <w:t>Two liquidity indicators</w:t>
            </w:r>
            <w:r>
              <w:t xml:space="preserve"> are </w:t>
            </w:r>
            <w:r w:rsidR="00F14274">
              <w:t>outlined, based on the stock of high-quality liquid assets (HQLA) relative to 1) the surrender values of contracts at risk and 2) expected net cash outflows.</w:t>
            </w:r>
          </w:p>
        </w:tc>
        <w:tc>
          <w:tcPr>
            <w:tcW w:w="7240" w:type="dxa"/>
          </w:tcPr>
          <w:p w14:paraId="34E80F3B" w14:textId="77777777" w:rsidR="006C52B6" w:rsidRDefault="006C52B6">
            <w:pPr>
              <w:rPr>
                <w:b/>
                <w:bCs/>
              </w:rPr>
            </w:pPr>
          </w:p>
          <w:p w14:paraId="0AC319CD" w14:textId="0256B670" w:rsidR="007F57A0" w:rsidRDefault="00B5404D" w:rsidP="00B5404D">
            <w:pPr>
              <w:pStyle w:val="Odsekzoznamu"/>
              <w:numPr>
                <w:ilvl w:val="0"/>
                <w:numId w:val="8"/>
              </w:numPr>
            </w:pPr>
            <w:r w:rsidRPr="00B5404D">
              <w:t xml:space="preserve">Insurance </w:t>
            </w:r>
            <w:r>
              <w:t>Europe has previously rejected the use of liquidity</w:t>
            </w:r>
            <w:r w:rsidR="007F57A0">
              <w:t xml:space="preserve"> risk ratios which were proposed by EIOPA (</w:t>
            </w:r>
            <w:hyperlink r:id="rId11" w:history="1">
              <w:r w:rsidR="007F57A0" w:rsidRPr="007F57A0">
                <w:rPr>
                  <w:rStyle w:val="Hypertextovprepojenie"/>
                </w:rPr>
                <w:t>here</w:t>
              </w:r>
            </w:hyperlink>
            <w:r w:rsidR="007F57A0">
              <w:t>).</w:t>
            </w:r>
          </w:p>
          <w:p w14:paraId="343D5660" w14:textId="36565032" w:rsidR="00B5404D" w:rsidRPr="00B5404D" w:rsidRDefault="00B5404D" w:rsidP="007F57A0">
            <w:pPr>
              <w:pStyle w:val="Odsekzoznamu"/>
            </w:pPr>
          </w:p>
        </w:tc>
      </w:tr>
      <w:tr w:rsidR="00BE1ED1" w14:paraId="02E43459" w14:textId="77777777" w:rsidTr="00944697">
        <w:trPr>
          <w:trHeight w:val="249"/>
        </w:trPr>
        <w:tc>
          <w:tcPr>
            <w:tcW w:w="14480" w:type="dxa"/>
            <w:gridSpan w:val="2"/>
            <w:shd w:val="clear" w:color="auto" w:fill="DEEAF6" w:themeFill="accent5" w:themeFillTint="33"/>
          </w:tcPr>
          <w:p w14:paraId="1DAC9ED9" w14:textId="77777777" w:rsidR="00BE1ED1" w:rsidRDefault="00BE1ED1" w:rsidP="00BE1ED1">
            <w:pPr>
              <w:rPr>
                <w:b/>
                <w:bCs/>
              </w:rPr>
            </w:pPr>
            <w:r>
              <w:rPr>
                <w:b/>
                <w:bCs/>
              </w:rPr>
              <w:t xml:space="preserve">Section 3 - </w:t>
            </w:r>
            <w:r w:rsidRPr="00BE1ED1">
              <w:rPr>
                <w:b/>
                <w:bCs/>
              </w:rPr>
              <w:t>Macroprudential tools targeting the direct and indirect</w:t>
            </w:r>
            <w:r>
              <w:rPr>
                <w:b/>
                <w:bCs/>
              </w:rPr>
              <w:t xml:space="preserve"> </w:t>
            </w:r>
            <w:r w:rsidRPr="00BE1ED1">
              <w:rPr>
                <w:b/>
                <w:bCs/>
              </w:rPr>
              <w:t>provision of credit</w:t>
            </w:r>
          </w:p>
          <w:p w14:paraId="3C0ABC3D" w14:textId="1C77094D" w:rsidR="00BE1ED1" w:rsidRDefault="00BE1ED1" w:rsidP="00BE1ED1">
            <w:pPr>
              <w:rPr>
                <w:b/>
                <w:bCs/>
              </w:rPr>
            </w:pPr>
          </w:p>
        </w:tc>
      </w:tr>
      <w:tr w:rsidR="006C52B6" w14:paraId="38AC605F" w14:textId="77777777" w:rsidTr="00652F8A">
        <w:trPr>
          <w:trHeight w:val="249"/>
        </w:trPr>
        <w:tc>
          <w:tcPr>
            <w:tcW w:w="7240" w:type="dxa"/>
          </w:tcPr>
          <w:p w14:paraId="051943E2" w14:textId="7DF69F10" w:rsidR="006C52B6" w:rsidRDefault="00DE1B94" w:rsidP="00DE1B94">
            <w:pPr>
              <w:pStyle w:val="Odsekzoznamu"/>
              <w:numPr>
                <w:ilvl w:val="0"/>
                <w:numId w:val="9"/>
              </w:numPr>
            </w:pPr>
            <w:r>
              <w:t xml:space="preserve">ESRB propose </w:t>
            </w:r>
            <w:r w:rsidR="0003533C">
              <w:t>a few</w:t>
            </w:r>
            <w:r>
              <w:t xml:space="preserve"> tools which would be applied </w:t>
            </w:r>
            <w:r w:rsidR="0003533C">
              <w:t xml:space="preserve">with </w:t>
            </w:r>
            <w:r>
              <w:t xml:space="preserve">NSA discretion. </w:t>
            </w:r>
          </w:p>
          <w:p w14:paraId="76B6FB86" w14:textId="1B939DC7" w:rsidR="00DE1B94" w:rsidRDefault="00DE1B94" w:rsidP="00DE1B94">
            <w:pPr>
              <w:pStyle w:val="Odsekzoznamu"/>
              <w:numPr>
                <w:ilvl w:val="1"/>
                <w:numId w:val="9"/>
              </w:numPr>
            </w:pPr>
            <w:r w:rsidRPr="00610463">
              <w:rPr>
                <w:b/>
                <w:bCs/>
              </w:rPr>
              <w:t xml:space="preserve">Introduce a floor to the capital requirements </w:t>
            </w:r>
            <w:r w:rsidR="00610463" w:rsidRPr="00610463">
              <w:rPr>
                <w:b/>
                <w:bCs/>
              </w:rPr>
              <w:t>(LGD)</w:t>
            </w:r>
            <w:r w:rsidR="00610463">
              <w:t xml:space="preserve"> </w:t>
            </w:r>
            <w:r>
              <w:t>for mortgage loans which are in scope of the counterparty default risk submodule.</w:t>
            </w:r>
          </w:p>
          <w:p w14:paraId="4E39C685" w14:textId="77777777" w:rsidR="00DE1B94" w:rsidRDefault="00610463" w:rsidP="00DE1B94">
            <w:pPr>
              <w:pStyle w:val="Odsekzoznamu"/>
              <w:numPr>
                <w:ilvl w:val="1"/>
                <w:numId w:val="9"/>
              </w:numPr>
            </w:pPr>
            <w:r>
              <w:t xml:space="preserve">Introduce a </w:t>
            </w:r>
            <w:r w:rsidRPr="00DD2F03">
              <w:rPr>
                <w:b/>
                <w:bCs/>
              </w:rPr>
              <w:t>sectoral systemic risk buffer</w:t>
            </w:r>
            <w:r>
              <w:t xml:space="preserve"> to the market risk module. This would introduce capital requirements for investments in sectors which were assessed to be systemically risky.</w:t>
            </w:r>
          </w:p>
          <w:p w14:paraId="34D9737F" w14:textId="77777777" w:rsidR="00DD2F03" w:rsidRDefault="00DD2F03" w:rsidP="00DE1B94">
            <w:pPr>
              <w:pStyle w:val="Odsekzoznamu"/>
              <w:numPr>
                <w:ilvl w:val="1"/>
                <w:numId w:val="9"/>
              </w:numPr>
            </w:pPr>
            <w:r>
              <w:t>Extend the use of borrower-based tools to insurers who also originate loans.</w:t>
            </w:r>
          </w:p>
          <w:p w14:paraId="55C5F173" w14:textId="17C15F20" w:rsidR="00DD2F03" w:rsidRPr="00DE1B94" w:rsidRDefault="00DD2F03" w:rsidP="00DE1B94">
            <w:pPr>
              <w:pStyle w:val="Odsekzoznamu"/>
              <w:numPr>
                <w:ilvl w:val="1"/>
                <w:numId w:val="9"/>
              </w:numPr>
            </w:pPr>
            <w:r>
              <w:t xml:space="preserve">Increase NSA powers to require disclosure of request information on </w:t>
            </w:r>
          </w:p>
        </w:tc>
        <w:tc>
          <w:tcPr>
            <w:tcW w:w="7240" w:type="dxa"/>
          </w:tcPr>
          <w:p w14:paraId="28E746B4" w14:textId="77777777" w:rsidR="006C52B6" w:rsidRDefault="006C52B6" w:rsidP="00610463">
            <w:pPr>
              <w:rPr>
                <w:b/>
                <w:bCs/>
              </w:rPr>
            </w:pPr>
          </w:p>
          <w:p w14:paraId="5C51D4CC" w14:textId="310F06B8" w:rsidR="00DD2F03" w:rsidRDefault="00610463" w:rsidP="00610463">
            <w:pPr>
              <w:pStyle w:val="Odsekzoznamu"/>
              <w:numPr>
                <w:ilvl w:val="0"/>
                <w:numId w:val="9"/>
              </w:numPr>
            </w:pPr>
            <w:r w:rsidRPr="00610463">
              <w:t xml:space="preserve">ESRB </w:t>
            </w:r>
            <w:r>
              <w:t xml:space="preserve">proposals </w:t>
            </w:r>
            <w:r w:rsidR="00DD2F03">
              <w:t xml:space="preserve">in this area focus on perceived discrepancies with banking regulation. </w:t>
            </w:r>
          </w:p>
          <w:p w14:paraId="2881907F" w14:textId="4553DFA7" w:rsidR="00DD2F03" w:rsidRDefault="00DD2F03" w:rsidP="00DD2F03">
            <w:pPr>
              <w:pStyle w:val="Odsekzoznamu"/>
              <w:numPr>
                <w:ilvl w:val="0"/>
                <w:numId w:val="9"/>
              </w:numPr>
            </w:pPr>
            <w:r>
              <w:t>Regarding the sectoral systemic risk buffer, Insurance Europe strongly opposes awarding supervisory powers to apply new capital surcharges for systemic risk.</w:t>
            </w:r>
          </w:p>
          <w:p w14:paraId="25CCB0EE" w14:textId="706B07A5" w:rsidR="00610463" w:rsidRPr="00610463" w:rsidRDefault="00610463" w:rsidP="00DD2F03">
            <w:pPr>
              <w:pStyle w:val="Odsekzoznamu"/>
            </w:pPr>
          </w:p>
        </w:tc>
      </w:tr>
    </w:tbl>
    <w:p w14:paraId="0FA84A9E" w14:textId="77777777" w:rsidR="00D651D4" w:rsidRPr="00D651D4" w:rsidRDefault="00D651D4">
      <w:pPr>
        <w:rPr>
          <w:b/>
          <w:bCs/>
        </w:rPr>
      </w:pPr>
    </w:p>
    <w:sectPr w:rsidR="00D651D4" w:rsidRPr="00D651D4" w:rsidSect="00D651D4">
      <w:headerReference w:type="even" r:id="rId12"/>
      <w:headerReference w:type="default" r:id="rId13"/>
      <w:footerReference w:type="even" r:id="rId14"/>
      <w:footerReference w:type="default" r:id="rId15"/>
      <w:headerReference w:type="first" r:id="rId16"/>
      <w:footerReference w:type="first" r:id="rId1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7BC3A9" w14:textId="77777777" w:rsidR="008D2FE4" w:rsidRDefault="008D2FE4" w:rsidP="008D2FE4">
      <w:pPr>
        <w:spacing w:after="0" w:line="240" w:lineRule="auto"/>
      </w:pPr>
      <w:r>
        <w:separator/>
      </w:r>
    </w:p>
  </w:endnote>
  <w:endnote w:type="continuationSeparator" w:id="0">
    <w:p w14:paraId="5CAC8F76" w14:textId="77777777" w:rsidR="008D2FE4" w:rsidRDefault="008D2FE4" w:rsidP="008D2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6CAF91" w14:textId="77777777" w:rsidR="00F25575" w:rsidRDefault="00F25575">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78CCE7" w14:textId="77777777" w:rsidR="00F25575" w:rsidRDefault="00F25575">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FD60AE" w14:textId="77777777" w:rsidR="00F25575" w:rsidRDefault="00F2557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48A133" w14:textId="77777777" w:rsidR="008D2FE4" w:rsidRDefault="008D2FE4" w:rsidP="008D2FE4">
      <w:pPr>
        <w:spacing w:after="0" w:line="240" w:lineRule="auto"/>
      </w:pPr>
      <w:r>
        <w:separator/>
      </w:r>
    </w:p>
  </w:footnote>
  <w:footnote w:type="continuationSeparator" w:id="0">
    <w:p w14:paraId="3903D2D5" w14:textId="77777777" w:rsidR="008D2FE4" w:rsidRDefault="008D2FE4" w:rsidP="008D2F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0DAB0" w14:textId="77777777" w:rsidR="00F25575" w:rsidRDefault="00F25575">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48289A" w14:textId="4A5BF2CA" w:rsidR="008D2FE4" w:rsidRPr="008D2FE4" w:rsidRDefault="007B6EE0" w:rsidP="008D2FE4">
    <w:pPr>
      <w:pStyle w:val="Hlavika"/>
      <w:jc w:val="right"/>
      <w:rPr>
        <w:color w:val="FF0000"/>
      </w:rPr>
    </w:pPr>
    <w:sdt>
      <w:sdtPr>
        <w:rPr>
          <w:color w:val="FF0000"/>
        </w:rPr>
        <w:id w:val="-1996791082"/>
        <w:docPartObj>
          <w:docPartGallery w:val="Watermarks"/>
          <w:docPartUnique/>
        </w:docPartObj>
      </w:sdtPr>
      <w:sdtEndPr/>
      <w:sdtContent>
        <w:r>
          <w:rPr>
            <w:noProof/>
            <w:color w:val="FF0000"/>
          </w:rPr>
          <w:pict w14:anchorId="7972A8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8D2FE4" w:rsidRPr="008D2FE4">
      <w:rPr>
        <w:color w:val="FF0000"/>
      </w:rPr>
      <w:t>Members feedback requested by cob 3 April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C2D3F0" w14:textId="77777777" w:rsidR="00F25575" w:rsidRDefault="00F2557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5C259D"/>
    <w:multiLevelType w:val="hybridMultilevel"/>
    <w:tmpl w:val="DED2B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452933"/>
    <w:multiLevelType w:val="hybridMultilevel"/>
    <w:tmpl w:val="18AE2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385B1C"/>
    <w:multiLevelType w:val="hybridMultilevel"/>
    <w:tmpl w:val="13E23A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D7744A"/>
    <w:multiLevelType w:val="hybridMultilevel"/>
    <w:tmpl w:val="971EEF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8057F3"/>
    <w:multiLevelType w:val="hybridMultilevel"/>
    <w:tmpl w:val="33B4F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6329DB"/>
    <w:multiLevelType w:val="hybridMultilevel"/>
    <w:tmpl w:val="F2C65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5158C4"/>
    <w:multiLevelType w:val="hybridMultilevel"/>
    <w:tmpl w:val="08D29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F463A6"/>
    <w:multiLevelType w:val="hybridMultilevel"/>
    <w:tmpl w:val="144E4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0E4A56"/>
    <w:multiLevelType w:val="hybridMultilevel"/>
    <w:tmpl w:val="8B386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7"/>
  </w:num>
  <w:num w:numId="5">
    <w:abstractNumId w:val="4"/>
  </w:num>
  <w:num w:numId="6">
    <w:abstractNumId w:val="1"/>
  </w:num>
  <w:num w:numId="7">
    <w:abstractNumId w:val="6"/>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1D4"/>
    <w:rsid w:val="0003533C"/>
    <w:rsid w:val="0009293F"/>
    <w:rsid w:val="000E7C75"/>
    <w:rsid w:val="00146108"/>
    <w:rsid w:val="00271598"/>
    <w:rsid w:val="002A7B48"/>
    <w:rsid w:val="002C06F3"/>
    <w:rsid w:val="0054255B"/>
    <w:rsid w:val="00610463"/>
    <w:rsid w:val="0061187D"/>
    <w:rsid w:val="00613317"/>
    <w:rsid w:val="00652F8A"/>
    <w:rsid w:val="00662EA2"/>
    <w:rsid w:val="00666769"/>
    <w:rsid w:val="006C52B6"/>
    <w:rsid w:val="007174BB"/>
    <w:rsid w:val="00735DED"/>
    <w:rsid w:val="00736A43"/>
    <w:rsid w:val="007A6DB5"/>
    <w:rsid w:val="007B6EE0"/>
    <w:rsid w:val="007F57A0"/>
    <w:rsid w:val="008D2FE4"/>
    <w:rsid w:val="008E28E9"/>
    <w:rsid w:val="00944697"/>
    <w:rsid w:val="00B43FB5"/>
    <w:rsid w:val="00B5404D"/>
    <w:rsid w:val="00BE1ED1"/>
    <w:rsid w:val="00CB5EB8"/>
    <w:rsid w:val="00CF4679"/>
    <w:rsid w:val="00CF5B71"/>
    <w:rsid w:val="00D5679F"/>
    <w:rsid w:val="00D651D4"/>
    <w:rsid w:val="00DA0A71"/>
    <w:rsid w:val="00DD2F03"/>
    <w:rsid w:val="00DE1B94"/>
    <w:rsid w:val="00DE7C03"/>
    <w:rsid w:val="00E034B1"/>
    <w:rsid w:val="00EF2E1A"/>
    <w:rsid w:val="00F14274"/>
    <w:rsid w:val="00F25575"/>
    <w:rsid w:val="00FE4774"/>
    <w:rsid w:val="00FF48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D00A59E"/>
  <w15:chartTrackingRefBased/>
  <w15:docId w15:val="{333A3808-CB4D-4AD1-B807-6555FB842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D651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D651D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651D4"/>
    <w:rPr>
      <w:rFonts w:ascii="Segoe UI" w:hAnsi="Segoe UI" w:cs="Segoe UI"/>
      <w:sz w:val="18"/>
      <w:szCs w:val="18"/>
    </w:rPr>
  </w:style>
  <w:style w:type="paragraph" w:styleId="Odsekzoznamu">
    <w:name w:val="List Paragraph"/>
    <w:basedOn w:val="Normlny"/>
    <w:uiPriority w:val="34"/>
    <w:qFormat/>
    <w:rsid w:val="00652F8A"/>
    <w:pPr>
      <w:ind w:left="720"/>
      <w:contextualSpacing/>
    </w:pPr>
  </w:style>
  <w:style w:type="character" w:styleId="Hypertextovprepojenie">
    <w:name w:val="Hyperlink"/>
    <w:basedOn w:val="Predvolenpsmoodseku"/>
    <w:uiPriority w:val="99"/>
    <w:unhideWhenUsed/>
    <w:rsid w:val="007F57A0"/>
    <w:rPr>
      <w:color w:val="0563C1" w:themeColor="hyperlink"/>
      <w:u w:val="single"/>
    </w:rPr>
  </w:style>
  <w:style w:type="character" w:styleId="Nevyrieenzmienka">
    <w:name w:val="Unresolved Mention"/>
    <w:basedOn w:val="Predvolenpsmoodseku"/>
    <w:uiPriority w:val="99"/>
    <w:semiHidden/>
    <w:unhideWhenUsed/>
    <w:rsid w:val="007F57A0"/>
    <w:rPr>
      <w:color w:val="605E5C"/>
      <w:shd w:val="clear" w:color="auto" w:fill="E1DFDD"/>
    </w:rPr>
  </w:style>
  <w:style w:type="paragraph" w:styleId="Hlavika">
    <w:name w:val="header"/>
    <w:basedOn w:val="Normlny"/>
    <w:link w:val="HlavikaChar"/>
    <w:uiPriority w:val="99"/>
    <w:unhideWhenUsed/>
    <w:rsid w:val="008D2FE4"/>
    <w:pPr>
      <w:tabs>
        <w:tab w:val="center" w:pos="4513"/>
        <w:tab w:val="right" w:pos="9026"/>
      </w:tabs>
      <w:spacing w:after="0" w:line="240" w:lineRule="auto"/>
    </w:pPr>
  </w:style>
  <w:style w:type="character" w:customStyle="1" w:styleId="HlavikaChar">
    <w:name w:val="Hlavička Char"/>
    <w:basedOn w:val="Predvolenpsmoodseku"/>
    <w:link w:val="Hlavika"/>
    <w:uiPriority w:val="99"/>
    <w:rsid w:val="008D2FE4"/>
  </w:style>
  <w:style w:type="paragraph" w:styleId="Pta">
    <w:name w:val="footer"/>
    <w:basedOn w:val="Normlny"/>
    <w:link w:val="PtaChar"/>
    <w:uiPriority w:val="99"/>
    <w:unhideWhenUsed/>
    <w:rsid w:val="008D2FE4"/>
    <w:pPr>
      <w:tabs>
        <w:tab w:val="center" w:pos="4513"/>
        <w:tab w:val="right" w:pos="9026"/>
      </w:tabs>
      <w:spacing w:after="0" w:line="240" w:lineRule="auto"/>
    </w:pPr>
  </w:style>
  <w:style w:type="character" w:customStyle="1" w:styleId="PtaChar">
    <w:name w:val="Päta Char"/>
    <w:basedOn w:val="Predvolenpsmoodseku"/>
    <w:link w:val="Pta"/>
    <w:uiPriority w:val="99"/>
    <w:rsid w:val="008D2F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suranceeurope.eu/sites/default/files/attachments/Position%20on%20EIOPA%27s%20macroprudential%20work.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6ED0052EB2E848B8D9B3847498F708" ma:contentTypeVersion="" ma:contentTypeDescription="Create a new document." ma:contentTypeScope="" ma:versionID="6116810af309f6b487cd7e766183c186">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CF6A18-B7B6-44B3-8736-B19A3A08E5C1}">
  <ds:schemaRefs>
    <ds:schemaRef ds:uri="http://schemas.microsoft.com/sharepoint/v3/contenttype/forms"/>
  </ds:schemaRefs>
</ds:datastoreItem>
</file>

<file path=customXml/itemProps2.xml><?xml version="1.0" encoding="utf-8"?>
<ds:datastoreItem xmlns:ds="http://schemas.openxmlformats.org/officeDocument/2006/customXml" ds:itemID="{C4A4FF92-E39C-4826-921C-B40DA5E0D5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2C378B4-DB28-41BD-A161-34BFDE673362}">
  <ds:schemaRefs>
    <ds:schemaRef ds:uri="http://www.w3.org/XML/1998/namespace"/>
    <ds:schemaRef ds:uri="http://schemas.microsoft.com/office/infopath/2007/PartnerControls"/>
    <ds:schemaRef ds:uri="http://purl.org/dc/dcmitype/"/>
    <ds:schemaRef ds:uri="http://purl.org/dc/terms/"/>
    <ds:schemaRef ds:uri="http://schemas.microsoft.com/office/2006/documentManagement/types"/>
    <ds:schemaRef ds:uri="http://purl.org/dc/elements/1.1/"/>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E3FDF739-0D4E-4FD7-8E3A-7D9D1C9AE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1028</Words>
  <Characters>5861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analysis of ESRB Report_v1</dc:title>
  <dc:subject/>
  <dc:creator>Angus</dc:creator>
  <cp:keywords/>
  <dc:description/>
  <cp:lastModifiedBy>Bachníček Jozef</cp:lastModifiedBy>
  <cp:revision>2</cp:revision>
  <dcterms:created xsi:type="dcterms:W3CDTF">2020-03-25T15:24:00Z</dcterms:created>
  <dcterms:modified xsi:type="dcterms:W3CDTF">2020-03-25T15:24:00Z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0x010100A96ED0052EB2E848B8D9B3847498F708</vt:lpwstr>
  </property>
  <property fmtid="{D5CDD505-2E9C-101B-9397-08002B2CF9AE}" pid="3" name="Can be edited">
    <vt:bool>true</vt:bool>
  </property>
  <property fmtid="{D5CDD505-2E9C-101B-9397-08002B2CF9AE}" pid="4" name="isAnnex">
    <vt:lpwstr>True</vt:lpwstr>
  </property>
  <property fmtid="{D5CDD505-2E9C-101B-9397-08002B2CF9AE}" pid="5" name="Validated">
    <vt:bool>false</vt:bool>
  </property>
  <property fmtid="{D5CDD505-2E9C-101B-9397-08002B2CF9AE}" pid="6" name="Display validated documents library button">
    <vt:bool>true</vt:bool>
  </property>
  <property fmtid="{D5CDD505-2E9C-101B-9397-08002B2CF9AE}" pid="7" name="AllowComments">
    <vt:bool>false</vt:bool>
  </property>
  <property fmtid="{D5CDD505-2E9C-101B-9397-08002B2CF9AE}" pid="8" name="Uploads">
    <vt:bool>true</vt:bool>
  </property>
</Properties>
</file>