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27FE" w14:textId="2C04BBE4" w:rsidR="00A5543E" w:rsidRPr="00030729" w:rsidRDefault="004C2C4A" w:rsidP="00097061">
      <w:pPr>
        <w:pStyle w:val="Heading1withoutnumber"/>
        <w:spacing w:before="0" w:after="0" w:line="240" w:lineRule="auto"/>
      </w:pPr>
      <w:r w:rsidRPr="00030729">
        <w:t xml:space="preserve">Questions - </w:t>
      </w:r>
      <w:r w:rsidR="00392978" w:rsidRPr="00030729">
        <w:t>Consultation</w:t>
      </w:r>
      <w:r w:rsidR="00071445" w:rsidRPr="00030729">
        <w:t xml:space="preserve"> </w:t>
      </w:r>
      <w:r w:rsidR="00BD1346" w:rsidRPr="00030729">
        <w:t>T</w:t>
      </w:r>
      <w:r w:rsidR="00071445" w:rsidRPr="00030729">
        <w:t xml:space="preserve">ool on </w:t>
      </w:r>
      <w:r w:rsidR="006B0513" w:rsidRPr="006B0513">
        <w:t>the use of governance arrangements in third countries to perform functions or activities</w:t>
      </w:r>
    </w:p>
    <w:p w14:paraId="62E664A3" w14:textId="77777777" w:rsidR="00C3566C" w:rsidRDefault="00C3566C" w:rsidP="00097061">
      <w:pPr>
        <w:spacing w:after="0" w:line="240" w:lineRule="auto"/>
      </w:pPr>
    </w:p>
    <w:p w14:paraId="40C5B01F" w14:textId="0167040D" w:rsidR="00097061" w:rsidRPr="00097061" w:rsidRDefault="00030729" w:rsidP="00097061">
      <w:pPr>
        <w:spacing w:after="0" w:line="240" w:lineRule="auto"/>
        <w:rPr>
          <w:b/>
          <w:bCs/>
        </w:rPr>
      </w:pPr>
      <w:r w:rsidRPr="00030729">
        <w:t>Q1.</w:t>
      </w:r>
      <w:r w:rsidR="00CC7032">
        <w:tab/>
      </w:r>
      <w:r w:rsidR="00175D67" w:rsidRPr="00175D67">
        <w:rPr>
          <w:b/>
          <w:bCs/>
        </w:rPr>
        <w:t>D</w:t>
      </w:r>
      <w:r w:rsidR="00175D67" w:rsidRPr="003B3CDF">
        <w:rPr>
          <w:b/>
          <w:bCs/>
        </w:rPr>
        <w:t>o you agree that the use of arrangements by undertakings or intermediaries in a third country to conduct regulated functions or activities poses the risks identified in 2.10 and 2.11?</w:t>
      </w:r>
    </w:p>
    <w:sdt>
      <w:sdtPr>
        <w:rPr>
          <w:b/>
          <w:bCs/>
          <w:color w:val="3A6BAC" w:themeColor="accent1"/>
          <w:lang w:val="en-US"/>
        </w:rPr>
        <w:id w:val="-1030565600"/>
      </w:sdtPr>
      <w:sdtEndPr>
        <w:rPr>
          <w:b w:val="0"/>
          <w:bCs w:val="0"/>
          <w:color w:val="auto"/>
        </w:rPr>
      </w:sdtEndPr>
      <w:sdtContent>
        <w:p w14:paraId="6B715499" w14:textId="4B514A50" w:rsidR="008006A5" w:rsidRPr="008006A5" w:rsidRDefault="006744BB" w:rsidP="008006A5">
          <w:pPr>
            <w:spacing w:after="0" w:line="240" w:lineRule="auto"/>
            <w:jc w:val="both"/>
            <w:rPr>
              <w:rFonts w:ascii="Verdana" w:hAnsi="Verdana" w:cs="Calibri"/>
              <w:color w:val="3A6BAC" w:themeColor="accent1"/>
              <w:sz w:val="18"/>
              <w:szCs w:val="18"/>
            </w:rPr>
          </w:pPr>
          <w:r w:rsidRPr="00863DB6">
            <w:rPr>
              <w:rFonts w:ascii="Verdana" w:hAnsi="Verdana" w:cs="Calibri"/>
              <w:color w:val="3A6BAC" w:themeColor="accent1"/>
              <w:sz w:val="18"/>
              <w:szCs w:val="18"/>
            </w:rPr>
            <w:t>Insurance Europe</w:t>
          </w:r>
          <w:r w:rsidR="0061290C" w:rsidRPr="00863DB6">
            <w:rPr>
              <w:rFonts w:ascii="Verdana" w:hAnsi="Verdana" w:cs="Calibri"/>
              <w:color w:val="3A6BAC" w:themeColor="accent1"/>
              <w:sz w:val="18"/>
              <w:szCs w:val="18"/>
            </w:rPr>
            <w:t xml:space="preserve"> </w:t>
          </w:r>
          <w:r w:rsidR="00F14176" w:rsidRPr="00863DB6">
            <w:rPr>
              <w:rFonts w:ascii="Verdana" w:hAnsi="Verdana" w:cs="Calibri"/>
              <w:color w:val="3A6BAC" w:themeColor="accent1"/>
              <w:sz w:val="18"/>
              <w:szCs w:val="18"/>
            </w:rPr>
            <w:t>acknowledge</w:t>
          </w:r>
          <w:r w:rsidR="0046074C" w:rsidRPr="00863DB6">
            <w:rPr>
              <w:rFonts w:ascii="Verdana" w:hAnsi="Verdana" w:cs="Calibri"/>
              <w:color w:val="3A6BAC" w:themeColor="accent1"/>
              <w:sz w:val="18"/>
              <w:szCs w:val="18"/>
            </w:rPr>
            <w:t xml:space="preserve">s the </w:t>
          </w:r>
          <w:r w:rsidR="00475645" w:rsidRPr="00863DB6">
            <w:rPr>
              <w:rFonts w:ascii="Verdana" w:hAnsi="Verdana" w:cs="Calibri"/>
              <w:color w:val="3A6BAC" w:themeColor="accent1"/>
              <w:sz w:val="18"/>
              <w:szCs w:val="18"/>
            </w:rPr>
            <w:t>supervisory concerns raised in the consultation paper</w:t>
          </w:r>
          <w:r w:rsidR="00FB72A1" w:rsidRPr="00863DB6">
            <w:rPr>
              <w:rFonts w:ascii="Verdana" w:hAnsi="Verdana" w:cs="Calibri"/>
              <w:color w:val="3A6BAC" w:themeColor="accent1"/>
              <w:sz w:val="18"/>
              <w:szCs w:val="18"/>
            </w:rPr>
            <w:t xml:space="preserve"> and </w:t>
          </w:r>
          <w:r w:rsidR="009566BF" w:rsidRPr="00863DB6">
            <w:rPr>
              <w:rFonts w:ascii="Verdana" w:hAnsi="Verdana" w:cs="Calibri"/>
              <w:color w:val="3A6BAC" w:themeColor="accent1"/>
              <w:sz w:val="18"/>
              <w:szCs w:val="18"/>
            </w:rPr>
            <w:t xml:space="preserve">agrees that </w:t>
          </w:r>
          <w:r w:rsidR="00E00C22" w:rsidRPr="00863DB6">
            <w:rPr>
              <w:rFonts w:ascii="Verdana" w:hAnsi="Verdana" w:cs="Calibri"/>
              <w:color w:val="3A6BAC" w:themeColor="accent1"/>
              <w:sz w:val="18"/>
              <w:szCs w:val="18"/>
            </w:rPr>
            <w:t>there</w:t>
          </w:r>
          <w:r w:rsidR="006F6899">
            <w:rPr>
              <w:rFonts w:ascii="Verdana" w:hAnsi="Verdana" w:cs="Calibri"/>
              <w:color w:val="3A6BAC" w:themeColor="accent1"/>
              <w:sz w:val="18"/>
              <w:szCs w:val="18"/>
            </w:rPr>
            <w:t xml:space="preserve"> are</w:t>
          </w:r>
          <w:r w:rsidR="00CB78AC">
            <w:rPr>
              <w:rFonts w:ascii="Verdana" w:hAnsi="Verdana" w:cs="Calibri"/>
              <w:color w:val="3A6BAC" w:themeColor="accent1"/>
              <w:sz w:val="18"/>
              <w:szCs w:val="18"/>
            </w:rPr>
            <w:t xml:space="preserve"> </w:t>
          </w:r>
          <w:r w:rsidR="00FB72A1" w:rsidRPr="00863DB6">
            <w:rPr>
              <w:rFonts w:ascii="Verdana" w:hAnsi="Verdana" w:cs="Calibri"/>
              <w:color w:val="3A6BAC" w:themeColor="accent1"/>
              <w:sz w:val="18"/>
              <w:szCs w:val="18"/>
            </w:rPr>
            <w:t xml:space="preserve">potential </w:t>
          </w:r>
          <w:r w:rsidR="00E00C22" w:rsidRPr="00863DB6">
            <w:rPr>
              <w:rFonts w:ascii="Verdana" w:hAnsi="Verdana" w:cs="Calibri"/>
              <w:color w:val="3A6BAC" w:themeColor="accent1"/>
              <w:sz w:val="18"/>
              <w:szCs w:val="18"/>
            </w:rPr>
            <w:t>risk</w:t>
          </w:r>
          <w:r w:rsidR="00FB72A1" w:rsidRPr="00863DB6">
            <w:rPr>
              <w:rFonts w:ascii="Verdana" w:hAnsi="Verdana" w:cs="Calibri"/>
              <w:color w:val="3A6BAC" w:themeColor="accent1"/>
              <w:sz w:val="18"/>
              <w:szCs w:val="18"/>
            </w:rPr>
            <w:t>s arising from the use of third country branches to conduct regulated functions or activities within the EU</w:t>
          </w:r>
          <w:r w:rsidR="004A14A8">
            <w:rPr>
              <w:rFonts w:ascii="Verdana" w:hAnsi="Verdana" w:cs="Calibri"/>
              <w:color w:val="3A6BAC" w:themeColor="accent1"/>
              <w:sz w:val="18"/>
              <w:szCs w:val="18"/>
            </w:rPr>
            <w:t xml:space="preserve"> </w:t>
          </w:r>
          <w:r w:rsidR="004A14A8" w:rsidDel="008006A5">
            <w:rPr>
              <w:rFonts w:ascii="Verdana" w:hAnsi="Verdana" w:cs="Calibri"/>
              <w:color w:val="3A6BAC" w:themeColor="accent1"/>
              <w:sz w:val="18"/>
              <w:szCs w:val="18"/>
            </w:rPr>
            <w:t>if not properly managed, controlled and supervised</w:t>
          </w:r>
          <w:r w:rsidR="00CD2E80" w:rsidRPr="00863DB6" w:rsidDel="008006A5">
            <w:rPr>
              <w:rFonts w:ascii="Verdana" w:hAnsi="Verdana" w:cs="Calibri"/>
              <w:color w:val="3A6BAC" w:themeColor="accent1"/>
              <w:sz w:val="18"/>
              <w:szCs w:val="18"/>
            </w:rPr>
            <w:t>.</w:t>
          </w:r>
          <w:r w:rsidR="00933D41">
            <w:rPr>
              <w:rFonts w:ascii="Verdana" w:hAnsi="Verdana" w:cs="Calibri"/>
              <w:color w:val="3A6BAC" w:themeColor="accent1"/>
              <w:sz w:val="18"/>
              <w:szCs w:val="18"/>
            </w:rPr>
            <w:t xml:space="preserve"> </w:t>
          </w:r>
          <w:r w:rsidR="008006A5" w:rsidRPr="008006A5">
            <w:rPr>
              <w:rFonts w:ascii="Verdana" w:hAnsi="Verdana" w:cs="Calibri"/>
              <w:color w:val="3A6BAC" w:themeColor="accent1"/>
              <w:sz w:val="18"/>
              <w:szCs w:val="18"/>
            </w:rPr>
            <w:t>In particular, the lack of a system of governance in the EU might prevent proper supervision by the authorities and ultimately impair EU policyholder protection.</w:t>
          </w:r>
        </w:p>
        <w:p w14:paraId="75C75755" w14:textId="77777777" w:rsidR="008006A5" w:rsidRPr="008006A5" w:rsidRDefault="008006A5" w:rsidP="008006A5">
          <w:pPr>
            <w:spacing w:after="0" w:line="240" w:lineRule="auto"/>
            <w:jc w:val="both"/>
            <w:rPr>
              <w:rFonts w:ascii="Verdana" w:hAnsi="Verdana" w:cs="Calibri"/>
              <w:color w:val="3A6BAC" w:themeColor="accent1"/>
              <w:sz w:val="18"/>
              <w:szCs w:val="18"/>
            </w:rPr>
          </w:pPr>
        </w:p>
        <w:p w14:paraId="20BE4A50" w14:textId="7B6E4B7D" w:rsidR="001D28B2" w:rsidRPr="00863DB6" w:rsidRDefault="008006A5" w:rsidP="008006A5">
          <w:pPr>
            <w:spacing w:after="0" w:line="240" w:lineRule="auto"/>
            <w:jc w:val="both"/>
            <w:rPr>
              <w:rFonts w:ascii="Verdana" w:hAnsi="Verdana" w:cs="Calibri"/>
              <w:color w:val="3A6BAC" w:themeColor="accent1"/>
              <w:sz w:val="18"/>
              <w:szCs w:val="18"/>
            </w:rPr>
          </w:pPr>
          <w:r w:rsidRPr="008006A5">
            <w:rPr>
              <w:rFonts w:ascii="Verdana" w:hAnsi="Verdana" w:cs="Calibri"/>
              <w:color w:val="3A6BAC" w:themeColor="accent1"/>
              <w:sz w:val="18"/>
              <w:szCs w:val="18"/>
            </w:rPr>
            <w:t xml:space="preserve">However, it should also be acknowledged that any regulated functions or activities performed by either the head office or any branch of an insurance company, or an insurance intermediary, have the potential to create risks of the types referred to if not properly managed and controlled  </w:t>
          </w:r>
        </w:p>
        <w:p w14:paraId="0382A209" w14:textId="77777777" w:rsidR="003404E3" w:rsidRPr="00863DB6" w:rsidRDefault="003404E3" w:rsidP="00097061">
          <w:pPr>
            <w:spacing w:after="0" w:line="240" w:lineRule="auto"/>
            <w:jc w:val="both"/>
            <w:rPr>
              <w:rFonts w:ascii="Verdana" w:hAnsi="Verdana" w:cs="Calibri"/>
              <w:color w:val="3A6BAC" w:themeColor="accent1"/>
              <w:sz w:val="18"/>
              <w:szCs w:val="18"/>
            </w:rPr>
          </w:pPr>
        </w:p>
        <w:p w14:paraId="3ACEA7FD" w14:textId="1A763E80" w:rsidR="00A62EC0" w:rsidRPr="00863DB6" w:rsidRDefault="00A62EC0" w:rsidP="00097061">
          <w:pPr>
            <w:spacing w:after="0" w:line="240" w:lineRule="auto"/>
            <w:jc w:val="both"/>
            <w:rPr>
              <w:rFonts w:ascii="Verdana" w:hAnsi="Verdana" w:cs="Calibri"/>
              <w:color w:val="3A6BAC" w:themeColor="accent1"/>
              <w:sz w:val="18"/>
              <w:szCs w:val="18"/>
            </w:rPr>
          </w:pPr>
          <w:r w:rsidRPr="00863DB6">
            <w:rPr>
              <w:rFonts w:ascii="Verdana" w:hAnsi="Verdana" w:cs="Calibri"/>
              <w:color w:val="3A6BAC" w:themeColor="accent1"/>
              <w:sz w:val="18"/>
              <w:szCs w:val="18"/>
            </w:rPr>
            <w:t>There are multiple factors which need to be considered when assessing wh</w:t>
          </w:r>
          <w:r w:rsidR="00F301C0" w:rsidRPr="00863DB6">
            <w:rPr>
              <w:rFonts w:ascii="Verdana" w:hAnsi="Verdana" w:cs="Calibri"/>
              <w:color w:val="3A6BAC" w:themeColor="accent1"/>
              <w:sz w:val="18"/>
              <w:szCs w:val="18"/>
            </w:rPr>
            <w:t xml:space="preserve">ether </w:t>
          </w:r>
          <w:r w:rsidR="00224ABF" w:rsidRPr="00863DB6">
            <w:rPr>
              <w:rFonts w:ascii="Verdana" w:hAnsi="Verdana" w:cs="Calibri"/>
              <w:color w:val="3A6BAC" w:themeColor="accent1"/>
              <w:sz w:val="18"/>
              <w:szCs w:val="18"/>
            </w:rPr>
            <w:t xml:space="preserve">the location where regulated functions and activities are conducted </w:t>
          </w:r>
          <w:r w:rsidR="004E7FE1" w:rsidRPr="00863DB6">
            <w:rPr>
              <w:rFonts w:ascii="Verdana" w:hAnsi="Verdana" w:cs="Calibri"/>
              <w:color w:val="3A6BAC" w:themeColor="accent1"/>
              <w:sz w:val="18"/>
              <w:szCs w:val="18"/>
            </w:rPr>
            <w:t>is a source of additional risk</w:t>
          </w:r>
          <w:r w:rsidRPr="00863DB6">
            <w:rPr>
              <w:rFonts w:ascii="Verdana" w:hAnsi="Verdana" w:cs="Calibri"/>
              <w:color w:val="3A6BAC" w:themeColor="accent1"/>
              <w:sz w:val="18"/>
              <w:szCs w:val="18"/>
            </w:rPr>
            <w:t>.</w:t>
          </w:r>
        </w:p>
        <w:p w14:paraId="3A487949" w14:textId="77777777" w:rsidR="00A62EC0" w:rsidRPr="00863DB6" w:rsidRDefault="00A62EC0" w:rsidP="00097061">
          <w:pPr>
            <w:spacing w:after="0" w:line="240" w:lineRule="auto"/>
            <w:jc w:val="both"/>
            <w:rPr>
              <w:rFonts w:ascii="Verdana" w:hAnsi="Verdana" w:cs="Calibri"/>
              <w:color w:val="3A6BAC" w:themeColor="accent1"/>
              <w:sz w:val="18"/>
              <w:szCs w:val="18"/>
            </w:rPr>
          </w:pPr>
        </w:p>
        <w:p w14:paraId="581C6EA3" w14:textId="1C130944" w:rsidR="00A62EC0" w:rsidRPr="00602DC6" w:rsidRDefault="00A62EC0" w:rsidP="00A62EC0">
          <w:pPr>
            <w:pStyle w:val="Odsekzoznamu"/>
            <w:numPr>
              <w:ilvl w:val="0"/>
              <w:numId w:val="41"/>
            </w:numPr>
            <w:spacing w:after="0" w:line="240" w:lineRule="auto"/>
            <w:jc w:val="both"/>
            <w:rPr>
              <w:rFonts w:ascii="Verdana" w:hAnsi="Verdana" w:cs="Calibri"/>
              <w:color w:val="3A6BAC" w:themeColor="accent1"/>
              <w:sz w:val="18"/>
              <w:szCs w:val="18"/>
              <w:lang w:val="en-GB"/>
            </w:rPr>
          </w:pPr>
          <w:r w:rsidRPr="00863DB6">
            <w:rPr>
              <w:rFonts w:ascii="Verdana" w:hAnsi="Verdana" w:cs="Calibri"/>
              <w:color w:val="3A6BAC" w:themeColor="accent1"/>
              <w:sz w:val="18"/>
              <w:szCs w:val="18"/>
              <w:lang w:val="en-GB"/>
            </w:rPr>
            <w:t>Branches located in such countries are de facto regulated and supervised by at minimum two regulators/supervisors (</w:t>
          </w:r>
          <w:r w:rsidR="00F542D3" w:rsidRPr="00863DB6">
            <w:rPr>
              <w:rFonts w:ascii="Verdana" w:hAnsi="Verdana" w:cs="Calibri"/>
              <w:color w:val="3A6BAC" w:themeColor="accent1"/>
              <w:sz w:val="18"/>
              <w:szCs w:val="18"/>
              <w:lang w:val="en-GB"/>
            </w:rPr>
            <w:t xml:space="preserve">potentially </w:t>
          </w:r>
          <w:r w:rsidR="008D6A95">
            <w:rPr>
              <w:rFonts w:ascii="Verdana" w:hAnsi="Verdana" w:cs="Calibri"/>
              <w:color w:val="3A6BAC" w:themeColor="accent1"/>
              <w:sz w:val="18"/>
              <w:szCs w:val="18"/>
              <w:lang w:val="en-GB"/>
            </w:rPr>
            <w:t>even more</w:t>
          </w:r>
          <w:r w:rsidRPr="00863DB6">
            <w:rPr>
              <w:rFonts w:ascii="Verdana" w:hAnsi="Verdana" w:cs="Calibri"/>
              <w:color w:val="3A6BAC" w:themeColor="accent1"/>
              <w:sz w:val="18"/>
              <w:szCs w:val="18"/>
              <w:lang w:val="en-GB"/>
            </w:rPr>
            <w:t xml:space="preserve"> if the entity is part of a larger Group). </w:t>
          </w:r>
        </w:p>
        <w:p w14:paraId="3D0B1B00" w14:textId="1D60E8C6" w:rsidR="00A62EC0" w:rsidRPr="00B74042" w:rsidRDefault="00A62EC0" w:rsidP="000C5896">
          <w:pPr>
            <w:pStyle w:val="Odsekzoznamu"/>
            <w:numPr>
              <w:ilvl w:val="0"/>
              <w:numId w:val="41"/>
            </w:numPr>
            <w:spacing w:after="0" w:line="240" w:lineRule="auto"/>
            <w:jc w:val="both"/>
            <w:rPr>
              <w:rFonts w:ascii="Verdana" w:hAnsi="Verdana"/>
              <w:color w:val="3A6BAC" w:themeColor="accent1"/>
              <w:sz w:val="18"/>
              <w:lang w:val="en-GB"/>
            </w:rPr>
          </w:pPr>
          <w:r w:rsidRPr="0077448D">
            <w:rPr>
              <w:rFonts w:ascii="Verdana" w:hAnsi="Verdana" w:cs="Calibri"/>
              <w:color w:val="3A6BAC" w:themeColor="accent1"/>
              <w:sz w:val="18"/>
              <w:szCs w:val="18"/>
              <w:lang w:val="en-GB"/>
            </w:rPr>
            <w:t xml:space="preserve">Internal control frameworks of EU insurance undertakings having cross-border activities and an international network are capturing </w:t>
          </w:r>
          <w:r w:rsidRPr="007837A3">
            <w:rPr>
              <w:rFonts w:ascii="Verdana" w:hAnsi="Verdana" w:cs="Calibri"/>
              <w:color w:val="3A6BAC" w:themeColor="accent1"/>
              <w:sz w:val="18"/>
              <w:szCs w:val="18"/>
              <w:lang w:val="en-GB"/>
            </w:rPr>
            <w:t>the EU requirements that are implemented globally, as expected by EU regulators/supervisors</w:t>
          </w:r>
          <w:r w:rsidR="00857E25">
            <w:rPr>
              <w:rFonts w:ascii="Verdana" w:hAnsi="Verdana" w:cs="Calibri"/>
              <w:color w:val="3A6BAC" w:themeColor="accent1"/>
              <w:sz w:val="18"/>
              <w:szCs w:val="18"/>
              <w:lang w:val="en-GB"/>
            </w:rPr>
            <w:t xml:space="preserve">, independent </w:t>
          </w:r>
          <w:r w:rsidR="009B4DBB" w:rsidRPr="007837A3">
            <w:rPr>
              <w:rFonts w:ascii="Verdana" w:hAnsi="Verdana" w:cs="Calibri"/>
              <w:color w:val="3A6BAC" w:themeColor="accent1"/>
              <w:sz w:val="18"/>
              <w:szCs w:val="18"/>
            </w:rPr>
            <w:t>of the location of an individual branch</w:t>
          </w:r>
          <w:r w:rsidR="009B4DBB" w:rsidRPr="00281370">
            <w:rPr>
              <w:rFonts w:ascii="Verdana" w:hAnsi="Verdana"/>
              <w:color w:val="3A6BAC" w:themeColor="accent1"/>
              <w:sz w:val="18"/>
            </w:rPr>
            <w:t>.</w:t>
          </w:r>
        </w:p>
        <w:p w14:paraId="30F2641E" w14:textId="77777777" w:rsidR="00142F44" w:rsidRPr="00863DB6" w:rsidRDefault="00A62EC0" w:rsidP="00CC7032">
          <w:pPr>
            <w:pStyle w:val="Odsekzoznamu"/>
            <w:numPr>
              <w:ilvl w:val="0"/>
              <w:numId w:val="41"/>
            </w:numPr>
            <w:spacing w:after="0" w:line="240" w:lineRule="auto"/>
            <w:jc w:val="both"/>
            <w:rPr>
              <w:rFonts w:ascii="Verdana" w:hAnsi="Verdana" w:cs="Calibri"/>
              <w:color w:val="3A6BAC" w:themeColor="accent1"/>
              <w:sz w:val="18"/>
              <w:szCs w:val="18"/>
              <w:lang w:val="en-GB"/>
            </w:rPr>
          </w:pPr>
          <w:r w:rsidRPr="00863DB6">
            <w:rPr>
              <w:rFonts w:ascii="Verdana" w:hAnsi="Verdana" w:cs="Calibri"/>
              <w:color w:val="3A6BAC" w:themeColor="accent1"/>
              <w:sz w:val="18"/>
              <w:szCs w:val="18"/>
              <w:lang w:val="en-GB"/>
            </w:rPr>
            <w:t xml:space="preserve">The operating effectiveness of </w:t>
          </w:r>
          <w:r w:rsidR="00E807C7" w:rsidRPr="00863DB6">
            <w:rPr>
              <w:rFonts w:ascii="Verdana" w:hAnsi="Verdana" w:cs="Calibri"/>
              <w:color w:val="3A6BAC" w:themeColor="accent1"/>
              <w:sz w:val="18"/>
              <w:szCs w:val="18"/>
              <w:lang w:val="en-GB"/>
            </w:rPr>
            <w:t xml:space="preserve">the </w:t>
          </w:r>
          <w:r w:rsidRPr="00863DB6">
            <w:rPr>
              <w:rFonts w:ascii="Verdana" w:hAnsi="Verdana" w:cs="Calibri"/>
              <w:color w:val="3A6BAC" w:themeColor="accent1"/>
              <w:sz w:val="18"/>
              <w:szCs w:val="18"/>
              <w:lang w:val="en-GB"/>
            </w:rPr>
            <w:t xml:space="preserve">applicable control framework and related activities should be effective (with audit trail in place) to meet the supervisory expectations. This can be achieved by having in place </w:t>
          </w:r>
        </w:p>
        <w:p w14:paraId="2A856F4F" w14:textId="77777777" w:rsidR="00142F44" w:rsidRPr="00863DB6" w:rsidRDefault="00A62EC0" w:rsidP="00CC7032">
          <w:pPr>
            <w:pStyle w:val="Odsekzoznamu"/>
            <w:numPr>
              <w:ilvl w:val="1"/>
              <w:numId w:val="41"/>
            </w:numPr>
            <w:spacing w:after="0" w:line="240" w:lineRule="auto"/>
            <w:jc w:val="both"/>
            <w:rPr>
              <w:rFonts w:ascii="Verdana" w:hAnsi="Verdana" w:cs="Calibri"/>
              <w:color w:val="3A6BAC" w:themeColor="accent1"/>
              <w:sz w:val="18"/>
              <w:szCs w:val="18"/>
              <w:lang w:val="en-GB"/>
            </w:rPr>
          </w:pPr>
          <w:r w:rsidRPr="00863DB6">
            <w:rPr>
              <w:rFonts w:ascii="Verdana" w:hAnsi="Verdana" w:cs="Calibri"/>
              <w:color w:val="3A6BAC" w:themeColor="accent1"/>
              <w:sz w:val="18"/>
              <w:szCs w:val="18"/>
              <w:lang w:val="en-GB"/>
            </w:rPr>
            <w:t>the right governance addressing risk management and effective decision making</w:t>
          </w:r>
          <w:r w:rsidR="00E807C7" w:rsidRPr="00863DB6">
            <w:rPr>
              <w:rFonts w:ascii="Verdana" w:hAnsi="Verdana" w:cs="Calibri"/>
              <w:color w:val="3A6BAC" w:themeColor="accent1"/>
              <w:sz w:val="18"/>
              <w:szCs w:val="18"/>
              <w:lang w:val="en-GB"/>
            </w:rPr>
            <w:t xml:space="preserve"> </w:t>
          </w:r>
        </w:p>
        <w:p w14:paraId="6C9190CD" w14:textId="77777777" w:rsidR="0068715D" w:rsidRPr="00863DB6" w:rsidRDefault="00A62EC0" w:rsidP="00CC7032">
          <w:pPr>
            <w:pStyle w:val="Odsekzoznamu"/>
            <w:numPr>
              <w:ilvl w:val="1"/>
              <w:numId w:val="41"/>
            </w:numPr>
            <w:spacing w:after="0" w:line="240" w:lineRule="auto"/>
            <w:jc w:val="both"/>
            <w:rPr>
              <w:rFonts w:ascii="Verdana" w:hAnsi="Verdana" w:cs="Calibri"/>
              <w:color w:val="3A6BAC" w:themeColor="accent1"/>
              <w:sz w:val="18"/>
              <w:szCs w:val="18"/>
            </w:rPr>
          </w:pPr>
          <w:r w:rsidRPr="00863DB6">
            <w:rPr>
              <w:rFonts w:ascii="Verdana" w:hAnsi="Verdana" w:cs="Calibri"/>
              <w:color w:val="3A6BAC" w:themeColor="accent1"/>
              <w:sz w:val="18"/>
              <w:szCs w:val="18"/>
              <w:lang w:val="en-GB"/>
            </w:rPr>
            <w:t>appropriate processes addressing financial, operational and reputational risks so that ultimately policyholder protection is not impaired.</w:t>
          </w:r>
        </w:p>
        <w:p w14:paraId="132FADDD" w14:textId="19D75569" w:rsidR="00A62EC0" w:rsidRPr="00863DB6" w:rsidRDefault="00A62EC0" w:rsidP="00CC7032">
          <w:pPr>
            <w:pStyle w:val="Odsekzoznamu"/>
            <w:numPr>
              <w:ilvl w:val="0"/>
              <w:numId w:val="41"/>
            </w:numPr>
            <w:spacing w:after="0" w:line="240" w:lineRule="auto"/>
            <w:jc w:val="both"/>
            <w:rPr>
              <w:rFonts w:ascii="Verdana" w:hAnsi="Verdana" w:cs="Calibri"/>
              <w:color w:val="3A6BAC" w:themeColor="accent1"/>
              <w:sz w:val="18"/>
              <w:szCs w:val="18"/>
              <w:lang w:val="en-GB"/>
            </w:rPr>
          </w:pPr>
          <w:r w:rsidRPr="00863DB6">
            <w:rPr>
              <w:rFonts w:ascii="Verdana" w:hAnsi="Verdana" w:cs="Calibri"/>
              <w:color w:val="3A6BAC" w:themeColor="accent1"/>
              <w:sz w:val="18"/>
              <w:szCs w:val="18"/>
              <w:lang w:val="en-GB"/>
            </w:rPr>
            <w:t xml:space="preserve">Supervisory authorities have access to persons, documents and activities performed by the entities they regulate, including their foreign subsidiaries and branches. Various tools are available to achieve this, including reaching out or activating agreements with third country </w:t>
          </w:r>
          <w:r w:rsidR="00610E13">
            <w:rPr>
              <w:rFonts w:ascii="Verdana" w:hAnsi="Verdana" w:cs="Calibri"/>
              <w:color w:val="3A6BAC" w:themeColor="accent1"/>
              <w:sz w:val="18"/>
              <w:szCs w:val="18"/>
              <w:lang w:val="en-GB"/>
            </w:rPr>
            <w:t>authorities</w:t>
          </w:r>
          <w:r w:rsidRPr="00863DB6">
            <w:rPr>
              <w:rFonts w:ascii="Verdana" w:hAnsi="Verdana" w:cs="Calibri"/>
              <w:color w:val="3A6BAC" w:themeColor="accent1"/>
              <w:sz w:val="18"/>
              <w:szCs w:val="18"/>
              <w:lang w:val="en-GB"/>
            </w:rPr>
            <w:t>, securing the ability to conduct proper supervision.</w:t>
          </w:r>
        </w:p>
        <w:p w14:paraId="1F9AB9E4" w14:textId="7F73E25B" w:rsidR="00A62EC0" w:rsidRDefault="00A62EC0" w:rsidP="00CC7032">
          <w:pPr>
            <w:pStyle w:val="Odsekzoznamu"/>
            <w:numPr>
              <w:ilvl w:val="0"/>
              <w:numId w:val="41"/>
            </w:numPr>
            <w:spacing w:after="0" w:line="240" w:lineRule="auto"/>
            <w:jc w:val="both"/>
            <w:rPr>
              <w:rFonts w:ascii="Verdana" w:hAnsi="Verdana" w:cs="Calibri"/>
              <w:color w:val="3A6BAC" w:themeColor="accent1"/>
              <w:sz w:val="18"/>
              <w:szCs w:val="18"/>
              <w:lang w:val="en-GB"/>
            </w:rPr>
          </w:pPr>
          <w:r w:rsidRPr="00863DB6">
            <w:rPr>
              <w:rFonts w:ascii="Verdana" w:hAnsi="Verdana" w:cs="Calibri"/>
              <w:color w:val="3A6BAC" w:themeColor="accent1"/>
              <w:sz w:val="18"/>
              <w:szCs w:val="18"/>
              <w:lang w:val="en-GB"/>
            </w:rPr>
            <w:t>Supervisory authorities can have sufficient visibility of the functions performed in a third country and can obtain rights to carry out on-site inspections without restricting/interfering with how a regulated entity is structuring its operations and business.</w:t>
          </w:r>
        </w:p>
      </w:sdtContent>
    </w:sdt>
    <w:p w14:paraId="27001753" w14:textId="4D3816CA" w:rsidR="006412D2" w:rsidRPr="002E611C" w:rsidRDefault="006412D2" w:rsidP="006412D2">
      <w:pPr>
        <w:pStyle w:val="Odsekzoznamu"/>
        <w:numPr>
          <w:ilvl w:val="0"/>
          <w:numId w:val="41"/>
        </w:numPr>
        <w:spacing w:after="0" w:line="240" w:lineRule="auto"/>
        <w:jc w:val="both"/>
        <w:rPr>
          <w:rFonts w:ascii="Verdana" w:hAnsi="Verdana" w:cs="Calibri"/>
          <w:color w:val="3A6BAC" w:themeColor="accent1"/>
          <w:sz w:val="18"/>
          <w:szCs w:val="18"/>
          <w:lang w:val="en-GB"/>
        </w:rPr>
      </w:pPr>
      <w:r>
        <w:rPr>
          <w:rFonts w:ascii="Verdana" w:hAnsi="Verdana" w:cs="Calibri"/>
          <w:color w:val="3A6BAC" w:themeColor="accent1"/>
          <w:sz w:val="18"/>
          <w:szCs w:val="18"/>
        </w:rPr>
        <w:t>The quality of the regulatory regime applicable to the branch is relevant. Even where formal equivalence is not given, a jurisdiction which has a Solvency II/IDD based regime or a similarly mature regulatory framework significantly mitigates governance risk.</w:t>
      </w:r>
    </w:p>
    <w:p w14:paraId="5F70A8FB" w14:textId="77777777" w:rsidR="00C3566C" w:rsidRPr="00030729" w:rsidRDefault="00C3566C" w:rsidP="00097061">
      <w:pPr>
        <w:spacing w:after="0" w:line="240" w:lineRule="auto"/>
      </w:pPr>
    </w:p>
    <w:p w14:paraId="46002C52" w14:textId="4134994E" w:rsidR="00097061" w:rsidRDefault="00030729" w:rsidP="00097061">
      <w:pPr>
        <w:spacing w:after="0" w:line="240" w:lineRule="auto"/>
      </w:pPr>
      <w:r w:rsidRPr="00D97876">
        <w:t>Q2.</w:t>
      </w:r>
      <w:r w:rsidR="00CC7032">
        <w:tab/>
      </w:r>
      <w:r w:rsidR="00F074EE" w:rsidRPr="003B3CDF">
        <w:rPr>
          <w:b/>
          <w:bCs/>
        </w:rPr>
        <w:t>Do you agree with the scope of the Supervisory statement?</w:t>
      </w:r>
    </w:p>
    <w:p w14:paraId="3A4D06BE" w14:textId="6AF14DEF" w:rsidR="0045310F" w:rsidRDefault="00D3355F" w:rsidP="0045310F">
      <w:pPr>
        <w:spacing w:after="0" w:line="240" w:lineRule="auto"/>
        <w:jc w:val="both"/>
        <w:rPr>
          <w:rFonts w:ascii="Verdana" w:hAnsi="Verdana" w:cs="Calibri"/>
          <w:color w:val="3A6BAC" w:themeColor="accent1"/>
          <w:sz w:val="18"/>
          <w:szCs w:val="18"/>
        </w:rPr>
      </w:pPr>
      <w:r w:rsidRPr="00863DB6">
        <w:rPr>
          <w:rFonts w:ascii="Verdana" w:hAnsi="Verdana" w:cs="Calibri"/>
          <w:color w:val="3A6BAC" w:themeColor="accent1"/>
          <w:sz w:val="18"/>
          <w:szCs w:val="18"/>
        </w:rPr>
        <w:t>Insurance Europe considers that</w:t>
      </w:r>
      <w:r w:rsidR="0045310F" w:rsidRPr="0045310F" w:rsidDel="00D038EB">
        <w:rPr>
          <w:rFonts w:ascii="Verdana" w:hAnsi="Verdana" w:cs="Calibri"/>
          <w:color w:val="3A6BAC" w:themeColor="accent1"/>
          <w:sz w:val="18"/>
          <w:szCs w:val="18"/>
        </w:rPr>
        <w:t xml:space="preserve"> </w:t>
      </w:r>
      <w:r w:rsidR="0045310F" w:rsidRPr="00863DB6">
        <w:rPr>
          <w:rFonts w:ascii="Verdana" w:hAnsi="Verdana" w:cs="Calibri"/>
          <w:color w:val="3A6BAC" w:themeColor="accent1"/>
          <w:sz w:val="18"/>
          <w:szCs w:val="18"/>
        </w:rPr>
        <w:t>it would be beneficial to exclude intermediaries from scope – their EU clients want and benefit from access to international expertise. If as a result of this statement, global</w:t>
      </w:r>
      <w:r w:rsidR="0045310F">
        <w:rPr>
          <w:rFonts w:ascii="Verdana" w:hAnsi="Verdana" w:cs="Calibri"/>
          <w:color w:val="3A6BAC" w:themeColor="accent1"/>
          <w:sz w:val="18"/>
          <w:szCs w:val="18"/>
        </w:rPr>
        <w:t xml:space="preserve"> business</w:t>
      </w:r>
      <w:r w:rsidR="0045310F" w:rsidRPr="00863DB6">
        <w:rPr>
          <w:rFonts w:ascii="Verdana" w:hAnsi="Verdana" w:cs="Calibri"/>
          <w:color w:val="3A6BAC" w:themeColor="accent1"/>
          <w:sz w:val="18"/>
          <w:szCs w:val="18"/>
        </w:rPr>
        <w:t xml:space="preserve"> must be split into parts, this could add to the administrative</w:t>
      </w:r>
      <w:r w:rsidR="0045310F" w:rsidRPr="005029DA">
        <w:rPr>
          <w:rFonts w:ascii="Arial" w:hAnsi="Arial" w:cs="Arial"/>
          <w:color w:val="AA322F" w:themeColor="accent2"/>
          <w:kern w:val="24"/>
        </w:rPr>
        <w:t xml:space="preserve"> </w:t>
      </w:r>
      <w:r w:rsidR="0045310F" w:rsidRPr="00863DB6">
        <w:rPr>
          <w:rFonts w:ascii="Verdana" w:hAnsi="Verdana" w:cs="Calibri"/>
          <w:color w:val="3A6BAC" w:themeColor="accent1"/>
          <w:sz w:val="18"/>
          <w:szCs w:val="18"/>
        </w:rPr>
        <w:t xml:space="preserve">cost, increasing the price for the EU customer and making an international programme more difficult to administer. As a result, it can’t be guaranteed that you would have the same terms &amp; conditions across all jurisdictions. </w:t>
      </w:r>
    </w:p>
    <w:p w14:paraId="38086BBC" w14:textId="77777777" w:rsidR="0045310F" w:rsidRPr="00863DB6" w:rsidRDefault="0045310F" w:rsidP="0045310F">
      <w:pPr>
        <w:spacing w:after="0" w:line="240" w:lineRule="auto"/>
        <w:jc w:val="both"/>
        <w:rPr>
          <w:rFonts w:ascii="Verdana" w:hAnsi="Verdana" w:cs="Calibri"/>
          <w:color w:val="3A6BAC" w:themeColor="accent1"/>
          <w:sz w:val="18"/>
          <w:szCs w:val="18"/>
        </w:rPr>
      </w:pPr>
    </w:p>
    <w:p w14:paraId="3619D46E" w14:textId="0AD0A24D" w:rsidR="0045310F" w:rsidRDefault="0045310F" w:rsidP="0045310F">
      <w:pPr>
        <w:spacing w:after="0" w:line="240" w:lineRule="auto"/>
        <w:jc w:val="both"/>
        <w:rPr>
          <w:rFonts w:ascii="Verdana" w:hAnsi="Verdana" w:cs="Calibri"/>
          <w:color w:val="3A6BAC" w:themeColor="accent1"/>
          <w:sz w:val="18"/>
          <w:szCs w:val="18"/>
        </w:rPr>
      </w:pPr>
      <w:r w:rsidRPr="002D5E5F">
        <w:rPr>
          <w:rFonts w:ascii="Verdana" w:hAnsi="Verdana" w:cs="Calibri"/>
          <w:color w:val="3A6BAC" w:themeColor="accent1"/>
          <w:sz w:val="18"/>
          <w:szCs w:val="18"/>
        </w:rPr>
        <w:t>If nevertheless EIOPA deems it necessary to extend the scope to intermediaries, it is proposed to issue a separate supervisory statement with proper references to the relevant legislation such as IDD. A combined statement for insurance companies and intermediaries is not a current practice and could lead to confusion.</w:t>
      </w:r>
    </w:p>
    <w:p w14:paraId="00EF1C8C" w14:textId="77777777" w:rsidR="0045310F" w:rsidRPr="00E70B20" w:rsidRDefault="0045310F" w:rsidP="0045310F">
      <w:pPr>
        <w:spacing w:after="0" w:line="240" w:lineRule="auto"/>
        <w:jc w:val="both"/>
      </w:pPr>
    </w:p>
    <w:p w14:paraId="60488F0C" w14:textId="48442137" w:rsidR="002501E9" w:rsidRDefault="0045310F" w:rsidP="00BF7D2D">
      <w:pPr>
        <w:spacing w:after="0" w:line="240" w:lineRule="auto"/>
        <w:jc w:val="both"/>
        <w:rPr>
          <w:rFonts w:ascii="Verdana" w:hAnsi="Verdana" w:cs="Calibri"/>
          <w:color w:val="3A6BAC" w:themeColor="accent1"/>
          <w:sz w:val="18"/>
          <w:szCs w:val="18"/>
        </w:rPr>
      </w:pPr>
      <w:r>
        <w:rPr>
          <w:rFonts w:ascii="Verdana" w:hAnsi="Verdana" w:cs="Calibri"/>
          <w:color w:val="3A6BAC" w:themeColor="accent1"/>
          <w:sz w:val="18"/>
          <w:szCs w:val="18"/>
        </w:rPr>
        <w:lastRenderedPageBreak/>
        <w:t>R</w:t>
      </w:r>
      <w:r w:rsidR="006E32C4" w:rsidRPr="00863DB6">
        <w:rPr>
          <w:rFonts w:ascii="Verdana" w:hAnsi="Verdana" w:cs="Calibri"/>
          <w:color w:val="3A6BAC" w:themeColor="accent1"/>
          <w:sz w:val="18"/>
          <w:szCs w:val="18"/>
        </w:rPr>
        <w:t>einsurance and non-retail risks should also be excluded because they are inherently international activities</w:t>
      </w:r>
      <w:r w:rsidR="000C7DC4">
        <w:rPr>
          <w:rFonts w:ascii="Verdana" w:hAnsi="Verdana" w:cs="Calibri"/>
          <w:color w:val="3A6BAC" w:themeColor="accent1"/>
          <w:sz w:val="18"/>
          <w:szCs w:val="18"/>
        </w:rPr>
        <w:t xml:space="preserve"> and dependent on global cap</w:t>
      </w:r>
      <w:r w:rsidR="008E3C90">
        <w:rPr>
          <w:rFonts w:ascii="Verdana" w:hAnsi="Verdana" w:cs="Calibri"/>
          <w:color w:val="3A6BAC" w:themeColor="accent1"/>
          <w:sz w:val="18"/>
          <w:szCs w:val="18"/>
        </w:rPr>
        <w:t>ital</w:t>
      </w:r>
      <w:r w:rsidR="000C7DC4">
        <w:rPr>
          <w:rFonts w:ascii="Verdana" w:hAnsi="Verdana" w:cs="Calibri"/>
          <w:color w:val="3A6BAC" w:themeColor="accent1"/>
          <w:sz w:val="18"/>
          <w:szCs w:val="18"/>
        </w:rPr>
        <w:t xml:space="preserve"> and </w:t>
      </w:r>
      <w:r w:rsidR="008E3C90">
        <w:rPr>
          <w:rFonts w:ascii="Verdana" w:hAnsi="Verdana" w:cs="Calibri"/>
          <w:color w:val="3A6BAC" w:themeColor="accent1"/>
          <w:sz w:val="18"/>
          <w:szCs w:val="18"/>
        </w:rPr>
        <w:t>expertise</w:t>
      </w:r>
      <w:r w:rsidR="006E32C4" w:rsidRPr="00863DB6">
        <w:rPr>
          <w:rFonts w:ascii="Verdana" w:hAnsi="Verdana" w:cs="Calibri"/>
          <w:color w:val="3A6BAC" w:themeColor="accent1"/>
          <w:sz w:val="18"/>
          <w:szCs w:val="18"/>
        </w:rPr>
        <w:t>.</w:t>
      </w:r>
      <w:r w:rsidR="00431A8B">
        <w:rPr>
          <w:rFonts w:ascii="Verdana" w:hAnsi="Verdana" w:cs="Calibri"/>
          <w:color w:val="3A6BAC" w:themeColor="accent1"/>
          <w:sz w:val="18"/>
          <w:szCs w:val="18"/>
        </w:rPr>
        <w:t xml:space="preserve"> </w:t>
      </w:r>
      <w:r w:rsidR="00BF7D2D">
        <w:rPr>
          <w:rFonts w:ascii="Verdana" w:hAnsi="Verdana" w:cs="Calibri"/>
          <w:color w:val="3A6BAC" w:themeColor="accent1"/>
          <w:sz w:val="18"/>
          <w:szCs w:val="18"/>
        </w:rPr>
        <w:t xml:space="preserve">Reinsurance and non-retail activities are historically more prevalent in certain countries. The expertise and networks are often situated in countries outside the EEA. Overly stringent rules could have negative consequences </w:t>
      </w:r>
      <w:r w:rsidR="0018099E">
        <w:rPr>
          <w:rFonts w:ascii="Verdana" w:hAnsi="Verdana" w:cs="Calibri"/>
          <w:color w:val="3A6BAC" w:themeColor="accent1"/>
          <w:sz w:val="18"/>
          <w:szCs w:val="18"/>
        </w:rPr>
        <w:t xml:space="preserve">for </w:t>
      </w:r>
      <w:r w:rsidR="00181B4B">
        <w:rPr>
          <w:rFonts w:ascii="Verdana" w:hAnsi="Verdana" w:cs="Calibri"/>
          <w:color w:val="3A6BAC" w:themeColor="accent1"/>
          <w:sz w:val="18"/>
          <w:szCs w:val="18"/>
        </w:rPr>
        <w:t xml:space="preserve">the capacity </w:t>
      </w:r>
      <w:r w:rsidR="00333DF3">
        <w:rPr>
          <w:rFonts w:ascii="Verdana" w:hAnsi="Verdana" w:cs="Calibri"/>
          <w:color w:val="3A6BAC" w:themeColor="accent1"/>
          <w:sz w:val="18"/>
          <w:szCs w:val="18"/>
        </w:rPr>
        <w:t xml:space="preserve">of </w:t>
      </w:r>
      <w:r w:rsidR="0018099E">
        <w:rPr>
          <w:rFonts w:ascii="Verdana" w:hAnsi="Verdana" w:cs="Calibri"/>
          <w:color w:val="3A6BAC" w:themeColor="accent1"/>
          <w:sz w:val="18"/>
          <w:szCs w:val="18"/>
        </w:rPr>
        <w:t>EEA businesses</w:t>
      </w:r>
      <w:r w:rsidR="001D61FB">
        <w:rPr>
          <w:rFonts w:ascii="Verdana" w:hAnsi="Verdana" w:cs="Calibri"/>
          <w:color w:val="3A6BAC" w:themeColor="accent1"/>
          <w:sz w:val="18"/>
          <w:szCs w:val="18"/>
        </w:rPr>
        <w:t xml:space="preserve"> </w:t>
      </w:r>
      <w:r w:rsidR="00A43933">
        <w:rPr>
          <w:rFonts w:ascii="Verdana" w:hAnsi="Verdana" w:cs="Calibri"/>
          <w:color w:val="3A6BAC" w:themeColor="accent1"/>
          <w:sz w:val="18"/>
          <w:szCs w:val="18"/>
        </w:rPr>
        <w:t>and</w:t>
      </w:r>
      <w:r w:rsidR="00BF7D2D">
        <w:rPr>
          <w:rFonts w:ascii="Verdana" w:hAnsi="Verdana" w:cs="Calibri"/>
          <w:color w:val="3A6BAC" w:themeColor="accent1"/>
          <w:sz w:val="18"/>
          <w:szCs w:val="18"/>
        </w:rPr>
        <w:t xml:space="preserve"> </w:t>
      </w:r>
      <w:r w:rsidR="001D61FB">
        <w:rPr>
          <w:rFonts w:ascii="Verdana" w:hAnsi="Verdana" w:cs="Calibri"/>
          <w:color w:val="3A6BAC" w:themeColor="accent1"/>
          <w:sz w:val="18"/>
          <w:szCs w:val="18"/>
        </w:rPr>
        <w:t xml:space="preserve">the </w:t>
      </w:r>
      <w:r w:rsidR="00BF7D2D">
        <w:rPr>
          <w:rFonts w:ascii="Verdana" w:hAnsi="Verdana" w:cs="Calibri"/>
          <w:color w:val="3A6BAC" w:themeColor="accent1"/>
          <w:sz w:val="18"/>
          <w:szCs w:val="18"/>
        </w:rPr>
        <w:t xml:space="preserve">policy holders </w:t>
      </w:r>
      <w:r w:rsidR="00804DCF">
        <w:rPr>
          <w:rFonts w:ascii="Verdana" w:hAnsi="Verdana" w:cs="Calibri"/>
          <w:color w:val="3A6BAC" w:themeColor="accent1"/>
          <w:sz w:val="18"/>
          <w:szCs w:val="18"/>
        </w:rPr>
        <w:t>because</w:t>
      </w:r>
      <w:r w:rsidR="00BF7D2D">
        <w:rPr>
          <w:rFonts w:ascii="Verdana" w:hAnsi="Verdana" w:cs="Calibri"/>
          <w:color w:val="3A6BAC" w:themeColor="accent1"/>
          <w:sz w:val="18"/>
          <w:szCs w:val="18"/>
        </w:rPr>
        <w:t xml:space="preserve"> the access to such expertise and networks could be lost.</w:t>
      </w:r>
      <w:r w:rsidR="00D038EB" w:rsidRPr="00D038EB">
        <w:rPr>
          <w:rFonts w:ascii="Verdana" w:hAnsi="Verdana" w:cs="Calibri"/>
          <w:color w:val="3A6BAC" w:themeColor="accent1"/>
          <w:sz w:val="18"/>
          <w:szCs w:val="18"/>
        </w:rPr>
        <w:t xml:space="preserve"> </w:t>
      </w:r>
    </w:p>
    <w:p w14:paraId="6246E2FC" w14:textId="77777777" w:rsidR="00C3566C" w:rsidRPr="00281370" w:rsidRDefault="00C3566C" w:rsidP="00281370">
      <w:pPr>
        <w:spacing w:after="0" w:line="240" w:lineRule="auto"/>
      </w:pPr>
    </w:p>
    <w:p w14:paraId="1AC941A2" w14:textId="7CC98D7B" w:rsidR="00097061" w:rsidRDefault="00030729" w:rsidP="00097061">
      <w:pPr>
        <w:spacing w:after="0" w:line="240" w:lineRule="auto"/>
        <w:rPr>
          <w:b/>
          <w:bCs/>
        </w:rPr>
      </w:pPr>
      <w:r w:rsidRPr="00D97876">
        <w:t>Q3.</w:t>
      </w:r>
      <w:r w:rsidR="00CC7032">
        <w:tab/>
      </w:r>
      <w:r w:rsidR="006544BD" w:rsidRPr="003B3CDF">
        <w:rPr>
          <w:b/>
          <w:bCs/>
        </w:rPr>
        <w:t>Do you agree with the objectives of the Supervisory statement?</w:t>
      </w:r>
    </w:p>
    <w:p w14:paraId="55F68769" w14:textId="71ABD4F4" w:rsidR="00051C61" w:rsidRPr="00863DB6" w:rsidRDefault="00A30E54" w:rsidP="00866505">
      <w:pPr>
        <w:spacing w:after="0" w:line="240" w:lineRule="auto"/>
        <w:jc w:val="both"/>
        <w:rPr>
          <w:rFonts w:ascii="Verdana" w:hAnsi="Verdana" w:cs="Calibri"/>
          <w:color w:val="3A6BAC" w:themeColor="accent1"/>
          <w:sz w:val="18"/>
          <w:szCs w:val="18"/>
        </w:rPr>
      </w:pPr>
      <w:r>
        <w:rPr>
          <w:rFonts w:ascii="Verdana" w:hAnsi="Verdana" w:cs="Calibri"/>
          <w:color w:val="3A6BAC" w:themeColor="accent1"/>
          <w:sz w:val="18"/>
          <w:szCs w:val="18"/>
        </w:rPr>
        <w:t>Y</w:t>
      </w:r>
      <w:r w:rsidRPr="00863DB6">
        <w:rPr>
          <w:rFonts w:ascii="Verdana" w:hAnsi="Verdana" w:cs="Calibri"/>
          <w:color w:val="3A6BAC" w:themeColor="accent1"/>
          <w:sz w:val="18"/>
          <w:szCs w:val="18"/>
        </w:rPr>
        <w:t xml:space="preserve">es, </w:t>
      </w:r>
      <w:r w:rsidR="00051C61" w:rsidRPr="00863DB6">
        <w:rPr>
          <w:rFonts w:ascii="Verdana" w:hAnsi="Verdana" w:cs="Calibri"/>
          <w:color w:val="3A6BAC" w:themeColor="accent1"/>
          <w:sz w:val="18"/>
          <w:szCs w:val="18"/>
        </w:rPr>
        <w:t xml:space="preserve">the objectives of the statement are reasonable. </w:t>
      </w:r>
    </w:p>
    <w:p w14:paraId="6B9D38D6" w14:textId="77777777" w:rsidR="00051C61" w:rsidRPr="00863DB6" w:rsidRDefault="00051C61" w:rsidP="00866505">
      <w:pPr>
        <w:spacing w:after="0" w:line="240" w:lineRule="auto"/>
        <w:jc w:val="both"/>
        <w:rPr>
          <w:rFonts w:ascii="Verdana" w:hAnsi="Verdana" w:cs="Calibri"/>
          <w:color w:val="3A6BAC" w:themeColor="accent1"/>
          <w:sz w:val="18"/>
          <w:szCs w:val="18"/>
        </w:rPr>
      </w:pPr>
    </w:p>
    <w:p w14:paraId="752442A3" w14:textId="2058920A" w:rsidR="00892CA6" w:rsidRDefault="00051C61" w:rsidP="00863DB6">
      <w:pPr>
        <w:spacing w:after="0" w:line="240" w:lineRule="auto"/>
        <w:jc w:val="both"/>
        <w:rPr>
          <w:rFonts w:ascii="Verdana" w:hAnsi="Verdana" w:cs="Calibri"/>
          <w:color w:val="3A6BAC" w:themeColor="accent1"/>
          <w:sz w:val="18"/>
          <w:szCs w:val="18"/>
        </w:rPr>
      </w:pPr>
      <w:r w:rsidRPr="00863DB6">
        <w:rPr>
          <w:rFonts w:ascii="Verdana" w:hAnsi="Verdana" w:cs="Calibri"/>
          <w:color w:val="3A6BAC" w:themeColor="accent1"/>
          <w:sz w:val="18"/>
          <w:szCs w:val="18"/>
        </w:rPr>
        <w:t xml:space="preserve">However, </w:t>
      </w:r>
      <w:r w:rsidR="00CE094A" w:rsidRPr="00863DB6">
        <w:rPr>
          <w:rFonts w:ascii="Verdana" w:hAnsi="Verdana" w:cs="Calibri"/>
          <w:color w:val="3A6BAC" w:themeColor="accent1"/>
          <w:sz w:val="18"/>
          <w:szCs w:val="18"/>
        </w:rPr>
        <w:t xml:space="preserve">Insurance Europe notes that </w:t>
      </w:r>
      <w:r w:rsidR="00BA16C5" w:rsidRPr="00863DB6">
        <w:rPr>
          <w:rFonts w:ascii="Verdana" w:hAnsi="Verdana" w:cs="Calibri"/>
          <w:color w:val="3A6BAC" w:themeColor="accent1"/>
          <w:sz w:val="18"/>
          <w:szCs w:val="18"/>
        </w:rPr>
        <w:t>there are already</w:t>
      </w:r>
      <w:r w:rsidR="007B778D">
        <w:rPr>
          <w:rFonts w:ascii="Verdana" w:hAnsi="Verdana" w:cs="Calibri"/>
          <w:color w:val="3A6BAC" w:themeColor="accent1"/>
          <w:sz w:val="18"/>
          <w:szCs w:val="18"/>
        </w:rPr>
        <w:t xml:space="preserve"> </w:t>
      </w:r>
      <w:r w:rsidR="00BA16C5" w:rsidRPr="00863DB6">
        <w:rPr>
          <w:rFonts w:ascii="Verdana" w:hAnsi="Verdana" w:cs="Calibri"/>
          <w:color w:val="3A6BAC" w:themeColor="accent1"/>
          <w:sz w:val="18"/>
          <w:szCs w:val="18"/>
        </w:rPr>
        <w:t xml:space="preserve">regulatory requirements in place </w:t>
      </w:r>
      <w:r w:rsidR="00344323" w:rsidRPr="00863DB6">
        <w:rPr>
          <w:rFonts w:ascii="Verdana" w:hAnsi="Verdana" w:cs="Calibri"/>
          <w:color w:val="3A6BAC" w:themeColor="accent1"/>
          <w:sz w:val="18"/>
          <w:szCs w:val="18"/>
        </w:rPr>
        <w:t>which address these objectives</w:t>
      </w:r>
      <w:r w:rsidR="000E141B">
        <w:rPr>
          <w:rFonts w:ascii="Verdana" w:hAnsi="Verdana" w:cs="Calibri"/>
          <w:color w:val="3A6BAC" w:themeColor="accent1"/>
          <w:sz w:val="18"/>
          <w:szCs w:val="18"/>
        </w:rPr>
        <w:t>.</w:t>
      </w:r>
      <w:r w:rsidR="00955166" w:rsidRPr="00955166">
        <w:rPr>
          <w:rFonts w:ascii="Verdana" w:hAnsi="Verdana" w:cs="Calibri"/>
          <w:color w:val="3A6BAC" w:themeColor="accent1"/>
          <w:sz w:val="18"/>
          <w:szCs w:val="18"/>
        </w:rPr>
        <w:t xml:space="preserve"> </w:t>
      </w:r>
      <w:r w:rsidR="001F3DE7" w:rsidRPr="001F3DE7">
        <w:rPr>
          <w:rFonts w:ascii="Verdana" w:hAnsi="Verdana" w:cs="Calibri"/>
          <w:color w:val="3A6BAC" w:themeColor="accent1"/>
          <w:sz w:val="18"/>
          <w:szCs w:val="18"/>
        </w:rPr>
        <w:t>Furthermore, any conflation with concerns relating to outsourcing should be avoided as third country branches are part of the same EEA regulated legal entity</w:t>
      </w:r>
      <w:r w:rsidR="0085036D">
        <w:rPr>
          <w:rFonts w:ascii="Verdana" w:hAnsi="Verdana" w:cs="Calibri"/>
          <w:color w:val="3A6BAC" w:themeColor="accent1"/>
          <w:sz w:val="18"/>
          <w:szCs w:val="18"/>
        </w:rPr>
        <w:t>.</w:t>
      </w:r>
    </w:p>
    <w:p w14:paraId="0E116C51" w14:textId="77777777" w:rsidR="00216CB3" w:rsidRDefault="00216CB3" w:rsidP="00216CB3">
      <w:pPr>
        <w:spacing w:after="0" w:line="240" w:lineRule="auto"/>
        <w:jc w:val="both"/>
        <w:rPr>
          <w:rFonts w:ascii="Segoe UI" w:hAnsi="Segoe UI" w:cs="Segoe UI"/>
          <w:color w:val="FFFFFF"/>
          <w:sz w:val="21"/>
          <w:szCs w:val="21"/>
          <w:shd w:val="clear" w:color="auto" w:fill="3D3D3D"/>
        </w:rPr>
      </w:pPr>
    </w:p>
    <w:p w14:paraId="4D751479" w14:textId="77777777" w:rsidR="00216CB3" w:rsidRPr="00602DC6" w:rsidRDefault="00216CB3" w:rsidP="00216CB3">
      <w:pPr>
        <w:spacing w:after="0" w:line="240" w:lineRule="auto"/>
        <w:jc w:val="both"/>
        <w:rPr>
          <w:rFonts w:ascii="Verdana" w:hAnsi="Verdana" w:cs="Calibri"/>
          <w:color w:val="3A6BAC" w:themeColor="accent1"/>
          <w:sz w:val="18"/>
          <w:szCs w:val="18"/>
        </w:rPr>
      </w:pPr>
      <w:r>
        <w:rPr>
          <w:rFonts w:ascii="Verdana" w:hAnsi="Verdana" w:cs="Calibri"/>
          <w:color w:val="3A6BAC" w:themeColor="accent1"/>
          <w:sz w:val="18"/>
          <w:szCs w:val="18"/>
        </w:rPr>
        <w:t xml:space="preserve">In addition, para. 2.14 EIOPA implies that arrangements that do not qualify as outsourcing under the legislation should still be treated as outsourcing. Such a requirement would be disproportional and unfair to international groups vis à vis European groups. Outsourcing is clearly defined in the Solvency II Directive and should not be extended </w:t>
      </w:r>
    </w:p>
    <w:p w14:paraId="43D82023" w14:textId="77777777" w:rsidR="00C3570A" w:rsidRPr="00DA7D36" w:rsidRDefault="00C3570A" w:rsidP="00097061">
      <w:pPr>
        <w:spacing w:after="0" w:line="240" w:lineRule="auto"/>
        <w:rPr>
          <w:rFonts w:ascii="Arial" w:hAnsi="Arial" w:cs="Arial"/>
          <w:color w:val="000000" w:themeColor="text1"/>
          <w:kern w:val="24"/>
        </w:rPr>
      </w:pPr>
    </w:p>
    <w:p w14:paraId="524AE5C8" w14:textId="5A193BDF" w:rsidR="00030729" w:rsidRPr="00E81263" w:rsidRDefault="00030729" w:rsidP="00097061">
      <w:pPr>
        <w:spacing w:after="0" w:line="240" w:lineRule="auto"/>
      </w:pPr>
      <w:r w:rsidRPr="00D97876">
        <w:t>Q4.</w:t>
      </w:r>
      <w:r w:rsidR="00CC7032">
        <w:tab/>
      </w:r>
      <w:r w:rsidR="00E81263" w:rsidRPr="003B3CDF">
        <w:rPr>
          <w:b/>
          <w:bCs/>
        </w:rPr>
        <w:t>Do you agree on the need for an undertaking to have an appropriate level of corporate substance, proportionate to the nature, scale and complexity of their business, within the EEA?</w:t>
      </w:r>
    </w:p>
    <w:p w14:paraId="18096D31" w14:textId="30B8EA49" w:rsidR="00030729" w:rsidRPr="00863DB6" w:rsidRDefault="00CD5A29" w:rsidP="00863DB6">
      <w:pPr>
        <w:spacing w:after="0" w:line="240" w:lineRule="auto"/>
        <w:jc w:val="both"/>
        <w:rPr>
          <w:rFonts w:ascii="Verdana" w:hAnsi="Verdana" w:cs="Calibri"/>
          <w:color w:val="3A6BAC" w:themeColor="accent1"/>
          <w:sz w:val="18"/>
          <w:szCs w:val="18"/>
        </w:rPr>
      </w:pPr>
      <w:r w:rsidRPr="00863DB6">
        <w:rPr>
          <w:rFonts w:ascii="Verdana" w:hAnsi="Verdana" w:cs="Calibri"/>
          <w:color w:val="3A6BAC" w:themeColor="accent1"/>
          <w:sz w:val="18"/>
          <w:szCs w:val="18"/>
        </w:rPr>
        <w:t>Yes</w:t>
      </w:r>
      <w:r w:rsidR="00886C37">
        <w:rPr>
          <w:rFonts w:ascii="Verdana" w:hAnsi="Verdana" w:cs="Calibri"/>
          <w:color w:val="3A6BAC" w:themeColor="accent1"/>
          <w:sz w:val="18"/>
          <w:szCs w:val="18"/>
        </w:rPr>
        <w:t>,</w:t>
      </w:r>
      <w:r w:rsidR="004F65D1" w:rsidRPr="00863DB6">
        <w:rPr>
          <w:rFonts w:ascii="Verdana" w:hAnsi="Verdana" w:cs="Calibri"/>
          <w:color w:val="3A6BAC" w:themeColor="accent1"/>
          <w:sz w:val="18"/>
          <w:szCs w:val="18"/>
        </w:rPr>
        <w:t xml:space="preserve"> </w:t>
      </w:r>
      <w:r w:rsidR="00886C37">
        <w:rPr>
          <w:rFonts w:ascii="Verdana" w:hAnsi="Verdana" w:cs="Calibri"/>
          <w:color w:val="3A6BAC" w:themeColor="accent1"/>
          <w:sz w:val="18"/>
          <w:szCs w:val="18"/>
        </w:rPr>
        <w:t>a</w:t>
      </w:r>
      <w:r w:rsidR="004F65D1" w:rsidRPr="00863DB6">
        <w:rPr>
          <w:rFonts w:ascii="Verdana" w:hAnsi="Verdana" w:cs="Calibri"/>
          <w:color w:val="3A6BAC" w:themeColor="accent1"/>
          <w:sz w:val="18"/>
          <w:szCs w:val="18"/>
        </w:rPr>
        <w:t>ssessing whether an undertaking has adequate substance can be achieved by applying a range of objective criteria, which national supervisors already apply taking into account the specificities of each undertaking. The use of a branch in a third country does not prevent an undertaking from having an appropriate level of corporate substance within the EEA when there is sufficient governance, controls and management oversight exercised in the EEA</w:t>
      </w:r>
      <w:r w:rsidR="008E3C90">
        <w:rPr>
          <w:rFonts w:ascii="Verdana" w:hAnsi="Verdana" w:cs="Calibri"/>
          <w:color w:val="3A6BAC" w:themeColor="accent1"/>
          <w:sz w:val="18"/>
          <w:szCs w:val="18"/>
        </w:rPr>
        <w:t>.</w:t>
      </w:r>
      <w:r w:rsidR="001B044D">
        <w:rPr>
          <w:rFonts w:ascii="Verdana" w:hAnsi="Verdana" w:cs="Calibri"/>
          <w:color w:val="3A6BAC" w:themeColor="accent1"/>
          <w:sz w:val="18"/>
          <w:szCs w:val="18"/>
        </w:rPr>
        <w:t xml:space="preserve"> </w:t>
      </w:r>
      <w:r w:rsidR="008E3C90">
        <w:rPr>
          <w:rFonts w:ascii="Verdana" w:hAnsi="Verdana" w:cs="Calibri"/>
          <w:color w:val="3A6BAC" w:themeColor="accent1"/>
          <w:sz w:val="18"/>
          <w:szCs w:val="18"/>
        </w:rPr>
        <w:t xml:space="preserve">Corporate substance does not necessarily need to be concentrated in the headquarters. </w:t>
      </w:r>
    </w:p>
    <w:p w14:paraId="3295DA47" w14:textId="77777777" w:rsidR="00C3566C" w:rsidRPr="000053EE" w:rsidRDefault="00C3566C" w:rsidP="000053EE">
      <w:pPr>
        <w:spacing w:after="0" w:line="240" w:lineRule="auto"/>
      </w:pPr>
    </w:p>
    <w:p w14:paraId="3CAEA387" w14:textId="443EE4FF" w:rsidR="00030729" w:rsidRPr="007E5C4F" w:rsidRDefault="00030729" w:rsidP="00097061">
      <w:pPr>
        <w:spacing w:after="0" w:line="240" w:lineRule="auto"/>
      </w:pPr>
      <w:r w:rsidRPr="00D97876">
        <w:t>Q5.</w:t>
      </w:r>
      <w:r w:rsidR="00CC7032">
        <w:tab/>
      </w:r>
      <w:r w:rsidR="007E5C4F" w:rsidRPr="003B3CDF">
        <w:rPr>
          <w:b/>
          <w:bCs/>
        </w:rPr>
        <w:t>Do you agree with the purpose of a branch, or a similar governance arrangement in a third country identified in 3.2?</w:t>
      </w:r>
    </w:p>
    <w:sdt>
      <w:sdtPr>
        <w:id w:val="-1134089422"/>
      </w:sdtPr>
      <w:sdtEndPr>
        <w:rPr>
          <w:b/>
          <w:bCs/>
          <w:color w:val="AA322F" w:themeColor="accent2"/>
        </w:rPr>
      </w:sdtEndPr>
      <w:sdtContent>
        <w:p w14:paraId="6935F2A9" w14:textId="7918F277" w:rsidR="0016164A" w:rsidRDefault="00954D25" w:rsidP="00863DB6">
          <w:pPr>
            <w:spacing w:after="0" w:line="240" w:lineRule="auto"/>
            <w:jc w:val="both"/>
            <w:rPr>
              <w:rFonts w:ascii="Verdana" w:hAnsi="Verdana" w:cs="Calibri"/>
              <w:color w:val="3A6BAC" w:themeColor="accent1"/>
              <w:sz w:val="18"/>
              <w:szCs w:val="18"/>
            </w:rPr>
          </w:pPr>
          <w:r w:rsidRPr="00863DB6">
            <w:rPr>
              <w:rFonts w:ascii="Verdana" w:hAnsi="Verdana" w:cs="Calibri"/>
              <w:color w:val="3A6BAC" w:themeColor="accent1"/>
              <w:sz w:val="18"/>
              <w:szCs w:val="18"/>
            </w:rPr>
            <w:t>No</w:t>
          </w:r>
          <w:r w:rsidR="00886C37">
            <w:rPr>
              <w:rFonts w:ascii="Verdana" w:hAnsi="Verdana" w:cs="Calibri"/>
              <w:color w:val="3A6BAC" w:themeColor="accent1"/>
              <w:sz w:val="18"/>
              <w:szCs w:val="18"/>
            </w:rPr>
            <w:t>,</w:t>
          </w:r>
          <w:r w:rsidR="003B2559">
            <w:rPr>
              <w:rFonts w:ascii="Verdana" w:hAnsi="Verdana" w:cs="Calibri"/>
              <w:color w:val="3A6BAC" w:themeColor="accent1"/>
              <w:sz w:val="18"/>
              <w:szCs w:val="18"/>
            </w:rPr>
            <w:t xml:space="preserve"> </w:t>
          </w:r>
          <w:r w:rsidR="00886C37">
            <w:rPr>
              <w:rFonts w:ascii="Verdana" w:hAnsi="Verdana" w:cs="Calibri"/>
              <w:color w:val="3A6BAC" w:themeColor="accent1"/>
              <w:sz w:val="18"/>
              <w:szCs w:val="18"/>
            </w:rPr>
            <w:t>t</w:t>
          </w:r>
          <w:r w:rsidR="003F3CFE">
            <w:rPr>
              <w:rFonts w:ascii="Verdana" w:hAnsi="Verdana" w:cs="Calibri"/>
              <w:color w:val="3A6BAC" w:themeColor="accent1"/>
              <w:sz w:val="18"/>
              <w:szCs w:val="18"/>
            </w:rPr>
            <w:t>here is no</w:t>
          </w:r>
          <w:r w:rsidR="004A6A95">
            <w:rPr>
              <w:rFonts w:ascii="Verdana" w:hAnsi="Verdana" w:cs="Calibri"/>
              <w:color w:val="3A6BAC" w:themeColor="accent1"/>
              <w:sz w:val="18"/>
              <w:szCs w:val="18"/>
            </w:rPr>
            <w:t xml:space="preserve"> </w:t>
          </w:r>
          <w:r w:rsidR="00F40913" w:rsidRPr="00863DB6">
            <w:rPr>
              <w:rFonts w:ascii="Verdana" w:hAnsi="Verdana" w:cs="Calibri"/>
              <w:color w:val="3A6BAC" w:themeColor="accent1"/>
              <w:sz w:val="18"/>
              <w:szCs w:val="18"/>
            </w:rPr>
            <w:t xml:space="preserve">need to regulate the purpose of a branch in this context. </w:t>
          </w:r>
          <w:r w:rsidR="00D05960" w:rsidRPr="00863DB6">
            <w:rPr>
              <w:rFonts w:ascii="Verdana" w:hAnsi="Verdana" w:cs="Calibri"/>
              <w:color w:val="3A6BAC" w:themeColor="accent1"/>
              <w:sz w:val="18"/>
              <w:szCs w:val="18"/>
            </w:rPr>
            <w:t xml:space="preserve">As the </w:t>
          </w:r>
          <w:r w:rsidR="00F40913" w:rsidRPr="00863DB6">
            <w:rPr>
              <w:rFonts w:ascii="Verdana" w:hAnsi="Verdana" w:cs="Calibri"/>
              <w:color w:val="3A6BAC" w:themeColor="accent1"/>
              <w:sz w:val="18"/>
              <w:szCs w:val="18"/>
            </w:rPr>
            <w:t xml:space="preserve">objective of the supervisory statement is to ensure that there is sufficient corporate substance present </w:t>
          </w:r>
          <w:r w:rsidR="00C859BE" w:rsidRPr="00C859BE">
            <w:rPr>
              <w:rFonts w:ascii="Verdana" w:hAnsi="Verdana" w:cs="Calibri"/>
              <w:color w:val="3A6BAC" w:themeColor="accent1"/>
              <w:sz w:val="18"/>
              <w:szCs w:val="18"/>
            </w:rPr>
            <w:t>in the EEA</w:t>
          </w:r>
          <w:r w:rsidR="00F40913" w:rsidRPr="00863DB6">
            <w:rPr>
              <w:rFonts w:ascii="Verdana" w:hAnsi="Verdana" w:cs="Calibri"/>
              <w:color w:val="3A6BAC" w:themeColor="accent1"/>
              <w:sz w:val="18"/>
              <w:szCs w:val="18"/>
            </w:rPr>
            <w:t xml:space="preserve"> and that is indeed the case, </w:t>
          </w:r>
          <w:r w:rsidR="00D05960" w:rsidRPr="00863DB6">
            <w:rPr>
              <w:rFonts w:ascii="Verdana" w:hAnsi="Verdana" w:cs="Calibri"/>
              <w:color w:val="3A6BAC" w:themeColor="accent1"/>
              <w:sz w:val="18"/>
              <w:szCs w:val="18"/>
            </w:rPr>
            <w:t xml:space="preserve">the exact </w:t>
          </w:r>
          <w:r w:rsidR="00F40913" w:rsidRPr="00863DB6">
            <w:rPr>
              <w:rFonts w:ascii="Verdana" w:hAnsi="Verdana" w:cs="Calibri"/>
              <w:color w:val="3A6BAC" w:themeColor="accent1"/>
              <w:sz w:val="18"/>
              <w:szCs w:val="18"/>
            </w:rPr>
            <w:t xml:space="preserve">purpose of the branch is </w:t>
          </w:r>
          <w:r w:rsidR="00D05960" w:rsidRPr="00863DB6">
            <w:rPr>
              <w:rFonts w:ascii="Verdana" w:hAnsi="Verdana" w:cs="Calibri"/>
              <w:color w:val="3A6BAC" w:themeColor="accent1"/>
              <w:sz w:val="18"/>
              <w:szCs w:val="18"/>
            </w:rPr>
            <w:t>not relevant</w:t>
          </w:r>
          <w:r w:rsidR="00F82730">
            <w:rPr>
              <w:rFonts w:ascii="Verdana" w:hAnsi="Verdana" w:cs="Calibri"/>
              <w:color w:val="3A6BAC" w:themeColor="accent1"/>
              <w:sz w:val="18"/>
              <w:szCs w:val="18"/>
            </w:rPr>
            <w:t xml:space="preserve">. </w:t>
          </w:r>
        </w:p>
        <w:p w14:paraId="249E3F55" w14:textId="77777777" w:rsidR="004A6A95" w:rsidRPr="00863DB6" w:rsidRDefault="004A6A95" w:rsidP="00863DB6">
          <w:pPr>
            <w:spacing w:after="0" w:line="240" w:lineRule="auto"/>
            <w:jc w:val="both"/>
            <w:rPr>
              <w:rFonts w:ascii="Verdana" w:hAnsi="Verdana" w:cs="Calibri"/>
              <w:color w:val="3A6BAC" w:themeColor="accent1"/>
              <w:sz w:val="18"/>
              <w:szCs w:val="18"/>
            </w:rPr>
          </w:pPr>
        </w:p>
        <w:p w14:paraId="5DA31F46" w14:textId="78CF79B9" w:rsidR="0016164A" w:rsidRPr="00EF75F3" w:rsidRDefault="0016164A" w:rsidP="0016164A">
          <w:pPr>
            <w:spacing w:after="0" w:line="240" w:lineRule="auto"/>
            <w:jc w:val="both"/>
            <w:rPr>
              <w:rFonts w:ascii="Verdana" w:hAnsi="Verdana" w:cs="Calibri"/>
              <w:color w:val="3A6BAC" w:themeColor="accent1"/>
              <w:sz w:val="18"/>
              <w:szCs w:val="18"/>
            </w:rPr>
          </w:pPr>
          <w:r w:rsidRPr="00EF75F3">
            <w:rPr>
              <w:rFonts w:ascii="Verdana" w:hAnsi="Verdana" w:cs="Calibri"/>
              <w:color w:val="3A6BAC" w:themeColor="accent1"/>
              <w:sz w:val="18"/>
              <w:szCs w:val="18"/>
            </w:rPr>
            <w:t>Further, in para. 3.2 EIOPA implies that branches and governance arrangements should serve the market in which it is established</w:t>
          </w:r>
          <w:r w:rsidR="00BA00EF">
            <w:rPr>
              <w:rFonts w:ascii="Verdana" w:hAnsi="Verdana" w:cs="Calibri"/>
              <w:color w:val="3A6BAC" w:themeColor="accent1"/>
              <w:sz w:val="18"/>
              <w:szCs w:val="18"/>
            </w:rPr>
            <w:t xml:space="preserve">. In this regard, EIOPA is understood to be </w:t>
          </w:r>
          <w:r w:rsidR="002701F8">
            <w:rPr>
              <w:rFonts w:ascii="Verdana" w:hAnsi="Verdana" w:cs="Calibri"/>
              <w:color w:val="3A6BAC" w:themeColor="accent1"/>
              <w:sz w:val="18"/>
              <w:szCs w:val="18"/>
            </w:rPr>
            <w:t>questioning of</w:t>
          </w:r>
          <w:r w:rsidR="00EB74DE">
            <w:rPr>
              <w:rFonts w:ascii="Verdana" w:hAnsi="Verdana" w:cs="Calibri"/>
              <w:color w:val="3A6BAC" w:themeColor="accent1"/>
              <w:sz w:val="18"/>
              <w:szCs w:val="18"/>
            </w:rPr>
            <w:t xml:space="preserve"> the </w:t>
          </w:r>
          <w:r w:rsidR="008D4B3A">
            <w:rPr>
              <w:rFonts w:ascii="Verdana" w:hAnsi="Verdana" w:cs="Calibri"/>
              <w:color w:val="3A6BAC" w:themeColor="accent1"/>
              <w:sz w:val="18"/>
              <w:szCs w:val="18"/>
            </w:rPr>
            <w:t xml:space="preserve">existing </w:t>
          </w:r>
          <w:r w:rsidRPr="00EF75F3">
            <w:rPr>
              <w:rFonts w:ascii="Verdana" w:hAnsi="Verdana" w:cs="Calibri"/>
              <w:color w:val="3A6BAC" w:themeColor="accent1"/>
              <w:sz w:val="18"/>
              <w:szCs w:val="18"/>
            </w:rPr>
            <w:t>group structure</w:t>
          </w:r>
          <w:r w:rsidR="008D4B3A">
            <w:rPr>
              <w:rFonts w:ascii="Verdana" w:hAnsi="Verdana" w:cs="Calibri"/>
              <w:color w:val="3A6BAC" w:themeColor="accent1"/>
              <w:sz w:val="18"/>
              <w:szCs w:val="18"/>
            </w:rPr>
            <w:t>s</w:t>
          </w:r>
          <w:r w:rsidRPr="00EF75F3">
            <w:rPr>
              <w:rFonts w:ascii="Verdana" w:hAnsi="Verdana" w:cs="Calibri"/>
              <w:color w:val="3A6BAC" w:themeColor="accent1"/>
              <w:sz w:val="18"/>
              <w:szCs w:val="18"/>
            </w:rPr>
            <w:t xml:space="preserve"> </w:t>
          </w:r>
          <w:r w:rsidR="008D4B3A">
            <w:rPr>
              <w:rFonts w:ascii="Verdana" w:hAnsi="Verdana" w:cs="Calibri"/>
              <w:color w:val="3A6BAC" w:themeColor="accent1"/>
              <w:sz w:val="18"/>
              <w:szCs w:val="18"/>
            </w:rPr>
            <w:t xml:space="preserve">which are being legitimately used. </w:t>
          </w:r>
        </w:p>
        <w:p w14:paraId="00083214" w14:textId="77777777" w:rsidR="00097061" w:rsidRPr="00863DB6" w:rsidRDefault="00097061" w:rsidP="00097061">
          <w:pPr>
            <w:spacing w:after="0" w:line="240" w:lineRule="auto"/>
            <w:jc w:val="both"/>
            <w:rPr>
              <w:rFonts w:ascii="Verdana" w:hAnsi="Verdana" w:cs="Calibri"/>
              <w:color w:val="3A6BAC" w:themeColor="accent1"/>
              <w:sz w:val="18"/>
              <w:szCs w:val="18"/>
            </w:rPr>
          </w:pPr>
        </w:p>
        <w:p w14:paraId="1BBAD4D0" w14:textId="0FA568C9" w:rsidR="004E1F20" w:rsidRPr="00863DB6" w:rsidRDefault="00F16AC0" w:rsidP="000973A0">
          <w:pPr>
            <w:spacing w:after="0" w:line="240" w:lineRule="auto"/>
            <w:jc w:val="both"/>
            <w:rPr>
              <w:rFonts w:ascii="Verdana" w:hAnsi="Verdana" w:cs="Calibri"/>
              <w:color w:val="3A6BAC" w:themeColor="accent1"/>
              <w:sz w:val="18"/>
              <w:szCs w:val="18"/>
            </w:rPr>
          </w:pPr>
          <w:r w:rsidRPr="00863DB6">
            <w:rPr>
              <w:rFonts w:ascii="Verdana" w:hAnsi="Verdana" w:cs="Calibri"/>
              <w:color w:val="3A6BAC" w:themeColor="accent1"/>
              <w:sz w:val="18"/>
              <w:szCs w:val="18"/>
            </w:rPr>
            <w:t xml:space="preserve">Recommendation 9 </w:t>
          </w:r>
          <w:r w:rsidR="00547D85" w:rsidRPr="00863DB6">
            <w:rPr>
              <w:rFonts w:ascii="Verdana" w:hAnsi="Verdana" w:cs="Calibri"/>
              <w:color w:val="3A6BAC" w:themeColor="accent1"/>
              <w:sz w:val="18"/>
              <w:szCs w:val="18"/>
            </w:rPr>
            <w:t xml:space="preserve">of </w:t>
          </w:r>
          <w:r w:rsidR="00F411A4" w:rsidRPr="00863DB6">
            <w:rPr>
              <w:rFonts w:ascii="Verdana" w:hAnsi="Verdana" w:cs="Calibri"/>
              <w:color w:val="3A6BAC" w:themeColor="accent1"/>
              <w:sz w:val="18"/>
              <w:szCs w:val="18"/>
            </w:rPr>
            <w:t>EIOPA</w:t>
          </w:r>
          <w:r w:rsidR="00547D85" w:rsidRPr="00863DB6">
            <w:rPr>
              <w:rFonts w:ascii="Verdana" w:hAnsi="Verdana" w:cs="Calibri"/>
              <w:color w:val="3A6BAC" w:themeColor="accent1"/>
              <w:sz w:val="18"/>
              <w:szCs w:val="18"/>
            </w:rPr>
            <w:t>’s Brexit r</w:t>
          </w:r>
          <w:r w:rsidR="00F411A4" w:rsidRPr="00863DB6">
            <w:rPr>
              <w:rFonts w:ascii="Verdana" w:hAnsi="Verdana" w:cs="Calibri"/>
              <w:color w:val="3A6BAC" w:themeColor="accent1"/>
              <w:sz w:val="18"/>
              <w:szCs w:val="18"/>
            </w:rPr>
            <w:t>ecommendations</w:t>
          </w:r>
          <w:r w:rsidR="00547D85" w:rsidRPr="000053EE">
            <w:rPr>
              <w:rFonts w:ascii="Verdana" w:hAnsi="Verdana"/>
              <w:color w:val="3A6BAC" w:themeColor="accent1"/>
              <w:sz w:val="18"/>
              <w:vertAlign w:val="superscript"/>
            </w:rPr>
            <w:footnoteReference w:id="2"/>
          </w:r>
          <w:r w:rsidR="00F411A4" w:rsidRPr="000053EE">
            <w:rPr>
              <w:rFonts w:ascii="Verdana" w:hAnsi="Verdana"/>
              <w:color w:val="3A6BAC" w:themeColor="accent1"/>
              <w:sz w:val="18"/>
              <w:vertAlign w:val="superscript"/>
            </w:rPr>
            <w:t xml:space="preserve"> </w:t>
          </w:r>
          <w:r w:rsidR="00460F16">
            <w:rPr>
              <w:rFonts w:ascii="Verdana" w:hAnsi="Verdana" w:cs="Calibri"/>
              <w:color w:val="3A6BAC" w:themeColor="accent1"/>
              <w:sz w:val="18"/>
              <w:szCs w:val="18"/>
            </w:rPr>
            <w:t xml:space="preserve">did not preclude those arrangements but required that where you have an EEA intermediary wishing to distribute business by using expertise located in a </w:t>
          </w:r>
          <w:proofErr w:type="spellStart"/>
          <w:proofErr w:type="gramStart"/>
          <w:r w:rsidR="00460F16">
            <w:rPr>
              <w:rFonts w:ascii="Verdana" w:hAnsi="Verdana" w:cs="Calibri"/>
              <w:color w:val="3A6BAC" w:themeColor="accent1"/>
              <w:sz w:val="18"/>
              <w:szCs w:val="18"/>
            </w:rPr>
            <w:t>non EEA</w:t>
          </w:r>
          <w:proofErr w:type="spellEnd"/>
          <w:proofErr w:type="gramEnd"/>
          <w:r w:rsidR="00460F16">
            <w:rPr>
              <w:rFonts w:ascii="Verdana" w:hAnsi="Verdana" w:cs="Calibri"/>
              <w:color w:val="3A6BAC" w:themeColor="accent1"/>
              <w:sz w:val="18"/>
              <w:szCs w:val="18"/>
            </w:rPr>
            <w:t xml:space="preserve"> country (e.g. US</w:t>
          </w:r>
          <w:r w:rsidR="00933D41">
            <w:rPr>
              <w:rFonts w:ascii="Verdana" w:hAnsi="Verdana" w:cs="Calibri"/>
              <w:color w:val="3A6BAC" w:themeColor="accent1"/>
              <w:sz w:val="18"/>
              <w:szCs w:val="18"/>
            </w:rPr>
            <w:t>A</w:t>
          </w:r>
          <w:r w:rsidR="00460F16">
            <w:rPr>
              <w:rFonts w:ascii="Verdana" w:hAnsi="Verdana" w:cs="Calibri"/>
              <w:color w:val="3A6BAC" w:themeColor="accent1"/>
              <w:sz w:val="18"/>
              <w:szCs w:val="18"/>
            </w:rPr>
            <w:t>, UK), it needed to do so through a branch of the EEA intermediary.</w:t>
          </w:r>
          <w:r w:rsidR="00355578">
            <w:rPr>
              <w:rFonts w:ascii="Verdana" w:hAnsi="Verdana" w:cs="Calibri"/>
              <w:color w:val="3A6BAC" w:themeColor="accent1"/>
              <w:sz w:val="18"/>
              <w:szCs w:val="18"/>
            </w:rPr>
            <w:t xml:space="preserve"> </w:t>
          </w:r>
          <w:r w:rsidRPr="00863DB6">
            <w:rPr>
              <w:rFonts w:ascii="Verdana" w:hAnsi="Verdana" w:cs="Calibri"/>
              <w:color w:val="3A6BAC" w:themeColor="accent1"/>
              <w:sz w:val="18"/>
              <w:szCs w:val="18"/>
            </w:rPr>
            <w:t xml:space="preserve">Consequently, removing the possibility to use branches in the way proposed in 3.2 could, combined with IDD/Rec9, have the practical effect of preventing IDD direct and reinsurance business from being intermediated to markets outside the EU. There is a clear potential for detriment to consumers, businesses, insurers and reinsurers in the EEA from this course of action. </w:t>
          </w:r>
        </w:p>
        <w:p w14:paraId="3071705F" w14:textId="1826CA99" w:rsidR="00C86D97" w:rsidRPr="00863DB6" w:rsidRDefault="00C86D97" w:rsidP="00097061">
          <w:pPr>
            <w:spacing w:after="0" w:line="240" w:lineRule="auto"/>
            <w:jc w:val="both"/>
            <w:rPr>
              <w:rFonts w:ascii="Verdana" w:hAnsi="Verdana" w:cs="Calibri"/>
              <w:color w:val="3A6BAC" w:themeColor="accent1"/>
              <w:sz w:val="18"/>
              <w:szCs w:val="18"/>
            </w:rPr>
          </w:pPr>
        </w:p>
        <w:p w14:paraId="6F223AC2" w14:textId="0FDAF514" w:rsidR="0026583E" w:rsidRPr="00863DB6" w:rsidRDefault="00F16AC0" w:rsidP="00097061">
          <w:pPr>
            <w:spacing w:after="0" w:line="240" w:lineRule="auto"/>
            <w:jc w:val="both"/>
            <w:rPr>
              <w:rFonts w:ascii="Verdana" w:hAnsi="Verdana" w:cs="Calibri"/>
              <w:color w:val="3A6BAC" w:themeColor="accent1"/>
              <w:sz w:val="18"/>
              <w:szCs w:val="18"/>
            </w:rPr>
          </w:pPr>
          <w:r w:rsidRPr="00863DB6">
            <w:rPr>
              <w:rFonts w:ascii="Verdana" w:hAnsi="Verdana" w:cs="Calibri"/>
              <w:color w:val="3A6BAC" w:themeColor="accent1"/>
              <w:sz w:val="18"/>
              <w:szCs w:val="18"/>
            </w:rPr>
            <w:t xml:space="preserve">There </w:t>
          </w:r>
          <w:r w:rsidR="00785BEA" w:rsidRPr="00863DB6">
            <w:rPr>
              <w:rFonts w:ascii="Verdana" w:hAnsi="Verdana" w:cs="Calibri"/>
              <w:color w:val="3A6BAC" w:themeColor="accent1"/>
              <w:sz w:val="18"/>
              <w:szCs w:val="18"/>
            </w:rPr>
            <w:t xml:space="preserve">are many </w:t>
          </w:r>
          <w:r w:rsidR="00BB7365" w:rsidRPr="00863DB6">
            <w:rPr>
              <w:rFonts w:ascii="Verdana" w:hAnsi="Verdana" w:cs="Calibri"/>
              <w:color w:val="3A6BAC" w:themeColor="accent1"/>
              <w:sz w:val="18"/>
              <w:szCs w:val="18"/>
            </w:rPr>
            <w:t xml:space="preserve">valid </w:t>
          </w:r>
          <w:r w:rsidRPr="00863DB6">
            <w:rPr>
              <w:rFonts w:ascii="Verdana" w:hAnsi="Verdana" w:cs="Calibri"/>
              <w:color w:val="3A6BAC" w:themeColor="accent1"/>
              <w:sz w:val="18"/>
              <w:szCs w:val="18"/>
            </w:rPr>
            <w:t xml:space="preserve">reasons for </w:t>
          </w:r>
          <w:r w:rsidR="00342B2B" w:rsidRPr="00863DB6">
            <w:rPr>
              <w:rFonts w:ascii="Verdana" w:hAnsi="Verdana" w:cs="Calibri"/>
              <w:color w:val="3A6BAC" w:themeColor="accent1"/>
              <w:sz w:val="18"/>
              <w:szCs w:val="18"/>
            </w:rPr>
            <w:t xml:space="preserve">certain business or functions </w:t>
          </w:r>
          <w:r w:rsidR="00EA04CA">
            <w:rPr>
              <w:rFonts w:ascii="Verdana" w:hAnsi="Verdana" w:cs="Calibri"/>
              <w:color w:val="3A6BAC" w:themeColor="accent1"/>
              <w:sz w:val="18"/>
              <w:szCs w:val="18"/>
            </w:rPr>
            <w:t>being ca</w:t>
          </w:r>
          <w:r w:rsidR="000A685A">
            <w:rPr>
              <w:rFonts w:ascii="Verdana" w:hAnsi="Verdana" w:cs="Calibri"/>
              <w:color w:val="3A6BAC" w:themeColor="accent1"/>
              <w:sz w:val="18"/>
              <w:szCs w:val="18"/>
            </w:rPr>
            <w:t xml:space="preserve">rried out in </w:t>
          </w:r>
          <w:r w:rsidR="00342B2B" w:rsidRPr="00863DB6">
            <w:rPr>
              <w:rFonts w:ascii="Verdana" w:hAnsi="Verdana" w:cs="Calibri"/>
              <w:color w:val="3A6BAC" w:themeColor="accent1"/>
              <w:sz w:val="18"/>
              <w:szCs w:val="18"/>
            </w:rPr>
            <w:t xml:space="preserve">a branch </w:t>
          </w:r>
          <w:r w:rsidR="001F32A5">
            <w:rPr>
              <w:rFonts w:ascii="Verdana" w:hAnsi="Verdana" w:cs="Calibri"/>
              <w:color w:val="3A6BAC" w:themeColor="accent1"/>
              <w:sz w:val="18"/>
              <w:szCs w:val="18"/>
            </w:rPr>
            <w:t xml:space="preserve">or governance arrangement </w:t>
          </w:r>
          <w:r w:rsidR="00342B2B" w:rsidRPr="00863DB6">
            <w:rPr>
              <w:rFonts w:ascii="Verdana" w:hAnsi="Verdana" w:cs="Calibri"/>
              <w:color w:val="3A6BAC" w:themeColor="accent1"/>
              <w:sz w:val="18"/>
              <w:szCs w:val="18"/>
            </w:rPr>
            <w:t>that are also in the interest of policyholders</w:t>
          </w:r>
          <w:r w:rsidR="0026583E" w:rsidRPr="00863DB6">
            <w:rPr>
              <w:rFonts w:ascii="Verdana" w:hAnsi="Verdana" w:cs="Calibri"/>
              <w:color w:val="3A6BAC" w:themeColor="accent1"/>
              <w:sz w:val="18"/>
              <w:szCs w:val="18"/>
            </w:rPr>
            <w:t>:</w:t>
          </w:r>
          <w:r w:rsidR="00342B2B" w:rsidRPr="00863DB6">
            <w:rPr>
              <w:rFonts w:ascii="Verdana" w:hAnsi="Verdana" w:cs="Calibri"/>
              <w:color w:val="3A6BAC" w:themeColor="accent1"/>
              <w:sz w:val="18"/>
              <w:szCs w:val="18"/>
            </w:rPr>
            <w:t xml:space="preserve"> </w:t>
          </w:r>
        </w:p>
        <w:p w14:paraId="36265976" w14:textId="08504166" w:rsidR="00BB7365" w:rsidRPr="00863DB6" w:rsidRDefault="0026583E" w:rsidP="00863DB6">
          <w:pPr>
            <w:pStyle w:val="Odsekzoznamu"/>
            <w:numPr>
              <w:ilvl w:val="0"/>
              <w:numId w:val="45"/>
            </w:numPr>
            <w:spacing w:after="0" w:line="240" w:lineRule="auto"/>
            <w:jc w:val="both"/>
            <w:rPr>
              <w:rFonts w:ascii="Verdana" w:hAnsi="Verdana" w:cs="Calibri"/>
              <w:color w:val="3A6BAC" w:themeColor="accent1"/>
              <w:sz w:val="18"/>
              <w:szCs w:val="18"/>
            </w:rPr>
          </w:pPr>
          <w:r w:rsidRPr="00863DB6">
            <w:rPr>
              <w:rFonts w:ascii="Verdana" w:hAnsi="Verdana" w:cs="Calibri"/>
              <w:color w:val="3A6BAC" w:themeColor="accent1"/>
              <w:sz w:val="18"/>
              <w:szCs w:val="18"/>
            </w:rPr>
            <w:t>Cost reduction</w:t>
          </w:r>
        </w:p>
        <w:p w14:paraId="1283D891" w14:textId="616A2756" w:rsidR="00F16AC0" w:rsidRDefault="00BB7365" w:rsidP="00863DB6">
          <w:pPr>
            <w:pStyle w:val="Odsekzoznamu"/>
            <w:numPr>
              <w:ilvl w:val="0"/>
              <w:numId w:val="45"/>
            </w:numPr>
            <w:spacing w:after="0" w:line="240" w:lineRule="auto"/>
            <w:jc w:val="both"/>
            <w:rPr>
              <w:rFonts w:ascii="Verdana" w:hAnsi="Verdana" w:cs="Calibri"/>
              <w:color w:val="3A6BAC" w:themeColor="accent1"/>
              <w:sz w:val="18"/>
              <w:szCs w:val="18"/>
            </w:rPr>
          </w:pPr>
          <w:r w:rsidRPr="00863DB6">
            <w:rPr>
              <w:rFonts w:ascii="Verdana" w:hAnsi="Verdana" w:cs="Calibri"/>
              <w:color w:val="3A6BAC" w:themeColor="accent1"/>
              <w:sz w:val="18"/>
              <w:szCs w:val="18"/>
            </w:rPr>
            <w:t xml:space="preserve">Attracting and retaining </w:t>
          </w:r>
          <w:r w:rsidR="0026583E" w:rsidRPr="00863DB6">
            <w:rPr>
              <w:rFonts w:ascii="Verdana" w:hAnsi="Verdana" w:cs="Calibri"/>
              <w:color w:val="3A6BAC" w:themeColor="accent1"/>
              <w:sz w:val="18"/>
              <w:szCs w:val="18"/>
            </w:rPr>
            <w:t>talent/</w:t>
          </w:r>
          <w:r w:rsidR="00F16AC0" w:rsidRPr="00863DB6">
            <w:rPr>
              <w:rFonts w:ascii="Verdana" w:hAnsi="Verdana" w:cs="Calibri"/>
              <w:color w:val="3A6BAC" w:themeColor="accent1"/>
              <w:sz w:val="18"/>
              <w:szCs w:val="18"/>
            </w:rPr>
            <w:t xml:space="preserve">expertise in high demand that is not (easily) available elsewhere. Ensuring that policyholders receive state of the art expertise is the most effective mitigating approach to prevent conduct risks. </w:t>
          </w:r>
        </w:p>
        <w:p w14:paraId="7F664260" w14:textId="77777777" w:rsidR="006412D2" w:rsidRDefault="006412D2" w:rsidP="006412D2">
          <w:pPr>
            <w:pStyle w:val="Odsekzoznamu"/>
            <w:numPr>
              <w:ilvl w:val="0"/>
              <w:numId w:val="45"/>
            </w:numPr>
            <w:spacing w:after="0" w:line="240" w:lineRule="auto"/>
            <w:jc w:val="both"/>
            <w:rPr>
              <w:rFonts w:ascii="Verdana" w:hAnsi="Verdana" w:cs="Calibri"/>
              <w:color w:val="3A6BAC" w:themeColor="accent1"/>
              <w:sz w:val="18"/>
              <w:szCs w:val="18"/>
            </w:rPr>
          </w:pPr>
          <w:r>
            <w:rPr>
              <w:rFonts w:ascii="Verdana" w:hAnsi="Verdana" w:cs="Calibri"/>
              <w:color w:val="3A6BAC" w:themeColor="accent1"/>
              <w:sz w:val="18"/>
              <w:szCs w:val="18"/>
            </w:rPr>
            <w:t>Being able to make use of non-EEA based resources such as global underwriting expertise. This is necessary in particular as a means to contribute to the reduction of protection gaps in EU for large/distressed risks (including natural catastrophe/climate and cyber).</w:t>
          </w:r>
        </w:p>
        <w:p w14:paraId="3A317935" w14:textId="77777777" w:rsidR="00EF75F3" w:rsidRPr="006412D2" w:rsidRDefault="00EF75F3" w:rsidP="00EF75F3">
          <w:pPr>
            <w:spacing w:after="0" w:line="240" w:lineRule="auto"/>
            <w:jc w:val="both"/>
            <w:rPr>
              <w:rFonts w:ascii="Verdana" w:hAnsi="Verdana" w:cs="Calibri"/>
              <w:color w:val="3A6BAC" w:themeColor="accent1"/>
              <w:sz w:val="18"/>
              <w:szCs w:val="18"/>
              <w:lang w:val="en-US"/>
            </w:rPr>
          </w:pPr>
        </w:p>
        <w:p w14:paraId="15F0613E" w14:textId="75120E44" w:rsidR="00057DBB" w:rsidRPr="00602DC6" w:rsidRDefault="0016164A" w:rsidP="00097061">
          <w:pPr>
            <w:spacing w:after="0" w:line="240" w:lineRule="auto"/>
            <w:jc w:val="both"/>
            <w:rPr>
              <w:rFonts w:ascii="Verdana" w:hAnsi="Verdana" w:cs="Calibri"/>
              <w:color w:val="3A6BAC" w:themeColor="accent1"/>
              <w:sz w:val="18"/>
              <w:szCs w:val="18"/>
            </w:rPr>
          </w:pPr>
          <w:r>
            <w:rPr>
              <w:rFonts w:ascii="Verdana" w:hAnsi="Verdana" w:cs="Calibri"/>
              <w:color w:val="3A6BAC" w:themeColor="accent1"/>
              <w:sz w:val="18"/>
              <w:szCs w:val="18"/>
            </w:rPr>
            <w:t>Finally, t</w:t>
          </w:r>
          <w:r w:rsidR="00E209A8">
            <w:rPr>
              <w:rFonts w:ascii="Verdana" w:hAnsi="Verdana" w:cs="Calibri"/>
              <w:color w:val="3A6BAC" w:themeColor="accent1"/>
              <w:sz w:val="18"/>
              <w:szCs w:val="18"/>
            </w:rPr>
            <w:t>he statement in para. 3.2 is not clear</w:t>
          </w:r>
          <w:r w:rsidR="000053EE">
            <w:rPr>
              <w:rFonts w:ascii="Verdana" w:hAnsi="Verdana" w:cs="Calibri"/>
              <w:color w:val="3A6BAC" w:themeColor="accent1"/>
              <w:sz w:val="18"/>
              <w:szCs w:val="18"/>
            </w:rPr>
            <w:t xml:space="preserve"> </w:t>
          </w:r>
          <w:r w:rsidR="00F762A3">
            <w:rPr>
              <w:rFonts w:ascii="Verdana" w:hAnsi="Verdana" w:cs="Calibri"/>
              <w:color w:val="3A6BAC" w:themeColor="accent1"/>
              <w:sz w:val="18"/>
              <w:szCs w:val="18"/>
            </w:rPr>
            <w:t xml:space="preserve">and is left open to interpretation. </w:t>
          </w:r>
          <w:r w:rsidR="00526F1A">
            <w:rPr>
              <w:rFonts w:ascii="Verdana" w:hAnsi="Verdana" w:cs="Calibri"/>
              <w:color w:val="3A6BAC" w:themeColor="accent1"/>
              <w:sz w:val="18"/>
              <w:szCs w:val="18"/>
            </w:rPr>
            <w:t xml:space="preserve">The use of </w:t>
          </w:r>
          <w:r w:rsidR="00E209A8">
            <w:rPr>
              <w:rFonts w:ascii="Verdana" w:hAnsi="Verdana" w:cs="Calibri"/>
              <w:color w:val="3A6BAC" w:themeColor="accent1"/>
              <w:sz w:val="18"/>
              <w:szCs w:val="18"/>
            </w:rPr>
            <w:t xml:space="preserve">phrasing </w:t>
          </w:r>
          <w:r w:rsidR="00526F1A">
            <w:rPr>
              <w:rFonts w:ascii="Verdana" w:hAnsi="Verdana" w:cs="Calibri"/>
              <w:color w:val="3A6BAC" w:themeColor="accent1"/>
              <w:sz w:val="18"/>
              <w:szCs w:val="18"/>
            </w:rPr>
            <w:t xml:space="preserve">such as </w:t>
          </w:r>
          <w:r w:rsidR="00E209A8">
            <w:rPr>
              <w:rFonts w:ascii="Verdana" w:hAnsi="Verdana" w:cs="Calibri"/>
              <w:color w:val="3A6BAC" w:themeColor="accent1"/>
              <w:sz w:val="18"/>
              <w:szCs w:val="18"/>
            </w:rPr>
            <w:t>“EIOPA believes”</w:t>
          </w:r>
          <w:r w:rsidR="00526F1A">
            <w:rPr>
              <w:rFonts w:ascii="Verdana" w:hAnsi="Verdana" w:cs="Calibri"/>
              <w:color w:val="3A6BAC" w:themeColor="accent1"/>
              <w:sz w:val="18"/>
              <w:szCs w:val="18"/>
            </w:rPr>
            <w:t xml:space="preserve">, </w:t>
          </w:r>
          <w:r w:rsidR="00E209A8">
            <w:rPr>
              <w:rFonts w:ascii="Verdana" w:hAnsi="Verdana" w:cs="Calibri"/>
              <w:color w:val="3A6BAC" w:themeColor="accent1"/>
              <w:sz w:val="18"/>
              <w:szCs w:val="18"/>
            </w:rPr>
            <w:t xml:space="preserve">“should be avoided” </w:t>
          </w:r>
          <w:r w:rsidR="00526F1A">
            <w:rPr>
              <w:rFonts w:ascii="Verdana" w:hAnsi="Verdana" w:cs="Calibri"/>
              <w:color w:val="3A6BAC" w:themeColor="accent1"/>
              <w:sz w:val="18"/>
              <w:szCs w:val="18"/>
            </w:rPr>
            <w:t xml:space="preserve">suggest that </w:t>
          </w:r>
          <w:r w:rsidR="00E209A8">
            <w:rPr>
              <w:rFonts w:ascii="Verdana" w:hAnsi="Verdana" w:cs="Calibri"/>
              <w:color w:val="3A6BAC" w:themeColor="accent1"/>
              <w:sz w:val="18"/>
              <w:szCs w:val="18"/>
            </w:rPr>
            <w:t xml:space="preserve">the statement is merely an opinion of EIOPA. </w:t>
          </w:r>
        </w:p>
      </w:sdtContent>
    </w:sdt>
    <w:p w14:paraId="7B6B0A87" w14:textId="77777777" w:rsidR="00C3566C" w:rsidRPr="00D97876" w:rsidRDefault="00C3566C" w:rsidP="00097061">
      <w:pPr>
        <w:spacing w:after="0" w:line="240" w:lineRule="auto"/>
      </w:pPr>
    </w:p>
    <w:p w14:paraId="0F77C6F6" w14:textId="2A731F7B" w:rsidR="00030729" w:rsidRPr="00A768C0" w:rsidRDefault="00030729" w:rsidP="00097061">
      <w:pPr>
        <w:spacing w:after="0" w:line="240" w:lineRule="auto"/>
      </w:pPr>
      <w:r w:rsidRPr="00D97876">
        <w:t>Q6.</w:t>
      </w:r>
      <w:r w:rsidR="00CC7032">
        <w:tab/>
      </w:r>
      <w:r w:rsidR="00A768C0" w:rsidRPr="003B3CDF">
        <w:rPr>
          <w:b/>
          <w:bCs/>
        </w:rPr>
        <w:t>Do you agree with the role of a branch, or a similar governance arrangement in a third country identified in 3.3?</w:t>
      </w:r>
    </w:p>
    <w:sdt>
      <w:sdtPr>
        <w:id w:val="1630745976"/>
      </w:sdtPr>
      <w:sdtEndPr>
        <w:rPr>
          <w:rFonts w:ascii="Verdana" w:hAnsi="Verdana" w:cs="Calibri"/>
          <w:color w:val="3A6BAC" w:themeColor="accent1"/>
          <w:sz w:val="18"/>
          <w:szCs w:val="18"/>
        </w:rPr>
      </w:sdtEndPr>
      <w:sdtContent>
        <w:p w14:paraId="57AEF525" w14:textId="7A135F77" w:rsidR="003F4281" w:rsidRPr="00863DB6" w:rsidRDefault="009328E6" w:rsidP="003F4281">
          <w:pPr>
            <w:spacing w:after="0" w:line="240" w:lineRule="auto"/>
            <w:jc w:val="both"/>
            <w:rPr>
              <w:rFonts w:ascii="Verdana" w:hAnsi="Verdana" w:cs="Calibri"/>
              <w:color w:val="3A6BAC" w:themeColor="accent1"/>
              <w:sz w:val="18"/>
              <w:szCs w:val="18"/>
            </w:rPr>
          </w:pPr>
          <w:r w:rsidRPr="00933D41">
            <w:rPr>
              <w:rFonts w:ascii="Verdana" w:hAnsi="Verdana" w:cs="Calibri"/>
              <w:color w:val="3A6BAC" w:themeColor="accent1"/>
              <w:sz w:val="18"/>
              <w:szCs w:val="18"/>
            </w:rPr>
            <w:t>The statement that “</w:t>
          </w:r>
          <w:r w:rsidR="00EC705E">
            <w:rPr>
              <w:rFonts w:ascii="Verdana" w:hAnsi="Verdana" w:cs="Calibri"/>
              <w:color w:val="3A6BAC" w:themeColor="accent1"/>
              <w:sz w:val="18"/>
              <w:szCs w:val="18"/>
            </w:rPr>
            <w:t>Th</w:t>
          </w:r>
          <w:r w:rsidR="00296067" w:rsidRPr="00296067">
            <w:rPr>
              <w:rFonts w:ascii="Verdana" w:hAnsi="Verdana" w:cs="Calibri"/>
              <w:color w:val="3A6BAC" w:themeColor="accent1"/>
              <w:sz w:val="18"/>
              <w:szCs w:val="18"/>
            </w:rPr>
            <w:t>e arrangement [should not] materially impair the system of governance, increase operational risk or undermine policyholder protection” is reasonable</w:t>
          </w:r>
        </w:p>
        <w:p w14:paraId="3BBD27CE" w14:textId="77777777" w:rsidR="00EC705E" w:rsidRDefault="00EC705E" w:rsidP="00863DB6">
          <w:pPr>
            <w:spacing w:after="0" w:line="240" w:lineRule="auto"/>
            <w:jc w:val="both"/>
            <w:rPr>
              <w:rFonts w:ascii="Verdana" w:hAnsi="Verdana" w:cs="Calibri"/>
              <w:color w:val="3A6BAC" w:themeColor="accent1"/>
              <w:sz w:val="18"/>
              <w:szCs w:val="18"/>
            </w:rPr>
          </w:pPr>
        </w:p>
        <w:p w14:paraId="7EE081BF" w14:textId="7FE37E55" w:rsidR="003E755E" w:rsidRDefault="00036050" w:rsidP="00863DB6">
          <w:pPr>
            <w:spacing w:after="0" w:line="240" w:lineRule="auto"/>
            <w:jc w:val="both"/>
            <w:rPr>
              <w:rFonts w:ascii="Verdana" w:hAnsi="Verdana" w:cs="Calibri"/>
              <w:color w:val="3A6BAC" w:themeColor="accent1"/>
              <w:sz w:val="18"/>
              <w:szCs w:val="18"/>
            </w:rPr>
          </w:pPr>
          <w:r w:rsidRPr="00863DB6">
            <w:rPr>
              <w:rFonts w:ascii="Verdana" w:hAnsi="Verdana" w:cs="Calibri"/>
              <w:color w:val="3A6BAC" w:themeColor="accent1"/>
              <w:sz w:val="18"/>
              <w:szCs w:val="18"/>
            </w:rPr>
            <w:t xml:space="preserve">However, </w:t>
          </w:r>
          <w:r w:rsidR="0002599C" w:rsidRPr="00863DB6">
            <w:rPr>
              <w:rFonts w:ascii="Verdana" w:hAnsi="Verdana" w:cs="Calibri"/>
              <w:color w:val="3A6BAC" w:themeColor="accent1"/>
              <w:sz w:val="18"/>
              <w:szCs w:val="18"/>
            </w:rPr>
            <w:t>r</w:t>
          </w:r>
          <w:r w:rsidR="007E17C3" w:rsidRPr="00863DB6">
            <w:rPr>
              <w:rFonts w:ascii="Verdana" w:hAnsi="Verdana" w:cs="Calibri"/>
              <w:color w:val="3A6BAC" w:themeColor="accent1"/>
              <w:sz w:val="18"/>
              <w:szCs w:val="18"/>
            </w:rPr>
            <w:t>egulatory interference in organi</w:t>
          </w:r>
          <w:r w:rsidR="001A13FE" w:rsidRPr="00863DB6">
            <w:rPr>
              <w:rFonts w:ascii="Verdana" w:hAnsi="Verdana" w:cs="Calibri"/>
              <w:color w:val="3A6BAC" w:themeColor="accent1"/>
              <w:sz w:val="18"/>
              <w:szCs w:val="18"/>
            </w:rPr>
            <w:t>s</w:t>
          </w:r>
          <w:r w:rsidR="007E17C3" w:rsidRPr="00863DB6">
            <w:rPr>
              <w:rFonts w:ascii="Verdana" w:hAnsi="Verdana" w:cs="Calibri"/>
              <w:color w:val="3A6BAC" w:themeColor="accent1"/>
              <w:sz w:val="18"/>
              <w:szCs w:val="18"/>
            </w:rPr>
            <w:t xml:space="preserve">ational set-up is not </w:t>
          </w:r>
          <w:r w:rsidR="00BB54BD">
            <w:rPr>
              <w:rFonts w:ascii="Verdana" w:hAnsi="Verdana" w:cs="Calibri"/>
              <w:color w:val="3A6BAC" w:themeColor="accent1"/>
              <w:sz w:val="18"/>
              <w:szCs w:val="18"/>
            </w:rPr>
            <w:t>workable</w:t>
          </w:r>
          <w:r w:rsidR="00BB54BD" w:rsidRPr="00863DB6">
            <w:rPr>
              <w:rFonts w:ascii="Verdana" w:hAnsi="Verdana" w:cs="Calibri"/>
              <w:color w:val="3A6BAC" w:themeColor="accent1"/>
              <w:sz w:val="18"/>
              <w:szCs w:val="18"/>
            </w:rPr>
            <w:t xml:space="preserve"> </w:t>
          </w:r>
          <w:r w:rsidR="007E17C3" w:rsidRPr="00863DB6">
            <w:rPr>
              <w:rFonts w:ascii="Verdana" w:hAnsi="Verdana" w:cs="Calibri"/>
              <w:color w:val="3A6BAC" w:themeColor="accent1"/>
              <w:sz w:val="18"/>
              <w:szCs w:val="18"/>
            </w:rPr>
            <w:t>in</w:t>
          </w:r>
          <w:r w:rsidR="00BB54BD">
            <w:rPr>
              <w:rFonts w:ascii="Verdana" w:hAnsi="Verdana" w:cs="Calibri"/>
              <w:color w:val="3A6BAC" w:themeColor="accent1"/>
              <w:sz w:val="18"/>
              <w:szCs w:val="18"/>
            </w:rPr>
            <w:t xml:space="preserve"> the </w:t>
          </w:r>
          <w:r w:rsidR="007E17C3" w:rsidRPr="00863DB6">
            <w:rPr>
              <w:rFonts w:ascii="Verdana" w:hAnsi="Verdana" w:cs="Calibri"/>
              <w:color w:val="3A6BAC" w:themeColor="accent1"/>
              <w:sz w:val="18"/>
              <w:szCs w:val="18"/>
            </w:rPr>
            <w:t xml:space="preserve">inter-related world where </w:t>
          </w:r>
          <w:r w:rsidR="00863DB6" w:rsidRPr="00863DB6">
            <w:rPr>
              <w:rFonts w:ascii="Verdana" w:hAnsi="Verdana" w:cs="Calibri"/>
              <w:color w:val="3A6BAC" w:themeColor="accent1"/>
              <w:sz w:val="18"/>
              <w:szCs w:val="18"/>
            </w:rPr>
            <w:t xml:space="preserve">optimal </w:t>
          </w:r>
          <w:r w:rsidR="007E17C3" w:rsidRPr="00863DB6">
            <w:rPr>
              <w:rFonts w:ascii="Verdana" w:hAnsi="Verdana" w:cs="Calibri"/>
              <w:color w:val="3A6BAC" w:themeColor="accent1"/>
              <w:sz w:val="18"/>
              <w:szCs w:val="18"/>
            </w:rPr>
            <w:t>effectiveness and efficiencies should be the criteria used as part of insurance undertakings decision-making process.</w:t>
          </w:r>
          <w:r w:rsidR="00CA74D7">
            <w:rPr>
              <w:rFonts w:ascii="Verdana" w:hAnsi="Verdana" w:cs="Calibri"/>
              <w:color w:val="3A6BAC" w:themeColor="accent1"/>
              <w:sz w:val="18"/>
              <w:szCs w:val="18"/>
            </w:rPr>
            <w:t xml:space="preserve"> A company should have freedom as to how it organises itself within the same legal entity and supervisory scrutiny </w:t>
          </w:r>
          <w:r w:rsidR="00181585">
            <w:rPr>
              <w:rFonts w:ascii="Verdana" w:hAnsi="Verdana" w:cs="Calibri"/>
              <w:color w:val="3A6BAC" w:themeColor="accent1"/>
              <w:sz w:val="18"/>
              <w:szCs w:val="18"/>
            </w:rPr>
            <w:t xml:space="preserve">should </w:t>
          </w:r>
          <w:r w:rsidR="00CA74D7">
            <w:rPr>
              <w:rFonts w:ascii="Verdana" w:hAnsi="Verdana" w:cs="Calibri"/>
              <w:color w:val="3A6BAC" w:themeColor="accent1"/>
              <w:sz w:val="18"/>
              <w:szCs w:val="18"/>
            </w:rPr>
            <w:t xml:space="preserve">be concentrated </w:t>
          </w:r>
          <w:r w:rsidR="00181585">
            <w:rPr>
              <w:rFonts w:ascii="Verdana" w:hAnsi="Verdana" w:cs="Calibri"/>
              <w:color w:val="3A6BAC" w:themeColor="accent1"/>
              <w:sz w:val="18"/>
              <w:szCs w:val="18"/>
            </w:rPr>
            <w:t>at</w:t>
          </w:r>
          <w:r w:rsidR="00CA74D7">
            <w:rPr>
              <w:rFonts w:ascii="Verdana" w:hAnsi="Verdana" w:cs="Calibri"/>
              <w:color w:val="3A6BAC" w:themeColor="accent1"/>
              <w:sz w:val="18"/>
              <w:szCs w:val="18"/>
            </w:rPr>
            <w:t xml:space="preserve"> legal entity level,</w:t>
          </w:r>
          <w:r w:rsidR="00181585">
            <w:rPr>
              <w:rFonts w:ascii="Verdana" w:hAnsi="Verdana" w:cs="Calibri"/>
              <w:color w:val="3A6BAC" w:themeColor="accent1"/>
              <w:sz w:val="18"/>
              <w:szCs w:val="18"/>
            </w:rPr>
            <w:t xml:space="preserve"> where supervisory tools are available</w:t>
          </w:r>
          <w:r w:rsidR="00CA74D7">
            <w:rPr>
              <w:rFonts w:ascii="Verdana" w:hAnsi="Verdana" w:cs="Calibri"/>
              <w:color w:val="3A6BAC" w:themeColor="accent1"/>
              <w:sz w:val="18"/>
              <w:szCs w:val="18"/>
            </w:rPr>
            <w:t>.</w:t>
          </w:r>
          <w:r w:rsidR="007E17C3" w:rsidRPr="00863DB6">
            <w:rPr>
              <w:rFonts w:ascii="Verdana" w:hAnsi="Verdana" w:cs="Calibri"/>
              <w:color w:val="3A6BAC" w:themeColor="accent1"/>
              <w:sz w:val="18"/>
              <w:szCs w:val="18"/>
            </w:rPr>
            <w:t xml:space="preserve"> </w:t>
          </w:r>
        </w:p>
        <w:p w14:paraId="437E1D41" w14:textId="29EA88AB" w:rsidR="003E755E" w:rsidRDefault="003E755E" w:rsidP="00863DB6">
          <w:pPr>
            <w:spacing w:after="0" w:line="240" w:lineRule="auto"/>
            <w:jc w:val="both"/>
            <w:rPr>
              <w:rFonts w:ascii="Verdana" w:hAnsi="Verdana" w:cs="Calibri"/>
              <w:color w:val="3A6BAC" w:themeColor="accent1"/>
              <w:sz w:val="18"/>
              <w:szCs w:val="18"/>
            </w:rPr>
          </w:pPr>
        </w:p>
        <w:p w14:paraId="12D9401B" w14:textId="38B5B7EC" w:rsidR="00863DB6" w:rsidRPr="00863DB6" w:rsidDel="00863DB6" w:rsidRDefault="006412D2" w:rsidP="00863DB6">
          <w:pPr>
            <w:spacing w:after="0" w:line="240" w:lineRule="auto"/>
            <w:jc w:val="both"/>
            <w:rPr>
              <w:rFonts w:ascii="Verdana" w:hAnsi="Verdana" w:cs="Calibri"/>
              <w:color w:val="3A6BAC" w:themeColor="accent1"/>
              <w:sz w:val="18"/>
              <w:szCs w:val="18"/>
            </w:rPr>
          </w:pPr>
          <w:r>
            <w:rPr>
              <w:rFonts w:ascii="Verdana" w:hAnsi="Verdana" w:cs="Calibri"/>
              <w:color w:val="3A6BAC" w:themeColor="accent1"/>
              <w:sz w:val="18"/>
              <w:szCs w:val="18"/>
            </w:rPr>
            <w:t xml:space="preserve">It should be noted that these arrangements improve policyholder protection by allowing access to optimal solutions for </w:t>
          </w:r>
          <w:r w:rsidR="00D12BB6">
            <w:rPr>
              <w:rFonts w:ascii="Verdana" w:hAnsi="Verdana" w:cs="Calibri"/>
              <w:color w:val="3A6BAC" w:themeColor="accent1"/>
              <w:sz w:val="18"/>
              <w:szCs w:val="18"/>
            </w:rPr>
            <w:t>them</w:t>
          </w:r>
          <w:r>
            <w:rPr>
              <w:rFonts w:ascii="Verdana" w:hAnsi="Verdana" w:cs="Calibri"/>
              <w:color w:val="3A6BAC" w:themeColor="accent1"/>
              <w:sz w:val="18"/>
              <w:szCs w:val="18"/>
            </w:rPr>
            <w:t>, thus reducing supervisory and conduct risks. The alternative to employing such arrangements may be that policyholders do not receive certain beneficial products or services, leading directly to protection gaps and other risks.</w:t>
          </w:r>
        </w:p>
        <w:p w14:paraId="550B79D9" w14:textId="77777777" w:rsidR="009D090A" w:rsidRDefault="009D090A" w:rsidP="00863DB6">
          <w:pPr>
            <w:spacing w:after="0" w:line="240" w:lineRule="auto"/>
            <w:jc w:val="both"/>
            <w:rPr>
              <w:rFonts w:ascii="Arial" w:eastAsia="Times New Roman" w:hAnsi="Arial" w:cs="Arial"/>
              <w:color w:val="808080"/>
              <w:sz w:val="20"/>
              <w:szCs w:val="20"/>
            </w:rPr>
          </w:pPr>
        </w:p>
        <w:p w14:paraId="4FA95331" w14:textId="6DFB18C4" w:rsidR="009D090A" w:rsidRDefault="009D090A" w:rsidP="009D090A">
          <w:pPr>
            <w:spacing w:after="0" w:line="240" w:lineRule="auto"/>
            <w:jc w:val="both"/>
            <w:rPr>
              <w:rFonts w:ascii="Verdana" w:hAnsi="Verdana" w:cs="Calibri"/>
              <w:color w:val="3A6BAC" w:themeColor="accent1"/>
              <w:sz w:val="18"/>
              <w:szCs w:val="18"/>
            </w:rPr>
          </w:pPr>
          <w:r>
            <w:rPr>
              <w:rFonts w:ascii="Verdana" w:hAnsi="Verdana" w:cs="Calibri"/>
              <w:color w:val="3A6BAC" w:themeColor="accent1"/>
              <w:sz w:val="18"/>
              <w:szCs w:val="18"/>
            </w:rPr>
            <w:t>It is proposed to amend 3.3 as follows:</w:t>
          </w:r>
        </w:p>
        <w:p w14:paraId="2DE965FA" w14:textId="77777777" w:rsidR="009D090A" w:rsidRPr="00602DC6" w:rsidRDefault="009D090A" w:rsidP="009D090A">
          <w:pPr>
            <w:spacing w:after="0" w:line="240" w:lineRule="auto"/>
            <w:jc w:val="both"/>
            <w:rPr>
              <w:rFonts w:ascii="Verdana" w:hAnsi="Verdana" w:cs="Calibri"/>
              <w:i/>
              <w:iCs/>
              <w:color w:val="3A6BAC" w:themeColor="accent1"/>
              <w:sz w:val="18"/>
              <w:szCs w:val="18"/>
            </w:rPr>
          </w:pPr>
        </w:p>
        <w:p w14:paraId="011893FA" w14:textId="5BF9D2DE" w:rsidR="00030729" w:rsidRPr="00D97876" w:rsidRDefault="009D090A" w:rsidP="00863DB6">
          <w:pPr>
            <w:spacing w:after="0" w:line="240" w:lineRule="auto"/>
            <w:jc w:val="both"/>
            <w:rPr>
              <w:rFonts w:ascii="Arial" w:eastAsia="Times New Roman" w:hAnsi="Arial" w:cs="Arial"/>
              <w:color w:val="808080"/>
              <w:sz w:val="20"/>
              <w:szCs w:val="20"/>
            </w:rPr>
          </w:pPr>
          <w:r w:rsidRPr="00602DC6">
            <w:rPr>
              <w:rStyle w:val="fontstyle01"/>
              <w:rFonts w:ascii="Verdana" w:hAnsi="Verdana"/>
              <w:i/>
              <w:iCs/>
              <w:color w:val="3A6BAC" w:themeColor="accent1"/>
              <w:sz w:val="18"/>
              <w:szCs w:val="18"/>
            </w:rPr>
            <w:t>These arrangements should neither perform regulated functions or activities for the</w:t>
          </w:r>
          <w:r w:rsidRPr="00602DC6">
            <w:rPr>
              <w:rFonts w:ascii="Verdana" w:hAnsi="Verdana" w:cs="Calibri"/>
              <w:i/>
              <w:iCs/>
              <w:color w:val="3A6BAC" w:themeColor="accent1"/>
              <w:sz w:val="18"/>
              <w:szCs w:val="18"/>
            </w:rPr>
            <w:br/>
          </w:r>
          <w:r w:rsidRPr="00602DC6">
            <w:rPr>
              <w:rStyle w:val="fontstyle01"/>
              <w:rFonts w:ascii="Verdana" w:hAnsi="Verdana"/>
              <w:i/>
              <w:iCs/>
              <w:color w:val="3A6BAC" w:themeColor="accent1"/>
              <w:sz w:val="18"/>
              <w:szCs w:val="18"/>
            </w:rPr>
            <w:t xml:space="preserve">insurance undertaking in such a way that </w:t>
          </w:r>
          <w:r w:rsidRPr="00602DC6">
            <w:rPr>
              <w:rStyle w:val="fontstyle01"/>
              <w:rFonts w:ascii="Verdana" w:hAnsi="Verdana"/>
              <w:i/>
              <w:iCs/>
              <w:strike/>
              <w:color w:val="3A6BAC" w:themeColor="accent1"/>
              <w:sz w:val="18"/>
              <w:szCs w:val="18"/>
            </w:rPr>
            <w:t>leads to the undertaking or intermediary</w:t>
          </w:r>
          <w:r w:rsidRPr="00602DC6">
            <w:rPr>
              <w:rFonts w:ascii="Verdana" w:hAnsi="Verdana" w:cs="Calibri"/>
              <w:i/>
              <w:iCs/>
              <w:strike/>
              <w:color w:val="3A6BAC" w:themeColor="accent1"/>
              <w:sz w:val="18"/>
              <w:szCs w:val="18"/>
            </w:rPr>
            <w:br/>
          </w:r>
          <w:r w:rsidRPr="00602DC6">
            <w:rPr>
              <w:rStyle w:val="fontstyle01"/>
              <w:rFonts w:ascii="Verdana" w:hAnsi="Verdana"/>
              <w:i/>
              <w:iCs/>
              <w:strike/>
              <w:color w:val="3A6BAC" w:themeColor="accent1"/>
              <w:sz w:val="18"/>
              <w:szCs w:val="18"/>
            </w:rPr>
            <w:t>being disproportionally dependent on the arrangement in a third country for its</w:t>
          </w:r>
          <w:r w:rsidRPr="00602DC6">
            <w:rPr>
              <w:rFonts w:ascii="Verdana" w:hAnsi="Verdana" w:cs="Calibri"/>
              <w:i/>
              <w:iCs/>
              <w:strike/>
              <w:color w:val="3A6BAC" w:themeColor="accent1"/>
              <w:sz w:val="18"/>
              <w:szCs w:val="18"/>
            </w:rPr>
            <w:br/>
          </w:r>
          <w:r w:rsidRPr="00602DC6">
            <w:rPr>
              <w:rStyle w:val="fontstyle01"/>
              <w:rFonts w:ascii="Verdana" w:hAnsi="Verdana"/>
              <w:i/>
              <w:iCs/>
              <w:strike/>
              <w:color w:val="3A6BAC" w:themeColor="accent1"/>
              <w:sz w:val="18"/>
              <w:szCs w:val="18"/>
            </w:rPr>
            <w:t>activities in the EEA, nor should the arrangement materially</w:t>
          </w:r>
          <w:r w:rsidRPr="00602DC6">
            <w:rPr>
              <w:rStyle w:val="fontstyle01"/>
              <w:rFonts w:ascii="Verdana" w:hAnsi="Verdana"/>
              <w:i/>
              <w:iCs/>
              <w:color w:val="3A6BAC" w:themeColor="accent1"/>
              <w:sz w:val="18"/>
              <w:szCs w:val="18"/>
            </w:rPr>
            <w:t xml:space="preserve"> these would impair the system of governance, increase operational risk or undermine policyholder protection.</w:t>
          </w:r>
        </w:p>
      </w:sdtContent>
    </w:sdt>
    <w:p w14:paraId="637C217D" w14:textId="77777777" w:rsidR="00C3570A" w:rsidRPr="00D97876" w:rsidRDefault="00C3570A" w:rsidP="00097061">
      <w:pPr>
        <w:spacing w:after="0" w:line="240" w:lineRule="auto"/>
      </w:pPr>
    </w:p>
    <w:p w14:paraId="1C6E41A3" w14:textId="3E7B0025" w:rsidR="00030729" w:rsidRPr="00D77BA4" w:rsidRDefault="00030729" w:rsidP="00097061">
      <w:pPr>
        <w:spacing w:after="0" w:line="240" w:lineRule="auto"/>
      </w:pPr>
      <w:r w:rsidRPr="00D97876">
        <w:t>Q7.</w:t>
      </w:r>
      <w:r w:rsidR="00CC7032">
        <w:tab/>
      </w:r>
      <w:r w:rsidR="00D77BA4" w:rsidRPr="003B3CDF">
        <w:rPr>
          <w:b/>
          <w:bCs/>
        </w:rPr>
        <w:t>Do you agree with the mentioned role and objectives for supervisory authorities?</w:t>
      </w:r>
    </w:p>
    <w:p w14:paraId="36433F3F" w14:textId="1723496C" w:rsidR="00030729" w:rsidRDefault="003F590B" w:rsidP="00CC7032">
      <w:pPr>
        <w:spacing w:after="0" w:line="240" w:lineRule="auto"/>
        <w:jc w:val="both"/>
        <w:rPr>
          <w:color w:val="3A6BAC" w:themeColor="accent1"/>
        </w:rPr>
      </w:pPr>
      <w:r w:rsidRPr="00EC705E">
        <w:rPr>
          <w:rFonts w:ascii="Verdana" w:hAnsi="Verdana" w:cs="Calibri"/>
          <w:color w:val="3A6BAC" w:themeColor="accent1"/>
          <w:sz w:val="18"/>
          <w:szCs w:val="18"/>
        </w:rPr>
        <w:t>Yes</w:t>
      </w:r>
      <w:r w:rsidR="00886C37">
        <w:rPr>
          <w:rFonts w:ascii="Verdana" w:hAnsi="Verdana" w:cs="Calibri"/>
          <w:color w:val="3A6BAC" w:themeColor="accent1"/>
          <w:sz w:val="18"/>
          <w:szCs w:val="18"/>
        </w:rPr>
        <w:t>,</w:t>
      </w:r>
      <w:r w:rsidRPr="00EC705E">
        <w:rPr>
          <w:rFonts w:ascii="Verdana" w:hAnsi="Verdana" w:cs="Calibri"/>
          <w:color w:val="3A6BAC" w:themeColor="accent1"/>
          <w:sz w:val="18"/>
          <w:szCs w:val="18"/>
        </w:rPr>
        <w:t xml:space="preserve"> </w:t>
      </w:r>
      <w:r w:rsidR="00886C37">
        <w:rPr>
          <w:rFonts w:ascii="Verdana" w:hAnsi="Verdana" w:cs="Calibri"/>
          <w:color w:val="3A6BAC" w:themeColor="accent1"/>
          <w:sz w:val="18"/>
          <w:szCs w:val="18"/>
        </w:rPr>
        <w:t>t</w:t>
      </w:r>
      <w:r w:rsidR="007E54CB" w:rsidRPr="00EC705E">
        <w:rPr>
          <w:rFonts w:ascii="Verdana" w:hAnsi="Verdana" w:cs="Calibri"/>
          <w:color w:val="3A6BAC" w:themeColor="accent1"/>
          <w:sz w:val="18"/>
          <w:szCs w:val="18"/>
        </w:rPr>
        <w:t xml:space="preserve">he descriptions provided in the draft supervisory statement are consistent with the existing </w:t>
      </w:r>
      <w:r w:rsidR="007700D1" w:rsidRPr="00EC705E">
        <w:rPr>
          <w:rFonts w:ascii="Verdana" w:hAnsi="Verdana" w:cs="Calibri"/>
          <w:color w:val="3A6BAC" w:themeColor="accent1"/>
          <w:sz w:val="18"/>
          <w:szCs w:val="18"/>
        </w:rPr>
        <w:t>Solvency II provisions.</w:t>
      </w:r>
      <w:r w:rsidR="007E54CB">
        <w:rPr>
          <w:color w:val="3A6BAC" w:themeColor="accent1"/>
        </w:rPr>
        <w:t xml:space="preserve"> </w:t>
      </w:r>
    </w:p>
    <w:p w14:paraId="5DB1376E" w14:textId="77777777" w:rsidR="00CC7032" w:rsidRDefault="00CC7032" w:rsidP="00CC7032">
      <w:pPr>
        <w:spacing w:after="0" w:line="240" w:lineRule="auto"/>
        <w:jc w:val="both"/>
      </w:pPr>
    </w:p>
    <w:p w14:paraId="2CA1885D" w14:textId="03BA11D2" w:rsidR="00277C3D" w:rsidRDefault="00A15330" w:rsidP="00097061">
      <w:pPr>
        <w:spacing w:after="0" w:line="240" w:lineRule="auto"/>
        <w:rPr>
          <w:rFonts w:ascii="Verdana" w:hAnsi="Verdana"/>
          <w:color w:val="3A6BAC" w:themeColor="accent1"/>
          <w:sz w:val="18"/>
          <w:szCs w:val="18"/>
        </w:rPr>
      </w:pPr>
      <w:r>
        <w:rPr>
          <w:rFonts w:ascii="Verdana" w:hAnsi="Verdana"/>
          <w:color w:val="3A6BAC" w:themeColor="accent1"/>
          <w:sz w:val="18"/>
          <w:szCs w:val="18"/>
        </w:rPr>
        <w:t>The insurance industry agrees that the supervisory authorities should ensure a consistent application of Solvency II.</w:t>
      </w:r>
      <w:r w:rsidR="00F110AB">
        <w:rPr>
          <w:rFonts w:ascii="Verdana" w:hAnsi="Verdana"/>
          <w:color w:val="3A6BAC" w:themeColor="accent1"/>
          <w:sz w:val="18"/>
          <w:szCs w:val="18"/>
        </w:rPr>
        <w:t xml:space="preserve"> Therefore, s</w:t>
      </w:r>
      <w:r>
        <w:rPr>
          <w:rFonts w:ascii="Verdana" w:hAnsi="Verdana"/>
          <w:color w:val="3A6BAC" w:themeColor="accent1"/>
          <w:sz w:val="18"/>
          <w:szCs w:val="18"/>
        </w:rPr>
        <w:t>upervisory authorities should have a sufficient access to conduct a proper supervision of the governance system and monitor compliance of the undertaking with the EU legislation.</w:t>
      </w:r>
    </w:p>
    <w:p w14:paraId="075ABD96" w14:textId="77777777" w:rsidR="00C3570A" w:rsidRPr="00D97876" w:rsidRDefault="00C3570A" w:rsidP="00097061">
      <w:pPr>
        <w:spacing w:after="0" w:line="240" w:lineRule="auto"/>
      </w:pPr>
    </w:p>
    <w:p w14:paraId="4CDE34D8" w14:textId="5509D8C4" w:rsidR="00030729" w:rsidRDefault="00030729" w:rsidP="00097061">
      <w:pPr>
        <w:spacing w:after="0" w:line="240" w:lineRule="auto"/>
        <w:rPr>
          <w:b/>
          <w:bCs/>
        </w:rPr>
      </w:pPr>
      <w:r w:rsidRPr="00D97876">
        <w:t>Q8.</w:t>
      </w:r>
      <w:r w:rsidR="00CC7032">
        <w:tab/>
      </w:r>
      <w:r w:rsidR="00404748" w:rsidRPr="003B3CDF">
        <w:rPr>
          <w:b/>
          <w:bCs/>
        </w:rPr>
        <w:t>Which other measures could be established to ensure that arrangements in third countries do not have a detrimental impact for consumers?</w:t>
      </w:r>
    </w:p>
    <w:p w14:paraId="38FAF1C6" w14:textId="7DE7A745" w:rsidR="00D814E5" w:rsidRDefault="005643C1" w:rsidP="00097061">
      <w:pPr>
        <w:spacing w:after="0" w:line="240" w:lineRule="auto"/>
        <w:jc w:val="both"/>
        <w:rPr>
          <w:rFonts w:ascii="Verdana" w:hAnsi="Verdana" w:cs="Calibri"/>
          <w:color w:val="3A6BAC" w:themeColor="accent1"/>
          <w:sz w:val="18"/>
          <w:szCs w:val="18"/>
        </w:rPr>
      </w:pPr>
      <w:r>
        <w:rPr>
          <w:rFonts w:ascii="Verdana" w:hAnsi="Verdana" w:cs="Calibri"/>
          <w:color w:val="3A6BAC" w:themeColor="accent1"/>
          <w:sz w:val="18"/>
          <w:szCs w:val="18"/>
        </w:rPr>
        <w:t xml:space="preserve">EIOPA should promote and facilitate cross-border supervision between supervisory authorities. In the </w:t>
      </w:r>
      <w:r w:rsidR="002A5974">
        <w:rPr>
          <w:rFonts w:ascii="Verdana" w:hAnsi="Verdana" w:cs="Calibri"/>
          <w:color w:val="3A6BAC" w:themeColor="accent1"/>
          <w:sz w:val="18"/>
          <w:szCs w:val="18"/>
        </w:rPr>
        <w:t>ever-interrelated</w:t>
      </w:r>
      <w:r>
        <w:rPr>
          <w:rFonts w:ascii="Verdana" w:hAnsi="Verdana" w:cs="Calibri"/>
          <w:color w:val="3A6BAC" w:themeColor="accent1"/>
          <w:sz w:val="18"/>
          <w:szCs w:val="18"/>
        </w:rPr>
        <w:t xml:space="preserve"> world, cross-border supervision will be key. EIOPA can play its role by assisting the set-up of Memoranda </w:t>
      </w:r>
      <w:proofErr w:type="gramStart"/>
      <w:r>
        <w:rPr>
          <w:rFonts w:ascii="Verdana" w:hAnsi="Verdana" w:cs="Calibri"/>
          <w:color w:val="3A6BAC" w:themeColor="accent1"/>
          <w:sz w:val="18"/>
          <w:szCs w:val="18"/>
        </w:rPr>
        <w:t>Of</w:t>
      </w:r>
      <w:proofErr w:type="gramEnd"/>
      <w:r>
        <w:rPr>
          <w:rFonts w:ascii="Verdana" w:hAnsi="Verdana" w:cs="Calibri"/>
          <w:color w:val="3A6BAC" w:themeColor="accent1"/>
          <w:sz w:val="18"/>
          <w:szCs w:val="18"/>
        </w:rPr>
        <w:t xml:space="preserve"> Understanding (MOUs) between EU supervisory authorities and third country supervisory authorities on the sharing of information and forms of cooperation. This exists already between UK authorities and EU NCAs /EIOPA</w:t>
      </w:r>
      <w:r w:rsidR="00D420B8">
        <w:rPr>
          <w:rFonts w:ascii="Verdana" w:hAnsi="Verdana" w:cs="Calibri"/>
          <w:color w:val="3A6BAC" w:themeColor="accent1"/>
          <w:sz w:val="18"/>
          <w:szCs w:val="18"/>
        </w:rPr>
        <w:t>.</w:t>
      </w:r>
    </w:p>
    <w:p w14:paraId="401545B2" w14:textId="77777777" w:rsidR="00923E38" w:rsidRDefault="00923E38" w:rsidP="00097061">
      <w:pPr>
        <w:spacing w:after="0" w:line="240" w:lineRule="auto"/>
        <w:jc w:val="both"/>
        <w:rPr>
          <w:rFonts w:ascii="Verdana" w:hAnsi="Verdana" w:cs="Calibri"/>
          <w:color w:val="3A6BAC" w:themeColor="accent1"/>
          <w:sz w:val="18"/>
          <w:szCs w:val="18"/>
        </w:rPr>
      </w:pPr>
    </w:p>
    <w:p w14:paraId="581D28AB" w14:textId="59088336" w:rsidR="005643C1" w:rsidDel="00190A0C" w:rsidRDefault="005643C1" w:rsidP="005643C1">
      <w:pPr>
        <w:spacing w:after="0" w:line="240" w:lineRule="auto"/>
        <w:jc w:val="both"/>
        <w:rPr>
          <w:rFonts w:ascii="Verdana" w:hAnsi="Verdana" w:cs="Calibri"/>
          <w:color w:val="3A6BAC" w:themeColor="accent1"/>
          <w:sz w:val="18"/>
          <w:szCs w:val="18"/>
        </w:rPr>
      </w:pPr>
      <w:r w:rsidRPr="00923E38" w:rsidDel="00190A0C">
        <w:rPr>
          <w:rFonts w:ascii="Verdana" w:hAnsi="Verdana" w:cs="Calibri"/>
          <w:color w:val="3A6BAC" w:themeColor="accent1"/>
          <w:sz w:val="18"/>
          <w:szCs w:val="18"/>
        </w:rPr>
        <w:t>Most customers in the global insurance market are not consumers but are commercial risks. Any guidance should take into account the principle of proportionality, and the nature of the customers is a relevant factor.</w:t>
      </w:r>
      <w:r w:rsidDel="00190A0C">
        <w:rPr>
          <w:rFonts w:ascii="Verdana" w:hAnsi="Verdana" w:cs="Calibri"/>
          <w:color w:val="3A6BAC" w:themeColor="accent1"/>
          <w:sz w:val="18"/>
          <w:szCs w:val="18"/>
        </w:rPr>
        <w:t xml:space="preserve"> </w:t>
      </w:r>
    </w:p>
    <w:p w14:paraId="6EC87641" w14:textId="77777777" w:rsidR="00923E38" w:rsidRPr="00EC705E" w:rsidRDefault="00923E38" w:rsidP="00097061">
      <w:pPr>
        <w:spacing w:after="0" w:line="240" w:lineRule="auto"/>
        <w:jc w:val="both"/>
        <w:rPr>
          <w:rFonts w:ascii="Verdana" w:hAnsi="Verdana" w:cs="Calibri"/>
          <w:color w:val="3A6BAC" w:themeColor="accent1"/>
          <w:sz w:val="18"/>
          <w:szCs w:val="18"/>
        </w:rPr>
      </w:pPr>
    </w:p>
    <w:sectPr w:rsidR="00923E38" w:rsidRPr="00EC705E" w:rsidSect="00A5543E">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7A05" w14:textId="77777777" w:rsidR="00493AD9" w:rsidRDefault="00493AD9" w:rsidP="004309A5">
      <w:pPr>
        <w:spacing w:after="0" w:line="240" w:lineRule="auto"/>
      </w:pPr>
      <w:r>
        <w:separator/>
      </w:r>
    </w:p>
  </w:endnote>
  <w:endnote w:type="continuationSeparator" w:id="0">
    <w:p w14:paraId="03835EAF" w14:textId="77777777" w:rsidR="00493AD9" w:rsidRDefault="00493AD9" w:rsidP="004309A5">
      <w:pPr>
        <w:spacing w:after="0" w:line="240" w:lineRule="auto"/>
      </w:pPr>
      <w:r>
        <w:continuationSeparator/>
      </w:r>
    </w:p>
  </w:endnote>
  <w:endnote w:type="continuationNotice" w:id="1">
    <w:p w14:paraId="221C492C" w14:textId="77777777" w:rsidR="00493AD9" w:rsidRDefault="00493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000" w:type="pct"/>
      <w:tblBorders>
        <w:left w:val="none" w:sz="0" w:space="0" w:color="auto"/>
        <w:bottom w:val="none" w:sz="0" w:space="0" w:color="auto"/>
        <w:right w:val="none" w:sz="0" w:space="0" w:color="auto"/>
      </w:tblBorders>
      <w:tblLook w:val="04A0" w:firstRow="1" w:lastRow="0" w:firstColumn="1" w:lastColumn="0" w:noHBand="0" w:noVBand="1"/>
    </w:tblPr>
    <w:tblGrid>
      <w:gridCol w:w="4537"/>
      <w:gridCol w:w="4489"/>
    </w:tblGrid>
    <w:tr w:rsidR="004C2C4A" w14:paraId="6C885B07" w14:textId="77777777" w:rsidTr="00A5543E">
      <w:trPr>
        <w:cantSplit/>
        <w:trHeight w:val="240"/>
      </w:trPr>
      <w:tc>
        <w:tcPr>
          <w:tcW w:w="4521" w:type="dxa"/>
          <w:tcBorders>
            <w:bottom w:val="nil"/>
            <w:right w:val="nil"/>
          </w:tcBorders>
          <w:shd w:val="clear" w:color="auto" w:fill="auto"/>
          <w:noWrap/>
          <w:tcMar>
            <w:top w:w="120" w:type="dxa"/>
            <w:left w:w="0" w:type="dxa"/>
            <w:right w:w="0" w:type="dxa"/>
          </w:tcMar>
          <w:vAlign w:val="bottom"/>
        </w:tcPr>
        <w:p w14:paraId="7FB15C21" w14:textId="77777777" w:rsidR="004C2C4A" w:rsidRDefault="004C2C4A" w:rsidP="001750BD">
          <w:pPr>
            <w:pStyle w:val="Pta"/>
            <w:rPr>
              <w:rFonts w:cs="Arial"/>
            </w:rPr>
          </w:pPr>
          <w:r>
            <w:rPr>
              <w:rFonts w:cs="Arial"/>
            </w:rPr>
            <w:t>Public</w:t>
          </w:r>
        </w:p>
        <w:p w14:paraId="52285AE5" w14:textId="204A8BD7" w:rsidR="004C2C4A" w:rsidRPr="00A5543E" w:rsidRDefault="004C2C4A" w:rsidP="00030729">
          <w:pPr>
            <w:pStyle w:val="Pta"/>
            <w:rPr>
              <w:rFonts w:cs="Arial"/>
            </w:rPr>
          </w:pPr>
          <w:r>
            <w:rPr>
              <w:rFonts w:cs="Arial"/>
            </w:rPr>
            <w:t xml:space="preserve">Public consultation </w:t>
          </w:r>
          <w:r w:rsidR="007F5571" w:rsidRPr="002E7C10">
            <w:rPr>
              <w:sz w:val="17"/>
              <w:szCs w:val="17"/>
            </w:rPr>
            <w:t xml:space="preserve">on </w:t>
          </w:r>
          <w:r w:rsidR="007F5571">
            <w:rPr>
              <w:sz w:val="17"/>
              <w:szCs w:val="17"/>
            </w:rPr>
            <w:t>a Supervisory Statement</w:t>
          </w:r>
          <w:r w:rsidR="007F5571" w:rsidRPr="003C4DAA">
            <w:rPr>
              <w:rFonts w:cs="Arial"/>
            </w:rPr>
            <w:t xml:space="preserve"> on </w:t>
          </w:r>
          <w:r w:rsidR="007F5571" w:rsidRPr="00A80C16">
            <w:rPr>
              <w:rFonts w:cs="Arial"/>
            </w:rPr>
            <w:t>the use of governance arrangements in third countries to perform functions or activities</w:t>
          </w:r>
          <w:r w:rsidR="000041BF">
            <w:rPr>
              <w:rFonts w:cs="Arial"/>
            </w:rPr>
            <w:t>.</w:t>
          </w:r>
        </w:p>
      </w:tc>
      <w:tc>
        <w:tcPr>
          <w:tcW w:w="4505" w:type="dxa"/>
          <w:tcBorders>
            <w:left w:val="nil"/>
          </w:tcBorders>
          <w:shd w:val="clear" w:color="auto" w:fill="auto"/>
          <w:tcMar>
            <w:right w:w="0" w:type="dxa"/>
          </w:tcMar>
          <w:vAlign w:val="bottom"/>
        </w:tcPr>
        <w:p w14:paraId="7133D53C" w14:textId="77777777" w:rsidR="004C2C4A" w:rsidRPr="00A5543E" w:rsidRDefault="004C2C4A" w:rsidP="00A5543E">
          <w:pPr>
            <w:pStyle w:val="Pta"/>
            <w:jc w:val="right"/>
            <w:rPr>
              <w:rFonts w:ascii="Arial" w:hAnsi="Arial" w:cs="Arial"/>
            </w:rPr>
          </w:pPr>
          <w:r>
            <w:rPr>
              <w:rFonts w:cs="Arial"/>
            </w:rPr>
            <w:t xml:space="preserve">Page </w:t>
          </w:r>
          <w:r>
            <w:rPr>
              <w:rFonts w:cs="Arial"/>
            </w:rPr>
            <w:fldChar w:fldCharType="begin"/>
          </w:r>
          <w:r>
            <w:rPr>
              <w:rFonts w:cs="Arial"/>
            </w:rPr>
            <w:instrText xml:space="preserve"> PAGE  \* MERGEFORMAT </w:instrText>
          </w:r>
          <w:r>
            <w:rPr>
              <w:rFonts w:cs="Arial"/>
            </w:rPr>
            <w:fldChar w:fldCharType="separate"/>
          </w:r>
          <w:r w:rsidR="007C714B">
            <w:rPr>
              <w:rFonts w:cs="Arial"/>
              <w:noProof/>
            </w:rPr>
            <w:t>2</w:t>
          </w:r>
          <w:r>
            <w:rPr>
              <w:rFonts w:cs="Arial"/>
            </w:rPr>
            <w:fldChar w:fldCharType="end"/>
          </w:r>
          <w:r>
            <w:rPr>
              <w:rFonts w:cs="Arial"/>
            </w:rPr>
            <w:t xml:space="preserve"> of </w:t>
          </w:r>
          <w:r>
            <w:rPr>
              <w:rFonts w:cs="Arial"/>
            </w:rPr>
            <w:fldChar w:fldCharType="begin"/>
          </w:r>
          <w:r>
            <w:rPr>
              <w:rFonts w:cs="Arial"/>
            </w:rPr>
            <w:instrText xml:space="preserve"> NUMPAGES  \* MERGEFORMAT </w:instrText>
          </w:r>
          <w:r>
            <w:rPr>
              <w:rFonts w:cs="Arial"/>
            </w:rPr>
            <w:fldChar w:fldCharType="separate"/>
          </w:r>
          <w:r w:rsidR="007C714B">
            <w:rPr>
              <w:rFonts w:cs="Arial"/>
              <w:noProof/>
            </w:rPr>
            <w:t>20</w:t>
          </w:r>
          <w:r>
            <w:rPr>
              <w:rFonts w:cs="Arial"/>
            </w:rPr>
            <w:fldChar w:fldCharType="end"/>
          </w:r>
        </w:p>
      </w:tc>
    </w:tr>
  </w:tbl>
  <w:p w14:paraId="4618FBAD" w14:textId="77777777" w:rsidR="004C2C4A" w:rsidRDefault="004C2C4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000" w:type="pct"/>
      <w:tblBorders>
        <w:left w:val="none" w:sz="0" w:space="0" w:color="auto"/>
        <w:bottom w:val="none" w:sz="0" w:space="0" w:color="auto"/>
        <w:right w:val="none" w:sz="0" w:space="0" w:color="auto"/>
      </w:tblBorders>
      <w:tblLook w:val="04A0" w:firstRow="1" w:lastRow="0" w:firstColumn="1" w:lastColumn="0" w:noHBand="0" w:noVBand="1"/>
    </w:tblPr>
    <w:tblGrid>
      <w:gridCol w:w="4537"/>
      <w:gridCol w:w="4489"/>
    </w:tblGrid>
    <w:tr w:rsidR="004C2C4A" w14:paraId="0CC06F3F" w14:textId="77777777" w:rsidTr="00A5543E">
      <w:trPr>
        <w:cantSplit/>
        <w:trHeight w:val="240"/>
      </w:trPr>
      <w:tc>
        <w:tcPr>
          <w:tcW w:w="4521" w:type="dxa"/>
          <w:tcBorders>
            <w:bottom w:val="nil"/>
            <w:right w:val="nil"/>
          </w:tcBorders>
          <w:shd w:val="clear" w:color="auto" w:fill="auto"/>
          <w:noWrap/>
          <w:tcMar>
            <w:top w:w="120" w:type="dxa"/>
            <w:left w:w="0" w:type="dxa"/>
            <w:right w:w="0" w:type="dxa"/>
          </w:tcMar>
          <w:vAlign w:val="bottom"/>
        </w:tcPr>
        <w:p w14:paraId="07A9C581" w14:textId="5FFD304B" w:rsidR="004C2C4A" w:rsidRPr="00A5543E" w:rsidRDefault="00A80C16" w:rsidP="00030729">
          <w:pPr>
            <w:pStyle w:val="Pta"/>
            <w:rPr>
              <w:rFonts w:cs="Arial"/>
            </w:rPr>
          </w:pPr>
          <w:r w:rsidRPr="003C4DAA">
            <w:rPr>
              <w:rFonts w:cs="Arial"/>
            </w:rPr>
            <w:t>Public Consultation</w:t>
          </w:r>
          <w:r w:rsidR="00B906F9">
            <w:rPr>
              <w:rFonts w:cs="Arial"/>
            </w:rPr>
            <w:t xml:space="preserve"> </w:t>
          </w:r>
          <w:r w:rsidR="00B906F9" w:rsidRPr="002E7C10">
            <w:rPr>
              <w:sz w:val="17"/>
              <w:szCs w:val="17"/>
            </w:rPr>
            <w:t xml:space="preserve">on </w:t>
          </w:r>
          <w:r w:rsidR="00B906F9">
            <w:rPr>
              <w:sz w:val="17"/>
              <w:szCs w:val="17"/>
            </w:rPr>
            <w:t>a Supervisory Statement</w:t>
          </w:r>
          <w:r w:rsidRPr="003C4DAA">
            <w:rPr>
              <w:rFonts w:cs="Arial"/>
            </w:rPr>
            <w:t xml:space="preserve"> on </w:t>
          </w:r>
          <w:r w:rsidRPr="00A80C16">
            <w:rPr>
              <w:rFonts w:cs="Arial"/>
            </w:rPr>
            <w:t>the use of governance arrangements in third countries to perform functions or activities</w:t>
          </w:r>
          <w:r>
            <w:rPr>
              <w:rFonts w:cs="Arial"/>
            </w:rPr>
            <w:t>.</w:t>
          </w:r>
        </w:p>
      </w:tc>
      <w:tc>
        <w:tcPr>
          <w:tcW w:w="4505" w:type="dxa"/>
          <w:tcBorders>
            <w:left w:val="nil"/>
          </w:tcBorders>
          <w:shd w:val="clear" w:color="auto" w:fill="auto"/>
          <w:tcMar>
            <w:right w:w="0" w:type="dxa"/>
          </w:tcMar>
          <w:vAlign w:val="bottom"/>
        </w:tcPr>
        <w:p w14:paraId="170A99F1" w14:textId="77777777" w:rsidR="004C2C4A" w:rsidRPr="00A5543E" w:rsidRDefault="004C2C4A" w:rsidP="00A5543E">
          <w:pPr>
            <w:pStyle w:val="Pta"/>
            <w:jc w:val="right"/>
            <w:rPr>
              <w:rFonts w:ascii="Arial" w:hAnsi="Arial" w:cs="Arial"/>
            </w:rPr>
          </w:pPr>
          <w:r>
            <w:rPr>
              <w:rFonts w:cs="Arial"/>
            </w:rPr>
            <w:t xml:space="preserve">Page </w:t>
          </w:r>
          <w:r>
            <w:rPr>
              <w:rFonts w:cs="Arial"/>
            </w:rPr>
            <w:fldChar w:fldCharType="begin"/>
          </w:r>
          <w:r>
            <w:rPr>
              <w:rFonts w:cs="Arial"/>
            </w:rPr>
            <w:instrText xml:space="preserve"> PAGE  \* MERGEFORMAT </w:instrText>
          </w:r>
          <w:r>
            <w:rPr>
              <w:rFonts w:cs="Arial"/>
            </w:rPr>
            <w:fldChar w:fldCharType="separate"/>
          </w:r>
          <w:r w:rsidR="007C714B">
            <w:rPr>
              <w:rFonts w:cs="Arial"/>
              <w:noProof/>
            </w:rPr>
            <w:t>1</w:t>
          </w:r>
          <w:r>
            <w:rPr>
              <w:rFonts w:cs="Arial"/>
            </w:rPr>
            <w:fldChar w:fldCharType="end"/>
          </w:r>
          <w:r>
            <w:rPr>
              <w:rFonts w:cs="Arial"/>
            </w:rPr>
            <w:t xml:space="preserve"> of </w:t>
          </w:r>
          <w:r>
            <w:rPr>
              <w:rFonts w:cs="Arial"/>
            </w:rPr>
            <w:fldChar w:fldCharType="begin"/>
          </w:r>
          <w:r>
            <w:rPr>
              <w:rFonts w:cs="Arial"/>
            </w:rPr>
            <w:instrText xml:space="preserve"> NUMPAGES  \* MERGEFORMAT </w:instrText>
          </w:r>
          <w:r>
            <w:rPr>
              <w:rFonts w:cs="Arial"/>
            </w:rPr>
            <w:fldChar w:fldCharType="separate"/>
          </w:r>
          <w:r w:rsidR="007C714B">
            <w:rPr>
              <w:rFonts w:cs="Arial"/>
              <w:noProof/>
            </w:rPr>
            <w:t>20</w:t>
          </w:r>
          <w:r>
            <w:rPr>
              <w:rFonts w:cs="Arial"/>
            </w:rPr>
            <w:fldChar w:fldCharType="end"/>
          </w:r>
        </w:p>
      </w:tc>
    </w:tr>
  </w:tbl>
  <w:p w14:paraId="4D787C4F" w14:textId="77777777" w:rsidR="004C2C4A" w:rsidRDefault="004C2C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B613" w14:textId="77777777" w:rsidR="00493AD9" w:rsidRDefault="00493AD9" w:rsidP="004309A5">
      <w:pPr>
        <w:spacing w:after="0" w:line="240" w:lineRule="auto"/>
      </w:pPr>
      <w:r>
        <w:separator/>
      </w:r>
    </w:p>
  </w:footnote>
  <w:footnote w:type="continuationSeparator" w:id="0">
    <w:p w14:paraId="00801C0D" w14:textId="77777777" w:rsidR="00493AD9" w:rsidRDefault="00493AD9" w:rsidP="004309A5">
      <w:pPr>
        <w:spacing w:after="0" w:line="240" w:lineRule="auto"/>
      </w:pPr>
      <w:r>
        <w:continuationSeparator/>
      </w:r>
    </w:p>
  </w:footnote>
  <w:footnote w:type="continuationNotice" w:id="1">
    <w:p w14:paraId="7697FF5D" w14:textId="77777777" w:rsidR="00493AD9" w:rsidRDefault="00493AD9">
      <w:pPr>
        <w:spacing w:after="0" w:line="240" w:lineRule="auto"/>
      </w:pPr>
    </w:p>
  </w:footnote>
  <w:footnote w:id="2">
    <w:p w14:paraId="5D454713" w14:textId="5AA323B0" w:rsidR="00547D85" w:rsidRDefault="00547D85">
      <w:pPr>
        <w:pStyle w:val="Textpoznmkypodiarou"/>
      </w:pPr>
      <w:r>
        <w:rPr>
          <w:rStyle w:val="Odkaznapoznmkupodiarou"/>
        </w:rPr>
        <w:footnoteRef/>
      </w:r>
      <w:r>
        <w:t xml:space="preserve"> </w:t>
      </w:r>
      <w:r w:rsidRPr="00863DB6">
        <w:rPr>
          <w:rFonts w:ascii="Verdana" w:hAnsi="Verdana" w:cs="Calibri"/>
          <w:color w:val="3A6BAC" w:themeColor="accent1"/>
          <w:sz w:val="18"/>
          <w:szCs w:val="18"/>
        </w:rPr>
        <w:t>EIOPA recommendations for the insurance sector in light of the United Kingdom withdrawing from the European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7"/>
      <w:gridCol w:w="3949"/>
    </w:tblGrid>
    <w:tr w:rsidR="00CE7C9D" w:rsidRPr="000B0A32" w14:paraId="22C20CFB" w14:textId="77777777" w:rsidTr="00A5543E">
      <w:trPr>
        <w:cantSplit/>
        <w:trHeight w:val="567"/>
      </w:trPr>
      <w:tc>
        <w:tcPr>
          <w:tcW w:w="3639" w:type="pct"/>
          <w:vMerge w:val="restart"/>
          <w:shd w:val="clear" w:color="auto" w:fill="auto"/>
          <w:tcMar>
            <w:left w:w="0" w:type="dxa"/>
          </w:tcMar>
        </w:tcPr>
        <w:p w14:paraId="79D22F81" w14:textId="10FFF0FC" w:rsidR="00D97876" w:rsidRDefault="00D97876" w:rsidP="00D97876">
          <w:pPr>
            <w:pStyle w:val="Hlavika"/>
          </w:pPr>
        </w:p>
      </w:tc>
      <w:tc>
        <w:tcPr>
          <w:tcW w:w="1361" w:type="pct"/>
          <w:shd w:val="clear" w:color="auto" w:fill="auto"/>
          <w:noWrap/>
          <w:tcMar>
            <w:left w:w="0" w:type="dxa"/>
            <w:right w:w="0" w:type="dxa"/>
          </w:tcMar>
          <w:vAlign w:val="bottom"/>
        </w:tcPr>
        <w:p w14:paraId="725DFFEB" w14:textId="1F1D4900" w:rsidR="00D97876" w:rsidRPr="000B0A32" w:rsidRDefault="00D97876" w:rsidP="00D97876">
          <w:pPr>
            <w:jc w:val="right"/>
            <w:rPr>
              <w:rStyle w:val="CEAGraphTitle"/>
              <w:color w:val="FF0000"/>
              <w:szCs w:val="17"/>
            </w:rPr>
          </w:pPr>
          <w:r w:rsidRPr="000B0A32">
            <w:rPr>
              <w:rStyle w:val="CEAGraphTitle"/>
              <w:color w:val="FF0000"/>
              <w:szCs w:val="17"/>
            </w:rPr>
            <w:t>IE response to EIOPA Consultation</w:t>
          </w:r>
        </w:p>
        <w:p w14:paraId="1B2FDBC6" w14:textId="278C37C3" w:rsidR="00D97876" w:rsidRPr="000B0A32" w:rsidRDefault="00D97876" w:rsidP="00D97876">
          <w:pPr>
            <w:jc w:val="right"/>
            <w:rPr>
              <w:rStyle w:val="CEAGraphTitle"/>
              <w:color w:val="FF0000"/>
              <w:szCs w:val="17"/>
            </w:rPr>
          </w:pPr>
          <w:r w:rsidRPr="000B0A32">
            <w:rPr>
              <w:rStyle w:val="CEAGraphTitle"/>
              <w:b/>
              <w:color w:val="FF0000"/>
              <w:szCs w:val="17"/>
            </w:rPr>
            <w:t xml:space="preserve">For </w:t>
          </w:r>
          <w:r w:rsidR="004A03DB" w:rsidRPr="000B0A32">
            <w:rPr>
              <w:rStyle w:val="CEAGraphTitle"/>
              <w:b/>
              <w:color w:val="FF0000"/>
              <w:szCs w:val="17"/>
            </w:rPr>
            <w:t>blocking concerns</w:t>
          </w:r>
          <w:r w:rsidR="000B46C4" w:rsidRPr="000B0A32">
            <w:rPr>
              <w:rStyle w:val="CEAGraphTitle"/>
              <w:b/>
              <w:color w:val="FF0000"/>
              <w:szCs w:val="17"/>
            </w:rPr>
            <w:t xml:space="preserve"> by </w:t>
          </w:r>
          <w:r w:rsidR="00652CF7" w:rsidRPr="000B0A32">
            <w:rPr>
              <w:rStyle w:val="CEAGraphTitle"/>
              <w:b/>
              <w:color w:val="FF0000"/>
              <w:szCs w:val="17"/>
            </w:rPr>
            <w:t>2</w:t>
          </w:r>
          <w:r w:rsidR="001B7968" w:rsidRPr="000B0A32">
            <w:rPr>
              <w:rStyle w:val="CEAGraphTitle"/>
              <w:b/>
              <w:color w:val="FF0000"/>
              <w:szCs w:val="17"/>
            </w:rPr>
            <w:t>7</w:t>
          </w:r>
          <w:r w:rsidR="00652CF7" w:rsidRPr="000B0A32">
            <w:rPr>
              <w:rStyle w:val="CEAGraphTitle"/>
              <w:b/>
              <w:color w:val="FF0000"/>
              <w:szCs w:val="17"/>
            </w:rPr>
            <w:t xml:space="preserve"> </w:t>
          </w:r>
          <w:r w:rsidR="009535FA" w:rsidRPr="000B0A32">
            <w:rPr>
              <w:rStyle w:val="CEAGraphTitle"/>
              <w:b/>
              <w:color w:val="FF0000"/>
              <w:szCs w:val="17"/>
            </w:rPr>
            <w:t>October</w:t>
          </w:r>
          <w:r w:rsidR="009535FA" w:rsidRPr="000B0A32">
            <w:rPr>
              <w:rStyle w:val="CEAGraphTitle"/>
              <w:color w:val="FF0000"/>
              <w:szCs w:val="17"/>
            </w:rPr>
            <w:t xml:space="preserve"> </w:t>
          </w:r>
          <w:r w:rsidR="00CE7C9D" w:rsidRPr="000B0A32">
            <w:rPr>
              <w:rStyle w:val="CEAGraphTitle"/>
              <w:b/>
              <w:color w:val="FF0000"/>
              <w:szCs w:val="17"/>
            </w:rPr>
            <w:t>COB</w:t>
          </w:r>
        </w:p>
        <w:p w14:paraId="0F755171" w14:textId="6E4F46DA" w:rsidR="00D97876" w:rsidRPr="000B0A32" w:rsidRDefault="00D97876" w:rsidP="00D97876">
          <w:pPr>
            <w:pStyle w:val="Hlavika"/>
            <w:jc w:val="right"/>
            <w:rPr>
              <w:rFonts w:ascii="Arial" w:hAnsi="Arial" w:cs="Arial"/>
              <w:b/>
              <w:sz w:val="28"/>
            </w:rPr>
          </w:pPr>
        </w:p>
      </w:tc>
    </w:tr>
    <w:tr w:rsidR="00CE7C9D" w14:paraId="503B5A58" w14:textId="77777777" w:rsidTr="00A5543E">
      <w:trPr>
        <w:cantSplit/>
        <w:trHeight w:val="850"/>
      </w:trPr>
      <w:tc>
        <w:tcPr>
          <w:tcW w:w="3639" w:type="pct"/>
          <w:vMerge/>
          <w:shd w:val="clear" w:color="auto" w:fill="auto"/>
          <w:tcMar>
            <w:left w:w="0" w:type="dxa"/>
          </w:tcMar>
        </w:tcPr>
        <w:p w14:paraId="0978C41E" w14:textId="77777777" w:rsidR="004C2C4A" w:rsidRDefault="004C2C4A">
          <w:pPr>
            <w:pStyle w:val="Hlavika"/>
          </w:pPr>
        </w:p>
      </w:tc>
      <w:tc>
        <w:tcPr>
          <w:tcW w:w="1361" w:type="pct"/>
          <w:shd w:val="clear" w:color="auto" w:fill="auto"/>
          <w:noWrap/>
          <w:tcMar>
            <w:top w:w="142" w:type="dxa"/>
            <w:left w:w="0" w:type="dxa"/>
            <w:right w:w="0" w:type="dxa"/>
          </w:tcMar>
        </w:tcPr>
        <w:p w14:paraId="79085896" w14:textId="77777777" w:rsidR="004C2C4A" w:rsidRPr="00A5543E" w:rsidRDefault="004C2C4A" w:rsidP="00A5543E">
          <w:pPr>
            <w:pStyle w:val="Hlavika"/>
            <w:jc w:val="right"/>
            <w:rPr>
              <w:rFonts w:ascii="Arial" w:hAnsi="Arial" w:cs="Arial"/>
              <w:b/>
              <w:sz w:val="20"/>
            </w:rPr>
          </w:pPr>
        </w:p>
      </w:tc>
    </w:tr>
  </w:tbl>
  <w:p w14:paraId="1005B285" w14:textId="77777777" w:rsidR="004C2C4A" w:rsidRDefault="004C2C4A" w:rsidP="004C66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34A"/>
    <w:multiLevelType w:val="multilevel"/>
    <w:tmpl w:val="8654A856"/>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A5765"/>
    <w:multiLevelType w:val="hybridMultilevel"/>
    <w:tmpl w:val="E81C191E"/>
    <w:lvl w:ilvl="0" w:tplc="D9AC12F8">
      <w:start w:val="1"/>
      <w:numFmt w:val="decimal"/>
      <w:lvlText w:val="Q%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02DA0"/>
    <w:multiLevelType w:val="multilevel"/>
    <w:tmpl w:val="8654A856"/>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D7ABC"/>
    <w:multiLevelType w:val="hybridMultilevel"/>
    <w:tmpl w:val="C4325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460E3A"/>
    <w:multiLevelType w:val="multilevel"/>
    <w:tmpl w:val="08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0DE77DD3"/>
    <w:multiLevelType w:val="hybridMultilevel"/>
    <w:tmpl w:val="D30049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350503"/>
    <w:multiLevelType w:val="hybridMultilevel"/>
    <w:tmpl w:val="08806E16"/>
    <w:lvl w:ilvl="0" w:tplc="B51CA5E0">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C53C5"/>
    <w:multiLevelType w:val="multilevel"/>
    <w:tmpl w:val="2740188C"/>
    <w:lvl w:ilvl="0">
      <w:start w:val="1"/>
      <w:numFmt w:val="lowerLetter"/>
      <w:pStyle w:val="Numberedlist1"/>
      <w:lvlText w:val="%1."/>
      <w:lvlJc w:val="left"/>
      <w:pPr>
        <w:ind w:left="717" w:hanging="360"/>
      </w:pPr>
      <w:rPr>
        <w:rFonts w:hint="default"/>
      </w:rPr>
    </w:lvl>
    <w:lvl w:ilvl="1">
      <w:start w:val="1"/>
      <w:numFmt w:val="lowerRoman"/>
      <w:pStyle w:val="Numberedlist2"/>
      <w:lvlText w:val="%2."/>
      <w:lvlJc w:val="left"/>
      <w:pPr>
        <w:ind w:left="1440" w:hanging="360"/>
      </w:pPr>
      <w:rPr>
        <w:rFonts w:hint="default"/>
      </w:rPr>
    </w:lvl>
    <w:lvl w:ilvl="2">
      <w:start w:val="1"/>
      <w:numFmt w:val="bullet"/>
      <w:pStyle w:val="Numberedlist3"/>
      <w:lvlText w:val=""/>
      <w:lvlJc w:val="left"/>
      <w:pPr>
        <w:ind w:left="2160" w:hanging="18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B37BBB"/>
    <w:multiLevelType w:val="multilevel"/>
    <w:tmpl w:val="334C7716"/>
    <w:styleLink w:val="Style1"/>
    <w:lvl w:ilvl="0">
      <w:start w:val="1"/>
      <w:numFmt w:val="lowerRoman"/>
      <w:lvlText w:val="%1."/>
      <w:lvlJc w:val="right"/>
      <w:pPr>
        <w:ind w:left="1800" w:hanging="360"/>
      </w:pPr>
      <w:rPr>
        <w:rFonts w:hint="default"/>
      </w:rPr>
    </w:lvl>
    <w:lvl w:ilvl="1">
      <w:start w:val="1"/>
      <w:numFmt w:val="lowerLetter"/>
      <w:lvlText w:val="%2."/>
      <w:lvlJc w:val="left"/>
      <w:pPr>
        <w:ind w:left="2520" w:hanging="360"/>
      </w:pPr>
    </w:lvl>
    <w:lvl w:ilvl="2">
      <w:start w:val="1"/>
      <w:numFmt w:val="none"/>
      <w:lvlText w:val="%3."/>
      <w:lvlJc w:val="right"/>
      <w:pPr>
        <w:ind w:left="3240" w:hanging="180"/>
      </w:pPr>
    </w:lvl>
    <w:lvl w:ilvl="3">
      <w:start w:val="1"/>
      <w:numFmt w:val="none"/>
      <w:lvlText w:val="%4."/>
      <w:lvlJc w:val="left"/>
      <w:pPr>
        <w:ind w:left="3960" w:hanging="360"/>
      </w:pPr>
    </w:lvl>
    <w:lvl w:ilvl="4">
      <w:start w:val="1"/>
      <w:numFmt w:val="none"/>
      <w:lvlText w:val="%5."/>
      <w:lvlJc w:val="left"/>
      <w:pPr>
        <w:ind w:left="4680" w:hanging="360"/>
      </w:pPr>
    </w:lvl>
    <w:lvl w:ilvl="5">
      <w:start w:val="1"/>
      <w:numFmt w:val="none"/>
      <w:lvlText w:val="%6."/>
      <w:lvlJc w:val="right"/>
      <w:pPr>
        <w:ind w:left="5400" w:hanging="180"/>
      </w:pPr>
    </w:lvl>
    <w:lvl w:ilvl="6">
      <w:start w:val="1"/>
      <w:numFmt w:val="none"/>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1B8858FE"/>
    <w:multiLevelType w:val="multilevel"/>
    <w:tmpl w:val="8654A856"/>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A60CAD"/>
    <w:multiLevelType w:val="multilevel"/>
    <w:tmpl w:val="8654A856"/>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FC212E"/>
    <w:multiLevelType w:val="hybridMultilevel"/>
    <w:tmpl w:val="23D888E2"/>
    <w:lvl w:ilvl="0" w:tplc="B51CA5E0">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B7B4A"/>
    <w:multiLevelType w:val="multilevel"/>
    <w:tmpl w:val="8654A856"/>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C44D9F"/>
    <w:multiLevelType w:val="multilevel"/>
    <w:tmpl w:val="C9F091BC"/>
    <w:lvl w:ilvl="0">
      <w:start w:val="1"/>
      <w:numFmt w:val="decimal"/>
      <w:lvlText w:val="Q%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E9682C"/>
    <w:multiLevelType w:val="hybridMultilevel"/>
    <w:tmpl w:val="69E03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CC084A"/>
    <w:multiLevelType w:val="hybridMultilevel"/>
    <w:tmpl w:val="DCB4A3FA"/>
    <w:lvl w:ilvl="0" w:tplc="20968904">
      <w:start w:val="1"/>
      <w:numFmt w:val="bullet"/>
      <w:pStyle w:val="Odsekzoznamu"/>
      <w:lvlText w:val=""/>
      <w:lvlJc w:val="left"/>
      <w:pPr>
        <w:ind w:left="720" w:hanging="360"/>
      </w:pPr>
      <w:rPr>
        <w:rFonts w:ascii="Symbol" w:hAnsi="Symbol" w:hint="default"/>
      </w:rPr>
    </w:lvl>
    <w:lvl w:ilvl="1" w:tplc="0DCEFDFA">
      <w:start w:val="1"/>
      <w:numFmt w:val="bullet"/>
      <w:pStyle w:val="List2nd"/>
      <w:lvlText w:val="o"/>
      <w:lvlJc w:val="left"/>
      <w:pPr>
        <w:ind w:left="1440" w:hanging="360"/>
      </w:pPr>
      <w:rPr>
        <w:rFonts w:ascii="Courier New" w:hAnsi="Courier New" w:cs="Courier New" w:hint="default"/>
      </w:rPr>
    </w:lvl>
    <w:lvl w:ilvl="2" w:tplc="1B4C8012">
      <w:start w:val="1"/>
      <w:numFmt w:val="bullet"/>
      <w:pStyle w:val="List3rd"/>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D66E2"/>
    <w:multiLevelType w:val="hybridMultilevel"/>
    <w:tmpl w:val="6994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E3F66"/>
    <w:multiLevelType w:val="multilevel"/>
    <w:tmpl w:val="8654A856"/>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9F0748"/>
    <w:multiLevelType w:val="hybridMultilevel"/>
    <w:tmpl w:val="29E8F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D33210"/>
    <w:multiLevelType w:val="multilevel"/>
    <w:tmpl w:val="C9F091BC"/>
    <w:lvl w:ilvl="0">
      <w:start w:val="1"/>
      <w:numFmt w:val="decimal"/>
      <w:lvlText w:val="Q%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1116E2"/>
    <w:multiLevelType w:val="multilevel"/>
    <w:tmpl w:val="C9F091BC"/>
    <w:lvl w:ilvl="0">
      <w:start w:val="1"/>
      <w:numFmt w:val="decimal"/>
      <w:lvlText w:val="Q%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B04852"/>
    <w:multiLevelType w:val="multilevel"/>
    <w:tmpl w:val="8654A856"/>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B72D2"/>
    <w:multiLevelType w:val="singleLevel"/>
    <w:tmpl w:val="199E23D8"/>
    <w:lvl w:ilvl="0">
      <w:start w:val="1"/>
      <w:numFmt w:val="lowerLetter"/>
      <w:pStyle w:val="LetterList"/>
      <w:lvlText w:val="%1)"/>
      <w:lvlJc w:val="left"/>
      <w:pPr>
        <w:tabs>
          <w:tab w:val="num" w:pos="1440"/>
        </w:tabs>
        <w:ind w:left="1440" w:hanging="720"/>
      </w:pPr>
    </w:lvl>
  </w:abstractNum>
  <w:abstractNum w:abstractNumId="23" w15:restartNumberingAfterBreak="0">
    <w:nsid w:val="510F7D8E"/>
    <w:multiLevelType w:val="multilevel"/>
    <w:tmpl w:val="8654A856"/>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67637E5"/>
    <w:multiLevelType w:val="multilevel"/>
    <w:tmpl w:val="8654A856"/>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BB50DF"/>
    <w:multiLevelType w:val="multilevel"/>
    <w:tmpl w:val="C9F091BC"/>
    <w:lvl w:ilvl="0">
      <w:start w:val="1"/>
      <w:numFmt w:val="decimal"/>
      <w:lvlText w:val="Q%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9253407"/>
    <w:multiLevelType w:val="hybridMultilevel"/>
    <w:tmpl w:val="699E4620"/>
    <w:lvl w:ilvl="0" w:tplc="A942BBE0">
      <w:start w:val="1"/>
      <w:numFmt w:val="bullet"/>
      <w:lvlText w:val="•"/>
      <w:lvlJc w:val="left"/>
      <w:pPr>
        <w:tabs>
          <w:tab w:val="num" w:pos="720"/>
        </w:tabs>
        <w:ind w:left="720" w:hanging="360"/>
      </w:pPr>
      <w:rPr>
        <w:rFonts w:ascii="Arial" w:hAnsi="Arial" w:hint="default"/>
      </w:rPr>
    </w:lvl>
    <w:lvl w:ilvl="1" w:tplc="1792A0CA">
      <w:numFmt w:val="bullet"/>
      <w:lvlText w:val="•"/>
      <w:lvlJc w:val="left"/>
      <w:pPr>
        <w:tabs>
          <w:tab w:val="num" w:pos="1440"/>
        </w:tabs>
        <w:ind w:left="1440" w:hanging="360"/>
      </w:pPr>
      <w:rPr>
        <w:rFonts w:ascii="Arial" w:hAnsi="Arial" w:hint="default"/>
      </w:rPr>
    </w:lvl>
    <w:lvl w:ilvl="2" w:tplc="E0085164" w:tentative="1">
      <w:start w:val="1"/>
      <w:numFmt w:val="bullet"/>
      <w:lvlText w:val="•"/>
      <w:lvlJc w:val="left"/>
      <w:pPr>
        <w:tabs>
          <w:tab w:val="num" w:pos="2160"/>
        </w:tabs>
        <w:ind w:left="2160" w:hanging="360"/>
      </w:pPr>
      <w:rPr>
        <w:rFonts w:ascii="Arial" w:hAnsi="Arial" w:hint="default"/>
      </w:rPr>
    </w:lvl>
    <w:lvl w:ilvl="3" w:tplc="BF06F83E" w:tentative="1">
      <w:start w:val="1"/>
      <w:numFmt w:val="bullet"/>
      <w:lvlText w:val="•"/>
      <w:lvlJc w:val="left"/>
      <w:pPr>
        <w:tabs>
          <w:tab w:val="num" w:pos="2880"/>
        </w:tabs>
        <w:ind w:left="2880" w:hanging="360"/>
      </w:pPr>
      <w:rPr>
        <w:rFonts w:ascii="Arial" w:hAnsi="Arial" w:hint="default"/>
      </w:rPr>
    </w:lvl>
    <w:lvl w:ilvl="4" w:tplc="09240FD6" w:tentative="1">
      <w:start w:val="1"/>
      <w:numFmt w:val="bullet"/>
      <w:lvlText w:val="•"/>
      <w:lvlJc w:val="left"/>
      <w:pPr>
        <w:tabs>
          <w:tab w:val="num" w:pos="3600"/>
        </w:tabs>
        <w:ind w:left="3600" w:hanging="360"/>
      </w:pPr>
      <w:rPr>
        <w:rFonts w:ascii="Arial" w:hAnsi="Arial" w:hint="default"/>
      </w:rPr>
    </w:lvl>
    <w:lvl w:ilvl="5" w:tplc="08108814" w:tentative="1">
      <w:start w:val="1"/>
      <w:numFmt w:val="bullet"/>
      <w:lvlText w:val="•"/>
      <w:lvlJc w:val="left"/>
      <w:pPr>
        <w:tabs>
          <w:tab w:val="num" w:pos="4320"/>
        </w:tabs>
        <w:ind w:left="4320" w:hanging="360"/>
      </w:pPr>
      <w:rPr>
        <w:rFonts w:ascii="Arial" w:hAnsi="Arial" w:hint="default"/>
      </w:rPr>
    </w:lvl>
    <w:lvl w:ilvl="6" w:tplc="F614EC7C" w:tentative="1">
      <w:start w:val="1"/>
      <w:numFmt w:val="bullet"/>
      <w:lvlText w:val="•"/>
      <w:lvlJc w:val="left"/>
      <w:pPr>
        <w:tabs>
          <w:tab w:val="num" w:pos="5040"/>
        </w:tabs>
        <w:ind w:left="5040" w:hanging="360"/>
      </w:pPr>
      <w:rPr>
        <w:rFonts w:ascii="Arial" w:hAnsi="Arial" w:hint="default"/>
      </w:rPr>
    </w:lvl>
    <w:lvl w:ilvl="7" w:tplc="D82CC1BC" w:tentative="1">
      <w:start w:val="1"/>
      <w:numFmt w:val="bullet"/>
      <w:lvlText w:val="•"/>
      <w:lvlJc w:val="left"/>
      <w:pPr>
        <w:tabs>
          <w:tab w:val="num" w:pos="5760"/>
        </w:tabs>
        <w:ind w:left="5760" w:hanging="360"/>
      </w:pPr>
      <w:rPr>
        <w:rFonts w:ascii="Arial" w:hAnsi="Arial" w:hint="default"/>
      </w:rPr>
    </w:lvl>
    <w:lvl w:ilvl="8" w:tplc="E1E81C9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8B6E6A"/>
    <w:multiLevelType w:val="multilevel"/>
    <w:tmpl w:val="8654A856"/>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A356E2"/>
    <w:multiLevelType w:val="multilevel"/>
    <w:tmpl w:val="8654A856"/>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FE7BDE"/>
    <w:multiLevelType w:val="hybridMultilevel"/>
    <w:tmpl w:val="B2F290D4"/>
    <w:lvl w:ilvl="0" w:tplc="ADF28AC6">
      <w:start w:val="1"/>
      <w:numFmt w:val="bullet"/>
      <w:lvlText w:val="•"/>
      <w:lvlJc w:val="left"/>
      <w:pPr>
        <w:tabs>
          <w:tab w:val="num" w:pos="720"/>
        </w:tabs>
        <w:ind w:left="720" w:hanging="360"/>
      </w:pPr>
      <w:rPr>
        <w:rFonts w:ascii="Arial" w:hAnsi="Arial" w:hint="default"/>
      </w:rPr>
    </w:lvl>
    <w:lvl w:ilvl="1" w:tplc="5BB23B94" w:tentative="1">
      <w:start w:val="1"/>
      <w:numFmt w:val="bullet"/>
      <w:lvlText w:val="•"/>
      <w:lvlJc w:val="left"/>
      <w:pPr>
        <w:tabs>
          <w:tab w:val="num" w:pos="1440"/>
        </w:tabs>
        <w:ind w:left="1440" w:hanging="360"/>
      </w:pPr>
      <w:rPr>
        <w:rFonts w:ascii="Arial" w:hAnsi="Arial" w:hint="default"/>
      </w:rPr>
    </w:lvl>
    <w:lvl w:ilvl="2" w:tplc="1A8486DC" w:tentative="1">
      <w:start w:val="1"/>
      <w:numFmt w:val="bullet"/>
      <w:lvlText w:val="•"/>
      <w:lvlJc w:val="left"/>
      <w:pPr>
        <w:tabs>
          <w:tab w:val="num" w:pos="2160"/>
        </w:tabs>
        <w:ind w:left="2160" w:hanging="360"/>
      </w:pPr>
      <w:rPr>
        <w:rFonts w:ascii="Arial" w:hAnsi="Arial" w:hint="default"/>
      </w:rPr>
    </w:lvl>
    <w:lvl w:ilvl="3" w:tplc="321498A4" w:tentative="1">
      <w:start w:val="1"/>
      <w:numFmt w:val="bullet"/>
      <w:lvlText w:val="•"/>
      <w:lvlJc w:val="left"/>
      <w:pPr>
        <w:tabs>
          <w:tab w:val="num" w:pos="2880"/>
        </w:tabs>
        <w:ind w:left="2880" w:hanging="360"/>
      </w:pPr>
      <w:rPr>
        <w:rFonts w:ascii="Arial" w:hAnsi="Arial" w:hint="default"/>
      </w:rPr>
    </w:lvl>
    <w:lvl w:ilvl="4" w:tplc="6A16503C" w:tentative="1">
      <w:start w:val="1"/>
      <w:numFmt w:val="bullet"/>
      <w:lvlText w:val="•"/>
      <w:lvlJc w:val="left"/>
      <w:pPr>
        <w:tabs>
          <w:tab w:val="num" w:pos="3600"/>
        </w:tabs>
        <w:ind w:left="3600" w:hanging="360"/>
      </w:pPr>
      <w:rPr>
        <w:rFonts w:ascii="Arial" w:hAnsi="Arial" w:hint="default"/>
      </w:rPr>
    </w:lvl>
    <w:lvl w:ilvl="5" w:tplc="5CB89526" w:tentative="1">
      <w:start w:val="1"/>
      <w:numFmt w:val="bullet"/>
      <w:lvlText w:val="•"/>
      <w:lvlJc w:val="left"/>
      <w:pPr>
        <w:tabs>
          <w:tab w:val="num" w:pos="4320"/>
        </w:tabs>
        <w:ind w:left="4320" w:hanging="360"/>
      </w:pPr>
      <w:rPr>
        <w:rFonts w:ascii="Arial" w:hAnsi="Arial" w:hint="default"/>
      </w:rPr>
    </w:lvl>
    <w:lvl w:ilvl="6" w:tplc="6F7096D4" w:tentative="1">
      <w:start w:val="1"/>
      <w:numFmt w:val="bullet"/>
      <w:lvlText w:val="•"/>
      <w:lvlJc w:val="left"/>
      <w:pPr>
        <w:tabs>
          <w:tab w:val="num" w:pos="5040"/>
        </w:tabs>
        <w:ind w:left="5040" w:hanging="360"/>
      </w:pPr>
      <w:rPr>
        <w:rFonts w:ascii="Arial" w:hAnsi="Arial" w:hint="default"/>
      </w:rPr>
    </w:lvl>
    <w:lvl w:ilvl="7" w:tplc="D6E0DC66" w:tentative="1">
      <w:start w:val="1"/>
      <w:numFmt w:val="bullet"/>
      <w:lvlText w:val="•"/>
      <w:lvlJc w:val="left"/>
      <w:pPr>
        <w:tabs>
          <w:tab w:val="num" w:pos="5760"/>
        </w:tabs>
        <w:ind w:left="5760" w:hanging="360"/>
      </w:pPr>
      <w:rPr>
        <w:rFonts w:ascii="Arial" w:hAnsi="Arial" w:hint="default"/>
      </w:rPr>
    </w:lvl>
    <w:lvl w:ilvl="8" w:tplc="AD56281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234027"/>
    <w:multiLevelType w:val="hybridMultilevel"/>
    <w:tmpl w:val="1E8C6044"/>
    <w:lvl w:ilvl="0" w:tplc="81DAF966">
      <w:start w:val="1"/>
      <w:numFmt w:val="decimal"/>
      <w:pStyle w:val="Annextitle"/>
      <w:lvlText w:val="Annex %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9675535"/>
    <w:multiLevelType w:val="multilevel"/>
    <w:tmpl w:val="8654A856"/>
    <w:lvl w:ilvl="0">
      <w:start w:val="1"/>
      <w:numFmt w:val="decimal"/>
      <w:lvlText w:val="Q%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FF11B1"/>
    <w:multiLevelType w:val="multilevel"/>
    <w:tmpl w:val="C9F091BC"/>
    <w:lvl w:ilvl="0">
      <w:start w:val="1"/>
      <w:numFmt w:val="decimal"/>
      <w:lvlText w:val="Q%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916F00"/>
    <w:multiLevelType w:val="multilevel"/>
    <w:tmpl w:val="C9F091BC"/>
    <w:lvl w:ilvl="0">
      <w:start w:val="1"/>
      <w:numFmt w:val="decimal"/>
      <w:lvlText w:val="Q%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84136FA"/>
    <w:multiLevelType w:val="hybridMultilevel"/>
    <w:tmpl w:val="CBF0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BE6866"/>
    <w:multiLevelType w:val="hybridMultilevel"/>
    <w:tmpl w:val="D65AE252"/>
    <w:lvl w:ilvl="0" w:tplc="DE108FE0">
      <w:start w:val="1"/>
      <w:numFmt w:val="bullet"/>
      <w:lvlText w:val="•"/>
      <w:lvlJc w:val="left"/>
      <w:pPr>
        <w:tabs>
          <w:tab w:val="num" w:pos="1800"/>
        </w:tabs>
        <w:ind w:left="1800" w:hanging="360"/>
      </w:pPr>
      <w:rPr>
        <w:rFonts w:ascii="Arial" w:hAnsi="Arial" w:hint="default"/>
      </w:rPr>
    </w:lvl>
    <w:lvl w:ilvl="1" w:tplc="20106B86" w:tentative="1">
      <w:start w:val="1"/>
      <w:numFmt w:val="bullet"/>
      <w:lvlText w:val="•"/>
      <w:lvlJc w:val="left"/>
      <w:pPr>
        <w:tabs>
          <w:tab w:val="num" w:pos="2520"/>
        </w:tabs>
        <w:ind w:left="2520" w:hanging="360"/>
      </w:pPr>
      <w:rPr>
        <w:rFonts w:ascii="Arial" w:hAnsi="Arial" w:hint="default"/>
      </w:rPr>
    </w:lvl>
    <w:lvl w:ilvl="2" w:tplc="70B8C006" w:tentative="1">
      <w:start w:val="1"/>
      <w:numFmt w:val="bullet"/>
      <w:lvlText w:val="•"/>
      <w:lvlJc w:val="left"/>
      <w:pPr>
        <w:tabs>
          <w:tab w:val="num" w:pos="3240"/>
        </w:tabs>
        <w:ind w:left="3240" w:hanging="360"/>
      </w:pPr>
      <w:rPr>
        <w:rFonts w:ascii="Arial" w:hAnsi="Arial" w:hint="default"/>
      </w:rPr>
    </w:lvl>
    <w:lvl w:ilvl="3" w:tplc="3A5E72A6" w:tentative="1">
      <w:start w:val="1"/>
      <w:numFmt w:val="bullet"/>
      <w:lvlText w:val="•"/>
      <w:lvlJc w:val="left"/>
      <w:pPr>
        <w:tabs>
          <w:tab w:val="num" w:pos="3960"/>
        </w:tabs>
        <w:ind w:left="3960" w:hanging="360"/>
      </w:pPr>
      <w:rPr>
        <w:rFonts w:ascii="Arial" w:hAnsi="Arial" w:hint="default"/>
      </w:rPr>
    </w:lvl>
    <w:lvl w:ilvl="4" w:tplc="CC88FC80" w:tentative="1">
      <w:start w:val="1"/>
      <w:numFmt w:val="bullet"/>
      <w:lvlText w:val="•"/>
      <w:lvlJc w:val="left"/>
      <w:pPr>
        <w:tabs>
          <w:tab w:val="num" w:pos="4680"/>
        </w:tabs>
        <w:ind w:left="4680" w:hanging="360"/>
      </w:pPr>
      <w:rPr>
        <w:rFonts w:ascii="Arial" w:hAnsi="Arial" w:hint="default"/>
      </w:rPr>
    </w:lvl>
    <w:lvl w:ilvl="5" w:tplc="6D109206" w:tentative="1">
      <w:start w:val="1"/>
      <w:numFmt w:val="bullet"/>
      <w:lvlText w:val="•"/>
      <w:lvlJc w:val="left"/>
      <w:pPr>
        <w:tabs>
          <w:tab w:val="num" w:pos="5400"/>
        </w:tabs>
        <w:ind w:left="5400" w:hanging="360"/>
      </w:pPr>
      <w:rPr>
        <w:rFonts w:ascii="Arial" w:hAnsi="Arial" w:hint="default"/>
      </w:rPr>
    </w:lvl>
    <w:lvl w:ilvl="6" w:tplc="815AE82A" w:tentative="1">
      <w:start w:val="1"/>
      <w:numFmt w:val="bullet"/>
      <w:lvlText w:val="•"/>
      <w:lvlJc w:val="left"/>
      <w:pPr>
        <w:tabs>
          <w:tab w:val="num" w:pos="6120"/>
        </w:tabs>
        <w:ind w:left="6120" w:hanging="360"/>
      </w:pPr>
      <w:rPr>
        <w:rFonts w:ascii="Arial" w:hAnsi="Arial" w:hint="default"/>
      </w:rPr>
    </w:lvl>
    <w:lvl w:ilvl="7" w:tplc="2ED27F0A" w:tentative="1">
      <w:start w:val="1"/>
      <w:numFmt w:val="bullet"/>
      <w:lvlText w:val="•"/>
      <w:lvlJc w:val="left"/>
      <w:pPr>
        <w:tabs>
          <w:tab w:val="num" w:pos="6840"/>
        </w:tabs>
        <w:ind w:left="6840" w:hanging="360"/>
      </w:pPr>
      <w:rPr>
        <w:rFonts w:ascii="Arial" w:hAnsi="Arial" w:hint="default"/>
      </w:rPr>
    </w:lvl>
    <w:lvl w:ilvl="8" w:tplc="1CCC0474" w:tentative="1">
      <w:start w:val="1"/>
      <w:numFmt w:val="bullet"/>
      <w:lvlText w:val="•"/>
      <w:lvlJc w:val="left"/>
      <w:pPr>
        <w:tabs>
          <w:tab w:val="num" w:pos="7560"/>
        </w:tabs>
        <w:ind w:left="7560" w:hanging="360"/>
      </w:pPr>
      <w:rPr>
        <w:rFonts w:ascii="Arial" w:hAnsi="Arial" w:hint="default"/>
      </w:rPr>
    </w:lvl>
  </w:abstractNum>
  <w:abstractNum w:abstractNumId="36" w15:restartNumberingAfterBreak="0">
    <w:nsid w:val="794342E8"/>
    <w:multiLevelType w:val="hybridMultilevel"/>
    <w:tmpl w:val="E750805C"/>
    <w:lvl w:ilvl="0" w:tplc="C6346AC0">
      <w:start w:val="1"/>
      <w:numFmt w:val="bullet"/>
      <w:lvlText w:val="•"/>
      <w:lvlJc w:val="left"/>
      <w:pPr>
        <w:tabs>
          <w:tab w:val="num" w:pos="360"/>
        </w:tabs>
        <w:ind w:left="360" w:hanging="360"/>
      </w:pPr>
      <w:rPr>
        <w:rFonts w:ascii="Arial" w:hAnsi="Arial" w:hint="default"/>
      </w:rPr>
    </w:lvl>
    <w:lvl w:ilvl="1" w:tplc="DDAEE5F4" w:tentative="1">
      <w:start w:val="1"/>
      <w:numFmt w:val="bullet"/>
      <w:lvlText w:val="•"/>
      <w:lvlJc w:val="left"/>
      <w:pPr>
        <w:tabs>
          <w:tab w:val="num" w:pos="1440"/>
        </w:tabs>
        <w:ind w:left="1440" w:hanging="360"/>
      </w:pPr>
      <w:rPr>
        <w:rFonts w:ascii="Arial" w:hAnsi="Arial" w:hint="default"/>
      </w:rPr>
    </w:lvl>
    <w:lvl w:ilvl="2" w:tplc="3E883B64" w:tentative="1">
      <w:start w:val="1"/>
      <w:numFmt w:val="bullet"/>
      <w:lvlText w:val="•"/>
      <w:lvlJc w:val="left"/>
      <w:pPr>
        <w:tabs>
          <w:tab w:val="num" w:pos="2160"/>
        </w:tabs>
        <w:ind w:left="2160" w:hanging="360"/>
      </w:pPr>
      <w:rPr>
        <w:rFonts w:ascii="Arial" w:hAnsi="Arial" w:hint="default"/>
      </w:rPr>
    </w:lvl>
    <w:lvl w:ilvl="3" w:tplc="D6EC9CD0" w:tentative="1">
      <w:start w:val="1"/>
      <w:numFmt w:val="bullet"/>
      <w:lvlText w:val="•"/>
      <w:lvlJc w:val="left"/>
      <w:pPr>
        <w:tabs>
          <w:tab w:val="num" w:pos="2880"/>
        </w:tabs>
        <w:ind w:left="2880" w:hanging="360"/>
      </w:pPr>
      <w:rPr>
        <w:rFonts w:ascii="Arial" w:hAnsi="Arial" w:hint="default"/>
      </w:rPr>
    </w:lvl>
    <w:lvl w:ilvl="4" w:tplc="66C02ED4" w:tentative="1">
      <w:start w:val="1"/>
      <w:numFmt w:val="bullet"/>
      <w:lvlText w:val="•"/>
      <w:lvlJc w:val="left"/>
      <w:pPr>
        <w:tabs>
          <w:tab w:val="num" w:pos="3600"/>
        </w:tabs>
        <w:ind w:left="3600" w:hanging="360"/>
      </w:pPr>
      <w:rPr>
        <w:rFonts w:ascii="Arial" w:hAnsi="Arial" w:hint="default"/>
      </w:rPr>
    </w:lvl>
    <w:lvl w:ilvl="5" w:tplc="FE521B72" w:tentative="1">
      <w:start w:val="1"/>
      <w:numFmt w:val="bullet"/>
      <w:lvlText w:val="•"/>
      <w:lvlJc w:val="left"/>
      <w:pPr>
        <w:tabs>
          <w:tab w:val="num" w:pos="4320"/>
        </w:tabs>
        <w:ind w:left="4320" w:hanging="360"/>
      </w:pPr>
      <w:rPr>
        <w:rFonts w:ascii="Arial" w:hAnsi="Arial" w:hint="default"/>
      </w:rPr>
    </w:lvl>
    <w:lvl w:ilvl="6" w:tplc="5FC0BCB2" w:tentative="1">
      <w:start w:val="1"/>
      <w:numFmt w:val="bullet"/>
      <w:lvlText w:val="•"/>
      <w:lvlJc w:val="left"/>
      <w:pPr>
        <w:tabs>
          <w:tab w:val="num" w:pos="5040"/>
        </w:tabs>
        <w:ind w:left="5040" w:hanging="360"/>
      </w:pPr>
      <w:rPr>
        <w:rFonts w:ascii="Arial" w:hAnsi="Arial" w:hint="default"/>
      </w:rPr>
    </w:lvl>
    <w:lvl w:ilvl="7" w:tplc="9E1621FE" w:tentative="1">
      <w:start w:val="1"/>
      <w:numFmt w:val="bullet"/>
      <w:lvlText w:val="•"/>
      <w:lvlJc w:val="left"/>
      <w:pPr>
        <w:tabs>
          <w:tab w:val="num" w:pos="5760"/>
        </w:tabs>
        <w:ind w:left="5760" w:hanging="360"/>
      </w:pPr>
      <w:rPr>
        <w:rFonts w:ascii="Arial" w:hAnsi="Arial" w:hint="default"/>
      </w:rPr>
    </w:lvl>
    <w:lvl w:ilvl="8" w:tplc="5E7659C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094DFB"/>
    <w:multiLevelType w:val="hybridMultilevel"/>
    <w:tmpl w:val="A2AC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86605"/>
    <w:multiLevelType w:val="hybridMultilevel"/>
    <w:tmpl w:val="63B23B6A"/>
    <w:lvl w:ilvl="0" w:tplc="A52C30CE">
      <w:start w:val="1"/>
      <w:numFmt w:val="decimal"/>
      <w:pStyle w:val="Numbered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5712779">
    <w:abstractNumId w:val="4"/>
  </w:num>
  <w:num w:numId="2" w16cid:durableId="1123571262">
    <w:abstractNumId w:val="8"/>
  </w:num>
  <w:num w:numId="3" w16cid:durableId="82845590">
    <w:abstractNumId w:val="7"/>
  </w:num>
  <w:num w:numId="4" w16cid:durableId="1572232332">
    <w:abstractNumId w:val="15"/>
  </w:num>
  <w:num w:numId="5" w16cid:durableId="1942368866">
    <w:abstractNumId w:val="30"/>
  </w:num>
  <w:num w:numId="6" w16cid:durableId="99684284">
    <w:abstractNumId w:val="38"/>
  </w:num>
  <w:num w:numId="7" w16cid:durableId="669142443">
    <w:abstractNumId w:val="25"/>
  </w:num>
  <w:num w:numId="8" w16cid:durableId="886571610">
    <w:abstractNumId w:val="13"/>
  </w:num>
  <w:num w:numId="9" w16cid:durableId="201865992">
    <w:abstractNumId w:val="20"/>
  </w:num>
  <w:num w:numId="10" w16cid:durableId="851602668">
    <w:abstractNumId w:val="19"/>
  </w:num>
  <w:num w:numId="11" w16cid:durableId="467865861">
    <w:abstractNumId w:val="33"/>
  </w:num>
  <w:num w:numId="12" w16cid:durableId="117652130">
    <w:abstractNumId w:val="32"/>
  </w:num>
  <w:num w:numId="13" w16cid:durableId="463888660">
    <w:abstractNumId w:val="15"/>
  </w:num>
  <w:num w:numId="14" w16cid:durableId="1556811959">
    <w:abstractNumId w:val="15"/>
  </w:num>
  <w:num w:numId="15" w16cid:durableId="585069854">
    <w:abstractNumId w:val="17"/>
  </w:num>
  <w:num w:numId="16" w16cid:durableId="873923784">
    <w:abstractNumId w:val="28"/>
  </w:num>
  <w:num w:numId="17" w16cid:durableId="2076774123">
    <w:abstractNumId w:val="21"/>
  </w:num>
  <w:num w:numId="18" w16cid:durableId="1314603477">
    <w:abstractNumId w:val="0"/>
  </w:num>
  <w:num w:numId="19" w16cid:durableId="2056654770">
    <w:abstractNumId w:val="23"/>
  </w:num>
  <w:num w:numId="20" w16cid:durableId="603391719">
    <w:abstractNumId w:val="10"/>
  </w:num>
  <w:num w:numId="21" w16cid:durableId="506409310">
    <w:abstractNumId w:val="12"/>
  </w:num>
  <w:num w:numId="22" w16cid:durableId="1401097728">
    <w:abstractNumId w:val="2"/>
  </w:num>
  <w:num w:numId="23" w16cid:durableId="1603341176">
    <w:abstractNumId w:val="24"/>
  </w:num>
  <w:num w:numId="24" w16cid:durableId="2081560707">
    <w:abstractNumId w:val="31"/>
  </w:num>
  <w:num w:numId="25" w16cid:durableId="319358609">
    <w:abstractNumId w:val="27"/>
  </w:num>
  <w:num w:numId="26" w16cid:durableId="671840875">
    <w:abstractNumId w:val="15"/>
  </w:num>
  <w:num w:numId="27" w16cid:durableId="1595434094">
    <w:abstractNumId w:val="15"/>
  </w:num>
  <w:num w:numId="28" w16cid:durableId="439446845">
    <w:abstractNumId w:val="9"/>
  </w:num>
  <w:num w:numId="29" w16cid:durableId="826674048">
    <w:abstractNumId w:val="15"/>
  </w:num>
  <w:num w:numId="30" w16cid:durableId="2057654670">
    <w:abstractNumId w:val="1"/>
  </w:num>
  <w:num w:numId="31" w16cid:durableId="703604458">
    <w:abstractNumId w:val="22"/>
  </w:num>
  <w:num w:numId="32" w16cid:durableId="1403720087">
    <w:abstractNumId w:val="26"/>
  </w:num>
  <w:num w:numId="33" w16cid:durableId="1790320008">
    <w:abstractNumId w:val="35"/>
  </w:num>
  <w:num w:numId="34" w16cid:durableId="345592530">
    <w:abstractNumId w:val="37"/>
  </w:num>
  <w:num w:numId="35" w16cid:durableId="1517769510">
    <w:abstractNumId w:val="5"/>
  </w:num>
  <w:num w:numId="36" w16cid:durableId="438915997">
    <w:abstractNumId w:val="36"/>
  </w:num>
  <w:num w:numId="37" w16cid:durableId="1106340701">
    <w:abstractNumId w:val="29"/>
  </w:num>
  <w:num w:numId="38" w16cid:durableId="1265459519">
    <w:abstractNumId w:val="14"/>
  </w:num>
  <w:num w:numId="39" w16cid:durableId="1415055670">
    <w:abstractNumId w:val="3"/>
  </w:num>
  <w:num w:numId="40" w16cid:durableId="1903907691">
    <w:abstractNumId w:val="16"/>
  </w:num>
  <w:num w:numId="41" w16cid:durableId="213589549">
    <w:abstractNumId w:val="18"/>
  </w:num>
  <w:num w:numId="42" w16cid:durableId="1636448666">
    <w:abstractNumId w:val="15"/>
  </w:num>
  <w:num w:numId="43" w16cid:durableId="233396196">
    <w:abstractNumId w:val="34"/>
  </w:num>
  <w:num w:numId="44" w16cid:durableId="910235835">
    <w:abstractNumId w:val="6"/>
  </w:num>
  <w:num w:numId="45" w16cid:durableId="1489790037">
    <w:abstractNumId w:val="11"/>
  </w:num>
  <w:num w:numId="46" w16cid:durableId="855078484">
    <w:abstractNumId w:val="15"/>
  </w:num>
  <w:num w:numId="47" w16cid:durableId="6500587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fidentiality" w:val="public"/>
  </w:docVars>
  <w:rsids>
    <w:rsidRoot w:val="0065289C"/>
    <w:rsid w:val="00001048"/>
    <w:rsid w:val="00001F74"/>
    <w:rsid w:val="000035AB"/>
    <w:rsid w:val="000041BF"/>
    <w:rsid w:val="000053EE"/>
    <w:rsid w:val="000078AF"/>
    <w:rsid w:val="00010F9F"/>
    <w:rsid w:val="0001139B"/>
    <w:rsid w:val="000119C7"/>
    <w:rsid w:val="00013DCA"/>
    <w:rsid w:val="00016C68"/>
    <w:rsid w:val="00022943"/>
    <w:rsid w:val="00024E49"/>
    <w:rsid w:val="0002599C"/>
    <w:rsid w:val="00027D7C"/>
    <w:rsid w:val="00030729"/>
    <w:rsid w:val="00035699"/>
    <w:rsid w:val="00036050"/>
    <w:rsid w:val="0004027E"/>
    <w:rsid w:val="00041994"/>
    <w:rsid w:val="00041A35"/>
    <w:rsid w:val="00044453"/>
    <w:rsid w:val="00046F12"/>
    <w:rsid w:val="00050F13"/>
    <w:rsid w:val="00051C61"/>
    <w:rsid w:val="00054E61"/>
    <w:rsid w:val="00055BF0"/>
    <w:rsid w:val="000566DC"/>
    <w:rsid w:val="00057B5C"/>
    <w:rsid w:val="00057DBB"/>
    <w:rsid w:val="00060C34"/>
    <w:rsid w:val="000628D9"/>
    <w:rsid w:val="00064079"/>
    <w:rsid w:val="00065353"/>
    <w:rsid w:val="00065BCE"/>
    <w:rsid w:val="00066AD6"/>
    <w:rsid w:val="00071445"/>
    <w:rsid w:val="0007207A"/>
    <w:rsid w:val="00073672"/>
    <w:rsid w:val="00073ED0"/>
    <w:rsid w:val="00076701"/>
    <w:rsid w:val="000772BB"/>
    <w:rsid w:val="0008400A"/>
    <w:rsid w:val="000848BA"/>
    <w:rsid w:val="00086058"/>
    <w:rsid w:val="00086B3D"/>
    <w:rsid w:val="00091B4C"/>
    <w:rsid w:val="00091B84"/>
    <w:rsid w:val="000931D7"/>
    <w:rsid w:val="00093276"/>
    <w:rsid w:val="00095B12"/>
    <w:rsid w:val="00096633"/>
    <w:rsid w:val="00097061"/>
    <w:rsid w:val="000973A0"/>
    <w:rsid w:val="000A379E"/>
    <w:rsid w:val="000A685A"/>
    <w:rsid w:val="000B0A32"/>
    <w:rsid w:val="000B20C5"/>
    <w:rsid w:val="000B46C4"/>
    <w:rsid w:val="000B631F"/>
    <w:rsid w:val="000C1FB4"/>
    <w:rsid w:val="000C5896"/>
    <w:rsid w:val="000C5B81"/>
    <w:rsid w:val="000C5BE0"/>
    <w:rsid w:val="000C6CD8"/>
    <w:rsid w:val="000C7DC4"/>
    <w:rsid w:val="000D181D"/>
    <w:rsid w:val="000D6CE5"/>
    <w:rsid w:val="000D78BB"/>
    <w:rsid w:val="000E141B"/>
    <w:rsid w:val="000E651B"/>
    <w:rsid w:val="000F2016"/>
    <w:rsid w:val="000F5ACD"/>
    <w:rsid w:val="00102F56"/>
    <w:rsid w:val="00107A9F"/>
    <w:rsid w:val="00113A77"/>
    <w:rsid w:val="001173AB"/>
    <w:rsid w:val="00125170"/>
    <w:rsid w:val="00126381"/>
    <w:rsid w:val="0012706F"/>
    <w:rsid w:val="00127097"/>
    <w:rsid w:val="00131445"/>
    <w:rsid w:val="00133B5C"/>
    <w:rsid w:val="00135516"/>
    <w:rsid w:val="00140F50"/>
    <w:rsid w:val="0014250A"/>
    <w:rsid w:val="00142F44"/>
    <w:rsid w:val="001459FD"/>
    <w:rsid w:val="001519AF"/>
    <w:rsid w:val="001606ED"/>
    <w:rsid w:val="001607FC"/>
    <w:rsid w:val="001614F3"/>
    <w:rsid w:val="0016164A"/>
    <w:rsid w:val="00161B30"/>
    <w:rsid w:val="001622CF"/>
    <w:rsid w:val="00164902"/>
    <w:rsid w:val="001719ED"/>
    <w:rsid w:val="001750BD"/>
    <w:rsid w:val="00175D67"/>
    <w:rsid w:val="0018099E"/>
    <w:rsid w:val="00181585"/>
    <w:rsid w:val="00181B4B"/>
    <w:rsid w:val="0018614F"/>
    <w:rsid w:val="00190A0C"/>
    <w:rsid w:val="00193F72"/>
    <w:rsid w:val="001971C9"/>
    <w:rsid w:val="00197D46"/>
    <w:rsid w:val="001A13FE"/>
    <w:rsid w:val="001A14BD"/>
    <w:rsid w:val="001A25D1"/>
    <w:rsid w:val="001B044D"/>
    <w:rsid w:val="001B0A91"/>
    <w:rsid w:val="001B2636"/>
    <w:rsid w:val="001B5E93"/>
    <w:rsid w:val="001B70FE"/>
    <w:rsid w:val="001B7968"/>
    <w:rsid w:val="001C0A77"/>
    <w:rsid w:val="001C0BD1"/>
    <w:rsid w:val="001C0C78"/>
    <w:rsid w:val="001C0D10"/>
    <w:rsid w:val="001C17FC"/>
    <w:rsid w:val="001C47D1"/>
    <w:rsid w:val="001C5CAA"/>
    <w:rsid w:val="001C7A74"/>
    <w:rsid w:val="001D28B2"/>
    <w:rsid w:val="001D4B02"/>
    <w:rsid w:val="001D61FB"/>
    <w:rsid w:val="001D7C26"/>
    <w:rsid w:val="001E2E0F"/>
    <w:rsid w:val="001F2F69"/>
    <w:rsid w:val="001F32A5"/>
    <w:rsid w:val="001F3DE7"/>
    <w:rsid w:val="001F6A2D"/>
    <w:rsid w:val="001F6AD0"/>
    <w:rsid w:val="00200300"/>
    <w:rsid w:val="00200A4C"/>
    <w:rsid w:val="00200C09"/>
    <w:rsid w:val="00201096"/>
    <w:rsid w:val="002139D1"/>
    <w:rsid w:val="00213E4B"/>
    <w:rsid w:val="0021640B"/>
    <w:rsid w:val="00216CB3"/>
    <w:rsid w:val="00220155"/>
    <w:rsid w:val="00220E5C"/>
    <w:rsid w:val="002230E8"/>
    <w:rsid w:val="00224ABF"/>
    <w:rsid w:val="00225502"/>
    <w:rsid w:val="00233858"/>
    <w:rsid w:val="00235B73"/>
    <w:rsid w:val="002406B9"/>
    <w:rsid w:val="00240861"/>
    <w:rsid w:val="00242187"/>
    <w:rsid w:val="00246B11"/>
    <w:rsid w:val="002475E8"/>
    <w:rsid w:val="002501E9"/>
    <w:rsid w:val="002529D2"/>
    <w:rsid w:val="00254A40"/>
    <w:rsid w:val="00261AD6"/>
    <w:rsid w:val="0026583E"/>
    <w:rsid w:val="002668CA"/>
    <w:rsid w:val="00267512"/>
    <w:rsid w:val="002701F8"/>
    <w:rsid w:val="00273F4A"/>
    <w:rsid w:val="00276199"/>
    <w:rsid w:val="00277056"/>
    <w:rsid w:val="0027771E"/>
    <w:rsid w:val="002778E2"/>
    <w:rsid w:val="00277C3D"/>
    <w:rsid w:val="00281370"/>
    <w:rsid w:val="00293091"/>
    <w:rsid w:val="00296067"/>
    <w:rsid w:val="00297F20"/>
    <w:rsid w:val="002A05B5"/>
    <w:rsid w:val="002A19A7"/>
    <w:rsid w:val="002A1CDC"/>
    <w:rsid w:val="002A44F2"/>
    <w:rsid w:val="002A5186"/>
    <w:rsid w:val="002A5974"/>
    <w:rsid w:val="002A719D"/>
    <w:rsid w:val="002A7523"/>
    <w:rsid w:val="002B40C6"/>
    <w:rsid w:val="002B423A"/>
    <w:rsid w:val="002B4887"/>
    <w:rsid w:val="002B5032"/>
    <w:rsid w:val="002B6BD4"/>
    <w:rsid w:val="002C0D07"/>
    <w:rsid w:val="002C34EE"/>
    <w:rsid w:val="002D4CC9"/>
    <w:rsid w:val="002D5578"/>
    <w:rsid w:val="002D5E5F"/>
    <w:rsid w:val="002D6159"/>
    <w:rsid w:val="002E072E"/>
    <w:rsid w:val="002E43E8"/>
    <w:rsid w:val="002E611C"/>
    <w:rsid w:val="002E647F"/>
    <w:rsid w:val="002F05DE"/>
    <w:rsid w:val="002F1717"/>
    <w:rsid w:val="002F32DB"/>
    <w:rsid w:val="002F369C"/>
    <w:rsid w:val="002F5C81"/>
    <w:rsid w:val="002F6EAC"/>
    <w:rsid w:val="002F727E"/>
    <w:rsid w:val="00307226"/>
    <w:rsid w:val="0030793F"/>
    <w:rsid w:val="00312780"/>
    <w:rsid w:val="003155CE"/>
    <w:rsid w:val="00321998"/>
    <w:rsid w:val="00323988"/>
    <w:rsid w:val="003318F7"/>
    <w:rsid w:val="0033337E"/>
    <w:rsid w:val="00333DF3"/>
    <w:rsid w:val="00336462"/>
    <w:rsid w:val="00337440"/>
    <w:rsid w:val="003404E3"/>
    <w:rsid w:val="0034072D"/>
    <w:rsid w:val="00340D7D"/>
    <w:rsid w:val="00342B2B"/>
    <w:rsid w:val="00343561"/>
    <w:rsid w:val="00344323"/>
    <w:rsid w:val="00344DC0"/>
    <w:rsid w:val="00347F99"/>
    <w:rsid w:val="00351231"/>
    <w:rsid w:val="00351CBE"/>
    <w:rsid w:val="00354A0D"/>
    <w:rsid w:val="00355578"/>
    <w:rsid w:val="00355718"/>
    <w:rsid w:val="003577F6"/>
    <w:rsid w:val="0036302D"/>
    <w:rsid w:val="00363E76"/>
    <w:rsid w:val="003641B4"/>
    <w:rsid w:val="003643C7"/>
    <w:rsid w:val="0036485C"/>
    <w:rsid w:val="00372686"/>
    <w:rsid w:val="00377EA9"/>
    <w:rsid w:val="00380750"/>
    <w:rsid w:val="00381F40"/>
    <w:rsid w:val="00382A6E"/>
    <w:rsid w:val="00383C35"/>
    <w:rsid w:val="00384550"/>
    <w:rsid w:val="00385021"/>
    <w:rsid w:val="003877C5"/>
    <w:rsid w:val="00391C51"/>
    <w:rsid w:val="00392978"/>
    <w:rsid w:val="00394B91"/>
    <w:rsid w:val="00396D9B"/>
    <w:rsid w:val="003A01A6"/>
    <w:rsid w:val="003A2EFC"/>
    <w:rsid w:val="003B16A6"/>
    <w:rsid w:val="003B2559"/>
    <w:rsid w:val="003B7387"/>
    <w:rsid w:val="003D48E8"/>
    <w:rsid w:val="003D525D"/>
    <w:rsid w:val="003D6BB9"/>
    <w:rsid w:val="003E0732"/>
    <w:rsid w:val="003E755E"/>
    <w:rsid w:val="003F300C"/>
    <w:rsid w:val="003F3495"/>
    <w:rsid w:val="003F3CFE"/>
    <w:rsid w:val="003F4281"/>
    <w:rsid w:val="003F50C2"/>
    <w:rsid w:val="003F590B"/>
    <w:rsid w:val="00404748"/>
    <w:rsid w:val="00405F43"/>
    <w:rsid w:val="00410B02"/>
    <w:rsid w:val="00412B31"/>
    <w:rsid w:val="00413569"/>
    <w:rsid w:val="00413E72"/>
    <w:rsid w:val="0041402E"/>
    <w:rsid w:val="00415B57"/>
    <w:rsid w:val="00421587"/>
    <w:rsid w:val="00424DCA"/>
    <w:rsid w:val="00425219"/>
    <w:rsid w:val="004270E9"/>
    <w:rsid w:val="004309A5"/>
    <w:rsid w:val="00431341"/>
    <w:rsid w:val="004316A5"/>
    <w:rsid w:val="004318FA"/>
    <w:rsid w:val="00431A8B"/>
    <w:rsid w:val="00433E25"/>
    <w:rsid w:val="004401C3"/>
    <w:rsid w:val="00440CEA"/>
    <w:rsid w:val="00450667"/>
    <w:rsid w:val="00450A96"/>
    <w:rsid w:val="0045310F"/>
    <w:rsid w:val="00455E84"/>
    <w:rsid w:val="0045697F"/>
    <w:rsid w:val="0046074C"/>
    <w:rsid w:val="00460F16"/>
    <w:rsid w:val="00461767"/>
    <w:rsid w:val="00461D5F"/>
    <w:rsid w:val="004665AB"/>
    <w:rsid w:val="004713B8"/>
    <w:rsid w:val="00475645"/>
    <w:rsid w:val="0047580F"/>
    <w:rsid w:val="00485315"/>
    <w:rsid w:val="00486C71"/>
    <w:rsid w:val="00490B79"/>
    <w:rsid w:val="00492DEA"/>
    <w:rsid w:val="00493AD9"/>
    <w:rsid w:val="00493DE3"/>
    <w:rsid w:val="004A03DB"/>
    <w:rsid w:val="004A0603"/>
    <w:rsid w:val="004A14A8"/>
    <w:rsid w:val="004A254D"/>
    <w:rsid w:val="004A4DF5"/>
    <w:rsid w:val="004A6A95"/>
    <w:rsid w:val="004A6DFD"/>
    <w:rsid w:val="004B0FDD"/>
    <w:rsid w:val="004B28B5"/>
    <w:rsid w:val="004B4301"/>
    <w:rsid w:val="004B4C81"/>
    <w:rsid w:val="004C2C4A"/>
    <w:rsid w:val="004C436E"/>
    <w:rsid w:val="004C5F57"/>
    <w:rsid w:val="004C6637"/>
    <w:rsid w:val="004D14DA"/>
    <w:rsid w:val="004D7375"/>
    <w:rsid w:val="004E1F20"/>
    <w:rsid w:val="004E1FA0"/>
    <w:rsid w:val="004E2460"/>
    <w:rsid w:val="004E3D5E"/>
    <w:rsid w:val="004E6601"/>
    <w:rsid w:val="004E7FE1"/>
    <w:rsid w:val="004F2876"/>
    <w:rsid w:val="004F2EE2"/>
    <w:rsid w:val="004F3086"/>
    <w:rsid w:val="004F65D1"/>
    <w:rsid w:val="004F6BF5"/>
    <w:rsid w:val="004F7295"/>
    <w:rsid w:val="004F75D3"/>
    <w:rsid w:val="00500607"/>
    <w:rsid w:val="005029DA"/>
    <w:rsid w:val="0050479B"/>
    <w:rsid w:val="00504E68"/>
    <w:rsid w:val="00505F5E"/>
    <w:rsid w:val="00510AF0"/>
    <w:rsid w:val="005113B9"/>
    <w:rsid w:val="00512715"/>
    <w:rsid w:val="005177BB"/>
    <w:rsid w:val="00526F1A"/>
    <w:rsid w:val="00527E91"/>
    <w:rsid w:val="00532560"/>
    <w:rsid w:val="00532E89"/>
    <w:rsid w:val="00535802"/>
    <w:rsid w:val="00535DB6"/>
    <w:rsid w:val="005367D2"/>
    <w:rsid w:val="00537196"/>
    <w:rsid w:val="005373BB"/>
    <w:rsid w:val="00540DBC"/>
    <w:rsid w:val="005423D1"/>
    <w:rsid w:val="00545E83"/>
    <w:rsid w:val="005469DB"/>
    <w:rsid w:val="00547D85"/>
    <w:rsid w:val="00553FDD"/>
    <w:rsid w:val="005551C7"/>
    <w:rsid w:val="00555A94"/>
    <w:rsid w:val="00561014"/>
    <w:rsid w:val="005643C1"/>
    <w:rsid w:val="005672B0"/>
    <w:rsid w:val="00567692"/>
    <w:rsid w:val="00570874"/>
    <w:rsid w:val="005726BA"/>
    <w:rsid w:val="00574304"/>
    <w:rsid w:val="00574D9D"/>
    <w:rsid w:val="00576D00"/>
    <w:rsid w:val="00577C54"/>
    <w:rsid w:val="0058009A"/>
    <w:rsid w:val="0058091E"/>
    <w:rsid w:val="00580F35"/>
    <w:rsid w:val="0059314A"/>
    <w:rsid w:val="0059770D"/>
    <w:rsid w:val="00597EF4"/>
    <w:rsid w:val="005A098A"/>
    <w:rsid w:val="005A10E6"/>
    <w:rsid w:val="005A1D8C"/>
    <w:rsid w:val="005A2E8D"/>
    <w:rsid w:val="005A3373"/>
    <w:rsid w:val="005A524F"/>
    <w:rsid w:val="005B0A54"/>
    <w:rsid w:val="005B0B77"/>
    <w:rsid w:val="005B1DD8"/>
    <w:rsid w:val="005B7B37"/>
    <w:rsid w:val="005C0B22"/>
    <w:rsid w:val="005C1D24"/>
    <w:rsid w:val="005C3384"/>
    <w:rsid w:val="005C4D80"/>
    <w:rsid w:val="005D580C"/>
    <w:rsid w:val="005D5EC0"/>
    <w:rsid w:val="005E0B96"/>
    <w:rsid w:val="005E1616"/>
    <w:rsid w:val="005E2628"/>
    <w:rsid w:val="005E2FE2"/>
    <w:rsid w:val="005E5379"/>
    <w:rsid w:val="005F0B39"/>
    <w:rsid w:val="005F6B54"/>
    <w:rsid w:val="005F7126"/>
    <w:rsid w:val="005F77B6"/>
    <w:rsid w:val="00600DCA"/>
    <w:rsid w:val="00602DC6"/>
    <w:rsid w:val="006108CB"/>
    <w:rsid w:val="00610E13"/>
    <w:rsid w:val="00611CEE"/>
    <w:rsid w:val="0061290C"/>
    <w:rsid w:val="00612930"/>
    <w:rsid w:val="00613B77"/>
    <w:rsid w:val="0061508F"/>
    <w:rsid w:val="006215C7"/>
    <w:rsid w:val="0062434C"/>
    <w:rsid w:val="006306C9"/>
    <w:rsid w:val="00630B42"/>
    <w:rsid w:val="00630CAC"/>
    <w:rsid w:val="0063353F"/>
    <w:rsid w:val="00633BBB"/>
    <w:rsid w:val="00633E6B"/>
    <w:rsid w:val="00636ADE"/>
    <w:rsid w:val="0064062E"/>
    <w:rsid w:val="006410E6"/>
    <w:rsid w:val="006412D2"/>
    <w:rsid w:val="0064147A"/>
    <w:rsid w:val="00642643"/>
    <w:rsid w:val="006429B7"/>
    <w:rsid w:val="00642A2B"/>
    <w:rsid w:val="00642E95"/>
    <w:rsid w:val="0065289C"/>
    <w:rsid w:val="00652CF7"/>
    <w:rsid w:val="006544BD"/>
    <w:rsid w:val="006560D8"/>
    <w:rsid w:val="006565B3"/>
    <w:rsid w:val="006568E8"/>
    <w:rsid w:val="00665F10"/>
    <w:rsid w:val="00672F4E"/>
    <w:rsid w:val="006744BB"/>
    <w:rsid w:val="00677764"/>
    <w:rsid w:val="00680416"/>
    <w:rsid w:val="0068715D"/>
    <w:rsid w:val="00690428"/>
    <w:rsid w:val="006939EC"/>
    <w:rsid w:val="00696E41"/>
    <w:rsid w:val="006978AD"/>
    <w:rsid w:val="006A22CB"/>
    <w:rsid w:val="006B0513"/>
    <w:rsid w:val="006B2771"/>
    <w:rsid w:val="006B424F"/>
    <w:rsid w:val="006C283D"/>
    <w:rsid w:val="006C2B7B"/>
    <w:rsid w:val="006C378E"/>
    <w:rsid w:val="006C3B3A"/>
    <w:rsid w:val="006D219A"/>
    <w:rsid w:val="006D3047"/>
    <w:rsid w:val="006E0C39"/>
    <w:rsid w:val="006E20A8"/>
    <w:rsid w:val="006E32C4"/>
    <w:rsid w:val="006F6899"/>
    <w:rsid w:val="00703F7B"/>
    <w:rsid w:val="00712C66"/>
    <w:rsid w:val="00715886"/>
    <w:rsid w:val="00722718"/>
    <w:rsid w:val="00722D2A"/>
    <w:rsid w:val="0072439B"/>
    <w:rsid w:val="00730B99"/>
    <w:rsid w:val="00731797"/>
    <w:rsid w:val="00732415"/>
    <w:rsid w:val="00732CE5"/>
    <w:rsid w:val="007330F5"/>
    <w:rsid w:val="007338B2"/>
    <w:rsid w:val="00735115"/>
    <w:rsid w:val="0073540C"/>
    <w:rsid w:val="007354B5"/>
    <w:rsid w:val="007407BE"/>
    <w:rsid w:val="007427D9"/>
    <w:rsid w:val="00745087"/>
    <w:rsid w:val="00751436"/>
    <w:rsid w:val="00756E46"/>
    <w:rsid w:val="00757278"/>
    <w:rsid w:val="00760044"/>
    <w:rsid w:val="00762EFE"/>
    <w:rsid w:val="00763F4B"/>
    <w:rsid w:val="00764464"/>
    <w:rsid w:val="00764CBB"/>
    <w:rsid w:val="007673C5"/>
    <w:rsid w:val="00767D7C"/>
    <w:rsid w:val="007700D1"/>
    <w:rsid w:val="00771033"/>
    <w:rsid w:val="007710EC"/>
    <w:rsid w:val="007719AC"/>
    <w:rsid w:val="0077448D"/>
    <w:rsid w:val="0077799D"/>
    <w:rsid w:val="00780AAC"/>
    <w:rsid w:val="00781070"/>
    <w:rsid w:val="007837A3"/>
    <w:rsid w:val="00783953"/>
    <w:rsid w:val="00783C6D"/>
    <w:rsid w:val="00784A8D"/>
    <w:rsid w:val="00785BEA"/>
    <w:rsid w:val="0078727B"/>
    <w:rsid w:val="00790F59"/>
    <w:rsid w:val="00791C24"/>
    <w:rsid w:val="00792FE3"/>
    <w:rsid w:val="007A34AB"/>
    <w:rsid w:val="007A6C8F"/>
    <w:rsid w:val="007B5466"/>
    <w:rsid w:val="007B5A56"/>
    <w:rsid w:val="007B608D"/>
    <w:rsid w:val="007B778D"/>
    <w:rsid w:val="007B7B75"/>
    <w:rsid w:val="007C0C8F"/>
    <w:rsid w:val="007C1EFB"/>
    <w:rsid w:val="007C2982"/>
    <w:rsid w:val="007C36BC"/>
    <w:rsid w:val="007C4B35"/>
    <w:rsid w:val="007C5969"/>
    <w:rsid w:val="007C714B"/>
    <w:rsid w:val="007D2AA9"/>
    <w:rsid w:val="007D2AD2"/>
    <w:rsid w:val="007D2AFA"/>
    <w:rsid w:val="007D6A86"/>
    <w:rsid w:val="007D722B"/>
    <w:rsid w:val="007E17C3"/>
    <w:rsid w:val="007E3BDE"/>
    <w:rsid w:val="007E4B98"/>
    <w:rsid w:val="007E54CB"/>
    <w:rsid w:val="007E5BE2"/>
    <w:rsid w:val="007E5C4F"/>
    <w:rsid w:val="007E5C92"/>
    <w:rsid w:val="007E7154"/>
    <w:rsid w:val="007F1B08"/>
    <w:rsid w:val="007F242C"/>
    <w:rsid w:val="007F2942"/>
    <w:rsid w:val="007F2FB1"/>
    <w:rsid w:val="007F41CC"/>
    <w:rsid w:val="007F5571"/>
    <w:rsid w:val="007F61D4"/>
    <w:rsid w:val="007F6E83"/>
    <w:rsid w:val="008004FB"/>
    <w:rsid w:val="008006A5"/>
    <w:rsid w:val="00804DCF"/>
    <w:rsid w:val="00805BF4"/>
    <w:rsid w:val="00806D58"/>
    <w:rsid w:val="00807F0C"/>
    <w:rsid w:val="008119F8"/>
    <w:rsid w:val="00815BD0"/>
    <w:rsid w:val="00816A3F"/>
    <w:rsid w:val="00823F6D"/>
    <w:rsid w:val="00824CC9"/>
    <w:rsid w:val="008262BD"/>
    <w:rsid w:val="00830F8A"/>
    <w:rsid w:val="008321DD"/>
    <w:rsid w:val="00832E49"/>
    <w:rsid w:val="00833C7D"/>
    <w:rsid w:val="00833CF2"/>
    <w:rsid w:val="00835098"/>
    <w:rsid w:val="00835402"/>
    <w:rsid w:val="00836070"/>
    <w:rsid w:val="00836242"/>
    <w:rsid w:val="00836B20"/>
    <w:rsid w:val="008406F0"/>
    <w:rsid w:val="00844EC8"/>
    <w:rsid w:val="0084676E"/>
    <w:rsid w:val="0085036D"/>
    <w:rsid w:val="00850FE4"/>
    <w:rsid w:val="00853CA9"/>
    <w:rsid w:val="00857E25"/>
    <w:rsid w:val="00860FFD"/>
    <w:rsid w:val="00863DB6"/>
    <w:rsid w:val="00864DC2"/>
    <w:rsid w:val="00866505"/>
    <w:rsid w:val="00866906"/>
    <w:rsid w:val="008706DF"/>
    <w:rsid w:val="00875978"/>
    <w:rsid w:val="00884487"/>
    <w:rsid w:val="00885976"/>
    <w:rsid w:val="00885B32"/>
    <w:rsid w:val="00886C37"/>
    <w:rsid w:val="00892CA6"/>
    <w:rsid w:val="00895A58"/>
    <w:rsid w:val="008A0FE4"/>
    <w:rsid w:val="008B0BC1"/>
    <w:rsid w:val="008B4570"/>
    <w:rsid w:val="008C197F"/>
    <w:rsid w:val="008C3A5B"/>
    <w:rsid w:val="008C7CC9"/>
    <w:rsid w:val="008D4B3A"/>
    <w:rsid w:val="008D654A"/>
    <w:rsid w:val="008D6A95"/>
    <w:rsid w:val="008E03AA"/>
    <w:rsid w:val="008E1951"/>
    <w:rsid w:val="008E3997"/>
    <w:rsid w:val="008E3C90"/>
    <w:rsid w:val="008E40D3"/>
    <w:rsid w:val="008F11A5"/>
    <w:rsid w:val="008F2ED2"/>
    <w:rsid w:val="008F38B6"/>
    <w:rsid w:val="008F461F"/>
    <w:rsid w:val="009000B7"/>
    <w:rsid w:val="00900EC4"/>
    <w:rsid w:val="00905A52"/>
    <w:rsid w:val="00905D43"/>
    <w:rsid w:val="00905EFD"/>
    <w:rsid w:val="00906E96"/>
    <w:rsid w:val="009104C3"/>
    <w:rsid w:val="0091398D"/>
    <w:rsid w:val="00915057"/>
    <w:rsid w:val="00916E30"/>
    <w:rsid w:val="00922500"/>
    <w:rsid w:val="00923E38"/>
    <w:rsid w:val="00924AC2"/>
    <w:rsid w:val="0093165E"/>
    <w:rsid w:val="009328E6"/>
    <w:rsid w:val="00933D41"/>
    <w:rsid w:val="00937358"/>
    <w:rsid w:val="0094163C"/>
    <w:rsid w:val="00943CD8"/>
    <w:rsid w:val="009454A9"/>
    <w:rsid w:val="00947A90"/>
    <w:rsid w:val="009521E9"/>
    <w:rsid w:val="00952773"/>
    <w:rsid w:val="0095338B"/>
    <w:rsid w:val="009535FA"/>
    <w:rsid w:val="00954D25"/>
    <w:rsid w:val="00955166"/>
    <w:rsid w:val="009566BF"/>
    <w:rsid w:val="00960DF6"/>
    <w:rsid w:val="00961963"/>
    <w:rsid w:val="0097175F"/>
    <w:rsid w:val="009812E5"/>
    <w:rsid w:val="00982ADB"/>
    <w:rsid w:val="0098346C"/>
    <w:rsid w:val="00984C3F"/>
    <w:rsid w:val="0098545C"/>
    <w:rsid w:val="00985913"/>
    <w:rsid w:val="00986099"/>
    <w:rsid w:val="0098616E"/>
    <w:rsid w:val="00986827"/>
    <w:rsid w:val="0098790D"/>
    <w:rsid w:val="00991F5A"/>
    <w:rsid w:val="00992DCB"/>
    <w:rsid w:val="00996267"/>
    <w:rsid w:val="00997A4C"/>
    <w:rsid w:val="00997F80"/>
    <w:rsid w:val="009A0AEC"/>
    <w:rsid w:val="009A0D88"/>
    <w:rsid w:val="009A3354"/>
    <w:rsid w:val="009A469C"/>
    <w:rsid w:val="009A599E"/>
    <w:rsid w:val="009A5BF9"/>
    <w:rsid w:val="009A5F36"/>
    <w:rsid w:val="009B08C2"/>
    <w:rsid w:val="009B0E65"/>
    <w:rsid w:val="009B1602"/>
    <w:rsid w:val="009B44BB"/>
    <w:rsid w:val="009B4953"/>
    <w:rsid w:val="009B4DBB"/>
    <w:rsid w:val="009B5682"/>
    <w:rsid w:val="009B7F18"/>
    <w:rsid w:val="009C11D8"/>
    <w:rsid w:val="009C14E1"/>
    <w:rsid w:val="009C1CF6"/>
    <w:rsid w:val="009C2FDE"/>
    <w:rsid w:val="009C7611"/>
    <w:rsid w:val="009C7F2C"/>
    <w:rsid w:val="009D090A"/>
    <w:rsid w:val="009D4121"/>
    <w:rsid w:val="009D4D0A"/>
    <w:rsid w:val="009D7463"/>
    <w:rsid w:val="009E5F54"/>
    <w:rsid w:val="009F51B2"/>
    <w:rsid w:val="009F64D7"/>
    <w:rsid w:val="009F7704"/>
    <w:rsid w:val="00A02035"/>
    <w:rsid w:val="00A057B6"/>
    <w:rsid w:val="00A10EE6"/>
    <w:rsid w:val="00A15330"/>
    <w:rsid w:val="00A23B37"/>
    <w:rsid w:val="00A30E54"/>
    <w:rsid w:val="00A43081"/>
    <w:rsid w:val="00A433B0"/>
    <w:rsid w:val="00A4380A"/>
    <w:rsid w:val="00A43933"/>
    <w:rsid w:val="00A43B95"/>
    <w:rsid w:val="00A5151B"/>
    <w:rsid w:val="00A5417F"/>
    <w:rsid w:val="00A545E1"/>
    <w:rsid w:val="00A55100"/>
    <w:rsid w:val="00A5543E"/>
    <w:rsid w:val="00A614D5"/>
    <w:rsid w:val="00A62EC0"/>
    <w:rsid w:val="00A67155"/>
    <w:rsid w:val="00A71F3B"/>
    <w:rsid w:val="00A75652"/>
    <w:rsid w:val="00A768C0"/>
    <w:rsid w:val="00A76F97"/>
    <w:rsid w:val="00A80B04"/>
    <w:rsid w:val="00A80C16"/>
    <w:rsid w:val="00A81F2E"/>
    <w:rsid w:val="00A83DFE"/>
    <w:rsid w:val="00A8721D"/>
    <w:rsid w:val="00A902FA"/>
    <w:rsid w:val="00A9090F"/>
    <w:rsid w:val="00A92160"/>
    <w:rsid w:val="00A968A6"/>
    <w:rsid w:val="00AA19CC"/>
    <w:rsid w:val="00AA28B4"/>
    <w:rsid w:val="00AA359F"/>
    <w:rsid w:val="00AA3DE5"/>
    <w:rsid w:val="00AA50BB"/>
    <w:rsid w:val="00AA510D"/>
    <w:rsid w:val="00AA63CB"/>
    <w:rsid w:val="00AA6485"/>
    <w:rsid w:val="00AB2F54"/>
    <w:rsid w:val="00AB4CC7"/>
    <w:rsid w:val="00AB5BDB"/>
    <w:rsid w:val="00AB6D30"/>
    <w:rsid w:val="00AC0C82"/>
    <w:rsid w:val="00AC24BE"/>
    <w:rsid w:val="00AD0E43"/>
    <w:rsid w:val="00AD61CD"/>
    <w:rsid w:val="00AD6269"/>
    <w:rsid w:val="00AD6CAF"/>
    <w:rsid w:val="00AE05F0"/>
    <w:rsid w:val="00AE7820"/>
    <w:rsid w:val="00AE7974"/>
    <w:rsid w:val="00AF792A"/>
    <w:rsid w:val="00B0043F"/>
    <w:rsid w:val="00B02A87"/>
    <w:rsid w:val="00B052FB"/>
    <w:rsid w:val="00B058D8"/>
    <w:rsid w:val="00B07C22"/>
    <w:rsid w:val="00B10722"/>
    <w:rsid w:val="00B1089E"/>
    <w:rsid w:val="00B11144"/>
    <w:rsid w:val="00B237FA"/>
    <w:rsid w:val="00B24A7B"/>
    <w:rsid w:val="00B27E01"/>
    <w:rsid w:val="00B30837"/>
    <w:rsid w:val="00B33253"/>
    <w:rsid w:val="00B33BE4"/>
    <w:rsid w:val="00B36721"/>
    <w:rsid w:val="00B40EE7"/>
    <w:rsid w:val="00B41CC0"/>
    <w:rsid w:val="00B42D37"/>
    <w:rsid w:val="00B43155"/>
    <w:rsid w:val="00B433C2"/>
    <w:rsid w:val="00B456B8"/>
    <w:rsid w:val="00B45B4A"/>
    <w:rsid w:val="00B47E29"/>
    <w:rsid w:val="00B631B3"/>
    <w:rsid w:val="00B638FF"/>
    <w:rsid w:val="00B644A9"/>
    <w:rsid w:val="00B67EE2"/>
    <w:rsid w:val="00B74042"/>
    <w:rsid w:val="00B76F81"/>
    <w:rsid w:val="00B80036"/>
    <w:rsid w:val="00B80A8A"/>
    <w:rsid w:val="00B856D9"/>
    <w:rsid w:val="00B906F9"/>
    <w:rsid w:val="00B9353E"/>
    <w:rsid w:val="00B969C1"/>
    <w:rsid w:val="00BA00EF"/>
    <w:rsid w:val="00BA167B"/>
    <w:rsid w:val="00BA16C5"/>
    <w:rsid w:val="00BA307B"/>
    <w:rsid w:val="00BB015F"/>
    <w:rsid w:val="00BB3BC1"/>
    <w:rsid w:val="00BB54BD"/>
    <w:rsid w:val="00BB5C6D"/>
    <w:rsid w:val="00BB62F4"/>
    <w:rsid w:val="00BB7365"/>
    <w:rsid w:val="00BC1B0B"/>
    <w:rsid w:val="00BC5C1C"/>
    <w:rsid w:val="00BD1346"/>
    <w:rsid w:val="00BD244B"/>
    <w:rsid w:val="00BD3266"/>
    <w:rsid w:val="00BE0474"/>
    <w:rsid w:val="00BE1571"/>
    <w:rsid w:val="00BE211B"/>
    <w:rsid w:val="00BE4E5E"/>
    <w:rsid w:val="00BF3851"/>
    <w:rsid w:val="00BF4DCB"/>
    <w:rsid w:val="00BF7D2D"/>
    <w:rsid w:val="00C008AB"/>
    <w:rsid w:val="00C07917"/>
    <w:rsid w:val="00C07B3B"/>
    <w:rsid w:val="00C13028"/>
    <w:rsid w:val="00C27F7A"/>
    <w:rsid w:val="00C31B01"/>
    <w:rsid w:val="00C32E49"/>
    <w:rsid w:val="00C33AD3"/>
    <w:rsid w:val="00C33BC5"/>
    <w:rsid w:val="00C3438D"/>
    <w:rsid w:val="00C351AA"/>
    <w:rsid w:val="00C3566C"/>
    <w:rsid w:val="00C3570A"/>
    <w:rsid w:val="00C3573E"/>
    <w:rsid w:val="00C3650A"/>
    <w:rsid w:val="00C464EC"/>
    <w:rsid w:val="00C575BC"/>
    <w:rsid w:val="00C60C2F"/>
    <w:rsid w:val="00C62650"/>
    <w:rsid w:val="00C65DB8"/>
    <w:rsid w:val="00C70FBA"/>
    <w:rsid w:val="00C72679"/>
    <w:rsid w:val="00C72C4A"/>
    <w:rsid w:val="00C75201"/>
    <w:rsid w:val="00C774EF"/>
    <w:rsid w:val="00C8579B"/>
    <w:rsid w:val="00C859BE"/>
    <w:rsid w:val="00C86D97"/>
    <w:rsid w:val="00C872BD"/>
    <w:rsid w:val="00C872C3"/>
    <w:rsid w:val="00C90415"/>
    <w:rsid w:val="00C91273"/>
    <w:rsid w:val="00C92A50"/>
    <w:rsid w:val="00C93DDB"/>
    <w:rsid w:val="00C94CDD"/>
    <w:rsid w:val="00C95A68"/>
    <w:rsid w:val="00C9650D"/>
    <w:rsid w:val="00CA175A"/>
    <w:rsid w:val="00CA3B10"/>
    <w:rsid w:val="00CA489A"/>
    <w:rsid w:val="00CA48EE"/>
    <w:rsid w:val="00CA74D7"/>
    <w:rsid w:val="00CB2C71"/>
    <w:rsid w:val="00CB474B"/>
    <w:rsid w:val="00CB66F4"/>
    <w:rsid w:val="00CB78AC"/>
    <w:rsid w:val="00CC381B"/>
    <w:rsid w:val="00CC7032"/>
    <w:rsid w:val="00CD2E80"/>
    <w:rsid w:val="00CD46BA"/>
    <w:rsid w:val="00CD5A29"/>
    <w:rsid w:val="00CE094A"/>
    <w:rsid w:val="00CE1148"/>
    <w:rsid w:val="00CE2273"/>
    <w:rsid w:val="00CE7C9D"/>
    <w:rsid w:val="00CF1ED7"/>
    <w:rsid w:val="00CF3867"/>
    <w:rsid w:val="00CF71FA"/>
    <w:rsid w:val="00D00DB7"/>
    <w:rsid w:val="00D038EB"/>
    <w:rsid w:val="00D03C5F"/>
    <w:rsid w:val="00D03E30"/>
    <w:rsid w:val="00D05696"/>
    <w:rsid w:val="00D05960"/>
    <w:rsid w:val="00D12BB6"/>
    <w:rsid w:val="00D15886"/>
    <w:rsid w:val="00D23423"/>
    <w:rsid w:val="00D31079"/>
    <w:rsid w:val="00D3355F"/>
    <w:rsid w:val="00D40431"/>
    <w:rsid w:val="00D420B8"/>
    <w:rsid w:val="00D45502"/>
    <w:rsid w:val="00D455DB"/>
    <w:rsid w:val="00D4663E"/>
    <w:rsid w:val="00D66110"/>
    <w:rsid w:val="00D665E4"/>
    <w:rsid w:val="00D70BD6"/>
    <w:rsid w:val="00D750E4"/>
    <w:rsid w:val="00D75875"/>
    <w:rsid w:val="00D7685D"/>
    <w:rsid w:val="00D77BA4"/>
    <w:rsid w:val="00D808E4"/>
    <w:rsid w:val="00D814E5"/>
    <w:rsid w:val="00D816EF"/>
    <w:rsid w:val="00D82D7B"/>
    <w:rsid w:val="00D847D1"/>
    <w:rsid w:val="00D8493E"/>
    <w:rsid w:val="00D86B0D"/>
    <w:rsid w:val="00D879BC"/>
    <w:rsid w:val="00D930C7"/>
    <w:rsid w:val="00D93D8A"/>
    <w:rsid w:val="00D944EE"/>
    <w:rsid w:val="00D961E3"/>
    <w:rsid w:val="00D97876"/>
    <w:rsid w:val="00D97DF6"/>
    <w:rsid w:val="00DA4A5E"/>
    <w:rsid w:val="00DA7D36"/>
    <w:rsid w:val="00DB3949"/>
    <w:rsid w:val="00DB5502"/>
    <w:rsid w:val="00DC0464"/>
    <w:rsid w:val="00DC185B"/>
    <w:rsid w:val="00DC7D16"/>
    <w:rsid w:val="00DD0168"/>
    <w:rsid w:val="00DD2244"/>
    <w:rsid w:val="00DD2553"/>
    <w:rsid w:val="00DD2AB8"/>
    <w:rsid w:val="00DD7AD9"/>
    <w:rsid w:val="00DE153E"/>
    <w:rsid w:val="00DE18E7"/>
    <w:rsid w:val="00DE7366"/>
    <w:rsid w:val="00DF07F9"/>
    <w:rsid w:val="00DF38AC"/>
    <w:rsid w:val="00E00C22"/>
    <w:rsid w:val="00E07207"/>
    <w:rsid w:val="00E07F94"/>
    <w:rsid w:val="00E11A7C"/>
    <w:rsid w:val="00E134FF"/>
    <w:rsid w:val="00E14DD8"/>
    <w:rsid w:val="00E205A0"/>
    <w:rsid w:val="00E209A8"/>
    <w:rsid w:val="00E246B8"/>
    <w:rsid w:val="00E2602B"/>
    <w:rsid w:val="00E2618B"/>
    <w:rsid w:val="00E263EC"/>
    <w:rsid w:val="00E26EA9"/>
    <w:rsid w:val="00E302F9"/>
    <w:rsid w:val="00E303EF"/>
    <w:rsid w:val="00E34149"/>
    <w:rsid w:val="00E35428"/>
    <w:rsid w:val="00E36000"/>
    <w:rsid w:val="00E378A8"/>
    <w:rsid w:val="00E40922"/>
    <w:rsid w:val="00E462F0"/>
    <w:rsid w:val="00E47BDE"/>
    <w:rsid w:val="00E5462D"/>
    <w:rsid w:val="00E55F3C"/>
    <w:rsid w:val="00E57BFA"/>
    <w:rsid w:val="00E67BE6"/>
    <w:rsid w:val="00E70B20"/>
    <w:rsid w:val="00E71DBB"/>
    <w:rsid w:val="00E74556"/>
    <w:rsid w:val="00E775C3"/>
    <w:rsid w:val="00E807C7"/>
    <w:rsid w:val="00E81263"/>
    <w:rsid w:val="00E8141E"/>
    <w:rsid w:val="00E84FD4"/>
    <w:rsid w:val="00E851ED"/>
    <w:rsid w:val="00E87D37"/>
    <w:rsid w:val="00E92F2E"/>
    <w:rsid w:val="00E93028"/>
    <w:rsid w:val="00EA04CA"/>
    <w:rsid w:val="00EA083D"/>
    <w:rsid w:val="00EA23C9"/>
    <w:rsid w:val="00EA2D1E"/>
    <w:rsid w:val="00EA3962"/>
    <w:rsid w:val="00EA6921"/>
    <w:rsid w:val="00EA6AB3"/>
    <w:rsid w:val="00EB0D1C"/>
    <w:rsid w:val="00EB74DE"/>
    <w:rsid w:val="00EC705E"/>
    <w:rsid w:val="00ED085D"/>
    <w:rsid w:val="00ED38A2"/>
    <w:rsid w:val="00EE2B92"/>
    <w:rsid w:val="00EF1558"/>
    <w:rsid w:val="00EF5509"/>
    <w:rsid w:val="00EF5A78"/>
    <w:rsid w:val="00EF62C8"/>
    <w:rsid w:val="00EF633A"/>
    <w:rsid w:val="00EF75F3"/>
    <w:rsid w:val="00F014EE"/>
    <w:rsid w:val="00F03E73"/>
    <w:rsid w:val="00F074EE"/>
    <w:rsid w:val="00F07CC5"/>
    <w:rsid w:val="00F110AB"/>
    <w:rsid w:val="00F14176"/>
    <w:rsid w:val="00F16AC0"/>
    <w:rsid w:val="00F20A1B"/>
    <w:rsid w:val="00F265B2"/>
    <w:rsid w:val="00F301C0"/>
    <w:rsid w:val="00F306A6"/>
    <w:rsid w:val="00F34979"/>
    <w:rsid w:val="00F37342"/>
    <w:rsid w:val="00F40913"/>
    <w:rsid w:val="00F40DE4"/>
    <w:rsid w:val="00F411A4"/>
    <w:rsid w:val="00F43627"/>
    <w:rsid w:val="00F50BD8"/>
    <w:rsid w:val="00F50FC0"/>
    <w:rsid w:val="00F542D3"/>
    <w:rsid w:val="00F57F64"/>
    <w:rsid w:val="00F62AF5"/>
    <w:rsid w:val="00F74429"/>
    <w:rsid w:val="00F762A3"/>
    <w:rsid w:val="00F82730"/>
    <w:rsid w:val="00F84403"/>
    <w:rsid w:val="00F85980"/>
    <w:rsid w:val="00F868A6"/>
    <w:rsid w:val="00F871B9"/>
    <w:rsid w:val="00F9015F"/>
    <w:rsid w:val="00F93557"/>
    <w:rsid w:val="00F94153"/>
    <w:rsid w:val="00F9508A"/>
    <w:rsid w:val="00FA1EA0"/>
    <w:rsid w:val="00FA21E4"/>
    <w:rsid w:val="00FA6105"/>
    <w:rsid w:val="00FA7830"/>
    <w:rsid w:val="00FB0E56"/>
    <w:rsid w:val="00FB2CF1"/>
    <w:rsid w:val="00FB4F89"/>
    <w:rsid w:val="00FB6642"/>
    <w:rsid w:val="00FB72A1"/>
    <w:rsid w:val="00FC09F1"/>
    <w:rsid w:val="00FC1291"/>
    <w:rsid w:val="00FC1A3C"/>
    <w:rsid w:val="00FD4DB8"/>
    <w:rsid w:val="00FD4FF8"/>
    <w:rsid w:val="00FD56D0"/>
    <w:rsid w:val="00FE43F3"/>
    <w:rsid w:val="00FE7AE0"/>
    <w:rsid w:val="00FF3698"/>
    <w:rsid w:val="00FF5135"/>
    <w:rsid w:val="00FF6F5A"/>
    <w:rsid w:val="1B7AAB43"/>
    <w:rsid w:val="3C91936A"/>
    <w:rsid w:val="3D93A2C1"/>
    <w:rsid w:val="408845CD"/>
  </w:rsids>
  <m:mathPr>
    <m:mathFont m:val="Cambria Math"/>
    <m:brkBin m:val="before"/>
    <m:brkBinSub m:val="--"/>
    <m:smallFrac m:val="0"/>
    <m:dispDef/>
    <m:lMargin m:val="0"/>
    <m:rMargin m:val="0"/>
    <m:defJc m:val="centerGroup"/>
    <m:wrapIndent m:val="1440"/>
    <m:intLim m:val="subSup"/>
    <m:naryLim m:val="undOvr"/>
  </m:mathPr>
  <w:themeFontLang w:val="en-GB" w:eastAsia="ja-JP" w:bidi="dz-B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9F854"/>
  <w15:chartTrackingRefBased/>
  <w15:docId w15:val="{3EEE678E-A7AE-4D03-B033-5202CE7B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0"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543E"/>
  </w:style>
  <w:style w:type="paragraph" w:styleId="Nadpis1">
    <w:name w:val="heading 1"/>
    <w:next w:val="Normlny"/>
    <w:link w:val="Nadpis1Char"/>
    <w:uiPriority w:val="9"/>
    <w:qFormat/>
    <w:rsid w:val="00900EC4"/>
    <w:pPr>
      <w:keepNext/>
      <w:keepLines/>
      <w:numPr>
        <w:numId w:val="1"/>
      </w:numPr>
      <w:suppressAutoHyphens/>
      <w:spacing w:before="360" w:after="120"/>
      <w:ind w:left="431" w:hanging="431"/>
      <w:outlineLvl w:val="0"/>
    </w:pPr>
    <w:rPr>
      <w:rFonts w:ascii="Arial" w:eastAsiaTheme="majorEastAsia" w:hAnsi="Arial" w:cstheme="majorBidi"/>
      <w:b/>
      <w:sz w:val="26"/>
      <w:szCs w:val="32"/>
    </w:rPr>
  </w:style>
  <w:style w:type="paragraph" w:styleId="Nadpis2">
    <w:name w:val="heading 2"/>
    <w:next w:val="Normlny"/>
    <w:link w:val="Nadpis2Char"/>
    <w:uiPriority w:val="9"/>
    <w:qFormat/>
    <w:rsid w:val="00900EC4"/>
    <w:pPr>
      <w:keepNext/>
      <w:keepLines/>
      <w:numPr>
        <w:ilvl w:val="1"/>
        <w:numId w:val="1"/>
      </w:numPr>
      <w:suppressAutoHyphens/>
      <w:spacing w:before="160" w:after="120"/>
      <w:ind w:left="1298" w:hanging="578"/>
      <w:outlineLvl w:val="1"/>
    </w:pPr>
    <w:rPr>
      <w:rFonts w:ascii="Arial" w:eastAsiaTheme="majorEastAsia" w:hAnsi="Arial" w:cstheme="majorBidi"/>
      <w:b/>
      <w:szCs w:val="26"/>
    </w:rPr>
  </w:style>
  <w:style w:type="paragraph" w:styleId="Nadpis3">
    <w:name w:val="heading 3"/>
    <w:next w:val="Normlny"/>
    <w:link w:val="Nadpis3Char"/>
    <w:uiPriority w:val="9"/>
    <w:qFormat/>
    <w:rsid w:val="00900EC4"/>
    <w:pPr>
      <w:keepNext/>
      <w:keepLines/>
      <w:numPr>
        <w:ilvl w:val="2"/>
        <w:numId w:val="1"/>
      </w:numPr>
      <w:suppressAutoHyphens/>
      <w:spacing w:before="160" w:after="120"/>
      <w:ind w:left="2160"/>
      <w:outlineLvl w:val="2"/>
    </w:pPr>
    <w:rPr>
      <w:rFonts w:ascii="Arial" w:eastAsiaTheme="majorEastAsia" w:hAnsi="Arial" w:cstheme="majorBidi"/>
      <w:b/>
      <w:i/>
      <w:szCs w:val="24"/>
    </w:rPr>
  </w:style>
  <w:style w:type="paragraph" w:styleId="Nadpis4">
    <w:name w:val="heading 4"/>
    <w:basedOn w:val="Normlny"/>
    <w:next w:val="Normlny"/>
    <w:link w:val="Nadpis4Char"/>
    <w:uiPriority w:val="9"/>
    <w:unhideWhenUsed/>
    <w:qFormat/>
    <w:rsid w:val="00900EC4"/>
    <w:pPr>
      <w:keepNext/>
      <w:keepLines/>
      <w:numPr>
        <w:ilvl w:val="3"/>
        <w:numId w:val="1"/>
      </w:numPr>
      <w:spacing w:before="160"/>
      <w:ind w:left="3022" w:hanging="862"/>
      <w:outlineLvl w:val="3"/>
    </w:pPr>
    <w:rPr>
      <w:rFonts w:eastAsiaTheme="majorEastAsia" w:cstheme="majorBidi"/>
      <w:i/>
      <w:iCs/>
    </w:rPr>
  </w:style>
  <w:style w:type="paragraph" w:styleId="Nadpis5">
    <w:name w:val="heading 5"/>
    <w:basedOn w:val="Normlny"/>
    <w:next w:val="Normlny"/>
    <w:link w:val="Nadpis5Char"/>
    <w:uiPriority w:val="9"/>
    <w:unhideWhenUsed/>
    <w:qFormat/>
    <w:rsid w:val="00900EC4"/>
    <w:pPr>
      <w:outlineLvl w:val="4"/>
    </w:pPr>
    <w:rPr>
      <w:rFonts w:cs="Arial"/>
      <w:u w:val="single"/>
    </w:rPr>
  </w:style>
  <w:style w:type="paragraph" w:styleId="Nadpis6">
    <w:name w:val="heading 6"/>
    <w:basedOn w:val="Normlny"/>
    <w:next w:val="Normlny"/>
    <w:link w:val="Nadpis6Char"/>
    <w:uiPriority w:val="9"/>
    <w:semiHidden/>
    <w:unhideWhenUsed/>
    <w:qFormat/>
    <w:rsid w:val="00F9508A"/>
    <w:pPr>
      <w:keepNext/>
      <w:keepLines/>
      <w:numPr>
        <w:ilvl w:val="5"/>
        <w:numId w:val="1"/>
      </w:numPr>
      <w:spacing w:before="40" w:after="0"/>
      <w:outlineLvl w:val="5"/>
    </w:pPr>
    <w:rPr>
      <w:rFonts w:asciiTheme="majorHAnsi" w:eastAsiaTheme="majorEastAsia" w:hAnsiTheme="majorHAnsi" w:cstheme="majorBidi"/>
      <w:color w:val="1D3555" w:themeColor="accent1" w:themeShade="7F"/>
    </w:rPr>
  </w:style>
  <w:style w:type="paragraph" w:styleId="Nadpis7">
    <w:name w:val="heading 7"/>
    <w:basedOn w:val="Normlny"/>
    <w:next w:val="Normlny"/>
    <w:link w:val="Nadpis7Char"/>
    <w:uiPriority w:val="9"/>
    <w:semiHidden/>
    <w:unhideWhenUsed/>
    <w:qFormat/>
    <w:rsid w:val="00F9508A"/>
    <w:pPr>
      <w:keepNext/>
      <w:keepLines/>
      <w:numPr>
        <w:ilvl w:val="6"/>
        <w:numId w:val="1"/>
      </w:numPr>
      <w:spacing w:before="40" w:after="0"/>
      <w:outlineLvl w:val="6"/>
    </w:pPr>
    <w:rPr>
      <w:rFonts w:asciiTheme="majorHAnsi" w:eastAsiaTheme="majorEastAsia" w:hAnsiTheme="majorHAnsi" w:cstheme="majorBidi"/>
      <w:i/>
      <w:iCs/>
      <w:color w:val="1D3555" w:themeColor="accent1" w:themeShade="7F"/>
    </w:rPr>
  </w:style>
  <w:style w:type="paragraph" w:styleId="Nadpis8">
    <w:name w:val="heading 8"/>
    <w:basedOn w:val="Normlny"/>
    <w:next w:val="Normlny"/>
    <w:link w:val="Nadpis8Char"/>
    <w:uiPriority w:val="9"/>
    <w:semiHidden/>
    <w:unhideWhenUsed/>
    <w:qFormat/>
    <w:rsid w:val="00F9508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F9508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309A5"/>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4309A5"/>
  </w:style>
  <w:style w:type="paragraph" w:styleId="Pta">
    <w:name w:val="footer"/>
    <w:basedOn w:val="Normlny"/>
    <w:link w:val="PtaChar"/>
    <w:uiPriority w:val="99"/>
    <w:qFormat/>
    <w:rsid w:val="00900EC4"/>
    <w:pPr>
      <w:tabs>
        <w:tab w:val="center" w:pos="4513"/>
        <w:tab w:val="right" w:pos="9026"/>
      </w:tabs>
      <w:spacing w:after="0" w:line="240" w:lineRule="auto"/>
    </w:pPr>
    <w:rPr>
      <w:sz w:val="18"/>
    </w:rPr>
  </w:style>
  <w:style w:type="character" w:customStyle="1" w:styleId="PtaChar">
    <w:name w:val="Päta Char"/>
    <w:basedOn w:val="Predvolenpsmoodseku"/>
    <w:link w:val="Pta"/>
    <w:uiPriority w:val="99"/>
    <w:rsid w:val="00900EC4"/>
    <w:rPr>
      <w:rFonts w:ascii="Arial" w:hAnsi="Arial"/>
      <w:sz w:val="18"/>
    </w:rPr>
  </w:style>
  <w:style w:type="table" w:styleId="Mriekatabuky">
    <w:name w:val="Table Grid"/>
    <w:basedOn w:val="Normlnatabuka"/>
    <w:uiPriority w:val="59"/>
    <w:rsid w:val="0043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semiHidden/>
    <w:rsid w:val="004309A5"/>
    <w:pPr>
      <w:spacing w:after="0" w:line="240" w:lineRule="auto"/>
    </w:pPr>
  </w:style>
  <w:style w:type="paragraph" w:styleId="Nzov">
    <w:name w:val="Title"/>
    <w:next w:val="Normlny"/>
    <w:link w:val="NzovChar"/>
    <w:uiPriority w:val="37"/>
    <w:qFormat/>
    <w:rsid w:val="00900EC4"/>
    <w:pPr>
      <w:suppressAutoHyphens/>
      <w:autoSpaceDE w:val="0"/>
      <w:autoSpaceDN w:val="0"/>
      <w:adjustRightInd w:val="0"/>
      <w:spacing w:after="0" w:line="240" w:lineRule="auto"/>
      <w:ind w:left="-62"/>
      <w:jc w:val="center"/>
    </w:pPr>
    <w:rPr>
      <w:rFonts w:ascii="Arial" w:eastAsia="Times New Roman" w:hAnsi="Arial" w:cs="Arial"/>
      <w:b/>
      <w:bCs/>
      <w:color w:val="000000"/>
      <w:sz w:val="48"/>
      <w:szCs w:val="48"/>
      <w:lang w:eastAsia="en-GB"/>
    </w:rPr>
  </w:style>
  <w:style w:type="character" w:customStyle="1" w:styleId="NzovChar">
    <w:name w:val="Názov Char"/>
    <w:basedOn w:val="Predvolenpsmoodseku"/>
    <w:link w:val="Nzov"/>
    <w:uiPriority w:val="37"/>
    <w:rsid w:val="00900EC4"/>
    <w:rPr>
      <w:rFonts w:ascii="Arial" w:eastAsia="Times New Roman" w:hAnsi="Arial" w:cs="Arial"/>
      <w:b/>
      <w:bCs/>
      <w:color w:val="000000"/>
      <w:sz w:val="48"/>
      <w:szCs w:val="48"/>
      <w:lang w:eastAsia="en-GB"/>
    </w:rPr>
  </w:style>
  <w:style w:type="paragraph" w:styleId="Podtitul">
    <w:name w:val="Subtitle"/>
    <w:next w:val="Normlny"/>
    <w:link w:val="PodtitulChar"/>
    <w:uiPriority w:val="37"/>
    <w:qFormat/>
    <w:rsid w:val="00900EC4"/>
    <w:pPr>
      <w:suppressAutoHyphens/>
      <w:autoSpaceDE w:val="0"/>
      <w:autoSpaceDN w:val="0"/>
      <w:adjustRightInd w:val="0"/>
      <w:spacing w:after="0" w:line="240" w:lineRule="auto"/>
      <w:ind w:left="-62"/>
      <w:jc w:val="center"/>
    </w:pPr>
    <w:rPr>
      <w:rFonts w:ascii="Arial" w:eastAsia="Times New Roman" w:hAnsi="Arial" w:cs="Arial"/>
      <w:b/>
      <w:bCs/>
      <w:color w:val="000000"/>
      <w:sz w:val="40"/>
      <w:szCs w:val="40"/>
      <w:lang w:eastAsia="en-GB"/>
    </w:rPr>
  </w:style>
  <w:style w:type="character" w:customStyle="1" w:styleId="PodtitulChar">
    <w:name w:val="Podtitul Char"/>
    <w:basedOn w:val="Predvolenpsmoodseku"/>
    <w:link w:val="Podtitul"/>
    <w:uiPriority w:val="37"/>
    <w:rsid w:val="00900EC4"/>
    <w:rPr>
      <w:rFonts w:ascii="Arial" w:eastAsia="Times New Roman" w:hAnsi="Arial" w:cs="Arial"/>
      <w:b/>
      <w:bCs/>
      <w:color w:val="000000"/>
      <w:sz w:val="40"/>
      <w:szCs w:val="40"/>
      <w:lang w:eastAsia="en-GB"/>
    </w:rPr>
  </w:style>
  <w:style w:type="paragraph" w:styleId="Odsekzoznamu">
    <w:name w:val="List Paragraph"/>
    <w:aliases w:val="List 1"/>
    <w:basedOn w:val="Normlny"/>
    <w:uiPriority w:val="34"/>
    <w:qFormat/>
    <w:rsid w:val="00900EC4"/>
    <w:pPr>
      <w:numPr>
        <w:numId w:val="4"/>
      </w:numPr>
      <w:contextualSpacing/>
    </w:pPr>
    <w:rPr>
      <w:lang w:val="en-US"/>
    </w:rPr>
  </w:style>
  <w:style w:type="character" w:customStyle="1" w:styleId="Nadpis1Char">
    <w:name w:val="Nadpis 1 Char"/>
    <w:basedOn w:val="Predvolenpsmoodseku"/>
    <w:link w:val="Nadpis1"/>
    <w:uiPriority w:val="9"/>
    <w:rsid w:val="00900EC4"/>
    <w:rPr>
      <w:rFonts w:ascii="Arial" w:eastAsiaTheme="majorEastAsia" w:hAnsi="Arial" w:cstheme="majorBidi"/>
      <w:b/>
      <w:sz w:val="26"/>
      <w:szCs w:val="32"/>
    </w:rPr>
  </w:style>
  <w:style w:type="character" w:customStyle="1" w:styleId="Nadpis2Char">
    <w:name w:val="Nadpis 2 Char"/>
    <w:basedOn w:val="Predvolenpsmoodseku"/>
    <w:link w:val="Nadpis2"/>
    <w:uiPriority w:val="9"/>
    <w:rsid w:val="00900EC4"/>
    <w:rPr>
      <w:rFonts w:ascii="Arial" w:eastAsiaTheme="majorEastAsia" w:hAnsi="Arial" w:cstheme="majorBidi"/>
      <w:b/>
      <w:szCs w:val="26"/>
    </w:rPr>
  </w:style>
  <w:style w:type="character" w:customStyle="1" w:styleId="Nadpis3Char">
    <w:name w:val="Nadpis 3 Char"/>
    <w:basedOn w:val="Predvolenpsmoodseku"/>
    <w:link w:val="Nadpis3"/>
    <w:uiPriority w:val="9"/>
    <w:rsid w:val="00900EC4"/>
    <w:rPr>
      <w:rFonts w:ascii="Arial" w:eastAsiaTheme="majorEastAsia" w:hAnsi="Arial" w:cstheme="majorBidi"/>
      <w:b/>
      <w:i/>
      <w:szCs w:val="24"/>
    </w:rPr>
  </w:style>
  <w:style w:type="character" w:customStyle="1" w:styleId="Nadpis4Char">
    <w:name w:val="Nadpis 4 Char"/>
    <w:basedOn w:val="Predvolenpsmoodseku"/>
    <w:link w:val="Nadpis4"/>
    <w:uiPriority w:val="9"/>
    <w:rsid w:val="00900EC4"/>
    <w:rPr>
      <w:rFonts w:eastAsiaTheme="majorEastAsia" w:cstheme="majorBidi"/>
      <w:i/>
      <w:iCs/>
    </w:rPr>
  </w:style>
  <w:style w:type="character" w:customStyle="1" w:styleId="Nadpis5Char">
    <w:name w:val="Nadpis 5 Char"/>
    <w:basedOn w:val="Predvolenpsmoodseku"/>
    <w:link w:val="Nadpis5"/>
    <w:uiPriority w:val="9"/>
    <w:rsid w:val="00900EC4"/>
    <w:rPr>
      <w:rFonts w:ascii="Arial" w:hAnsi="Arial" w:cs="Arial"/>
      <w:u w:val="single"/>
    </w:rPr>
  </w:style>
  <w:style w:type="character" w:customStyle="1" w:styleId="Nadpis6Char">
    <w:name w:val="Nadpis 6 Char"/>
    <w:basedOn w:val="Predvolenpsmoodseku"/>
    <w:link w:val="Nadpis6"/>
    <w:uiPriority w:val="9"/>
    <w:semiHidden/>
    <w:rsid w:val="00F9508A"/>
    <w:rPr>
      <w:rFonts w:asciiTheme="majorHAnsi" w:eastAsiaTheme="majorEastAsia" w:hAnsiTheme="majorHAnsi" w:cstheme="majorBidi"/>
      <w:color w:val="1D3555" w:themeColor="accent1" w:themeShade="7F"/>
    </w:rPr>
  </w:style>
  <w:style w:type="character" w:customStyle="1" w:styleId="Nadpis7Char">
    <w:name w:val="Nadpis 7 Char"/>
    <w:basedOn w:val="Predvolenpsmoodseku"/>
    <w:link w:val="Nadpis7"/>
    <w:uiPriority w:val="9"/>
    <w:semiHidden/>
    <w:rsid w:val="00F9508A"/>
    <w:rPr>
      <w:rFonts w:asciiTheme="majorHAnsi" w:eastAsiaTheme="majorEastAsia" w:hAnsiTheme="majorHAnsi" w:cstheme="majorBidi"/>
      <w:i/>
      <w:iCs/>
      <w:color w:val="1D3555" w:themeColor="accent1" w:themeShade="7F"/>
    </w:rPr>
  </w:style>
  <w:style w:type="character" w:customStyle="1" w:styleId="Nadpis8Char">
    <w:name w:val="Nadpis 8 Char"/>
    <w:basedOn w:val="Predvolenpsmoodseku"/>
    <w:link w:val="Nadpis8"/>
    <w:uiPriority w:val="9"/>
    <w:semiHidden/>
    <w:rsid w:val="00F9508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F9508A"/>
    <w:rPr>
      <w:rFonts w:asciiTheme="majorHAnsi" w:eastAsiaTheme="majorEastAsia" w:hAnsiTheme="majorHAnsi" w:cstheme="majorBidi"/>
      <w:i/>
      <w:iCs/>
      <w:color w:val="272727" w:themeColor="text1" w:themeTint="D8"/>
      <w:sz w:val="21"/>
      <w:szCs w:val="21"/>
    </w:rPr>
  </w:style>
  <w:style w:type="character" w:styleId="Nzovknihy">
    <w:name w:val="Book Title"/>
    <w:uiPriority w:val="33"/>
    <w:rsid w:val="00F9508A"/>
  </w:style>
  <w:style w:type="paragraph" w:customStyle="1" w:styleId="List2nd">
    <w:name w:val="List 2nd"/>
    <w:basedOn w:val="Odsekzoznamu"/>
    <w:uiPriority w:val="34"/>
    <w:qFormat/>
    <w:rsid w:val="00884487"/>
    <w:pPr>
      <w:numPr>
        <w:ilvl w:val="1"/>
      </w:numPr>
      <w:ind w:left="1434" w:hanging="357"/>
    </w:pPr>
  </w:style>
  <w:style w:type="paragraph" w:styleId="Popis">
    <w:name w:val="caption"/>
    <w:basedOn w:val="Normlny"/>
    <w:next w:val="Normlny"/>
    <w:uiPriority w:val="39"/>
    <w:qFormat/>
    <w:rsid w:val="00900EC4"/>
    <w:pPr>
      <w:spacing w:after="200" w:line="240" w:lineRule="auto"/>
      <w:jc w:val="center"/>
    </w:pPr>
    <w:rPr>
      <w:b/>
      <w:i/>
      <w:iCs/>
      <w:sz w:val="20"/>
      <w:szCs w:val="18"/>
    </w:rPr>
  </w:style>
  <w:style w:type="character" w:styleId="Zvraznenie">
    <w:name w:val="Emphasis"/>
    <w:uiPriority w:val="20"/>
    <w:qFormat/>
    <w:rsid w:val="00866906"/>
    <w:rPr>
      <w:b/>
    </w:rPr>
  </w:style>
  <w:style w:type="character" w:styleId="Jemnzvraznenie">
    <w:name w:val="Subtle Emphasis"/>
    <w:basedOn w:val="Predvolenpsmoodseku"/>
    <w:uiPriority w:val="19"/>
    <w:qFormat/>
    <w:rsid w:val="00866906"/>
    <w:rPr>
      <w:u w:val="single"/>
    </w:rPr>
  </w:style>
  <w:style w:type="table" w:styleId="Tabukasozoznamom7farebnzvraznenie6">
    <w:name w:val="List Table 7 Colorful Accent 6"/>
    <w:basedOn w:val="Normlnatabuka"/>
    <w:uiPriority w:val="52"/>
    <w:rsid w:val="00A43B95"/>
    <w:pPr>
      <w:spacing w:after="0" w:line="240" w:lineRule="auto"/>
    </w:pPr>
    <w:rPr>
      <w:color w:val="9F44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5B2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5B2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5B2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5B20" w:themeColor="accent6"/>
        </w:tcBorders>
        <w:shd w:val="clear" w:color="auto" w:fill="FFFFFF" w:themeFill="background1"/>
      </w:tcPr>
    </w:tblStylePr>
    <w:tblStylePr w:type="band1Vert">
      <w:tblPr/>
      <w:tcPr>
        <w:shd w:val="clear" w:color="auto" w:fill="F8DDD0" w:themeFill="accent6" w:themeFillTint="33"/>
      </w:tcPr>
    </w:tblStylePr>
    <w:tblStylePr w:type="band1Horz">
      <w:tblPr/>
      <w:tcPr>
        <w:shd w:val="clear" w:color="auto" w:fill="F8DD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AIStable">
    <w:name w:val="IAIS table"/>
    <w:basedOn w:val="Normlnatabuka"/>
    <w:uiPriority w:val="99"/>
    <w:rsid w:val="00B631B3"/>
    <w:pPr>
      <w:spacing w:after="0" w:line="240" w:lineRule="auto"/>
      <w:jc w:val="both"/>
    </w:pPr>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tcPr>
      <w:shd w:val="clear" w:color="auto" w:fill="auto"/>
    </w:tcPr>
    <w:tblStylePr w:type="firstRow">
      <w:pPr>
        <w:wordWrap/>
        <w:jc w:val="both"/>
      </w:pPr>
      <w:rPr>
        <w:rFonts w:ascii="Arial" w:hAnsi="Arial"/>
        <w:b/>
        <w:sz w:val="22"/>
      </w:rPr>
      <w:tblPr/>
      <w:tcPr>
        <w:shd w:val="clear" w:color="auto" w:fill="D5E0F1" w:themeFill="accent1" w:themeFillTint="33"/>
        <w:vAlign w:val="center"/>
      </w:tcPr>
    </w:tblStylePr>
    <w:tblStylePr w:type="lastRow">
      <w:tblPr/>
      <w:tcPr>
        <w:tcBorders>
          <w:top w:val="double" w:sz="4" w:space="0" w:color="auto"/>
        </w:tcBorders>
      </w:tcPr>
    </w:tblStylePr>
    <w:tblStylePr w:type="firstCol">
      <w:pPr>
        <w:jc w:val="left"/>
      </w:pPr>
      <w:rPr>
        <w:b/>
      </w:rPr>
    </w:tblStylePr>
    <w:tblStylePr w:type="lastCol">
      <w:rPr>
        <w:b/>
      </w:rPr>
    </w:tblStylePr>
  </w:style>
  <w:style w:type="paragraph" w:customStyle="1" w:styleId="Numberedlist1">
    <w:name w:val="Numbered list 1"/>
    <w:uiPriority w:val="34"/>
    <w:qFormat/>
    <w:rsid w:val="00900EC4"/>
    <w:pPr>
      <w:numPr>
        <w:numId w:val="3"/>
      </w:numPr>
      <w:suppressAutoHyphens/>
      <w:spacing w:after="120"/>
      <w:ind w:left="714" w:hanging="357"/>
    </w:pPr>
    <w:rPr>
      <w:rFonts w:ascii="Arial" w:hAnsi="Arial"/>
      <w:lang w:val="en-US"/>
    </w:rPr>
  </w:style>
  <w:style w:type="paragraph" w:customStyle="1" w:styleId="Numberedlist2">
    <w:name w:val="Numbered list 2"/>
    <w:basedOn w:val="Numberedlist1"/>
    <w:uiPriority w:val="34"/>
    <w:qFormat/>
    <w:rsid w:val="00900EC4"/>
    <w:pPr>
      <w:numPr>
        <w:ilvl w:val="1"/>
      </w:numPr>
      <w:ind w:left="1434" w:hanging="357"/>
    </w:pPr>
  </w:style>
  <w:style w:type="numbering" w:customStyle="1" w:styleId="Style1">
    <w:name w:val="Style1"/>
    <w:uiPriority w:val="99"/>
    <w:rsid w:val="00065353"/>
    <w:pPr>
      <w:numPr>
        <w:numId w:val="2"/>
      </w:numPr>
    </w:pPr>
  </w:style>
  <w:style w:type="paragraph" w:customStyle="1" w:styleId="Numberedlist3">
    <w:name w:val="Numbered list 3"/>
    <w:basedOn w:val="Numberedlist2"/>
    <w:uiPriority w:val="34"/>
    <w:qFormat/>
    <w:rsid w:val="00900EC4"/>
    <w:pPr>
      <w:numPr>
        <w:ilvl w:val="2"/>
      </w:numPr>
      <w:ind w:left="2154" w:hanging="357"/>
    </w:pPr>
  </w:style>
  <w:style w:type="paragraph" w:customStyle="1" w:styleId="List3rd">
    <w:name w:val="List 3rd"/>
    <w:basedOn w:val="Odsekzoznamu"/>
    <w:uiPriority w:val="34"/>
    <w:qFormat/>
    <w:rsid w:val="007354B5"/>
    <w:pPr>
      <w:numPr>
        <w:ilvl w:val="2"/>
      </w:numPr>
    </w:pPr>
  </w:style>
  <w:style w:type="paragraph" w:styleId="Hlavikaobsahu">
    <w:name w:val="TOC Heading"/>
    <w:aliases w:val="Table of Content Heading"/>
    <w:basedOn w:val="Heading1withoutnumber"/>
    <w:next w:val="Normlny"/>
    <w:uiPriority w:val="39"/>
    <w:semiHidden/>
    <w:qFormat/>
    <w:rsid w:val="00EB0D1C"/>
    <w:pPr>
      <w:outlineLvl w:val="9"/>
    </w:pPr>
    <w:rPr>
      <w:rFonts w:asciiTheme="majorHAnsi" w:hAnsiTheme="majorHAnsi"/>
      <w:lang w:val="en-US"/>
    </w:rPr>
  </w:style>
  <w:style w:type="paragraph" w:styleId="Obsah1">
    <w:name w:val="toc 1"/>
    <w:basedOn w:val="Normlny"/>
    <w:next w:val="Normlny"/>
    <w:autoRedefine/>
    <w:uiPriority w:val="39"/>
    <w:unhideWhenUsed/>
    <w:rsid w:val="001614F3"/>
    <w:pPr>
      <w:spacing w:after="100"/>
    </w:pPr>
  </w:style>
  <w:style w:type="paragraph" w:styleId="Obsah2">
    <w:name w:val="toc 2"/>
    <w:basedOn w:val="Normlny"/>
    <w:next w:val="Normlny"/>
    <w:autoRedefine/>
    <w:uiPriority w:val="39"/>
    <w:unhideWhenUsed/>
    <w:rsid w:val="001614F3"/>
    <w:pPr>
      <w:spacing w:after="100"/>
      <w:ind w:left="220"/>
    </w:pPr>
  </w:style>
  <w:style w:type="paragraph" w:styleId="Obsah3">
    <w:name w:val="toc 3"/>
    <w:basedOn w:val="Normlny"/>
    <w:next w:val="Normlny"/>
    <w:autoRedefine/>
    <w:uiPriority w:val="39"/>
    <w:unhideWhenUsed/>
    <w:rsid w:val="001614F3"/>
    <w:pPr>
      <w:spacing w:after="100"/>
      <w:ind w:left="440"/>
    </w:pPr>
  </w:style>
  <w:style w:type="character" w:styleId="Hypertextovprepojenie">
    <w:name w:val="Hyperlink"/>
    <w:basedOn w:val="Predvolenpsmoodseku"/>
    <w:uiPriority w:val="99"/>
    <w:unhideWhenUsed/>
    <w:rsid w:val="001614F3"/>
    <w:rPr>
      <w:color w:val="3A6BAC" w:themeColor="hyperlink"/>
      <w:u w:val="single"/>
    </w:rPr>
  </w:style>
  <w:style w:type="paragraph" w:customStyle="1" w:styleId="Annextitle">
    <w:name w:val="Annex title"/>
    <w:basedOn w:val="Nadpis1"/>
    <w:next w:val="Normlny"/>
    <w:uiPriority w:val="37"/>
    <w:qFormat/>
    <w:rsid w:val="0091398D"/>
    <w:pPr>
      <w:numPr>
        <w:numId w:val="5"/>
      </w:numPr>
      <w:spacing w:before="120"/>
    </w:pPr>
    <w:rPr>
      <w:rFonts w:cs="Arial"/>
      <w:noProof/>
      <w:lang w:val="la-Latn"/>
    </w:rPr>
  </w:style>
  <w:style w:type="paragraph" w:customStyle="1" w:styleId="Heading1withoutnumber">
    <w:name w:val="Heading 1 without number"/>
    <w:basedOn w:val="Nadpis1"/>
    <w:next w:val="Normlny"/>
    <w:link w:val="Heading1withoutnumberChar"/>
    <w:uiPriority w:val="35"/>
    <w:qFormat/>
    <w:rsid w:val="00EB0D1C"/>
    <w:pPr>
      <w:numPr>
        <w:numId w:val="0"/>
      </w:numPr>
    </w:pPr>
  </w:style>
  <w:style w:type="paragraph" w:customStyle="1" w:styleId="Numberednormal">
    <w:name w:val="Numbered normal"/>
    <w:basedOn w:val="Normlny"/>
    <w:uiPriority w:val="1"/>
    <w:qFormat/>
    <w:rsid w:val="00900EC4"/>
    <w:pPr>
      <w:numPr>
        <w:numId w:val="6"/>
      </w:numPr>
      <w:ind w:left="0" w:firstLine="0"/>
    </w:pPr>
    <w:rPr>
      <w:noProof/>
      <w:lang w:val="en-US"/>
    </w:rPr>
  </w:style>
  <w:style w:type="character" w:customStyle="1" w:styleId="Heading1withoutnumberChar">
    <w:name w:val="Heading 1 without number Char"/>
    <w:basedOn w:val="Nadpis1Char"/>
    <w:link w:val="Heading1withoutnumber"/>
    <w:uiPriority w:val="35"/>
    <w:rsid w:val="000628D9"/>
    <w:rPr>
      <w:rFonts w:ascii="Arial" w:eastAsiaTheme="majorEastAsia" w:hAnsi="Arial" w:cstheme="majorBidi"/>
      <w:b/>
      <w:smallCaps w:val="0"/>
      <w:color w:val="3A6BAC" w:themeColor="accent1"/>
      <w:sz w:val="28"/>
      <w:szCs w:val="32"/>
    </w:rPr>
  </w:style>
  <w:style w:type="paragraph" w:customStyle="1" w:styleId="Box">
    <w:name w:val="Box"/>
    <w:basedOn w:val="Normlny"/>
    <w:uiPriority w:val="40"/>
    <w:qFormat/>
    <w:rsid w:val="00900EC4"/>
    <w:pPr>
      <w:pBdr>
        <w:top w:val="single" w:sz="4" w:space="0" w:color="000000"/>
        <w:left w:val="single" w:sz="4" w:space="0" w:color="000000"/>
        <w:bottom w:val="single" w:sz="4" w:space="0" w:color="000000"/>
        <w:right w:val="single" w:sz="4" w:space="0" w:color="000000"/>
      </w:pBdr>
      <w:spacing w:after="1"/>
      <w:ind w:left="11" w:hanging="11"/>
    </w:pPr>
    <w:rPr>
      <w:rFonts w:eastAsiaTheme="minorEastAsia" w:cs="Arial"/>
      <w:lang w:eastAsia="de-CH"/>
    </w:rPr>
  </w:style>
  <w:style w:type="paragraph" w:customStyle="1" w:styleId="BlueBox">
    <w:name w:val="Blue Box"/>
    <w:basedOn w:val="Normlny"/>
    <w:uiPriority w:val="41"/>
    <w:qFormat/>
    <w:rsid w:val="00900EC4"/>
    <w:pPr>
      <w:pBdr>
        <w:top w:val="single" w:sz="4" w:space="0" w:color="auto"/>
        <w:left w:val="single" w:sz="4" w:space="4" w:color="auto"/>
        <w:bottom w:val="single" w:sz="4" w:space="1" w:color="auto"/>
        <w:right w:val="single" w:sz="4" w:space="4" w:color="auto"/>
      </w:pBdr>
      <w:shd w:val="clear" w:color="auto" w:fill="D5E0F1" w:themeFill="accent1" w:themeFillTint="33"/>
      <w:spacing w:after="200" w:line="276" w:lineRule="auto"/>
      <w:jc w:val="center"/>
    </w:pPr>
    <w:rPr>
      <w:rFonts w:eastAsia="Times New Roman" w:cs="Arial"/>
      <w:b/>
      <w:noProof/>
      <w:lang w:val="en-US"/>
    </w:rPr>
  </w:style>
  <w:style w:type="paragraph" w:styleId="Textpoznmkypodiarou">
    <w:name w:val="footnote text"/>
    <w:basedOn w:val="Normlny"/>
    <w:link w:val="TextpoznmkypodiarouChar"/>
    <w:uiPriority w:val="40"/>
    <w:semiHidden/>
    <w:qFormat/>
    <w:rsid w:val="005A2E8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40"/>
    <w:semiHidden/>
    <w:rsid w:val="005A2E8D"/>
    <w:rPr>
      <w:rFonts w:ascii="Arial" w:hAnsi="Arial"/>
      <w:sz w:val="20"/>
      <w:szCs w:val="20"/>
    </w:rPr>
  </w:style>
  <w:style w:type="paragraph" w:styleId="Zoznamobrzkov">
    <w:name w:val="table of figures"/>
    <w:basedOn w:val="Normlny"/>
    <w:next w:val="Normlny"/>
    <w:uiPriority w:val="99"/>
    <w:unhideWhenUsed/>
    <w:rsid w:val="007673C5"/>
    <w:pPr>
      <w:spacing w:after="0"/>
    </w:pPr>
  </w:style>
  <w:style w:type="table" w:styleId="Obyajntabuka3">
    <w:name w:val="Plain Table 3"/>
    <w:basedOn w:val="Normlnatabuka"/>
    <w:uiPriority w:val="43"/>
    <w:rsid w:val="008E40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mallTitle">
    <w:name w:val="Small Title"/>
    <w:basedOn w:val="Nzov"/>
    <w:link w:val="SmallTitleChar"/>
    <w:uiPriority w:val="38"/>
    <w:qFormat/>
    <w:rsid w:val="00900EC4"/>
    <w:rPr>
      <w:sz w:val="30"/>
      <w:szCs w:val="30"/>
      <w:lang w:val="en-US"/>
    </w:rPr>
  </w:style>
  <w:style w:type="paragraph" w:customStyle="1" w:styleId="Smallsubtitle">
    <w:name w:val="Small subtitle"/>
    <w:basedOn w:val="SmallTitle"/>
    <w:link w:val="SmallsubtitleChar"/>
    <w:uiPriority w:val="38"/>
    <w:qFormat/>
    <w:rsid w:val="00900EC4"/>
    <w:pPr>
      <w:spacing w:before="240" w:after="240"/>
    </w:pPr>
    <w:rPr>
      <w:b w:val="0"/>
      <w:sz w:val="22"/>
      <w:szCs w:val="22"/>
    </w:rPr>
  </w:style>
  <w:style w:type="character" w:customStyle="1" w:styleId="SmallTitleChar">
    <w:name w:val="Small Title Char"/>
    <w:basedOn w:val="NzovChar"/>
    <w:link w:val="SmallTitle"/>
    <w:uiPriority w:val="38"/>
    <w:rsid w:val="00900EC4"/>
    <w:rPr>
      <w:rFonts w:ascii="Arial" w:eastAsia="Times New Roman" w:hAnsi="Arial" w:cs="Arial"/>
      <w:b/>
      <w:bCs/>
      <w:color w:val="000000"/>
      <w:sz w:val="30"/>
      <w:szCs w:val="30"/>
      <w:lang w:val="en-US" w:eastAsia="en-GB"/>
    </w:rPr>
  </w:style>
  <w:style w:type="character" w:customStyle="1" w:styleId="SmallsubtitleChar">
    <w:name w:val="Small subtitle Char"/>
    <w:basedOn w:val="SmallTitleChar"/>
    <w:link w:val="Smallsubtitle"/>
    <w:uiPriority w:val="38"/>
    <w:rsid w:val="00900EC4"/>
    <w:rPr>
      <w:rFonts w:ascii="Arial" w:eastAsia="Times New Roman" w:hAnsi="Arial" w:cs="Arial"/>
      <w:b w:val="0"/>
      <w:bCs/>
      <w:color w:val="000000"/>
      <w:sz w:val="30"/>
      <w:szCs w:val="30"/>
      <w:lang w:val="en-US" w:eastAsia="en-GB"/>
    </w:rPr>
  </w:style>
  <w:style w:type="character" w:styleId="Odkaznakomentr">
    <w:name w:val="annotation reference"/>
    <w:basedOn w:val="Predvolenpsmoodseku"/>
    <w:uiPriority w:val="99"/>
    <w:semiHidden/>
    <w:unhideWhenUsed/>
    <w:rsid w:val="001750BD"/>
    <w:rPr>
      <w:sz w:val="16"/>
      <w:szCs w:val="16"/>
    </w:rPr>
  </w:style>
  <w:style w:type="paragraph" w:styleId="Textkomentra">
    <w:name w:val="annotation text"/>
    <w:basedOn w:val="Normlny"/>
    <w:link w:val="TextkomentraChar"/>
    <w:uiPriority w:val="99"/>
    <w:semiHidden/>
    <w:unhideWhenUsed/>
    <w:rsid w:val="001750BD"/>
    <w:pPr>
      <w:spacing w:line="240" w:lineRule="auto"/>
    </w:pPr>
    <w:rPr>
      <w:sz w:val="20"/>
      <w:szCs w:val="20"/>
    </w:rPr>
  </w:style>
  <w:style w:type="character" w:customStyle="1" w:styleId="TextkomentraChar">
    <w:name w:val="Text komentára Char"/>
    <w:basedOn w:val="Predvolenpsmoodseku"/>
    <w:link w:val="Textkomentra"/>
    <w:uiPriority w:val="99"/>
    <w:semiHidden/>
    <w:rsid w:val="001750BD"/>
    <w:rPr>
      <w:sz w:val="20"/>
      <w:szCs w:val="20"/>
    </w:rPr>
  </w:style>
  <w:style w:type="paragraph" w:styleId="Predmetkomentra">
    <w:name w:val="annotation subject"/>
    <w:basedOn w:val="Textkomentra"/>
    <w:next w:val="Textkomentra"/>
    <w:link w:val="PredmetkomentraChar"/>
    <w:uiPriority w:val="99"/>
    <w:semiHidden/>
    <w:unhideWhenUsed/>
    <w:rsid w:val="001750BD"/>
    <w:rPr>
      <w:b/>
      <w:bCs/>
    </w:rPr>
  </w:style>
  <w:style w:type="character" w:customStyle="1" w:styleId="PredmetkomentraChar">
    <w:name w:val="Predmet komentára Char"/>
    <w:basedOn w:val="TextkomentraChar"/>
    <w:link w:val="Predmetkomentra"/>
    <w:uiPriority w:val="99"/>
    <w:semiHidden/>
    <w:rsid w:val="001750BD"/>
    <w:rPr>
      <w:b/>
      <w:bCs/>
      <w:sz w:val="20"/>
      <w:szCs w:val="20"/>
    </w:rPr>
  </w:style>
  <w:style w:type="paragraph" w:styleId="Textbubliny">
    <w:name w:val="Balloon Text"/>
    <w:basedOn w:val="Normlny"/>
    <w:link w:val="TextbublinyChar"/>
    <w:uiPriority w:val="99"/>
    <w:semiHidden/>
    <w:unhideWhenUsed/>
    <w:rsid w:val="001750B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750BD"/>
    <w:rPr>
      <w:rFonts w:ascii="Segoe UI" w:hAnsi="Segoe UI" w:cs="Segoe UI"/>
      <w:sz w:val="18"/>
      <w:szCs w:val="18"/>
    </w:rPr>
  </w:style>
  <w:style w:type="character" w:customStyle="1" w:styleId="CEAGraphTitle">
    <w:name w:val="CEA Graph Title"/>
    <w:basedOn w:val="Predvolenpsmoodseku"/>
    <w:uiPriority w:val="1"/>
    <w:qFormat/>
    <w:rsid w:val="00D97876"/>
    <w:rPr>
      <w:rFonts w:ascii="Verdana" w:hAnsi="Verdana"/>
      <w:smallCaps w:val="0"/>
      <w:sz w:val="17"/>
      <w:lang w:val="en-GB"/>
    </w:rPr>
  </w:style>
  <w:style w:type="character" w:customStyle="1" w:styleId="cf01">
    <w:name w:val="cf01"/>
    <w:basedOn w:val="Predvolenpsmoodseku"/>
    <w:rsid w:val="00AA510D"/>
    <w:rPr>
      <w:rFonts w:ascii="Segoe UI" w:hAnsi="Segoe UI" w:cs="Segoe UI" w:hint="default"/>
      <w:sz w:val="18"/>
      <w:szCs w:val="18"/>
    </w:rPr>
  </w:style>
  <w:style w:type="paragraph" w:customStyle="1" w:styleId="LetterList">
    <w:name w:val="Letter List"/>
    <w:basedOn w:val="Nadpis1"/>
    <w:rsid w:val="000D6CE5"/>
    <w:pPr>
      <w:keepNext w:val="0"/>
      <w:keepLines w:val="0"/>
      <w:numPr>
        <w:numId w:val="31"/>
      </w:numPr>
      <w:suppressAutoHyphens w:val="0"/>
      <w:spacing w:before="240" w:after="0" w:line="240" w:lineRule="auto"/>
    </w:pPr>
    <w:rPr>
      <w:rFonts w:ascii="Times New Roman" w:eastAsia="Times New Roman" w:hAnsi="Times New Roman" w:cs="Times New Roman"/>
      <w:b w:val="0"/>
      <w:kern w:val="28"/>
      <w:sz w:val="24"/>
      <w:szCs w:val="20"/>
      <w:lang w:eastAsia="en-GB"/>
    </w:rPr>
  </w:style>
  <w:style w:type="paragraph" w:styleId="Normlnywebov">
    <w:name w:val="Normal (Web)"/>
    <w:basedOn w:val="Normlny"/>
    <w:uiPriority w:val="99"/>
    <w:semiHidden/>
    <w:unhideWhenUsed/>
    <w:rsid w:val="007E17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Odkaznapoznmkupodiarou">
    <w:name w:val="footnote reference"/>
    <w:basedOn w:val="Predvolenpsmoodseku"/>
    <w:uiPriority w:val="40"/>
    <w:semiHidden/>
    <w:qFormat/>
    <w:rsid w:val="00D45502"/>
    <w:rPr>
      <w:vertAlign w:val="superscript"/>
    </w:rPr>
  </w:style>
  <w:style w:type="character" w:customStyle="1" w:styleId="fontstyle01">
    <w:name w:val="fontstyle01"/>
    <w:basedOn w:val="Predvolenpsmoodseku"/>
    <w:rsid w:val="009D090A"/>
    <w:rPr>
      <w:rFonts w:ascii="Calibri" w:hAnsi="Calibri" w:cs="Calibri" w:hint="default"/>
      <w:b w:val="0"/>
      <w:bCs w:val="0"/>
      <w:i w:val="0"/>
      <w:iCs w:val="0"/>
      <w:color w:val="000000"/>
      <w:sz w:val="24"/>
      <w:szCs w:val="24"/>
    </w:rPr>
  </w:style>
  <w:style w:type="paragraph" w:styleId="Revzia">
    <w:name w:val="Revision"/>
    <w:hidden/>
    <w:uiPriority w:val="99"/>
    <w:semiHidden/>
    <w:rsid w:val="00E70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4765">
      <w:bodyDiv w:val="1"/>
      <w:marLeft w:val="0"/>
      <w:marRight w:val="0"/>
      <w:marTop w:val="0"/>
      <w:marBottom w:val="0"/>
      <w:divBdr>
        <w:top w:val="none" w:sz="0" w:space="0" w:color="auto"/>
        <w:left w:val="none" w:sz="0" w:space="0" w:color="auto"/>
        <w:bottom w:val="none" w:sz="0" w:space="0" w:color="auto"/>
        <w:right w:val="none" w:sz="0" w:space="0" w:color="auto"/>
      </w:divBdr>
    </w:div>
    <w:div w:id="365104051">
      <w:bodyDiv w:val="1"/>
      <w:marLeft w:val="0"/>
      <w:marRight w:val="0"/>
      <w:marTop w:val="0"/>
      <w:marBottom w:val="0"/>
      <w:divBdr>
        <w:top w:val="none" w:sz="0" w:space="0" w:color="auto"/>
        <w:left w:val="none" w:sz="0" w:space="0" w:color="auto"/>
        <w:bottom w:val="none" w:sz="0" w:space="0" w:color="auto"/>
        <w:right w:val="none" w:sz="0" w:space="0" w:color="auto"/>
      </w:divBdr>
    </w:div>
    <w:div w:id="815071819">
      <w:bodyDiv w:val="1"/>
      <w:marLeft w:val="0"/>
      <w:marRight w:val="0"/>
      <w:marTop w:val="0"/>
      <w:marBottom w:val="0"/>
      <w:divBdr>
        <w:top w:val="none" w:sz="0" w:space="0" w:color="auto"/>
        <w:left w:val="none" w:sz="0" w:space="0" w:color="auto"/>
        <w:bottom w:val="none" w:sz="0" w:space="0" w:color="auto"/>
        <w:right w:val="none" w:sz="0" w:space="0" w:color="auto"/>
      </w:divBdr>
    </w:div>
    <w:div w:id="1025054954">
      <w:bodyDiv w:val="1"/>
      <w:marLeft w:val="0"/>
      <w:marRight w:val="0"/>
      <w:marTop w:val="0"/>
      <w:marBottom w:val="0"/>
      <w:divBdr>
        <w:top w:val="none" w:sz="0" w:space="0" w:color="auto"/>
        <w:left w:val="none" w:sz="0" w:space="0" w:color="auto"/>
        <w:bottom w:val="none" w:sz="0" w:space="0" w:color="auto"/>
        <w:right w:val="none" w:sz="0" w:space="0" w:color="auto"/>
      </w:divBdr>
    </w:div>
    <w:div w:id="1029768306">
      <w:bodyDiv w:val="1"/>
      <w:marLeft w:val="0"/>
      <w:marRight w:val="0"/>
      <w:marTop w:val="0"/>
      <w:marBottom w:val="0"/>
      <w:divBdr>
        <w:top w:val="none" w:sz="0" w:space="0" w:color="auto"/>
        <w:left w:val="none" w:sz="0" w:space="0" w:color="auto"/>
        <w:bottom w:val="none" w:sz="0" w:space="0" w:color="auto"/>
        <w:right w:val="none" w:sz="0" w:space="0" w:color="auto"/>
      </w:divBdr>
    </w:div>
    <w:div w:id="1155099737">
      <w:bodyDiv w:val="1"/>
      <w:marLeft w:val="0"/>
      <w:marRight w:val="0"/>
      <w:marTop w:val="0"/>
      <w:marBottom w:val="0"/>
      <w:divBdr>
        <w:top w:val="none" w:sz="0" w:space="0" w:color="auto"/>
        <w:left w:val="none" w:sz="0" w:space="0" w:color="auto"/>
        <w:bottom w:val="none" w:sz="0" w:space="0" w:color="auto"/>
        <w:right w:val="none" w:sz="0" w:space="0" w:color="auto"/>
      </w:divBdr>
    </w:div>
    <w:div w:id="1254195180">
      <w:bodyDiv w:val="1"/>
      <w:marLeft w:val="0"/>
      <w:marRight w:val="0"/>
      <w:marTop w:val="0"/>
      <w:marBottom w:val="0"/>
      <w:divBdr>
        <w:top w:val="none" w:sz="0" w:space="0" w:color="auto"/>
        <w:left w:val="none" w:sz="0" w:space="0" w:color="auto"/>
        <w:bottom w:val="none" w:sz="0" w:space="0" w:color="auto"/>
        <w:right w:val="none" w:sz="0" w:space="0" w:color="auto"/>
      </w:divBdr>
    </w:div>
    <w:div w:id="1387023433">
      <w:bodyDiv w:val="1"/>
      <w:marLeft w:val="0"/>
      <w:marRight w:val="0"/>
      <w:marTop w:val="0"/>
      <w:marBottom w:val="0"/>
      <w:divBdr>
        <w:top w:val="none" w:sz="0" w:space="0" w:color="auto"/>
        <w:left w:val="none" w:sz="0" w:space="0" w:color="auto"/>
        <w:bottom w:val="none" w:sz="0" w:space="0" w:color="auto"/>
        <w:right w:val="none" w:sz="0" w:space="0" w:color="auto"/>
      </w:divBdr>
    </w:div>
    <w:div w:id="1468401846">
      <w:bodyDiv w:val="1"/>
      <w:marLeft w:val="0"/>
      <w:marRight w:val="0"/>
      <w:marTop w:val="0"/>
      <w:marBottom w:val="0"/>
      <w:divBdr>
        <w:top w:val="none" w:sz="0" w:space="0" w:color="auto"/>
        <w:left w:val="none" w:sz="0" w:space="0" w:color="auto"/>
        <w:bottom w:val="none" w:sz="0" w:space="0" w:color="auto"/>
        <w:right w:val="none" w:sz="0" w:space="0" w:color="auto"/>
      </w:divBdr>
    </w:div>
    <w:div w:id="1493788870">
      <w:bodyDiv w:val="1"/>
      <w:marLeft w:val="0"/>
      <w:marRight w:val="0"/>
      <w:marTop w:val="0"/>
      <w:marBottom w:val="0"/>
      <w:divBdr>
        <w:top w:val="none" w:sz="0" w:space="0" w:color="auto"/>
        <w:left w:val="none" w:sz="0" w:space="0" w:color="auto"/>
        <w:bottom w:val="none" w:sz="0" w:space="0" w:color="auto"/>
        <w:right w:val="none" w:sz="0" w:space="0" w:color="auto"/>
      </w:divBdr>
    </w:div>
    <w:div w:id="205554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IS strong">
      <a:dk1>
        <a:sysClr val="windowText" lastClr="000000"/>
      </a:dk1>
      <a:lt1>
        <a:sysClr val="window" lastClr="FFFFFF"/>
      </a:lt1>
      <a:dk2>
        <a:srgbClr val="784722"/>
      </a:dk2>
      <a:lt2>
        <a:srgbClr val="BCBDBC"/>
      </a:lt2>
      <a:accent1>
        <a:srgbClr val="3A6BAC"/>
      </a:accent1>
      <a:accent2>
        <a:srgbClr val="AA322F"/>
      </a:accent2>
      <a:accent3>
        <a:srgbClr val="427F6D"/>
      </a:accent3>
      <a:accent4>
        <a:srgbClr val="633D83"/>
      </a:accent4>
      <a:accent5>
        <a:srgbClr val="EAA121"/>
      </a:accent5>
      <a:accent6>
        <a:srgbClr val="D55B20"/>
      </a:accent6>
      <a:hlink>
        <a:srgbClr val="3A6BAC"/>
      </a:hlink>
      <a:folHlink>
        <a:srgbClr val="800080"/>
      </a:folHlink>
    </a:clrScheme>
    <a:fontScheme name="IAI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3" ma:contentTypeDescription="Published Documents Content types for Insurance Europe" ma:contentTypeScope="" ma:versionID="4a4162a0ba2cac1c20994b0a19fbf2fb">
  <xsd:schema xmlns:xsd="http://www.w3.org/2001/XMLSchema" xmlns:xs="http://www.w3.org/2001/XMLSchema" xmlns:p="http://schemas.microsoft.com/office/2006/metadata/properties" xmlns:ns2="d352728d-c7aa-455d-bd83-40fe44122be8" targetNamespace="http://schemas.microsoft.com/office/2006/metadata/properties" ma:root="true" ma:fieldsID="a27679d9f9c8b495199064f15733cb20"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Props1.xml><?xml version="1.0" encoding="utf-8"?>
<ds:datastoreItem xmlns:ds="http://schemas.openxmlformats.org/officeDocument/2006/customXml" ds:itemID="{76326F80-0E19-4406-9049-D52DEB287E36}">
  <ds:schemaRefs>
    <ds:schemaRef ds:uri="http://schemas.openxmlformats.org/officeDocument/2006/bibliography"/>
  </ds:schemaRefs>
</ds:datastoreItem>
</file>

<file path=customXml/itemProps2.xml><?xml version="1.0" encoding="utf-8"?>
<ds:datastoreItem xmlns:ds="http://schemas.openxmlformats.org/officeDocument/2006/customXml" ds:itemID="{182BC71E-9E75-4983-8494-A0B2FEFA8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D88E8-960E-4DAB-8A2E-212D9E51ECAF}">
  <ds:schemaRefs>
    <ds:schemaRef ds:uri="http://schemas.microsoft.com/sharepoint/v3/contenttype/forms"/>
  </ds:schemaRefs>
</ds:datastoreItem>
</file>

<file path=customXml/itemProps4.xml><?xml version="1.0" encoding="utf-8"?>
<ds:datastoreItem xmlns:ds="http://schemas.openxmlformats.org/officeDocument/2006/customXml" ds:itemID="{93EAD994-1E24-4D36-A2C1-84557D1C7E6C}">
  <ds:schemaRefs>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d352728d-c7aa-455d-bd83-40fe44122be8"/>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1632</Words>
  <Characters>9307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Questions - Response to EIOPA Consultation on the use of governance arrangements in third countries</vt:lpstr>
    </vt:vector>
  </TitlesOfParts>
  <Company>Bank for International Settlements</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 Response to EIOPA Consultation on the use of governance arrangements in third countries</dc:title>
  <dc:subject/>
  <dc:creator>GWG</dc:creator>
  <cp:keywords/>
  <dc:description/>
  <cp:lastModifiedBy>jozef.bachnicek</cp:lastModifiedBy>
  <cp:revision>2</cp:revision>
  <dcterms:created xsi:type="dcterms:W3CDTF">2022-11-03T09:14:00Z</dcterms:created>
  <dcterms:modified xsi:type="dcterms:W3CDTF">2022-11-03T09:14:00Z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936900</vt:r8>
  </property>
  <property fmtid="{D5CDD505-2E9C-101B-9397-08002B2CF9AE}" pid="3" name="brcSensitivity">
    <vt:lpwstr>Internal</vt:lpwstr>
  </property>
  <property fmtid="{D5CDD505-2E9C-101B-9397-08002B2CF9AE}" pid="4" name="ContentTypeId">
    <vt:lpwstr>0x0101007A2A1B97D27D6A4C90B6022E1624614C</vt:lpwstr>
  </property>
  <property fmtid="{D5CDD505-2E9C-101B-9397-08002B2CF9AE}" pid="5" name="MSIP_Label_90c2fedb-0da6-4717-8531-d16a1b9930f4_Enabled">
    <vt:lpwstr>true</vt:lpwstr>
  </property>
  <property fmtid="{D5CDD505-2E9C-101B-9397-08002B2CF9AE}" pid="6" name="MSIP_Label_90c2fedb-0da6-4717-8531-d16a1b9930f4_SetDate">
    <vt:lpwstr>2022-10-07T09:00:41Z</vt:lpwstr>
  </property>
  <property fmtid="{D5CDD505-2E9C-101B-9397-08002B2CF9AE}" pid="7" name="MSIP_Label_90c2fedb-0da6-4717-8531-d16a1b9930f4_Method">
    <vt:lpwstr>Standard</vt:lpwstr>
  </property>
  <property fmtid="{D5CDD505-2E9C-101B-9397-08002B2CF9AE}" pid="8" name="MSIP_Label_90c2fedb-0da6-4717-8531-d16a1b9930f4_Name">
    <vt:lpwstr>90c2fedb-0da6-4717-8531-d16a1b9930f4</vt:lpwstr>
  </property>
  <property fmtid="{D5CDD505-2E9C-101B-9397-08002B2CF9AE}" pid="9" name="MSIP_Label_90c2fedb-0da6-4717-8531-d16a1b9930f4_SiteId">
    <vt:lpwstr>45597f60-6e37-4be7-acfb-4c9e23b261ea</vt:lpwstr>
  </property>
  <property fmtid="{D5CDD505-2E9C-101B-9397-08002B2CF9AE}" pid="10" name="MSIP_Label_90c2fedb-0da6-4717-8531-d16a1b9930f4_ActionId">
    <vt:lpwstr>abdb4070-b07d-4c46-9b5d-15e59a92ab99</vt:lpwstr>
  </property>
  <property fmtid="{D5CDD505-2E9C-101B-9397-08002B2CF9AE}" pid="11" name="MSIP_Label_90c2fedb-0da6-4717-8531-d16a1b9930f4_ContentBits">
    <vt:lpwstr>0</vt:lpwstr>
  </property>
  <property fmtid="{D5CDD505-2E9C-101B-9397-08002B2CF9AE}" pid="12" name="Sensitivity">
    <vt:lpwstr>Internal</vt:lpwstr>
  </property>
</Properties>
</file>