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3936" w14:textId="77777777" w:rsidR="009176FF" w:rsidRPr="00FA4DAB" w:rsidRDefault="009176FF" w:rsidP="009176FF">
      <w:pPr>
        <w:spacing w:line="240" w:lineRule="auto"/>
        <w:jc w:val="left"/>
        <w:rPr>
          <w:rStyle w:val="CEAGraphTitle"/>
          <w:szCs w:val="17"/>
        </w:rPr>
      </w:pPr>
    </w:p>
    <w:p w14:paraId="7FA61449" w14:textId="77777777" w:rsidR="000D3DF1" w:rsidRPr="000D3DF1" w:rsidRDefault="000D3DF1" w:rsidP="000D3DF1">
      <w:pPr>
        <w:rPr>
          <w:color w:val="1F497D" w:themeColor="text2"/>
          <w:sz w:val="18"/>
          <w:szCs w:val="18"/>
        </w:rPr>
      </w:pPr>
      <w:r w:rsidRPr="000D3DF1">
        <w:rPr>
          <w:color w:val="1F497D" w:themeColor="text2"/>
          <w:sz w:val="18"/>
          <w:szCs w:val="18"/>
        </w:rPr>
        <w:t>EIOPA Stress Test exercise – individual company disclosure of results</w:t>
      </w:r>
    </w:p>
    <w:p w14:paraId="2165371F" w14:textId="77777777" w:rsidR="000D3DF1" w:rsidRPr="002743BB" w:rsidRDefault="000D3DF1" w:rsidP="000D3DF1">
      <w:pPr>
        <w:rPr>
          <w:b/>
          <w:szCs w:val="17"/>
        </w:rPr>
      </w:pPr>
    </w:p>
    <w:p w14:paraId="43006AD1" w14:textId="77777777" w:rsidR="000D3DF1" w:rsidRDefault="000D3DF1" w:rsidP="000D3DF1">
      <w:pPr>
        <w:pStyle w:val="CEABullet-Level1"/>
        <w:numPr>
          <w:ilvl w:val="0"/>
          <w:numId w:val="0"/>
        </w:numPr>
        <w:spacing w:after="120"/>
      </w:pPr>
      <w:r w:rsidRPr="004F1947">
        <w:rPr>
          <w:szCs w:val="17"/>
        </w:rPr>
        <w:t xml:space="preserve">For the 2021 exercise, EIOPA has reiterated its request </w:t>
      </w:r>
      <w:r>
        <w:rPr>
          <w:szCs w:val="17"/>
        </w:rPr>
        <w:t xml:space="preserve">for </w:t>
      </w:r>
      <w:r w:rsidRPr="004F1947">
        <w:rPr>
          <w:szCs w:val="17"/>
        </w:rPr>
        <w:t xml:space="preserve">the voluntary disclosure of individual results by participants. </w:t>
      </w:r>
      <w:r w:rsidRPr="002743BB">
        <w:rPr>
          <w:szCs w:val="17"/>
        </w:rPr>
        <w:t xml:space="preserve">EU-wide stress testing plays a valuable role in allowing </w:t>
      </w:r>
      <w:r>
        <w:rPr>
          <w:szCs w:val="17"/>
        </w:rPr>
        <w:t xml:space="preserve">potential </w:t>
      </w:r>
      <w:r w:rsidRPr="002743BB">
        <w:rPr>
          <w:szCs w:val="17"/>
        </w:rPr>
        <w:t xml:space="preserve">industry-wide </w:t>
      </w:r>
      <w:r>
        <w:rPr>
          <w:szCs w:val="17"/>
        </w:rPr>
        <w:t xml:space="preserve">financial stability </w:t>
      </w:r>
      <w:r w:rsidRPr="002743BB">
        <w:rPr>
          <w:szCs w:val="17"/>
        </w:rPr>
        <w:t>vulnerabilities to be assessed and understood</w:t>
      </w:r>
      <w:r>
        <w:rPr>
          <w:szCs w:val="17"/>
        </w:rPr>
        <w:t xml:space="preserve"> and they are supported despite the very significant work they create for those insurers involved</w:t>
      </w:r>
      <w:r w:rsidRPr="002743BB">
        <w:rPr>
          <w:szCs w:val="17"/>
        </w:rPr>
        <w:t>.</w:t>
      </w:r>
    </w:p>
    <w:p w14:paraId="020EA381" w14:textId="77777777" w:rsidR="000D3DF1" w:rsidRPr="00794A85" w:rsidRDefault="000D3DF1" w:rsidP="000D3DF1">
      <w:pPr>
        <w:rPr>
          <w:b/>
          <w:bCs/>
          <w:szCs w:val="17"/>
        </w:rPr>
      </w:pPr>
      <w:r>
        <w:rPr>
          <w:b/>
          <w:bCs/>
          <w:szCs w:val="17"/>
        </w:rPr>
        <w:t xml:space="preserve">However, </w:t>
      </w:r>
      <w:r w:rsidRPr="00794A85">
        <w:rPr>
          <w:b/>
          <w:bCs/>
          <w:szCs w:val="17"/>
        </w:rPr>
        <w:t xml:space="preserve">Insurance Europe continues to </w:t>
      </w:r>
      <w:r>
        <w:rPr>
          <w:b/>
          <w:bCs/>
          <w:szCs w:val="17"/>
        </w:rPr>
        <w:t xml:space="preserve">be against </w:t>
      </w:r>
      <w:r w:rsidRPr="00794A85">
        <w:rPr>
          <w:b/>
          <w:bCs/>
          <w:szCs w:val="17"/>
        </w:rPr>
        <w:t xml:space="preserve">company level </w:t>
      </w:r>
      <w:r>
        <w:rPr>
          <w:b/>
          <w:bCs/>
          <w:szCs w:val="17"/>
        </w:rPr>
        <w:t xml:space="preserve">disclosure of </w:t>
      </w:r>
      <w:r w:rsidRPr="00794A85">
        <w:rPr>
          <w:b/>
          <w:bCs/>
          <w:szCs w:val="17"/>
        </w:rPr>
        <w:t>results</w:t>
      </w:r>
      <w:r>
        <w:rPr>
          <w:b/>
          <w:bCs/>
          <w:szCs w:val="17"/>
        </w:rPr>
        <w:t xml:space="preserve">. This is not needed to meet the objectives. EIOPA’s stated rationales for </w:t>
      </w:r>
      <w:r w:rsidRPr="0044389D">
        <w:rPr>
          <w:b/>
          <w:bCs/>
          <w:szCs w:val="17"/>
        </w:rPr>
        <w:t>publication are either unclear, weak or invalid</w:t>
      </w:r>
      <w:r w:rsidRPr="00794A85">
        <w:rPr>
          <w:b/>
          <w:bCs/>
          <w:szCs w:val="17"/>
        </w:rPr>
        <w:t xml:space="preserve"> and </w:t>
      </w:r>
      <w:r w:rsidRPr="0044389D">
        <w:rPr>
          <w:b/>
          <w:bCs/>
          <w:szCs w:val="17"/>
        </w:rPr>
        <w:t>there is a real risk that publishing will lead to pressure</w:t>
      </w:r>
      <w:r>
        <w:rPr>
          <w:b/>
          <w:bCs/>
          <w:szCs w:val="17"/>
        </w:rPr>
        <w:t xml:space="preserve"> for, otherwise strong and well capitalised companies, to increase capital or de-risk.</w:t>
      </w:r>
    </w:p>
    <w:p w14:paraId="06A33B99" w14:textId="77777777" w:rsidR="000D3DF1" w:rsidRDefault="000D3DF1" w:rsidP="000D3DF1">
      <w:pPr>
        <w:rPr>
          <w:szCs w:val="17"/>
        </w:rPr>
      </w:pPr>
    </w:p>
    <w:p w14:paraId="3F3204BF" w14:textId="77777777" w:rsidR="000D3DF1" w:rsidRDefault="000D3DF1" w:rsidP="000D3DF1">
      <w:pPr>
        <w:pStyle w:val="CEABullet-Level1"/>
        <w:ind w:left="360"/>
      </w:pPr>
      <w:r w:rsidRPr="00794A85">
        <w:rPr>
          <w:b/>
          <w:bCs/>
          <w:szCs w:val="17"/>
        </w:rPr>
        <w:t xml:space="preserve">Firstly, </w:t>
      </w:r>
      <w:r w:rsidRPr="007910BD">
        <w:rPr>
          <w:b/>
          <w:bCs/>
          <w:szCs w:val="17"/>
        </w:rPr>
        <w:t>t</w:t>
      </w:r>
      <w:r w:rsidRPr="00794A85">
        <w:rPr>
          <w:b/>
          <w:bCs/>
        </w:rPr>
        <w:t xml:space="preserve">he public disclosure of individual company results is not necessary to achieve EIOPA’s </w:t>
      </w:r>
      <w:r w:rsidRPr="006D0E0A">
        <w:rPr>
          <w:b/>
          <w:bCs/>
        </w:rPr>
        <w:t>stated</w:t>
      </w:r>
      <w:r w:rsidRPr="00794A85">
        <w:rPr>
          <w:b/>
          <w:bCs/>
        </w:rPr>
        <w:t xml:space="preserve"> objectives</w:t>
      </w:r>
      <w:r>
        <w:t xml:space="preserve"> to assess the vulnerability of the European insurance sector to specific adverse scenarios and to raise the awareness of the potential threats to financial stability posed by the insurance sector at the European level;</w:t>
      </w:r>
    </w:p>
    <w:p w14:paraId="7CECEBA4" w14:textId="77777777" w:rsidR="000D3DF1" w:rsidRDefault="000D3DF1" w:rsidP="000D3DF1">
      <w:pPr>
        <w:pStyle w:val="CEABullet-Level1"/>
        <w:numPr>
          <w:ilvl w:val="0"/>
          <w:numId w:val="0"/>
        </w:numPr>
        <w:ind w:left="360"/>
        <w:rPr>
          <w:b/>
          <w:bCs/>
        </w:rPr>
      </w:pPr>
    </w:p>
    <w:p w14:paraId="2818E273" w14:textId="77777777" w:rsidR="000D3DF1" w:rsidRPr="00794A85" w:rsidRDefault="000D3DF1" w:rsidP="000D3DF1">
      <w:pPr>
        <w:pStyle w:val="CEABullet-Level1"/>
        <w:ind w:left="360"/>
      </w:pPr>
      <w:r w:rsidRPr="006D0E0A">
        <w:rPr>
          <w:b/>
          <w:bCs/>
          <w:szCs w:val="17"/>
        </w:rPr>
        <w:t>Second</w:t>
      </w:r>
      <w:r w:rsidRPr="003D6226">
        <w:rPr>
          <w:b/>
          <w:bCs/>
          <w:szCs w:val="17"/>
        </w:rPr>
        <w:t>ly</w:t>
      </w:r>
      <w:r w:rsidRPr="007910BD">
        <w:rPr>
          <w:b/>
          <w:bCs/>
          <w:szCs w:val="17"/>
        </w:rPr>
        <w:t xml:space="preserve">, </w:t>
      </w:r>
      <w:r w:rsidRPr="006D0E0A">
        <w:rPr>
          <w:b/>
          <w:bCs/>
        </w:rPr>
        <w:t>EIOPA</w:t>
      </w:r>
      <w:r>
        <w:rPr>
          <w:b/>
          <w:bCs/>
        </w:rPr>
        <w:t>’s</w:t>
      </w:r>
      <w:r w:rsidRPr="006D0E0A">
        <w:rPr>
          <w:b/>
          <w:bCs/>
        </w:rPr>
        <w:t xml:space="preserve"> </w:t>
      </w:r>
      <w:r w:rsidRPr="003D6226">
        <w:rPr>
          <w:b/>
          <w:bCs/>
        </w:rPr>
        <w:t>rationales for public</w:t>
      </w:r>
      <w:r>
        <w:rPr>
          <w:b/>
          <w:bCs/>
        </w:rPr>
        <w:t xml:space="preserve"> disclosure of individual results are not justified</w:t>
      </w:r>
      <w:r w:rsidRPr="00794A85">
        <w:t>:</w:t>
      </w:r>
    </w:p>
    <w:p w14:paraId="5DB41098" w14:textId="77777777" w:rsidR="000D3DF1" w:rsidRDefault="000D3DF1" w:rsidP="000D3DF1">
      <w:pPr>
        <w:pStyle w:val="CEABullet-Level2"/>
      </w:pPr>
      <w:r w:rsidRPr="000D3DF1">
        <w:rPr>
          <w:b/>
          <w:bCs/>
          <w:i/>
          <w:iCs/>
        </w:rPr>
        <w:t>Need for transparency</w:t>
      </w:r>
      <w:r w:rsidRPr="000D3DF1">
        <w:rPr>
          <w:b/>
          <w:bCs/>
        </w:rPr>
        <w:t>: There is already very high level of transparency on the types and amounts of risks to which each insurer is exposed.</w:t>
      </w:r>
      <w:r>
        <w:t xml:space="preserve"> Solvency II capital requirements are in fact based on stress tests and the results of these are public through the Solvency and Financial Condition Report (SFCR). </w:t>
      </w:r>
    </w:p>
    <w:p w14:paraId="5FED879C" w14:textId="77777777" w:rsidR="000D3DF1" w:rsidRDefault="000D3DF1" w:rsidP="000D3DF1">
      <w:pPr>
        <w:pStyle w:val="CEABullet-Level1"/>
        <w:numPr>
          <w:ilvl w:val="0"/>
          <w:numId w:val="0"/>
        </w:numPr>
        <w:spacing w:after="120" w:line="240" w:lineRule="auto"/>
        <w:ind w:left="714"/>
      </w:pPr>
      <w:r>
        <w:t>The situation may be different for banks where EU-wide stress tests exercise may be the only public information based on a stress test and scenario methodology and making them public in the aftermath of the global financial crisis helped restore market confidence in the strength of each bank.</w:t>
      </w:r>
    </w:p>
    <w:p w14:paraId="36785732" w14:textId="77777777" w:rsidR="000D3DF1" w:rsidRPr="00794A85" w:rsidRDefault="000D3DF1" w:rsidP="000D3DF1">
      <w:pPr>
        <w:pStyle w:val="CEABullet-Level2"/>
      </w:pPr>
      <w:r w:rsidRPr="000D3DF1">
        <w:rPr>
          <w:b/>
          <w:bCs/>
          <w:i/>
          <w:iCs/>
        </w:rPr>
        <w:t>Ensuring a level playing field</w:t>
      </w:r>
      <w:r w:rsidRPr="000D3DF1">
        <w:rPr>
          <w:b/>
          <w:bCs/>
        </w:rPr>
        <w:t>: It is not clear what EIOPA means but if it means disclosure of results, then this can be much more easily be achieved by no company disclosing. In fact, because not all insurers are included in the stress testing, no company level disclosure is the only way to achieve this type of level playing field.</w:t>
      </w:r>
      <w:r>
        <w:t xml:space="preserve">  EIOPA’s pressure on companies to disclose increases rather than decreases that particular issue.</w:t>
      </w:r>
    </w:p>
    <w:p w14:paraId="41B5E5BE" w14:textId="77777777" w:rsidR="000D3DF1" w:rsidRPr="00794A85" w:rsidRDefault="000D3DF1" w:rsidP="000D3DF1">
      <w:pPr>
        <w:pStyle w:val="CEABullet-Level2"/>
      </w:pPr>
      <w:r w:rsidRPr="000D3DF1">
        <w:rPr>
          <w:b/>
          <w:bCs/>
          <w:i/>
          <w:iCs/>
        </w:rPr>
        <w:t>Market discipline</w:t>
      </w:r>
      <w:r w:rsidRPr="000D3DF1">
        <w:rPr>
          <w:b/>
          <w:bCs/>
        </w:rPr>
        <w:t>: It is not clear what EIOPA means by this but including it as a rationale only increases the key concern that company level reporting will lead to pressure for, otherwise strong and well capitalised, companies to hold even more capital</w:t>
      </w:r>
      <w:r>
        <w:t xml:space="preserve"> or de-risk because the stress test will create a new implied required calibration for company level solvency capital. </w:t>
      </w:r>
    </w:p>
    <w:p w14:paraId="7A3B75EC" w14:textId="77777777" w:rsidR="000D3DF1" w:rsidRPr="003D6226" w:rsidRDefault="000D3DF1" w:rsidP="000D3DF1">
      <w:pPr>
        <w:pStyle w:val="CEABullet-Level2"/>
      </w:pPr>
      <w:r w:rsidRPr="00794A85">
        <w:rPr>
          <w:b/>
          <w:bCs/>
          <w:i/>
          <w:iCs/>
          <w:lang w:eastAsia="nl-NL"/>
        </w:rPr>
        <w:t>Protection of the public interest</w:t>
      </w:r>
      <w:r w:rsidRPr="00794A85">
        <w:rPr>
          <w:b/>
          <w:bCs/>
          <w:lang w:eastAsia="nl-NL"/>
        </w:rPr>
        <w:t>: This does not require company level stress test data</w:t>
      </w:r>
      <w:r>
        <w:rPr>
          <w:lang w:eastAsia="nl-NL"/>
        </w:rPr>
        <w:t xml:space="preserve">. </w:t>
      </w:r>
      <w:r w:rsidRPr="006D0E0A">
        <w:rPr>
          <w:lang w:eastAsia="nl-NL"/>
        </w:rPr>
        <w:t xml:space="preserve">At </w:t>
      </w:r>
      <w:r w:rsidRPr="00794A85">
        <w:t xml:space="preserve">micro prudential level Solvency II, </w:t>
      </w:r>
      <w:r>
        <w:t>for</w:t>
      </w:r>
      <w:r w:rsidRPr="00794A85">
        <w:t xml:space="preserve"> which there is already significant transparency at company level, is there to protect public interests. At macro prudential level</w:t>
      </w:r>
      <w:r>
        <w:t>,</w:t>
      </w:r>
      <w:r w:rsidRPr="00794A85">
        <w:t xml:space="preserve"> Solvency II also </w:t>
      </w:r>
      <w:r w:rsidRPr="00794A85">
        <w:rPr>
          <w:rFonts w:eastAsiaTheme="minorHAnsi" w:cstheme="minorBidi"/>
          <w:color w:val="auto"/>
          <w:szCs w:val="17"/>
        </w:rPr>
        <w:t>provides protection but so too do these stress tests and for this purpose European level publication provides the information the public needs. Supervisors’ key role is to protect public interest and they have access to much more detailed information and there are good reasons for it not all being public.</w:t>
      </w:r>
    </w:p>
    <w:p w14:paraId="5627DF03" w14:textId="77777777" w:rsidR="000D3DF1" w:rsidRPr="003D6226" w:rsidRDefault="000D3DF1" w:rsidP="000D3DF1">
      <w:pPr>
        <w:pStyle w:val="CEABullet-Level2"/>
      </w:pPr>
      <w:r w:rsidRPr="000D3DF1">
        <w:rPr>
          <w:b/>
          <w:bCs/>
          <w:i/>
          <w:iCs/>
        </w:rPr>
        <w:t>Enhance abilities of peers to compare their results with each other (“know your competitor”):</w:t>
      </w:r>
      <w:r w:rsidRPr="00794A85">
        <w:t xml:space="preserve"> </w:t>
      </w:r>
      <w:r w:rsidRPr="003D6226">
        <w:t>We are not aware of any company who have asked for this information.</w:t>
      </w:r>
    </w:p>
    <w:p w14:paraId="52A34EBB" w14:textId="77777777" w:rsidR="000D3DF1" w:rsidRDefault="000D3DF1" w:rsidP="000D3DF1">
      <w:pPr>
        <w:pStyle w:val="CEABullet-Level1"/>
        <w:numPr>
          <w:ilvl w:val="0"/>
          <w:numId w:val="0"/>
        </w:numPr>
        <w:ind w:left="720"/>
        <w:rPr>
          <w:b/>
          <w:bCs/>
        </w:rPr>
      </w:pPr>
    </w:p>
    <w:p w14:paraId="5E103133" w14:textId="77777777" w:rsidR="000D3DF1" w:rsidRPr="006C1654" w:rsidRDefault="000D3DF1" w:rsidP="000D3DF1">
      <w:pPr>
        <w:pStyle w:val="CEABullet-Level1"/>
        <w:ind w:left="360"/>
      </w:pPr>
      <w:r>
        <w:rPr>
          <w:b/>
          <w:bCs/>
          <w:szCs w:val="17"/>
        </w:rPr>
        <w:t>Thirdly</w:t>
      </w:r>
      <w:r w:rsidRPr="006C1654">
        <w:rPr>
          <w:b/>
          <w:bCs/>
          <w:szCs w:val="17"/>
        </w:rPr>
        <w:t xml:space="preserve">, </w:t>
      </w:r>
      <w:r>
        <w:rPr>
          <w:b/>
          <w:bCs/>
          <w:szCs w:val="17"/>
        </w:rPr>
        <w:t>while EIOPA have made some welcome improvements to the stress test methodology, they have not alleviated the main concerns about individual level disclosure:</w:t>
      </w:r>
    </w:p>
    <w:p w14:paraId="2E3C667E" w14:textId="77777777" w:rsidR="000D3DF1" w:rsidRPr="003D6226" w:rsidRDefault="000D3DF1" w:rsidP="000D3DF1">
      <w:pPr>
        <w:pStyle w:val="CEABullet-Level2"/>
      </w:pPr>
      <w:r w:rsidRPr="00794A85">
        <w:rPr>
          <w:b/>
          <w:bCs/>
          <w:i/>
          <w:iCs/>
        </w:rPr>
        <w:t>Risk of confusion</w:t>
      </w:r>
      <w:r>
        <w:t xml:space="preserve">: </w:t>
      </w:r>
      <w:r w:rsidRPr="006D0E0A">
        <w:t>The scenario for the 2021 exercise is</w:t>
      </w:r>
      <w:r w:rsidRPr="00D1643C">
        <w:t xml:space="preserve">, according to the information </w:t>
      </w:r>
      <w:r>
        <w:t>from</w:t>
      </w:r>
      <w:r w:rsidRPr="006D0E0A">
        <w:t xml:space="preserve"> </w:t>
      </w:r>
      <w:r>
        <w:t xml:space="preserve">the </w:t>
      </w:r>
      <w:r w:rsidRPr="006D0E0A">
        <w:t>ESRB</w:t>
      </w:r>
      <w:r w:rsidRPr="00D1643C">
        <w:t>, more extreme than the 1 in 200 level required for SII, potentially significantly so</w:t>
      </w:r>
      <w:r>
        <w:t xml:space="preserve">. The benefit of publicly disclosing the company level impacts of such extreme scenarios level is unclear </w:t>
      </w:r>
      <w:r w:rsidRPr="003D6226">
        <w:t>and the can risk confusion by the public with the SII scenarios which insurers must be able to cover with their available own funds.</w:t>
      </w:r>
    </w:p>
    <w:p w14:paraId="5E34B801" w14:textId="77777777" w:rsidR="000D3DF1" w:rsidRPr="00794A85" w:rsidRDefault="000D3DF1" w:rsidP="000D3DF1">
      <w:pPr>
        <w:pStyle w:val="CEABullet-Level2"/>
      </w:pPr>
      <w:r w:rsidRPr="00794A85">
        <w:rPr>
          <w:b/>
          <w:bCs/>
          <w:i/>
          <w:iCs/>
        </w:rPr>
        <w:t>Difficulty for the public to interpret the results</w:t>
      </w:r>
      <w:r w:rsidRPr="003D6226">
        <w:t>: While more consistent with the Solvency II methodology</w:t>
      </w:r>
      <w:r>
        <w:t xml:space="preserve"> than in previous stress test exercises</w:t>
      </w:r>
      <w:r w:rsidRPr="003D6226">
        <w:t xml:space="preserve">, there are still differences beyond the calibrations. </w:t>
      </w:r>
    </w:p>
    <w:p w14:paraId="2783DC1A" w14:textId="77777777" w:rsidR="000D3DF1" w:rsidRPr="000D3DF1" w:rsidRDefault="000D3DF1" w:rsidP="000D3DF1">
      <w:pPr>
        <w:pStyle w:val="CEABullet-Level2"/>
        <w:rPr>
          <w:b/>
          <w:bCs/>
          <w:i/>
          <w:iCs/>
        </w:rPr>
      </w:pPr>
      <w:r w:rsidRPr="000D3DF1">
        <w:rPr>
          <w:b/>
          <w:bCs/>
          <w:i/>
          <w:iCs/>
        </w:rPr>
        <w:lastRenderedPageBreak/>
        <w:t xml:space="preserve">Risks that it creates a new implied higher capital calibration than SII, creating pressure on, otherwise strong and well capitalised, companies to increase capital or de-risk. </w:t>
      </w:r>
    </w:p>
    <w:p w14:paraId="374E3233" w14:textId="77777777" w:rsidR="000D3DF1" w:rsidRDefault="000D3DF1" w:rsidP="000D3DF1">
      <w:pPr>
        <w:rPr>
          <w:b/>
          <w:bCs/>
          <w:szCs w:val="17"/>
        </w:rPr>
      </w:pPr>
    </w:p>
    <w:p w14:paraId="089F8DD7" w14:textId="47E85693" w:rsidR="000D3DF1" w:rsidRPr="000D3DF1" w:rsidRDefault="000D3DF1" w:rsidP="000D3DF1">
      <w:pPr>
        <w:rPr>
          <w:color w:val="1F497D" w:themeColor="text2"/>
          <w:sz w:val="18"/>
          <w:szCs w:val="18"/>
        </w:rPr>
      </w:pPr>
      <w:r w:rsidRPr="000D3DF1">
        <w:rPr>
          <w:color w:val="1F497D" w:themeColor="text2"/>
          <w:sz w:val="18"/>
          <w:szCs w:val="18"/>
        </w:rPr>
        <w:t>Background</w:t>
      </w:r>
    </w:p>
    <w:p w14:paraId="6C113404" w14:textId="77777777" w:rsidR="000D3DF1" w:rsidRDefault="000D3DF1" w:rsidP="000D3DF1">
      <w:pPr>
        <w:rPr>
          <w:b/>
          <w:i/>
          <w:szCs w:val="17"/>
        </w:rPr>
      </w:pPr>
    </w:p>
    <w:p w14:paraId="6B055F28" w14:textId="77777777" w:rsidR="000D3DF1" w:rsidRDefault="000D3DF1" w:rsidP="000D3DF1">
      <w:pPr>
        <w:rPr>
          <w:b/>
          <w:i/>
          <w:szCs w:val="17"/>
        </w:rPr>
      </w:pPr>
      <w:r w:rsidRPr="002743BB">
        <w:rPr>
          <w:b/>
          <w:i/>
          <w:szCs w:val="17"/>
        </w:rPr>
        <w:t xml:space="preserve">Solvency II </w:t>
      </w:r>
      <w:r>
        <w:rPr>
          <w:b/>
          <w:i/>
          <w:szCs w:val="17"/>
        </w:rPr>
        <w:t xml:space="preserve">and </w:t>
      </w:r>
      <w:r w:rsidRPr="002743BB">
        <w:rPr>
          <w:b/>
          <w:i/>
          <w:szCs w:val="17"/>
        </w:rPr>
        <w:t>its capital requirements</w:t>
      </w:r>
      <w:r>
        <w:rPr>
          <w:b/>
          <w:i/>
          <w:szCs w:val="17"/>
        </w:rPr>
        <w:t xml:space="preserve"> are based on stress testing.</w:t>
      </w:r>
    </w:p>
    <w:p w14:paraId="48207C57" w14:textId="77777777" w:rsidR="000D3DF1" w:rsidRPr="002743BB" w:rsidRDefault="000D3DF1" w:rsidP="000D3DF1">
      <w:pPr>
        <w:rPr>
          <w:b/>
          <w:i/>
          <w:szCs w:val="17"/>
        </w:rPr>
      </w:pPr>
    </w:p>
    <w:p w14:paraId="214EE45B" w14:textId="77777777" w:rsidR="000D3DF1" w:rsidRPr="00A749C1" w:rsidRDefault="000D3DF1" w:rsidP="000D3DF1">
      <w:pPr>
        <w:rPr>
          <w:szCs w:val="17"/>
        </w:rPr>
      </w:pPr>
      <w:r w:rsidRPr="002743BB">
        <w:rPr>
          <w:szCs w:val="17"/>
        </w:rPr>
        <w:t xml:space="preserve">Solvency II is a comprehensive risk-based system. It foresees significantly conservative capital requirements, aimed at covering </w:t>
      </w:r>
      <w:r>
        <w:rPr>
          <w:szCs w:val="17"/>
        </w:rPr>
        <w:t xml:space="preserve">all </w:t>
      </w:r>
      <w:r w:rsidRPr="002743BB">
        <w:rPr>
          <w:szCs w:val="17"/>
        </w:rPr>
        <w:t xml:space="preserve">the risks that insurers are exposed to. These capital requirements are </w:t>
      </w:r>
      <w:r>
        <w:rPr>
          <w:szCs w:val="17"/>
        </w:rPr>
        <w:t xml:space="preserve">based on </w:t>
      </w:r>
      <w:r w:rsidRPr="002743BB">
        <w:rPr>
          <w:szCs w:val="17"/>
        </w:rPr>
        <w:t xml:space="preserve">stress scenarios applied to assets/liabilities and </w:t>
      </w:r>
      <w:r w:rsidRPr="00A749C1">
        <w:rPr>
          <w:szCs w:val="17"/>
        </w:rPr>
        <w:t xml:space="preserve">calibrated with extreme 1 in 200-year type events. </w:t>
      </w:r>
    </w:p>
    <w:p w14:paraId="6A9B4D39" w14:textId="77777777" w:rsidR="000D3DF1" w:rsidRPr="002743BB" w:rsidRDefault="000D3DF1" w:rsidP="000D3DF1">
      <w:pPr>
        <w:rPr>
          <w:szCs w:val="17"/>
          <w:u w:val="single"/>
        </w:rPr>
      </w:pPr>
    </w:p>
    <w:p w14:paraId="62EE7F90" w14:textId="77777777" w:rsidR="000D3DF1" w:rsidRPr="00B0403F" w:rsidRDefault="000D3DF1" w:rsidP="000D3DF1">
      <w:pPr>
        <w:pStyle w:val="CEABullet-Level1"/>
        <w:numPr>
          <w:ilvl w:val="0"/>
          <w:numId w:val="0"/>
        </w:numPr>
        <w:ind w:left="360" w:hanging="360"/>
        <w:rPr>
          <w:b/>
          <w:i/>
          <w:szCs w:val="17"/>
        </w:rPr>
      </w:pPr>
      <w:r w:rsidRPr="00180928">
        <w:rPr>
          <w:b/>
          <w:i/>
          <w:szCs w:val="17"/>
        </w:rPr>
        <w:t xml:space="preserve">Transparency is </w:t>
      </w:r>
      <w:r>
        <w:rPr>
          <w:b/>
          <w:i/>
          <w:szCs w:val="17"/>
        </w:rPr>
        <w:t xml:space="preserve">already </w:t>
      </w:r>
      <w:r w:rsidRPr="00180928">
        <w:rPr>
          <w:b/>
          <w:i/>
          <w:szCs w:val="17"/>
        </w:rPr>
        <w:t>a key element of the Solvency II framework</w:t>
      </w:r>
      <w:r>
        <w:rPr>
          <w:b/>
          <w:i/>
          <w:szCs w:val="17"/>
        </w:rPr>
        <w:t>.</w:t>
      </w:r>
    </w:p>
    <w:p w14:paraId="72A09AD1" w14:textId="77777777" w:rsidR="000D3DF1" w:rsidRPr="000560C1" w:rsidRDefault="000D3DF1" w:rsidP="000D3DF1">
      <w:pPr>
        <w:pStyle w:val="CEABullet-Level1"/>
        <w:numPr>
          <w:ilvl w:val="0"/>
          <w:numId w:val="0"/>
        </w:numPr>
        <w:ind w:left="360" w:hanging="360"/>
      </w:pPr>
    </w:p>
    <w:p w14:paraId="16602629" w14:textId="77777777" w:rsidR="000D3DF1" w:rsidRDefault="000D3DF1" w:rsidP="000D3DF1">
      <w:pPr>
        <w:rPr>
          <w:szCs w:val="17"/>
        </w:rPr>
      </w:pPr>
      <w:bookmarkStart w:id="0" w:name="_Hlk532376379"/>
      <w:r w:rsidRPr="002743BB">
        <w:rPr>
          <w:szCs w:val="17"/>
        </w:rPr>
        <w:t>The Solvency II framework already requires a very high level of both supervisory and public disclosure</w:t>
      </w:r>
      <w:r>
        <w:rPr>
          <w:szCs w:val="17"/>
        </w:rPr>
        <w:t>s</w:t>
      </w:r>
      <w:r w:rsidRPr="002743BB">
        <w:rPr>
          <w:szCs w:val="17"/>
        </w:rPr>
        <w:t>. Information on the insurer’s balance sheet, the SCR for all the individual risk</w:t>
      </w:r>
      <w:r>
        <w:rPr>
          <w:szCs w:val="17"/>
        </w:rPr>
        <w:t>s</w:t>
      </w:r>
      <w:r w:rsidRPr="002743BB">
        <w:rPr>
          <w:szCs w:val="17"/>
        </w:rPr>
        <w:t xml:space="preserve"> and the aggregate SCR is provided quarterly to local supervisors and EIOPA. It is also published to the general public by every company at least annually in their Solvency and Financial Condition Report (SFCR). </w:t>
      </w:r>
    </w:p>
    <w:p w14:paraId="01A4AB78" w14:textId="77777777" w:rsidR="000D3DF1" w:rsidRPr="002743BB" w:rsidRDefault="000D3DF1" w:rsidP="000D3DF1">
      <w:pPr>
        <w:rPr>
          <w:szCs w:val="17"/>
        </w:rPr>
      </w:pPr>
    </w:p>
    <w:bookmarkEnd w:id="0"/>
    <w:p w14:paraId="2552D364" w14:textId="77777777" w:rsidR="000D3DF1" w:rsidRDefault="000D3DF1" w:rsidP="000D3DF1">
      <w:pPr>
        <w:rPr>
          <w:szCs w:val="17"/>
        </w:rPr>
      </w:pPr>
      <w:r w:rsidRPr="002743BB">
        <w:rPr>
          <w:szCs w:val="17"/>
        </w:rPr>
        <w:t xml:space="preserve">The past </w:t>
      </w:r>
      <w:r>
        <w:rPr>
          <w:szCs w:val="17"/>
        </w:rPr>
        <w:t xml:space="preserve">6 </w:t>
      </w:r>
      <w:r w:rsidRPr="002743BB">
        <w:rPr>
          <w:szCs w:val="17"/>
        </w:rPr>
        <w:t xml:space="preserve">years of experience of Solvency II reporting have revealed </w:t>
      </w:r>
      <w:r w:rsidRPr="00A749C1">
        <w:rPr>
          <w:szCs w:val="17"/>
        </w:rPr>
        <w:t>that there is enormous data available to the public/supervisors on insurers’ financial positions. The available data reflects not only the Solvency II scenarios, but also additional stress scenarios run by companies in</w:t>
      </w:r>
      <w:r w:rsidRPr="002743BB">
        <w:rPr>
          <w:szCs w:val="17"/>
        </w:rPr>
        <w:t xml:space="preserve"> their </w:t>
      </w:r>
      <w:r>
        <w:rPr>
          <w:szCs w:val="17"/>
        </w:rPr>
        <w:t>own risk and solvency assessment (</w:t>
      </w:r>
      <w:r w:rsidRPr="002743BB">
        <w:rPr>
          <w:szCs w:val="17"/>
        </w:rPr>
        <w:t>ORSA</w:t>
      </w:r>
      <w:r>
        <w:rPr>
          <w:szCs w:val="17"/>
        </w:rPr>
        <w:t>)</w:t>
      </w:r>
      <w:r w:rsidRPr="002743BB">
        <w:rPr>
          <w:szCs w:val="17"/>
        </w:rPr>
        <w:t xml:space="preserve">. </w:t>
      </w:r>
      <w:r>
        <w:rPr>
          <w:szCs w:val="17"/>
        </w:rPr>
        <w:t>In addition, EIOPA has collected large amounts of information on the low interest rate environment and other adverse scenarios from previous stress test exercises.</w:t>
      </w:r>
    </w:p>
    <w:p w14:paraId="75847107" w14:textId="77777777" w:rsidR="000D3DF1" w:rsidRDefault="000D3DF1" w:rsidP="000D3DF1">
      <w:pPr>
        <w:pStyle w:val="CEABullet-Level1"/>
        <w:numPr>
          <w:ilvl w:val="0"/>
          <w:numId w:val="0"/>
        </w:numPr>
        <w:ind w:left="360" w:hanging="360"/>
      </w:pPr>
    </w:p>
    <w:p w14:paraId="74F10CBE" w14:textId="77777777" w:rsidR="000D3DF1" w:rsidRPr="00FC43F6" w:rsidRDefault="000D3DF1" w:rsidP="000D3DF1">
      <w:pPr>
        <w:rPr>
          <w:b/>
          <w:iCs/>
          <w:szCs w:val="17"/>
        </w:rPr>
      </w:pPr>
      <w:r w:rsidRPr="00FC43F6">
        <w:rPr>
          <w:b/>
          <w:iCs/>
          <w:szCs w:val="17"/>
        </w:rPr>
        <w:t>EIOPA’s reference to “plausible” scenarios is misleading. The extreme nature of the scenarios makes them unrealistic.</w:t>
      </w:r>
    </w:p>
    <w:p w14:paraId="5E82CC88" w14:textId="77777777" w:rsidR="000D3DF1" w:rsidRDefault="000D3DF1" w:rsidP="000D3DF1">
      <w:pPr>
        <w:pStyle w:val="CEABullet-Level1"/>
        <w:numPr>
          <w:ilvl w:val="0"/>
          <w:numId w:val="0"/>
        </w:numPr>
        <w:ind w:left="360" w:hanging="360"/>
      </w:pPr>
    </w:p>
    <w:p w14:paraId="5AED72D1" w14:textId="77777777" w:rsidR="000D3DF1" w:rsidRDefault="000D3DF1" w:rsidP="000D3DF1">
      <w:pPr>
        <w:rPr>
          <w:szCs w:val="17"/>
        </w:rPr>
      </w:pPr>
      <w:r w:rsidRPr="00561C83">
        <w:rPr>
          <w:szCs w:val="17"/>
        </w:rPr>
        <w:t xml:space="preserve">The ESRB has calculated </w:t>
      </w:r>
      <w:r>
        <w:rPr>
          <w:szCs w:val="17"/>
        </w:rPr>
        <w:t xml:space="preserve">that </w:t>
      </w:r>
      <w:r w:rsidRPr="00561C83">
        <w:rPr>
          <w:szCs w:val="17"/>
        </w:rPr>
        <w:t xml:space="preserve">the market-only shocks </w:t>
      </w:r>
      <w:r>
        <w:rPr>
          <w:szCs w:val="17"/>
        </w:rPr>
        <w:t xml:space="preserve">of the 2021 scenario </w:t>
      </w:r>
      <w:r w:rsidRPr="00561C83">
        <w:rPr>
          <w:szCs w:val="17"/>
        </w:rPr>
        <w:t xml:space="preserve">have a probability of occurrence </w:t>
      </w:r>
      <w:r>
        <w:rPr>
          <w:szCs w:val="17"/>
        </w:rPr>
        <w:t xml:space="preserve">of between 0.1% and 0.6%. In addition to the market shocks, as the ESRB note, EIOPA has included insurance specific stresses and these will further </w:t>
      </w:r>
      <w:proofErr w:type="gramStart"/>
      <w:r>
        <w:rPr>
          <w:szCs w:val="17"/>
        </w:rPr>
        <w:t>reduced</w:t>
      </w:r>
      <w:proofErr w:type="gramEnd"/>
      <w:r>
        <w:rPr>
          <w:szCs w:val="17"/>
        </w:rPr>
        <w:t xml:space="preserve"> the probability of occurrence of the scenario to extreme levels.</w:t>
      </w:r>
    </w:p>
    <w:p w14:paraId="625AADF7" w14:textId="20CE1D6B" w:rsidR="000D3DF1" w:rsidRDefault="000D3DF1" w:rsidP="000D3DF1">
      <w:pPr>
        <w:rPr>
          <w:szCs w:val="17"/>
        </w:rPr>
      </w:pPr>
      <w:r>
        <w:rPr>
          <w:szCs w:val="17"/>
        </w:rPr>
        <w:t xml:space="preserve">While these extreme scenarios may provide additional information for supervisors to help them monitor macroprudential or very specific risks, they will not provide any additional information to the public which would improve their understanding of the stability of the insurance company. </w:t>
      </w:r>
    </w:p>
    <w:p w14:paraId="1E4B62CC" w14:textId="77777777" w:rsidR="000D3DF1" w:rsidRDefault="000D3DF1" w:rsidP="000D3DF1">
      <w:pPr>
        <w:rPr>
          <w:szCs w:val="17"/>
        </w:rPr>
      </w:pPr>
    </w:p>
    <w:p w14:paraId="4BD0C81A" w14:textId="4D19E62E" w:rsidR="000D3DF1" w:rsidRDefault="000D3DF1" w:rsidP="000D3DF1">
      <w:pPr>
        <w:rPr>
          <w:szCs w:val="17"/>
        </w:rPr>
      </w:pPr>
      <w:r>
        <w:rPr>
          <w:szCs w:val="17"/>
        </w:rPr>
        <w:t>On the contrary, publishing the impact of very specific, extreme scenarios is more likely to lead to confusion among external stakeholders and potentially undermine the Solvency II requirements which are already disclosed and which provide very high levels of policy holder protection.</w:t>
      </w:r>
    </w:p>
    <w:p w14:paraId="75A043C8" w14:textId="77777777" w:rsidR="000D3DF1" w:rsidRDefault="000D3DF1" w:rsidP="000D3DF1">
      <w:pPr>
        <w:rPr>
          <w:szCs w:val="17"/>
        </w:rPr>
      </w:pPr>
    </w:p>
    <w:p w14:paraId="23997273" w14:textId="20553E07" w:rsidR="000D3DF1" w:rsidRDefault="000D3DF1" w:rsidP="000D3DF1">
      <w:pPr>
        <w:rPr>
          <w:b/>
          <w:bCs/>
          <w:szCs w:val="17"/>
        </w:rPr>
      </w:pPr>
      <w:r>
        <w:rPr>
          <w:b/>
          <w:bCs/>
          <w:szCs w:val="17"/>
        </w:rPr>
        <w:t xml:space="preserve">EIOPA’s concerns about market discipline are misplaced and unjustified </w:t>
      </w:r>
    </w:p>
    <w:p w14:paraId="01395B74" w14:textId="77777777" w:rsidR="000D3DF1" w:rsidRPr="00E15147" w:rsidRDefault="000D3DF1" w:rsidP="000D3DF1">
      <w:pPr>
        <w:rPr>
          <w:b/>
          <w:bCs/>
        </w:rPr>
      </w:pPr>
    </w:p>
    <w:p w14:paraId="50C879EC" w14:textId="77777777" w:rsidR="000D3DF1" w:rsidRDefault="000D3DF1" w:rsidP="000D3DF1">
      <w:pPr>
        <w:rPr>
          <w:rFonts w:cs="Frutiger LT Std 45 Light"/>
          <w:color w:val="000000"/>
          <w:szCs w:val="17"/>
        </w:rPr>
      </w:pPr>
      <w:r w:rsidRPr="00B815AD">
        <w:rPr>
          <w:rFonts w:cs="Frutiger LT Std 45 Light"/>
          <w:color w:val="000000"/>
          <w:szCs w:val="17"/>
        </w:rPr>
        <w:t xml:space="preserve">Insurance Europe is not aware of any universal issues relating to the calculation or reporting of the stress test calculation which </w:t>
      </w:r>
      <w:proofErr w:type="gramStart"/>
      <w:r w:rsidRPr="00B815AD">
        <w:rPr>
          <w:rFonts w:cs="Frutiger LT Std 45 Light"/>
          <w:color w:val="000000"/>
          <w:szCs w:val="17"/>
        </w:rPr>
        <w:t>require</w:t>
      </w:r>
      <w:proofErr w:type="gramEnd"/>
      <w:r w:rsidRPr="00B815AD">
        <w:rPr>
          <w:rFonts w:cs="Frutiger LT Std 45 Light"/>
          <w:color w:val="000000"/>
          <w:szCs w:val="17"/>
        </w:rPr>
        <w:t xml:space="preserve"> improved market discipline. In fact, participating insurance companies go to great lengths to ensure that they deliver high quality, reliable information, even when the scenarios are of limited value to them from a risk management perspective. </w:t>
      </w:r>
    </w:p>
    <w:p w14:paraId="35FA2BE6" w14:textId="77777777" w:rsidR="000D3DF1" w:rsidRPr="00B815AD" w:rsidRDefault="000D3DF1" w:rsidP="000D3DF1">
      <w:pPr>
        <w:rPr>
          <w:rFonts w:cs="Frutiger LT Std 45 Light"/>
          <w:color w:val="000000"/>
          <w:szCs w:val="17"/>
        </w:rPr>
      </w:pPr>
    </w:p>
    <w:p w14:paraId="5972F63D" w14:textId="77777777" w:rsidR="000D3DF1" w:rsidRDefault="000D3DF1" w:rsidP="000D3DF1">
      <w:pPr>
        <w:rPr>
          <w:rFonts w:cs="Frutiger LT Std 45 Light"/>
          <w:color w:val="000000"/>
          <w:szCs w:val="17"/>
        </w:rPr>
      </w:pPr>
      <w:r w:rsidRPr="00B815AD">
        <w:rPr>
          <w:rFonts w:cs="Frutiger LT Std 45 Light"/>
          <w:color w:val="000000"/>
          <w:szCs w:val="17"/>
        </w:rPr>
        <w:t xml:space="preserve">The checking and validation of the stress test results is an extensive process which is overseen by NSAs and EIOPA. As part of the 2021 exercise, many companies have reported increased validation of their individual results. </w:t>
      </w:r>
    </w:p>
    <w:p w14:paraId="2A5D5A47" w14:textId="77777777" w:rsidR="000D3DF1" w:rsidRDefault="000D3DF1" w:rsidP="000D3DF1">
      <w:pPr>
        <w:rPr>
          <w:rFonts w:cs="Frutiger LT Std 45 Light"/>
          <w:color w:val="000000"/>
          <w:szCs w:val="17"/>
        </w:rPr>
      </w:pPr>
    </w:p>
    <w:p w14:paraId="5A5D20A5" w14:textId="77777777" w:rsidR="000D3DF1" w:rsidRPr="00B815AD" w:rsidRDefault="000D3DF1" w:rsidP="000D3DF1">
      <w:pPr>
        <w:rPr>
          <w:rFonts w:cs="Frutiger LT Std 45 Light"/>
          <w:color w:val="000000"/>
          <w:szCs w:val="17"/>
        </w:rPr>
      </w:pPr>
      <w:r>
        <w:rPr>
          <w:rFonts w:cs="Frutiger LT Std 45 Light"/>
          <w:color w:val="000000"/>
          <w:szCs w:val="17"/>
        </w:rPr>
        <w:t>If there are any specific concerns about data or calculation quality, supervisory dialogue is the optimal approach to resolving these issues.</w:t>
      </w:r>
    </w:p>
    <w:p w14:paraId="41BA4564" w14:textId="77777777" w:rsidR="000D3DF1" w:rsidRPr="00B815AD" w:rsidRDefault="000D3DF1" w:rsidP="000D3DF1">
      <w:pPr>
        <w:rPr>
          <w:rFonts w:cs="Frutiger LT Std 45 Light"/>
          <w:color w:val="000000"/>
          <w:szCs w:val="17"/>
        </w:rPr>
      </w:pPr>
    </w:p>
    <w:p w14:paraId="2204D2F0" w14:textId="77777777" w:rsidR="000D3DF1" w:rsidRPr="00FC43F6" w:rsidRDefault="000D3DF1" w:rsidP="000D3DF1">
      <w:pPr>
        <w:rPr>
          <w:b/>
          <w:iCs/>
          <w:szCs w:val="17"/>
        </w:rPr>
      </w:pPr>
      <w:r w:rsidRPr="00FC43F6">
        <w:rPr>
          <w:b/>
          <w:iCs/>
          <w:szCs w:val="17"/>
        </w:rPr>
        <w:lastRenderedPageBreak/>
        <w:t xml:space="preserve">The need to focus on aggregate results and coverage of assets over liabilities </w:t>
      </w:r>
    </w:p>
    <w:p w14:paraId="2E1D1136" w14:textId="77777777" w:rsidR="000D3DF1" w:rsidRPr="00781C2E" w:rsidRDefault="000D3DF1" w:rsidP="000D3DF1">
      <w:pPr>
        <w:rPr>
          <w:b/>
          <w:i/>
          <w:szCs w:val="17"/>
        </w:rPr>
      </w:pPr>
    </w:p>
    <w:p w14:paraId="2C2A1E28" w14:textId="77777777" w:rsidR="000D3DF1" w:rsidRPr="00781C2E" w:rsidRDefault="000D3DF1" w:rsidP="000D3DF1">
      <w:pPr>
        <w:rPr>
          <w:rFonts w:cs="Frutiger LT Std 45 Light"/>
          <w:color w:val="000000"/>
          <w:szCs w:val="17"/>
        </w:rPr>
      </w:pPr>
      <w:r w:rsidRPr="00781C2E">
        <w:rPr>
          <w:rFonts w:cs="Frutiger LT Std 45 Light"/>
          <w:color w:val="000000"/>
          <w:szCs w:val="17"/>
        </w:rPr>
        <w:t xml:space="preserve">Since Solvency II </w:t>
      </w:r>
      <w:r>
        <w:rPr>
          <w:rFonts w:cs="Frutiger LT Std 45 Light"/>
          <w:color w:val="000000"/>
          <w:szCs w:val="17"/>
        </w:rPr>
        <w:t xml:space="preserve">already </w:t>
      </w:r>
      <w:r w:rsidRPr="00781C2E">
        <w:rPr>
          <w:rFonts w:cs="Frutiger LT Std 45 Light"/>
          <w:color w:val="000000"/>
          <w:szCs w:val="17"/>
        </w:rPr>
        <w:t>provides information on individual companies</w:t>
      </w:r>
      <w:r>
        <w:rPr>
          <w:rFonts w:cs="Frutiger LT Std 45 Light"/>
          <w:color w:val="000000"/>
          <w:szCs w:val="17"/>
        </w:rPr>
        <w:t>,</w:t>
      </w:r>
      <w:r w:rsidRPr="00781C2E">
        <w:rPr>
          <w:rFonts w:cs="Frutiger LT Std 45 Light"/>
          <w:color w:val="000000"/>
          <w:szCs w:val="17"/>
        </w:rPr>
        <w:t xml:space="preserve"> the focus for the EIOPA stress test exercise should be on aggregate results and financial stability. As EIOPA has made clear, the stress test for insurers </w:t>
      </w:r>
      <w:r>
        <w:rPr>
          <w:rFonts w:cs="Frutiger LT Std 45 Light"/>
          <w:color w:val="000000"/>
          <w:szCs w:val="17"/>
        </w:rPr>
        <w:t>is</w:t>
      </w:r>
      <w:r w:rsidRPr="00781C2E">
        <w:rPr>
          <w:rFonts w:cs="Frutiger LT Std 45 Light"/>
          <w:color w:val="000000"/>
          <w:szCs w:val="17"/>
        </w:rPr>
        <w:t xml:space="preserve"> “</w:t>
      </w:r>
      <w:r>
        <w:rPr>
          <w:rFonts w:cs="Frutiger LT Std 45 Light"/>
          <w:color w:val="000000"/>
          <w:szCs w:val="17"/>
        </w:rPr>
        <w:t>n</w:t>
      </w:r>
      <w:r w:rsidRPr="00781C2E">
        <w:rPr>
          <w:rFonts w:cs="Frutiger LT Std 45 Light"/>
          <w:color w:val="000000"/>
          <w:szCs w:val="17"/>
        </w:rPr>
        <w:t>ot</w:t>
      </w:r>
      <w:r>
        <w:rPr>
          <w:rFonts w:cs="Frutiger LT Std 45 Light"/>
          <w:color w:val="000000"/>
          <w:szCs w:val="17"/>
        </w:rPr>
        <w:t xml:space="preserve"> </w:t>
      </w:r>
      <w:r w:rsidRPr="00781C2E">
        <w:rPr>
          <w:rFonts w:cs="Frutiger LT Std 45 Light"/>
          <w:color w:val="000000"/>
          <w:szCs w:val="17"/>
        </w:rPr>
        <w:t>a pass-fail exercise - the outcome is not intended to impose capital requirements”.</w:t>
      </w:r>
    </w:p>
    <w:p w14:paraId="66D3C0B1" w14:textId="77777777" w:rsidR="000D3DF1" w:rsidRDefault="000D3DF1" w:rsidP="000D3DF1">
      <w:pPr>
        <w:rPr>
          <w:szCs w:val="17"/>
        </w:rPr>
      </w:pPr>
      <w:r w:rsidRPr="00781C2E">
        <w:rPr>
          <w:szCs w:val="17"/>
        </w:rPr>
        <w:t xml:space="preserve">The </w:t>
      </w:r>
      <w:r>
        <w:rPr>
          <w:szCs w:val="17"/>
        </w:rPr>
        <w:t>2021</w:t>
      </w:r>
      <w:r w:rsidRPr="00781C2E">
        <w:rPr>
          <w:szCs w:val="17"/>
        </w:rPr>
        <w:t xml:space="preserve"> exercise will</w:t>
      </w:r>
      <w:r>
        <w:rPr>
          <w:szCs w:val="17"/>
        </w:rPr>
        <w:t xml:space="preserve"> </w:t>
      </w:r>
      <w:r w:rsidRPr="00781C2E">
        <w:rPr>
          <w:szCs w:val="17"/>
        </w:rPr>
        <w:t xml:space="preserve">also </w:t>
      </w:r>
      <w:r>
        <w:rPr>
          <w:szCs w:val="17"/>
        </w:rPr>
        <w:t xml:space="preserve">provide some information about </w:t>
      </w:r>
      <w:r w:rsidRPr="00781C2E">
        <w:rPr>
          <w:szCs w:val="17"/>
        </w:rPr>
        <w:t>the SCR ratio post stress test</w:t>
      </w:r>
      <w:r>
        <w:rPr>
          <w:szCs w:val="17"/>
        </w:rPr>
        <w:t>. However,</w:t>
      </w:r>
      <w:r w:rsidRPr="00781C2E">
        <w:rPr>
          <w:szCs w:val="17"/>
        </w:rPr>
        <w:t xml:space="preserve"> </w:t>
      </w:r>
      <w:r>
        <w:rPr>
          <w:szCs w:val="17"/>
        </w:rPr>
        <w:t xml:space="preserve">this is </w:t>
      </w:r>
      <w:r w:rsidRPr="00781C2E">
        <w:rPr>
          <w:szCs w:val="17"/>
        </w:rPr>
        <w:t xml:space="preserve">measuring the impact of a set of very extreme </w:t>
      </w:r>
      <w:r>
        <w:rPr>
          <w:szCs w:val="17"/>
        </w:rPr>
        <w:t>scenarios</w:t>
      </w:r>
      <w:r w:rsidRPr="00781C2E">
        <w:rPr>
          <w:szCs w:val="17"/>
        </w:rPr>
        <w:t xml:space="preserve"> after very extreme overlapping stresses which is like a stress test squared</w:t>
      </w:r>
      <w:r>
        <w:rPr>
          <w:szCs w:val="17"/>
        </w:rPr>
        <w:t xml:space="preserve"> and is not particularly meaningful</w:t>
      </w:r>
      <w:r w:rsidRPr="00781C2E">
        <w:rPr>
          <w:szCs w:val="17"/>
        </w:rPr>
        <w:t xml:space="preserve">.  </w:t>
      </w:r>
    </w:p>
    <w:p w14:paraId="6494302C" w14:textId="77777777" w:rsidR="000D3DF1" w:rsidRDefault="000D3DF1" w:rsidP="000D3DF1">
      <w:pPr>
        <w:rPr>
          <w:szCs w:val="17"/>
        </w:rPr>
      </w:pPr>
    </w:p>
    <w:p w14:paraId="2408FB14" w14:textId="77777777" w:rsidR="000D3DF1" w:rsidRPr="00602037" w:rsidRDefault="000D3DF1" w:rsidP="000D3DF1">
      <w:pPr>
        <w:rPr>
          <w:szCs w:val="17"/>
        </w:rPr>
      </w:pPr>
      <w:r w:rsidRPr="00602037">
        <w:rPr>
          <w:szCs w:val="17"/>
        </w:rPr>
        <w:t>The focus therefore should be on how the insurance industry’s total assets compare to total liabilities before and after the extreme scenarios. Insurers’ core role is to take risk away from the customers and they hold significant excess assets to ensure they can withstand the risks. The level of excess of assets over liabilities of course reduces after a risk event occurs. This means insurers are protecting their customers from those risks and of course the more extreme the risk event, the bigger the reduction in insurers ratio of assets over liabilities. The fact that a stress causes an impact in the ratio of assets over liabilities is normal.</w:t>
      </w:r>
    </w:p>
    <w:p w14:paraId="0794E1BF" w14:textId="77777777" w:rsidR="000D3DF1" w:rsidRPr="002743BB" w:rsidRDefault="000D3DF1" w:rsidP="000D3DF1">
      <w:pPr>
        <w:rPr>
          <w:szCs w:val="17"/>
        </w:rPr>
      </w:pPr>
    </w:p>
    <w:p w14:paraId="75A507B1" w14:textId="77777777" w:rsidR="000D3DF1" w:rsidRDefault="000D3DF1" w:rsidP="000D3DF1"/>
    <w:p w14:paraId="5725110D" w14:textId="77777777" w:rsidR="000D3DF1" w:rsidRPr="000560C1" w:rsidRDefault="000D3DF1" w:rsidP="000D3DF1"/>
    <w:p w14:paraId="77973937" w14:textId="77777777" w:rsidR="00440FEE" w:rsidRPr="00FA4DAB" w:rsidRDefault="00440FEE"/>
    <w:sectPr w:rsidR="00440FEE" w:rsidRPr="00FA4DAB" w:rsidSect="009176FF">
      <w:headerReference w:type="default" r:id="rId10"/>
      <w:footerReference w:type="default" r:id="rId11"/>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B925" w14:textId="77777777" w:rsidR="0034261F" w:rsidRDefault="0034261F">
      <w:pPr>
        <w:spacing w:line="240" w:lineRule="auto"/>
      </w:pPr>
      <w:r>
        <w:separator/>
      </w:r>
    </w:p>
  </w:endnote>
  <w:endnote w:type="continuationSeparator" w:id="0">
    <w:p w14:paraId="5422252A" w14:textId="77777777" w:rsidR="0034261F" w:rsidRDefault="00342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393F" w14:textId="77777777" w:rsidR="009654A1" w:rsidRPr="00CD51F6" w:rsidRDefault="0034261F" w:rsidP="00EF4577">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313C8" w14:textId="77777777" w:rsidR="0034261F" w:rsidRDefault="0034261F">
      <w:pPr>
        <w:spacing w:line="240" w:lineRule="auto"/>
      </w:pPr>
      <w:r>
        <w:separator/>
      </w:r>
    </w:p>
  </w:footnote>
  <w:footnote w:type="continuationSeparator" w:id="0">
    <w:p w14:paraId="14CE3526" w14:textId="77777777" w:rsidR="0034261F" w:rsidRDefault="00342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393C" w14:textId="77777777" w:rsidR="009654A1" w:rsidRPr="000846C0" w:rsidRDefault="0034261F" w:rsidP="000846C0">
    <w:pPr>
      <w:pStyle w:val="Noparagraphstyle"/>
      <w:jc w:val="right"/>
      <w:rPr>
        <w:sz w:val="18"/>
        <w:szCs w:val="18"/>
      </w:rPr>
    </w:pPr>
  </w:p>
  <w:p w14:paraId="7797393D" w14:textId="77777777" w:rsidR="009654A1" w:rsidRPr="00CD51F6" w:rsidRDefault="009176FF" w:rsidP="000846C0">
    <w:pPr>
      <w:pStyle w:val="Noparagraphstyle"/>
      <w:jc w:val="right"/>
      <w:rPr>
        <w:rFonts w:ascii="Arial" w:hAnsi="Arial" w:cs="Arial"/>
        <w:i/>
        <w:iCs/>
        <w:color w:val="034EA2"/>
      </w:rPr>
    </w:pPr>
    <w:r>
      <w:tab/>
    </w:r>
  </w:p>
  <w:p w14:paraId="7797393E" w14:textId="77777777" w:rsidR="009654A1" w:rsidRPr="007349E1" w:rsidRDefault="009176FF" w:rsidP="007349E1">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9264" behindDoc="0" locked="0" layoutInCell="1" allowOverlap="1" wp14:anchorId="77973940" wp14:editId="77973941">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CEA - Bullets Rounded Squares_BulletLevel1_forMS"/>
      </v:shape>
    </w:pict>
  </w:numPicBullet>
  <w:numPicBullet w:numPicBulletId="1">
    <w:pict>
      <v:shape id="_x0000_i1078" type="#_x0000_t75" style="width:7.5pt;height:7.5pt" o:bullet="t">
        <v:imagedata r:id="rId2" o:title="CEA - Bullets Rounded Squares_BulletLevel2_forMS"/>
      </v:shape>
    </w:pict>
  </w:numPicBullet>
  <w:numPicBullet w:numPicBulletId="2">
    <w:pict>
      <v:shape id="_x0000_i1079"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44E2531E"/>
    <w:multiLevelType w:val="hybridMultilevel"/>
    <w:tmpl w:val="A96E6A00"/>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D3DF1"/>
    <w:rsid w:val="001126A0"/>
    <w:rsid w:val="0034261F"/>
    <w:rsid w:val="00440FEE"/>
    <w:rsid w:val="00874EB4"/>
    <w:rsid w:val="009176FF"/>
    <w:rsid w:val="00B60FC7"/>
    <w:rsid w:val="00C14B8C"/>
    <w:rsid w:val="00C242E5"/>
    <w:rsid w:val="00F8705B"/>
    <w:rsid w:val="00FA4D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3936"/>
  <w15:docId w15:val="{C9243032-5BFF-4523-8732-ABBC976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semiHidden/>
    <w:rsid w:val="009176FF"/>
    <w:pPr>
      <w:tabs>
        <w:tab w:val="center" w:pos="4320"/>
        <w:tab w:val="right" w:pos="8640"/>
      </w:tabs>
    </w:pPr>
  </w:style>
  <w:style w:type="character" w:customStyle="1" w:styleId="PtaChar">
    <w:name w:val="Päta Char"/>
    <w:basedOn w:val="Predvolenpsmoodseku"/>
    <w:link w:val="Pta"/>
    <w:semiHidden/>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 xsi:nil="true"/>
    <Linked_x0020_files xmlns="$ListId:PublishedDocuments;" xsi:nil="true"/>
    <Type_x0020_of_x0020_document xmlns="34d7415f-f1a4-44df-8e35-2ceaafd480dc">Memo</Type_x0020_of_x0020_document>
    <ValidationComment xmlns="e092deee-a6f6-4f89-8a6c-e2a43e9fb5cf" xsi:nil="true"/>
    <Can_x0020_be_x0020_edited xmlns="$ListId:PublishedDocuments;">false</Can_x0020_be_x0020_edited>
    <Deadline xmlns="2ad614c7-900c-4770-94a0-e04fed16376c" xsi:nil="true"/>
    <AllowComments xmlns="e092deee-a6f6-4f89-8a6c-e2a43e9fb5cf">false</AllowComments>
    <Validated xmlns="e092deee-a6f6-4f89-8a6c-e2a43e9fb5cf">false</Validated>
    <Uploads xmlns="2ad614c7-900c-4770-94a0-e04fed16376c">false</Uploads>
    <isAnnex xmlns="2ad614c7-900c-4770-94a0-e04fed16376c">True</isAnnex>
    <Display_x0020_validated_x0020_documents_x0020_library_x0020_button xmlns="70f7eb82-310d-4963-bf1e-a4c2a37fd81c">false</Display_x0020_validated_x0020_documents_x0020_library_x0020_button>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0" ma:contentTypeDescription="Published Documents Content types for Insurance Europe" ma:contentTypeScope="" ma:versionID="7746cb26ceeed01331dbcb0ea4c1c302">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2.xml><?xml version="1.0" encoding="utf-8"?>
<ds:datastoreItem xmlns:ds="http://schemas.openxmlformats.org/officeDocument/2006/customXml" ds:itemID="{71D7A0EA-14CF-4487-AFCD-561CDD8E319F}">
  <ds:schemaRefs>
    <ds:schemaRef ds:uri="http://schemas.microsoft.com/office/2006/metadata/properties"/>
    <ds:schemaRef ds:uri="http://schemas.microsoft.com/office/infopath/2007/PartnerControls"/>
    <ds:schemaRef ds:uri="70f7eb82-310d-4963-bf1e-a4c2a37fd81c"/>
    <ds:schemaRef ds:uri="$ListId:PublishedDocuments;"/>
    <ds:schemaRef ds:uri="34d7415f-f1a4-44df-8e35-2ceaafd480dc"/>
    <ds:schemaRef ds:uri="e092deee-a6f6-4f89-8a6c-e2a43e9fb5cf"/>
    <ds:schemaRef ds:uri="2ad614c7-900c-4770-94a0-e04fed16376c"/>
  </ds:schemaRefs>
</ds:datastoreItem>
</file>

<file path=customXml/itemProps3.xml><?xml version="1.0" encoding="utf-8"?>
<ds:datastoreItem xmlns:ds="http://schemas.openxmlformats.org/officeDocument/2006/customXml" ds:itemID="{C6C4D562-2F9B-4FD9-BE0B-8834ABD8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1329</Words>
  <Characters>7579</Characters>
  <Application>Microsoft Office Word</Application>
  <DocSecurity>0</DocSecurity>
  <Lines>63</Lines>
  <Paragraphs>17</Paragraphs>
  <ScaleCrop>false</ScaleCrop>
  <Company>Insurance Europe</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EIOPA Stress Test exercise – individual company disclosure of results</dc:title>
  <dc:creator>Insurance Europe</dc:creator>
  <cp:lastModifiedBy>Bachníček Jozef</cp:lastModifiedBy>
  <cp:revision>2</cp:revision>
  <dcterms:created xsi:type="dcterms:W3CDTF">2021-11-18T07:23:00Z</dcterms:created>
  <dcterms:modified xsi:type="dcterms:W3CDTF">2021-11-18T07:23:00Z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ies>
</file>