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909A6" w14:textId="77777777" w:rsidR="009556AB" w:rsidRPr="009556AB" w:rsidRDefault="009556AB" w:rsidP="009556AB">
      <w:pPr>
        <w:spacing w:line="288" w:lineRule="auto"/>
        <w:jc w:val="center"/>
        <w:rPr>
          <w:rStyle w:val="CEAGraphTitle"/>
          <w:b/>
          <w:bCs/>
          <w:szCs w:val="17"/>
        </w:rPr>
      </w:pPr>
      <w:r w:rsidRPr="009556AB">
        <w:rPr>
          <w:rStyle w:val="CEAGraphTitle"/>
          <w:b/>
          <w:bCs/>
          <w:szCs w:val="17"/>
        </w:rPr>
        <w:t>EGBPI meeting, 1 February 2021 – Questions to Member States</w:t>
      </w:r>
    </w:p>
    <w:p w14:paraId="54840A3B" w14:textId="77777777" w:rsidR="009556AB" w:rsidRPr="009556AB" w:rsidRDefault="009556AB" w:rsidP="009556AB">
      <w:pPr>
        <w:spacing w:line="288" w:lineRule="auto"/>
        <w:jc w:val="center"/>
        <w:rPr>
          <w:rFonts w:ascii="Verdana" w:hAnsi="Verdana"/>
          <w:b/>
          <w:bCs/>
          <w:sz w:val="17"/>
          <w:szCs w:val="17"/>
        </w:rPr>
      </w:pPr>
      <w:r w:rsidRPr="009556AB">
        <w:rPr>
          <w:rFonts w:ascii="Verdana" w:hAnsi="Verdana"/>
          <w:b/>
          <w:bCs/>
          <w:sz w:val="17"/>
          <w:szCs w:val="17"/>
        </w:rPr>
        <w:t>Solvency II review – Discussion on the main aspects of the EIOPA’s technical Advice</w:t>
      </w:r>
    </w:p>
    <w:p w14:paraId="68896D0C" w14:textId="77777777" w:rsidR="009556AB" w:rsidRPr="009556AB" w:rsidRDefault="009556AB" w:rsidP="009556AB">
      <w:pPr>
        <w:spacing w:line="288" w:lineRule="auto"/>
        <w:jc w:val="both"/>
        <w:rPr>
          <w:rStyle w:val="CEAGraphTitle"/>
          <w:szCs w:val="17"/>
        </w:rPr>
      </w:pPr>
    </w:p>
    <w:p w14:paraId="7B29499C" w14:textId="77777777" w:rsidR="009556AB" w:rsidRPr="009556AB" w:rsidRDefault="009556AB" w:rsidP="009556AB">
      <w:pPr>
        <w:spacing w:line="288" w:lineRule="auto"/>
        <w:jc w:val="both"/>
        <w:rPr>
          <w:rStyle w:val="CEAGraphTitle"/>
          <w:szCs w:val="17"/>
        </w:rPr>
      </w:pPr>
    </w:p>
    <w:p w14:paraId="79F9E738" w14:textId="77777777" w:rsidR="009556AB" w:rsidRPr="009556AB" w:rsidRDefault="009556AB" w:rsidP="009556AB">
      <w:pPr>
        <w:spacing w:line="288" w:lineRule="auto"/>
        <w:jc w:val="both"/>
        <w:rPr>
          <w:rStyle w:val="CEAGraphTitle"/>
          <w:szCs w:val="17"/>
        </w:rPr>
      </w:pPr>
    </w:p>
    <w:p w14:paraId="032851CC" w14:textId="77777777" w:rsidR="009556AB" w:rsidRPr="009556AB" w:rsidRDefault="009556AB" w:rsidP="009556AB">
      <w:pPr>
        <w:spacing w:line="288" w:lineRule="auto"/>
        <w:jc w:val="both"/>
        <w:rPr>
          <w:rFonts w:ascii="Verdana" w:hAnsi="Verdana"/>
          <w:b/>
          <w:sz w:val="17"/>
          <w:szCs w:val="17"/>
          <w:u w:val="single"/>
        </w:rPr>
      </w:pPr>
      <w:r w:rsidRPr="009556AB">
        <w:rPr>
          <w:rFonts w:ascii="Verdana" w:hAnsi="Verdana"/>
          <w:b/>
          <w:sz w:val="17"/>
          <w:szCs w:val="17"/>
          <w:u w:val="single"/>
        </w:rPr>
        <w:t>I – Role of the insurance industry in the context of the renewed Capital Markets Union (CMU) Action Plan and the (coming) renewed Sustainable Finance Strategy</w:t>
      </w:r>
    </w:p>
    <w:p w14:paraId="3CD6BBBA" w14:textId="77777777" w:rsidR="009556AB" w:rsidRPr="009556AB" w:rsidRDefault="009556AB" w:rsidP="009556AB">
      <w:pPr>
        <w:spacing w:line="288" w:lineRule="auto"/>
        <w:jc w:val="both"/>
        <w:rPr>
          <w:rStyle w:val="CEAGraphTitle"/>
          <w:b/>
          <w:szCs w:val="17"/>
          <w:u w:val="single"/>
        </w:rPr>
      </w:pPr>
    </w:p>
    <w:p w14:paraId="14ECA664" w14:textId="77777777" w:rsidR="009556AB" w:rsidRPr="009556AB" w:rsidRDefault="009556AB" w:rsidP="009556AB">
      <w:pPr>
        <w:pStyle w:val="ListParagraph"/>
        <w:numPr>
          <w:ilvl w:val="0"/>
          <w:numId w:val="24"/>
        </w:numPr>
        <w:rPr>
          <w:i/>
          <w:iCs/>
          <w:szCs w:val="17"/>
        </w:rPr>
      </w:pPr>
      <w:r w:rsidRPr="009556AB">
        <w:rPr>
          <w:i/>
          <w:iCs/>
          <w:szCs w:val="17"/>
        </w:rPr>
        <w:t>Member States are invited to share their views on EIOPA’s proposals on equity.</w:t>
      </w:r>
    </w:p>
    <w:p w14:paraId="55B8104F" w14:textId="77777777" w:rsidR="009556AB" w:rsidRPr="009556AB" w:rsidRDefault="009556AB" w:rsidP="009556AB">
      <w:pPr>
        <w:spacing w:line="288" w:lineRule="auto"/>
        <w:jc w:val="both"/>
        <w:rPr>
          <w:rFonts w:ascii="Verdana" w:hAnsi="Verdana"/>
          <w:b/>
          <w:bCs/>
          <w:i/>
          <w:iCs/>
          <w:color w:val="FF0000"/>
          <w:sz w:val="17"/>
          <w:szCs w:val="17"/>
        </w:rPr>
      </w:pPr>
    </w:p>
    <w:p w14:paraId="11569991" w14:textId="77777777" w:rsidR="009556AB" w:rsidRPr="009556AB" w:rsidRDefault="009556AB" w:rsidP="009556AB">
      <w:pPr>
        <w:spacing w:line="288" w:lineRule="auto"/>
        <w:jc w:val="both"/>
        <w:rPr>
          <w:rFonts w:ascii="Verdana" w:hAnsi="Verdana"/>
          <w:b/>
          <w:bCs/>
          <w:i/>
          <w:iCs/>
          <w:color w:val="44546A" w:themeColor="text2"/>
          <w:sz w:val="17"/>
          <w:szCs w:val="17"/>
        </w:rPr>
      </w:pPr>
      <w:r w:rsidRPr="009556AB">
        <w:rPr>
          <w:rFonts w:ascii="Verdana" w:hAnsi="Verdana"/>
          <w:b/>
          <w:bCs/>
          <w:i/>
          <w:iCs/>
          <w:color w:val="44546A" w:themeColor="text2"/>
          <w:sz w:val="17"/>
          <w:szCs w:val="17"/>
        </w:rPr>
        <w:t xml:space="preserve">EIOPA’s proposals </w:t>
      </w:r>
      <w:r w:rsidRPr="009556AB">
        <w:rPr>
          <w:rFonts w:ascii="Verdana" w:hAnsi="Verdana"/>
          <w:b/>
          <w:bCs/>
          <w:i/>
          <w:iCs/>
          <w:color w:val="44546A" w:themeColor="text2"/>
          <w:sz w:val="17"/>
          <w:szCs w:val="17"/>
          <w:u w:val="single"/>
        </w:rPr>
        <w:t>require further changes</w:t>
      </w:r>
      <w:r w:rsidRPr="009556AB">
        <w:rPr>
          <w:rFonts w:ascii="Verdana" w:hAnsi="Verdana"/>
          <w:b/>
          <w:bCs/>
          <w:i/>
          <w:iCs/>
          <w:color w:val="44546A" w:themeColor="text2"/>
          <w:sz w:val="17"/>
          <w:szCs w:val="17"/>
        </w:rPr>
        <w:t xml:space="preserve"> – if accepted as they are, they will not work as intended and so need improving.</w:t>
      </w:r>
    </w:p>
    <w:p w14:paraId="424E149C" w14:textId="77777777" w:rsidR="009556AB" w:rsidRPr="009556AB" w:rsidRDefault="009556AB" w:rsidP="009556AB">
      <w:pPr>
        <w:spacing w:line="288" w:lineRule="auto"/>
        <w:jc w:val="both"/>
        <w:rPr>
          <w:rFonts w:ascii="Verdana" w:hAnsi="Verdana"/>
          <w:i/>
          <w:iCs/>
          <w:color w:val="44546A" w:themeColor="text2"/>
          <w:sz w:val="17"/>
          <w:szCs w:val="17"/>
        </w:rPr>
      </w:pPr>
    </w:p>
    <w:p w14:paraId="487982B5"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It is well recognised that the current criteria for qualifying for the long-term equity category do not work.  The Commission therefore asked EIOPA to consider how the criteria could be made to work. EIOPA have provided some helpful ideas but they need further improvements in order to have a material impact.</w:t>
      </w:r>
    </w:p>
    <w:p w14:paraId="78983204" w14:textId="77777777" w:rsidR="009556AB" w:rsidRPr="009556AB" w:rsidRDefault="009556AB" w:rsidP="009556AB">
      <w:pPr>
        <w:spacing w:line="288" w:lineRule="auto"/>
        <w:jc w:val="both"/>
        <w:rPr>
          <w:rFonts w:ascii="Verdana" w:hAnsi="Verdana"/>
          <w:color w:val="44546A" w:themeColor="text2"/>
          <w:sz w:val="17"/>
          <w:szCs w:val="17"/>
        </w:rPr>
      </w:pPr>
    </w:p>
    <w:p w14:paraId="01C3C29C"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When insurers invest, the nature of their business model and asset/liability management allows them to take a long-term perspective. This gives them a great deal of flexibility during market volatility because they can choose if they sell assets, when to sell assets and which assets to sell. This means that the investment risk is usually long-term underperformance of assets like equities, rather than the risk of short-term market volatility. The long-term equity category created under the 2018 SII Review recognises this with a more appropriate calibration of 22% - lower than the standard equity calibrations of 39%/49%.  This category is necessary to allow insurers to invest appropriately and to reflect the risk capacity allowed by their products and risk management requirements.</w:t>
      </w:r>
    </w:p>
    <w:p w14:paraId="4E0D9797" w14:textId="77777777" w:rsidR="009556AB" w:rsidRPr="009556AB" w:rsidRDefault="009556AB" w:rsidP="009556AB">
      <w:pPr>
        <w:spacing w:line="288" w:lineRule="auto"/>
        <w:jc w:val="both"/>
        <w:rPr>
          <w:rFonts w:ascii="Verdana" w:hAnsi="Verdana"/>
          <w:color w:val="44546A" w:themeColor="text2"/>
          <w:sz w:val="17"/>
          <w:szCs w:val="17"/>
        </w:rPr>
      </w:pPr>
    </w:p>
    <w:p w14:paraId="7A7D492E" w14:textId="77777777" w:rsidR="009556AB" w:rsidRPr="009556AB" w:rsidRDefault="009556AB" w:rsidP="009556AB">
      <w:pPr>
        <w:spacing w:line="288" w:lineRule="auto"/>
        <w:jc w:val="both"/>
        <w:rPr>
          <w:rFonts w:ascii="Verdana" w:hAnsi="Verdana"/>
          <w:i/>
          <w:iCs/>
          <w:sz w:val="17"/>
          <w:szCs w:val="17"/>
        </w:rPr>
      </w:pPr>
    </w:p>
    <w:p w14:paraId="336D6BF0" w14:textId="77777777" w:rsidR="009556AB" w:rsidRPr="009556AB" w:rsidRDefault="009556AB" w:rsidP="009556AB">
      <w:pPr>
        <w:pStyle w:val="ListParagraph"/>
        <w:numPr>
          <w:ilvl w:val="0"/>
          <w:numId w:val="24"/>
        </w:numPr>
        <w:rPr>
          <w:i/>
          <w:iCs/>
          <w:szCs w:val="17"/>
        </w:rPr>
      </w:pPr>
      <w:r w:rsidRPr="009556AB">
        <w:rPr>
          <w:i/>
          <w:iCs/>
          <w:szCs w:val="17"/>
        </w:rPr>
        <w:t>Considering the importance of the topic of insurers’ contribution to the green transition, DG FISMA would like to get the views of the Member States on whether the review should introduce differentiated prudential treatments for green/brown assets and, if so, on which basis (type of assets, calibration).</w:t>
      </w:r>
    </w:p>
    <w:p w14:paraId="07D2A457" w14:textId="77777777" w:rsidR="009556AB" w:rsidRPr="009556AB" w:rsidRDefault="009556AB" w:rsidP="009556AB">
      <w:pPr>
        <w:pStyle w:val="ListParagraph"/>
        <w:ind w:left="1071"/>
        <w:rPr>
          <w:i/>
          <w:iCs/>
          <w:szCs w:val="17"/>
        </w:rPr>
      </w:pPr>
    </w:p>
    <w:p w14:paraId="36F76264" w14:textId="77777777" w:rsidR="009556AB" w:rsidRPr="009556AB" w:rsidRDefault="009556AB" w:rsidP="009556AB">
      <w:pPr>
        <w:spacing w:line="288" w:lineRule="auto"/>
        <w:jc w:val="both"/>
        <w:rPr>
          <w:rFonts w:ascii="Verdana" w:hAnsi="Verdana"/>
          <w:b/>
          <w:bCs/>
          <w:i/>
          <w:iCs/>
          <w:color w:val="44546A" w:themeColor="text2"/>
          <w:sz w:val="17"/>
          <w:szCs w:val="17"/>
        </w:rPr>
      </w:pPr>
      <w:r w:rsidRPr="009556AB">
        <w:rPr>
          <w:rFonts w:ascii="Verdana" w:hAnsi="Verdana"/>
          <w:b/>
          <w:bCs/>
          <w:i/>
          <w:iCs/>
          <w:color w:val="44546A" w:themeColor="text2"/>
          <w:sz w:val="17"/>
          <w:szCs w:val="17"/>
        </w:rPr>
        <w:t>No, there is no need for a differentiated prudential treatment for green/brown assets.</w:t>
      </w:r>
    </w:p>
    <w:p w14:paraId="4B86666D" w14:textId="77777777" w:rsidR="009556AB" w:rsidRPr="009556AB" w:rsidRDefault="009556AB" w:rsidP="009556AB">
      <w:pPr>
        <w:spacing w:line="288" w:lineRule="auto"/>
        <w:jc w:val="both"/>
        <w:rPr>
          <w:rFonts w:ascii="Verdana" w:hAnsi="Verdana"/>
          <w:b/>
          <w:bCs/>
          <w:i/>
          <w:iCs/>
          <w:color w:val="44546A" w:themeColor="text2"/>
          <w:sz w:val="17"/>
          <w:szCs w:val="17"/>
        </w:rPr>
      </w:pPr>
    </w:p>
    <w:p w14:paraId="7E14441A"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Introducing artificial incentives/disincentives based on green/brown considerations would not make sense in the context of a risk-based framework such as Solvency II and indeed can create bubbles. Instead, the Solvency II review should focus on fixing the flaws in the current treatment of long-term assets and investments – and from there sustainable asset investments will flow naturally. </w:t>
      </w:r>
    </w:p>
    <w:p w14:paraId="6A8597D9" w14:textId="77777777" w:rsidR="009556AB" w:rsidRPr="009556AB" w:rsidRDefault="009556AB" w:rsidP="009556AB">
      <w:pPr>
        <w:spacing w:line="288" w:lineRule="auto"/>
        <w:jc w:val="both"/>
        <w:rPr>
          <w:rFonts w:ascii="Verdana" w:hAnsi="Verdana"/>
          <w:b/>
          <w:bCs/>
          <w:i/>
          <w:iCs/>
          <w:color w:val="44546A" w:themeColor="text2"/>
          <w:sz w:val="17"/>
          <w:szCs w:val="17"/>
        </w:rPr>
      </w:pPr>
      <w:r w:rsidRPr="009556AB">
        <w:rPr>
          <w:rFonts w:ascii="Verdana" w:hAnsi="Verdana"/>
          <w:color w:val="44546A" w:themeColor="text2"/>
          <w:sz w:val="17"/>
          <w:szCs w:val="17"/>
        </w:rPr>
        <w:t xml:space="preserve"> </w:t>
      </w:r>
    </w:p>
    <w:p w14:paraId="221F4A28"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Green/sustainable assets are typically long-term and it is because of long-term products that insurers can invest long-term in such assets. The Solvency II review should be used to remove barriers to long-term products and investment, and this in itself will allow insurers to invest more in sustainable/green assets. </w:t>
      </w:r>
    </w:p>
    <w:p w14:paraId="256CB0B5" w14:textId="77777777" w:rsidR="009556AB" w:rsidRPr="009556AB" w:rsidRDefault="009556AB" w:rsidP="009556AB">
      <w:pPr>
        <w:spacing w:line="288" w:lineRule="auto"/>
        <w:jc w:val="both"/>
        <w:rPr>
          <w:rFonts w:ascii="Verdana" w:hAnsi="Verdana"/>
          <w:b/>
          <w:i/>
          <w:color w:val="44546A" w:themeColor="text2"/>
          <w:sz w:val="17"/>
          <w:szCs w:val="17"/>
        </w:rPr>
      </w:pPr>
    </w:p>
    <w:p w14:paraId="55C3D0DE"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Insurers already have incentives to invest in such sustainable investments and new regulations such as the Sustainable Finance Disclosures Regulation (SFDR) and the Taxonomy Regulation will add significantly to this, so it is removal of barriers that is key for Solvency II.</w:t>
      </w:r>
    </w:p>
    <w:p w14:paraId="5430A891" w14:textId="77777777" w:rsidR="009556AB" w:rsidRPr="009556AB" w:rsidRDefault="009556AB" w:rsidP="009556AB">
      <w:pPr>
        <w:spacing w:line="288" w:lineRule="auto"/>
        <w:jc w:val="both"/>
        <w:rPr>
          <w:rFonts w:ascii="Verdana" w:hAnsi="Verdana"/>
          <w:color w:val="FF0000"/>
          <w:sz w:val="17"/>
          <w:szCs w:val="17"/>
        </w:rPr>
      </w:pPr>
    </w:p>
    <w:p w14:paraId="69BFAD4C" w14:textId="77777777" w:rsidR="009556AB" w:rsidRPr="009556AB" w:rsidRDefault="009556AB" w:rsidP="009556AB">
      <w:pPr>
        <w:spacing w:line="288" w:lineRule="auto"/>
        <w:ind w:left="708"/>
        <w:jc w:val="both"/>
        <w:rPr>
          <w:rFonts w:ascii="Verdana" w:hAnsi="Verdana"/>
          <w:i/>
          <w:iCs/>
          <w:sz w:val="17"/>
          <w:szCs w:val="17"/>
        </w:rPr>
      </w:pPr>
      <w:r w:rsidRPr="009556AB">
        <w:rPr>
          <w:rFonts w:ascii="Verdana" w:hAnsi="Verdana"/>
          <w:i/>
          <w:iCs/>
          <w:sz w:val="17"/>
          <w:szCs w:val="17"/>
        </w:rPr>
        <w:t>3.</w:t>
      </w:r>
      <w:r w:rsidRPr="009556AB">
        <w:rPr>
          <w:rFonts w:ascii="Verdana" w:hAnsi="Verdana"/>
          <w:i/>
          <w:iCs/>
          <w:sz w:val="17"/>
          <w:szCs w:val="17"/>
        </w:rPr>
        <w:tab/>
        <w:t>Do Member States have other points to raise on those topics?</w:t>
      </w:r>
    </w:p>
    <w:p w14:paraId="796828A7" w14:textId="77777777" w:rsidR="009556AB" w:rsidRPr="009556AB" w:rsidRDefault="009556AB" w:rsidP="009556AB">
      <w:pPr>
        <w:spacing w:line="288" w:lineRule="auto"/>
        <w:jc w:val="both"/>
        <w:rPr>
          <w:rFonts w:ascii="Verdana" w:hAnsi="Verdana"/>
          <w:color w:val="FF0000"/>
          <w:sz w:val="17"/>
          <w:szCs w:val="17"/>
        </w:rPr>
      </w:pPr>
    </w:p>
    <w:p w14:paraId="2BEC8C06"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In addition to Solvency II, the </w:t>
      </w:r>
      <w:r w:rsidRPr="009556AB">
        <w:rPr>
          <w:rFonts w:ascii="Verdana" w:hAnsi="Verdana"/>
          <w:b/>
          <w:bCs/>
          <w:color w:val="44546A" w:themeColor="text2"/>
          <w:sz w:val="17"/>
          <w:szCs w:val="17"/>
        </w:rPr>
        <w:t>lack of supply of sustainable assets is a key issue</w:t>
      </w:r>
      <w:r w:rsidRPr="009556AB">
        <w:rPr>
          <w:rFonts w:ascii="Verdana" w:hAnsi="Verdana"/>
          <w:color w:val="44546A" w:themeColor="text2"/>
          <w:sz w:val="17"/>
          <w:szCs w:val="17"/>
        </w:rPr>
        <w:t xml:space="preserve"> for insurers and should be prioritized by policymakers.</w:t>
      </w:r>
    </w:p>
    <w:p w14:paraId="3AA4B523" w14:textId="77777777" w:rsidR="009556AB" w:rsidRPr="009556AB" w:rsidRDefault="009556AB" w:rsidP="009556AB">
      <w:pPr>
        <w:spacing w:line="288" w:lineRule="auto"/>
        <w:jc w:val="both"/>
        <w:rPr>
          <w:rFonts w:ascii="Verdana" w:hAnsi="Verdana"/>
          <w:b/>
          <w:sz w:val="17"/>
          <w:szCs w:val="17"/>
          <w:u w:val="single"/>
        </w:rPr>
      </w:pPr>
      <w:r w:rsidRPr="009556AB">
        <w:rPr>
          <w:rFonts w:ascii="Verdana" w:hAnsi="Verdana"/>
          <w:b/>
          <w:sz w:val="17"/>
          <w:szCs w:val="17"/>
          <w:u w:val="single"/>
        </w:rPr>
        <w:lastRenderedPageBreak/>
        <w:t>II – Risk sensitivity and excessive volatility – review of the long-term guarantee package</w:t>
      </w:r>
    </w:p>
    <w:p w14:paraId="5BC5CADE" w14:textId="77777777" w:rsidR="009556AB" w:rsidRPr="009556AB" w:rsidRDefault="009556AB" w:rsidP="009556AB">
      <w:pPr>
        <w:pStyle w:val="ListParagraph"/>
        <w:numPr>
          <w:ilvl w:val="0"/>
          <w:numId w:val="28"/>
        </w:numPr>
        <w:rPr>
          <w:i/>
          <w:szCs w:val="17"/>
        </w:rPr>
      </w:pPr>
      <w:r w:rsidRPr="009556AB">
        <w:rPr>
          <w:i/>
          <w:szCs w:val="17"/>
        </w:rPr>
        <w:t>Member States are invited to share their views on EIOPA’s approach to improve risk sensitivity, in particular in relation to interest rate risk and extrapolation, including the temporary safeguard mechanism.</w:t>
      </w:r>
    </w:p>
    <w:p w14:paraId="4E04879B" w14:textId="77777777" w:rsidR="009556AB" w:rsidRPr="009556AB" w:rsidRDefault="009556AB" w:rsidP="009556AB">
      <w:pPr>
        <w:spacing w:line="288" w:lineRule="auto"/>
        <w:jc w:val="both"/>
        <w:rPr>
          <w:rFonts w:ascii="Verdana" w:hAnsi="Verdana"/>
          <w:i/>
          <w:iCs/>
          <w:color w:val="FF0000"/>
          <w:sz w:val="17"/>
          <w:szCs w:val="17"/>
          <w:u w:val="single"/>
        </w:rPr>
      </w:pPr>
    </w:p>
    <w:p w14:paraId="1ED320CC" w14:textId="77777777" w:rsidR="009556AB" w:rsidRPr="009556AB" w:rsidRDefault="009556AB" w:rsidP="009556AB">
      <w:pPr>
        <w:spacing w:line="288" w:lineRule="auto"/>
        <w:jc w:val="both"/>
        <w:rPr>
          <w:rFonts w:ascii="Verdana" w:hAnsi="Verdana"/>
          <w:color w:val="44546A" w:themeColor="text2"/>
          <w:sz w:val="17"/>
          <w:szCs w:val="17"/>
          <w:u w:val="single"/>
        </w:rPr>
      </w:pPr>
      <w:r w:rsidRPr="009556AB">
        <w:rPr>
          <w:rFonts w:ascii="Verdana" w:hAnsi="Verdana"/>
          <w:color w:val="44546A" w:themeColor="text2"/>
          <w:sz w:val="17"/>
          <w:szCs w:val="17"/>
          <w:u w:val="single"/>
        </w:rPr>
        <w:t xml:space="preserve">Interest rate risk </w:t>
      </w:r>
    </w:p>
    <w:p w14:paraId="249E03A2"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There are two separate issues on interest rates: </w:t>
      </w:r>
    </w:p>
    <w:p w14:paraId="5CFE294E" w14:textId="77777777" w:rsidR="009556AB" w:rsidRPr="009556AB" w:rsidRDefault="009556AB" w:rsidP="009556AB">
      <w:pPr>
        <w:spacing w:line="288" w:lineRule="auto"/>
        <w:jc w:val="both"/>
        <w:rPr>
          <w:rFonts w:ascii="Verdana" w:hAnsi="Verdana"/>
          <w:i/>
          <w:iCs/>
          <w:color w:val="44546A" w:themeColor="text2"/>
          <w:sz w:val="17"/>
          <w:szCs w:val="17"/>
        </w:rPr>
      </w:pPr>
    </w:p>
    <w:p w14:paraId="1D836BCE" w14:textId="77777777" w:rsidR="009556AB" w:rsidRPr="009556AB" w:rsidRDefault="009556AB" w:rsidP="009556AB">
      <w:pPr>
        <w:pStyle w:val="ListParagraph"/>
        <w:numPr>
          <w:ilvl w:val="0"/>
          <w:numId w:val="25"/>
        </w:numPr>
        <w:rPr>
          <w:i/>
          <w:iCs/>
          <w:color w:val="44546A" w:themeColor="text2"/>
          <w:szCs w:val="17"/>
        </w:rPr>
      </w:pPr>
      <w:r w:rsidRPr="009556AB">
        <w:rPr>
          <w:b/>
          <w:bCs/>
          <w:i/>
          <w:iCs/>
          <w:color w:val="44546A" w:themeColor="text2"/>
          <w:szCs w:val="17"/>
        </w:rPr>
        <w:t>How to calibrate the low interest rate shock for the Solvency Capital Requirement (SCR)?</w:t>
      </w:r>
      <w:r w:rsidRPr="009556AB">
        <w:rPr>
          <w:i/>
          <w:iCs/>
          <w:color w:val="44546A" w:themeColor="text2"/>
          <w:szCs w:val="17"/>
        </w:rPr>
        <w:t xml:space="preserve">  </w:t>
      </w:r>
    </w:p>
    <w:p w14:paraId="55CB88D7" w14:textId="77777777" w:rsidR="009556AB" w:rsidRPr="009556AB" w:rsidRDefault="009556AB" w:rsidP="009556AB">
      <w:pPr>
        <w:spacing w:line="288" w:lineRule="auto"/>
        <w:jc w:val="both"/>
        <w:rPr>
          <w:rFonts w:ascii="Verdana" w:hAnsi="Verdana"/>
          <w:i/>
          <w:iCs/>
          <w:color w:val="44546A" w:themeColor="text2"/>
          <w:sz w:val="17"/>
          <w:szCs w:val="17"/>
        </w:rPr>
      </w:pPr>
    </w:p>
    <w:p w14:paraId="7C4D731F"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This is a risk that interest rates fall even lower than the current very low rates. The current interest rate risk capital charge does not allow for negative interest rates and so this clearly needs to be changed.</w:t>
      </w:r>
    </w:p>
    <w:p w14:paraId="4246765B" w14:textId="77777777" w:rsidR="009556AB" w:rsidRPr="009556AB" w:rsidRDefault="009556AB" w:rsidP="009556AB">
      <w:pPr>
        <w:spacing w:line="288" w:lineRule="auto"/>
        <w:jc w:val="both"/>
        <w:rPr>
          <w:rFonts w:ascii="Verdana" w:hAnsi="Verdana"/>
          <w:color w:val="44546A" w:themeColor="text2"/>
          <w:sz w:val="17"/>
          <w:szCs w:val="17"/>
        </w:rPr>
      </w:pPr>
    </w:p>
    <w:p w14:paraId="243751E9"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u w:val="single"/>
        </w:rPr>
        <w:t>Therefore,</w:t>
      </w:r>
      <w:r w:rsidRPr="009556AB">
        <w:rPr>
          <w:rFonts w:ascii="Verdana" w:hAnsi="Verdana"/>
          <w:b/>
          <w:color w:val="44546A" w:themeColor="text2"/>
          <w:sz w:val="17"/>
          <w:szCs w:val="17"/>
          <w:u w:val="single"/>
        </w:rPr>
        <w:t xml:space="preserve"> </w:t>
      </w:r>
      <w:r w:rsidRPr="009556AB">
        <w:rPr>
          <w:rFonts w:ascii="Verdana" w:hAnsi="Verdana"/>
          <w:b/>
          <w:bCs/>
          <w:color w:val="44546A" w:themeColor="text2"/>
          <w:sz w:val="17"/>
          <w:szCs w:val="17"/>
          <w:u w:val="single"/>
        </w:rPr>
        <w:t>EIOPA is right to propose changes</w:t>
      </w:r>
      <w:r w:rsidRPr="009556AB">
        <w:rPr>
          <w:rFonts w:ascii="Verdana" w:hAnsi="Verdana"/>
          <w:b/>
          <w:bCs/>
          <w:color w:val="44546A" w:themeColor="text2"/>
          <w:sz w:val="17"/>
          <w:szCs w:val="17"/>
        </w:rPr>
        <w:t xml:space="preserve"> </w:t>
      </w:r>
      <w:r w:rsidRPr="009556AB">
        <w:rPr>
          <w:rFonts w:ascii="Verdana" w:hAnsi="Verdana"/>
          <w:b/>
          <w:bCs/>
          <w:color w:val="44546A" w:themeColor="text2"/>
          <w:sz w:val="17"/>
          <w:szCs w:val="17"/>
          <w:u w:val="single"/>
        </w:rPr>
        <w:t>but two elements of its proposals</w:t>
      </w:r>
      <w:r w:rsidRPr="009556AB">
        <w:rPr>
          <w:rFonts w:ascii="Verdana" w:hAnsi="Verdana"/>
          <w:b/>
          <w:bCs/>
          <w:color w:val="44546A" w:themeColor="text2"/>
          <w:sz w:val="17"/>
          <w:szCs w:val="17"/>
        </w:rPr>
        <w:t xml:space="preserve"> </w:t>
      </w:r>
      <w:r w:rsidRPr="009556AB">
        <w:rPr>
          <w:rFonts w:ascii="Verdana" w:hAnsi="Verdana"/>
          <w:b/>
          <w:bCs/>
          <w:color w:val="44546A" w:themeColor="text2"/>
          <w:sz w:val="17"/>
          <w:szCs w:val="17"/>
          <w:u w:val="single"/>
        </w:rPr>
        <w:t>must be adjusted</w:t>
      </w:r>
      <w:r w:rsidRPr="009556AB">
        <w:rPr>
          <w:rFonts w:ascii="Verdana" w:hAnsi="Verdana"/>
          <w:b/>
          <w:bCs/>
          <w:color w:val="44546A" w:themeColor="text2"/>
          <w:sz w:val="17"/>
          <w:szCs w:val="17"/>
        </w:rPr>
        <w:t xml:space="preserve"> to avoid significantly exaggerating the new capital charges</w:t>
      </w:r>
    </w:p>
    <w:p w14:paraId="794E0ABE" w14:textId="77777777" w:rsidR="009556AB" w:rsidRPr="009556AB" w:rsidRDefault="009556AB" w:rsidP="009556AB">
      <w:pPr>
        <w:pStyle w:val="ListParagraph"/>
        <w:numPr>
          <w:ilvl w:val="0"/>
          <w:numId w:val="26"/>
        </w:numPr>
        <w:rPr>
          <w:color w:val="44546A" w:themeColor="text2"/>
          <w:szCs w:val="17"/>
        </w:rPr>
      </w:pPr>
      <w:r w:rsidRPr="009556AB">
        <w:rPr>
          <w:b/>
          <w:bCs/>
          <w:color w:val="44546A" w:themeColor="text2"/>
          <w:szCs w:val="17"/>
        </w:rPr>
        <w:t>The long-term (illiquid) part of the shocked risk-free curve must be calculated using the normal SII methodology</w:t>
      </w:r>
      <w:r w:rsidRPr="009556AB">
        <w:rPr>
          <w:color w:val="44546A" w:themeColor="text2"/>
          <w:szCs w:val="17"/>
        </w:rPr>
        <w:t xml:space="preserve"> – EIOPA’s proposed approach creates curves which cannot happen in reality </w:t>
      </w:r>
    </w:p>
    <w:p w14:paraId="41FF1695" w14:textId="77777777" w:rsidR="009556AB" w:rsidRPr="009556AB" w:rsidRDefault="009556AB" w:rsidP="009556AB">
      <w:pPr>
        <w:pStyle w:val="ListParagraph"/>
        <w:numPr>
          <w:ilvl w:val="0"/>
          <w:numId w:val="26"/>
        </w:numPr>
        <w:rPr>
          <w:color w:val="44546A" w:themeColor="text2"/>
          <w:szCs w:val="17"/>
        </w:rPr>
      </w:pPr>
      <w:r w:rsidRPr="009556AB">
        <w:rPr>
          <w:b/>
          <w:bCs/>
          <w:color w:val="44546A" w:themeColor="text2"/>
          <w:szCs w:val="17"/>
        </w:rPr>
        <w:t>A different floor is needed</w:t>
      </w:r>
      <w:r w:rsidRPr="009556AB">
        <w:rPr>
          <w:color w:val="44546A" w:themeColor="text2"/>
          <w:szCs w:val="17"/>
        </w:rPr>
        <w:t>.  EIOPA has recognised the need for a floor but has calibrated it so low as to have no useful impact. One reason for EIOPA’s proposed floor being inappropriate is that they used the Swiss Franc market to calibrate it.</w:t>
      </w:r>
    </w:p>
    <w:p w14:paraId="721219D5" w14:textId="77777777" w:rsidR="009556AB" w:rsidRPr="009556AB" w:rsidRDefault="009556AB" w:rsidP="009556AB">
      <w:pPr>
        <w:pStyle w:val="ListParagraph"/>
        <w:rPr>
          <w:i/>
          <w:iCs/>
          <w:color w:val="44546A" w:themeColor="text2"/>
          <w:szCs w:val="17"/>
        </w:rPr>
      </w:pPr>
    </w:p>
    <w:p w14:paraId="3B75FA10" w14:textId="77777777" w:rsidR="009556AB" w:rsidRPr="009556AB" w:rsidRDefault="009556AB" w:rsidP="009556AB">
      <w:pPr>
        <w:spacing w:line="288" w:lineRule="auto"/>
        <w:jc w:val="both"/>
        <w:rPr>
          <w:rFonts w:ascii="Verdana" w:hAnsi="Verdana"/>
          <w:i/>
          <w:iCs/>
          <w:color w:val="44546A" w:themeColor="text2"/>
          <w:sz w:val="17"/>
          <w:szCs w:val="17"/>
        </w:rPr>
      </w:pPr>
    </w:p>
    <w:p w14:paraId="3807110E" w14:textId="77777777" w:rsidR="009556AB" w:rsidRPr="009556AB" w:rsidRDefault="009556AB" w:rsidP="009556AB">
      <w:pPr>
        <w:pStyle w:val="ListParagraph"/>
        <w:numPr>
          <w:ilvl w:val="0"/>
          <w:numId w:val="25"/>
        </w:numPr>
        <w:rPr>
          <w:i/>
          <w:iCs/>
          <w:color w:val="44546A" w:themeColor="text2"/>
          <w:szCs w:val="17"/>
        </w:rPr>
      </w:pPr>
      <w:r w:rsidRPr="009556AB">
        <w:rPr>
          <w:b/>
          <w:i/>
          <w:iCs/>
          <w:color w:val="44546A" w:themeColor="text2"/>
          <w:szCs w:val="17"/>
        </w:rPr>
        <w:t>How to extrapolate the risk-free curves beyond the last liquid point</w:t>
      </w:r>
      <w:r w:rsidRPr="009556AB">
        <w:rPr>
          <w:i/>
          <w:iCs/>
          <w:color w:val="44546A" w:themeColor="text2"/>
          <w:szCs w:val="17"/>
        </w:rPr>
        <w:t xml:space="preserve">. This impacts the valuation of liabilities, especially long-term liabilities. </w:t>
      </w:r>
    </w:p>
    <w:p w14:paraId="02260661" w14:textId="77777777" w:rsidR="009556AB" w:rsidRPr="009556AB" w:rsidRDefault="009556AB" w:rsidP="009556AB">
      <w:pPr>
        <w:pStyle w:val="ListParagraph"/>
        <w:ind w:left="360"/>
        <w:rPr>
          <w:i/>
          <w:iCs/>
          <w:color w:val="44546A" w:themeColor="text2"/>
          <w:szCs w:val="17"/>
        </w:rPr>
      </w:pPr>
    </w:p>
    <w:p w14:paraId="07CF64E0"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There should be </w:t>
      </w:r>
      <w:r w:rsidRPr="009556AB">
        <w:rPr>
          <w:rFonts w:ascii="Verdana" w:hAnsi="Verdana"/>
          <w:b/>
          <w:bCs/>
          <w:color w:val="44546A" w:themeColor="text2"/>
          <w:sz w:val="17"/>
          <w:szCs w:val="17"/>
          <w:u w:val="single"/>
        </w:rPr>
        <w:t>no change to the extrapolation methodology for risk free rates</w:t>
      </w:r>
      <w:r w:rsidRPr="009556AB">
        <w:rPr>
          <w:rFonts w:ascii="Verdana" w:hAnsi="Verdana"/>
          <w:b/>
          <w:bCs/>
          <w:color w:val="44546A" w:themeColor="text2"/>
          <w:sz w:val="17"/>
          <w:szCs w:val="17"/>
        </w:rPr>
        <w:t>.</w:t>
      </w:r>
    </w:p>
    <w:p w14:paraId="3A5D8A3E" w14:textId="77777777" w:rsidR="009556AB" w:rsidRPr="009556AB" w:rsidRDefault="009556AB" w:rsidP="009556AB">
      <w:pPr>
        <w:spacing w:line="288" w:lineRule="auto"/>
        <w:ind w:left="360"/>
        <w:jc w:val="both"/>
        <w:rPr>
          <w:rFonts w:ascii="Verdana" w:hAnsi="Verdana"/>
          <w:b/>
          <w:bCs/>
          <w:color w:val="44546A" w:themeColor="text2"/>
          <w:sz w:val="17"/>
          <w:szCs w:val="17"/>
        </w:rPr>
      </w:pPr>
    </w:p>
    <w:p w14:paraId="318D4515"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b/>
          <w:bCs/>
          <w:color w:val="44546A" w:themeColor="text2"/>
          <w:sz w:val="17"/>
          <w:szCs w:val="17"/>
        </w:rPr>
        <w:t>EIOPA’s proposals would create more complexity, add to barriers and burdens for long-term products and investment and could increase artificial volatility</w:t>
      </w:r>
      <w:r w:rsidRPr="009556AB">
        <w:rPr>
          <w:rFonts w:ascii="Verdana" w:hAnsi="Verdana"/>
          <w:color w:val="44546A" w:themeColor="text2"/>
          <w:sz w:val="17"/>
          <w:szCs w:val="17"/>
        </w:rPr>
        <w:t xml:space="preserve">. EIOPA has recognised the negative impacts of its proposals and so have tried to mitigate some of it by adding even more complexity with a dampening transition mechanism. </w:t>
      </w:r>
    </w:p>
    <w:p w14:paraId="139FF5A6" w14:textId="77777777" w:rsidR="009556AB" w:rsidRPr="009556AB" w:rsidRDefault="009556AB" w:rsidP="009556AB">
      <w:pPr>
        <w:spacing w:line="288" w:lineRule="auto"/>
        <w:ind w:left="360"/>
        <w:jc w:val="both"/>
        <w:rPr>
          <w:rFonts w:ascii="Verdana" w:hAnsi="Verdana"/>
          <w:i/>
          <w:iCs/>
          <w:color w:val="44546A" w:themeColor="text2"/>
          <w:sz w:val="17"/>
          <w:szCs w:val="17"/>
        </w:rPr>
      </w:pPr>
    </w:p>
    <w:p w14:paraId="7A9F8B90"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In addition to the negative impacts, the changes are not necessary because </w:t>
      </w:r>
    </w:p>
    <w:p w14:paraId="55B9FE3C"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 xml:space="preserve">The current risk-free curves already allow for the very low rates and negative rates (e.g. Euro rates used for Solvency II at year-end 2020 were as low as -0.4%, -0.1% and 1.4% at 10yr, 20yr and 40yr points respectively). </w:t>
      </w:r>
    </w:p>
    <w:p w14:paraId="5B5B256D"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The UFR (ultimate forward rate) methodology means that if rates really do stay low then the required amount of assets insurers will have to hold against their very long-term liabilities will increase. (The UFR is a parameter used to calculate long-term rates).</w:t>
      </w:r>
    </w:p>
    <w:p w14:paraId="52B7BA70"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 xml:space="preserve">Changes to the interest rate capital charges (see point 1 above) will require insurers to hold additional capital in case of even lower interest rates. </w:t>
      </w:r>
    </w:p>
    <w:p w14:paraId="6D782D7B"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There are a range of other ways long-term liabilities are monitored by the insurer and its supervisor and so customers protected</w:t>
      </w:r>
    </w:p>
    <w:p w14:paraId="3675BCDF" w14:textId="77777777" w:rsidR="009556AB" w:rsidRPr="009556AB" w:rsidRDefault="009556AB" w:rsidP="009556AB">
      <w:pPr>
        <w:pStyle w:val="ListParagraph"/>
        <w:numPr>
          <w:ilvl w:val="1"/>
          <w:numId w:val="27"/>
        </w:numPr>
        <w:rPr>
          <w:color w:val="44546A" w:themeColor="text2"/>
          <w:szCs w:val="17"/>
        </w:rPr>
      </w:pPr>
      <w:r w:rsidRPr="009556AB">
        <w:rPr>
          <w:color w:val="44546A" w:themeColor="text2"/>
          <w:szCs w:val="17"/>
        </w:rPr>
        <w:t xml:space="preserve">A great deal of information is reported in the SII reporting (QRTs etc). </w:t>
      </w:r>
    </w:p>
    <w:p w14:paraId="5DDB9425" w14:textId="77777777" w:rsidR="009556AB" w:rsidRPr="009556AB" w:rsidRDefault="009556AB" w:rsidP="009556AB">
      <w:pPr>
        <w:pStyle w:val="ListParagraph"/>
        <w:numPr>
          <w:ilvl w:val="1"/>
          <w:numId w:val="27"/>
        </w:numPr>
        <w:rPr>
          <w:color w:val="44546A" w:themeColor="text2"/>
          <w:szCs w:val="17"/>
        </w:rPr>
      </w:pPr>
      <w:r w:rsidRPr="009556AB">
        <w:rPr>
          <w:color w:val="44546A" w:themeColor="text2"/>
          <w:szCs w:val="17"/>
        </w:rPr>
        <w:t xml:space="preserve">The insurer’s Own Risk and Solvency Assessment (ORSA) requires insurers to make a forward-looking assessment of their solvency needs. </w:t>
      </w:r>
    </w:p>
    <w:p w14:paraId="4BCF472D" w14:textId="77777777" w:rsidR="009556AB" w:rsidRPr="009556AB" w:rsidRDefault="009556AB" w:rsidP="009556AB">
      <w:pPr>
        <w:pStyle w:val="ListParagraph"/>
        <w:numPr>
          <w:ilvl w:val="1"/>
          <w:numId w:val="27"/>
        </w:numPr>
        <w:rPr>
          <w:color w:val="44546A" w:themeColor="text2"/>
          <w:szCs w:val="17"/>
        </w:rPr>
      </w:pPr>
      <w:r w:rsidRPr="009556AB">
        <w:rPr>
          <w:color w:val="44546A" w:themeColor="text2"/>
          <w:szCs w:val="17"/>
        </w:rPr>
        <w:t>EIOPA’s EU-wide stress testing exercises provide supervisors with further information</w:t>
      </w:r>
      <w:r w:rsidRPr="009556AB" w:rsidDel="001D1A2C">
        <w:rPr>
          <w:color w:val="44546A" w:themeColor="text2"/>
          <w:szCs w:val="17"/>
        </w:rPr>
        <w:t xml:space="preserve"> </w:t>
      </w:r>
      <w:r w:rsidRPr="009556AB">
        <w:rPr>
          <w:color w:val="44546A" w:themeColor="text2"/>
          <w:szCs w:val="17"/>
        </w:rPr>
        <w:t>on low for long scenarios and the possible impact of low and negative interest rates.</w:t>
      </w:r>
    </w:p>
    <w:p w14:paraId="38E82ECA" w14:textId="50FBBAF8" w:rsidR="00A9204E" w:rsidRPr="009556AB" w:rsidRDefault="00A9204E" w:rsidP="009556AB">
      <w:pPr>
        <w:spacing w:line="288" w:lineRule="auto"/>
        <w:jc w:val="both"/>
        <w:rPr>
          <w:rFonts w:ascii="Verdana" w:hAnsi="Verdana"/>
          <w:sz w:val="17"/>
          <w:szCs w:val="17"/>
          <w:lang w:val="en-GB"/>
        </w:rPr>
      </w:pPr>
    </w:p>
    <w:p w14:paraId="1F70E4B8" w14:textId="77777777" w:rsidR="009556AB" w:rsidRPr="009556AB" w:rsidRDefault="009556AB" w:rsidP="009556AB">
      <w:pPr>
        <w:spacing w:line="288" w:lineRule="auto"/>
        <w:jc w:val="both"/>
        <w:rPr>
          <w:rFonts w:ascii="Verdana" w:hAnsi="Verdana"/>
          <w:b/>
          <w:bCs/>
          <w:i/>
          <w:iCs/>
          <w:color w:val="44546A" w:themeColor="text2"/>
          <w:sz w:val="17"/>
          <w:szCs w:val="17"/>
        </w:rPr>
      </w:pPr>
    </w:p>
    <w:p w14:paraId="49032A81" w14:textId="77777777" w:rsidR="009556AB" w:rsidRPr="009556AB" w:rsidRDefault="009556AB" w:rsidP="009556AB">
      <w:pPr>
        <w:pStyle w:val="ListParagraph"/>
        <w:numPr>
          <w:ilvl w:val="0"/>
          <w:numId w:val="28"/>
        </w:numPr>
        <w:rPr>
          <w:i/>
          <w:iCs/>
          <w:szCs w:val="17"/>
        </w:rPr>
      </w:pPr>
      <w:r w:rsidRPr="009556AB">
        <w:rPr>
          <w:i/>
          <w:iCs/>
          <w:szCs w:val="17"/>
        </w:rPr>
        <w:lastRenderedPageBreak/>
        <w:t>Member States are invited to share their views on EIOPA’s proposals on the review of the volatility adjustment, the matching adjustment, the symmetric adjustment and the risk margin.</w:t>
      </w:r>
    </w:p>
    <w:p w14:paraId="66AC3CF5" w14:textId="77777777" w:rsidR="009556AB" w:rsidRDefault="009556AB" w:rsidP="009556AB">
      <w:pPr>
        <w:spacing w:line="288" w:lineRule="auto"/>
        <w:jc w:val="both"/>
        <w:rPr>
          <w:rFonts w:ascii="Verdana" w:hAnsi="Verdana"/>
          <w:color w:val="44546A" w:themeColor="text2"/>
          <w:sz w:val="17"/>
          <w:szCs w:val="17"/>
          <w:u w:val="single"/>
        </w:rPr>
      </w:pPr>
    </w:p>
    <w:p w14:paraId="19827187" w14:textId="13FCDCB8" w:rsidR="009556AB" w:rsidRPr="009556AB" w:rsidRDefault="009556AB" w:rsidP="009556AB">
      <w:pPr>
        <w:spacing w:line="288" w:lineRule="auto"/>
        <w:jc w:val="both"/>
        <w:rPr>
          <w:rFonts w:ascii="Verdana" w:hAnsi="Verdana"/>
          <w:color w:val="44546A" w:themeColor="text2"/>
          <w:sz w:val="17"/>
          <w:szCs w:val="17"/>
          <w:u w:val="single"/>
        </w:rPr>
      </w:pPr>
      <w:r w:rsidRPr="009556AB">
        <w:rPr>
          <w:rFonts w:ascii="Verdana" w:hAnsi="Verdana"/>
          <w:color w:val="44546A" w:themeColor="text2"/>
          <w:sz w:val="17"/>
          <w:szCs w:val="17"/>
          <w:u w:val="single"/>
        </w:rPr>
        <w:t>Volatility adjustment</w:t>
      </w:r>
    </w:p>
    <w:p w14:paraId="3C4A19A4" w14:textId="77777777" w:rsidR="009556AB" w:rsidRPr="009556AB" w:rsidRDefault="009556AB" w:rsidP="009556AB">
      <w:pPr>
        <w:spacing w:line="288" w:lineRule="auto"/>
        <w:jc w:val="both"/>
        <w:rPr>
          <w:rFonts w:ascii="Verdana" w:hAnsi="Verdana"/>
          <w:bCs/>
          <w:color w:val="44546A" w:themeColor="text2"/>
          <w:sz w:val="17"/>
          <w:szCs w:val="17"/>
        </w:rPr>
      </w:pPr>
      <w:r w:rsidRPr="009556AB">
        <w:rPr>
          <w:rFonts w:ascii="Verdana" w:hAnsi="Verdana"/>
          <w:b/>
          <w:color w:val="44546A" w:themeColor="text2"/>
          <w:sz w:val="17"/>
          <w:szCs w:val="17"/>
        </w:rPr>
        <w:t xml:space="preserve">While EIOPA’s proposed changes to the VA do </w:t>
      </w:r>
      <w:r w:rsidRPr="009556AB">
        <w:rPr>
          <w:rFonts w:ascii="Verdana" w:hAnsi="Verdana"/>
          <w:b/>
          <w:color w:val="44546A" w:themeColor="text2"/>
          <w:sz w:val="17"/>
          <w:szCs w:val="17"/>
          <w:u w:val="single"/>
        </w:rPr>
        <w:t>contain a number of important improvements, they are undermined by two elements which should be rejected.</w:t>
      </w:r>
      <w:r w:rsidRPr="009556AB">
        <w:rPr>
          <w:rFonts w:ascii="Verdana" w:hAnsi="Verdana"/>
          <w:b/>
          <w:color w:val="44546A" w:themeColor="text2"/>
          <w:sz w:val="17"/>
          <w:szCs w:val="17"/>
        </w:rPr>
        <w:t xml:space="preserve"> </w:t>
      </w:r>
      <w:r w:rsidRPr="009556AB">
        <w:rPr>
          <w:rFonts w:ascii="Verdana" w:hAnsi="Verdana"/>
          <w:bCs/>
          <w:color w:val="44546A" w:themeColor="text2"/>
          <w:sz w:val="17"/>
          <w:szCs w:val="17"/>
        </w:rPr>
        <w:t>There should be:</w:t>
      </w:r>
    </w:p>
    <w:p w14:paraId="01C67B01" w14:textId="77777777" w:rsidR="009556AB" w:rsidRPr="009556AB" w:rsidRDefault="009556AB" w:rsidP="009556AB">
      <w:pPr>
        <w:pStyle w:val="ListParagraph"/>
        <w:numPr>
          <w:ilvl w:val="0"/>
          <w:numId w:val="30"/>
        </w:numPr>
        <w:rPr>
          <w:bCs/>
          <w:color w:val="44546A" w:themeColor="text2"/>
          <w:szCs w:val="17"/>
          <w:lang w:val="en-US"/>
        </w:rPr>
      </w:pPr>
      <w:r w:rsidRPr="009556AB">
        <w:rPr>
          <w:b/>
          <w:color w:val="44546A" w:themeColor="text2"/>
          <w:szCs w:val="17"/>
          <w:u w:val="single"/>
          <w:lang w:val="en-US"/>
        </w:rPr>
        <w:t xml:space="preserve">no change to the risk correction and </w:t>
      </w:r>
    </w:p>
    <w:p w14:paraId="36698159" w14:textId="77777777" w:rsidR="009556AB" w:rsidRPr="009556AB" w:rsidRDefault="009556AB" w:rsidP="009556AB">
      <w:pPr>
        <w:pStyle w:val="ListParagraph"/>
        <w:numPr>
          <w:ilvl w:val="0"/>
          <w:numId w:val="30"/>
        </w:numPr>
        <w:rPr>
          <w:bCs/>
          <w:color w:val="44546A" w:themeColor="text2"/>
          <w:szCs w:val="17"/>
          <w:lang w:val="en-US"/>
        </w:rPr>
      </w:pPr>
      <w:r w:rsidRPr="009556AB">
        <w:rPr>
          <w:b/>
          <w:color w:val="44546A" w:themeColor="text2"/>
          <w:szCs w:val="17"/>
          <w:u w:val="single"/>
          <w:lang w:val="en-US"/>
        </w:rPr>
        <w:t>no liquidity factor</w:t>
      </w:r>
      <w:r w:rsidRPr="009556AB">
        <w:rPr>
          <w:b/>
          <w:color w:val="44546A" w:themeColor="text2"/>
          <w:szCs w:val="17"/>
          <w:lang w:val="en-US"/>
        </w:rPr>
        <w:t xml:space="preserve">  </w:t>
      </w:r>
    </w:p>
    <w:p w14:paraId="0893FEB7" w14:textId="77777777" w:rsidR="009556AB" w:rsidRPr="009556AB" w:rsidRDefault="009556AB" w:rsidP="009556AB">
      <w:pPr>
        <w:spacing w:line="288" w:lineRule="auto"/>
        <w:jc w:val="both"/>
        <w:rPr>
          <w:rFonts w:ascii="Verdana" w:hAnsi="Verdana"/>
          <w:bCs/>
          <w:color w:val="44546A" w:themeColor="text2"/>
          <w:sz w:val="17"/>
          <w:szCs w:val="17"/>
        </w:rPr>
      </w:pPr>
    </w:p>
    <w:p w14:paraId="309F729F" w14:textId="77777777" w:rsidR="009556AB" w:rsidRPr="009556AB" w:rsidRDefault="009556AB" w:rsidP="009556AB">
      <w:pPr>
        <w:spacing w:line="288" w:lineRule="auto"/>
        <w:jc w:val="both"/>
        <w:rPr>
          <w:rFonts w:ascii="Verdana" w:hAnsi="Verdana"/>
          <w:bCs/>
          <w:color w:val="44546A" w:themeColor="text2"/>
          <w:sz w:val="17"/>
          <w:szCs w:val="17"/>
        </w:rPr>
      </w:pPr>
      <w:r w:rsidRPr="009556AB">
        <w:rPr>
          <w:rFonts w:ascii="Verdana" w:hAnsi="Verdana"/>
          <w:bCs/>
          <w:color w:val="44546A" w:themeColor="text2"/>
          <w:sz w:val="17"/>
          <w:szCs w:val="17"/>
        </w:rPr>
        <w:t xml:space="preserve">As well as undermining the other improvements, these changes would increase volatility/procyclicality and add unnecessary complexity. </w:t>
      </w:r>
    </w:p>
    <w:p w14:paraId="6FFD03D1" w14:textId="77777777" w:rsidR="009556AB" w:rsidRPr="009556AB" w:rsidRDefault="009556AB" w:rsidP="009556AB">
      <w:pPr>
        <w:spacing w:line="288" w:lineRule="auto"/>
        <w:jc w:val="both"/>
        <w:rPr>
          <w:rFonts w:ascii="Verdana" w:hAnsi="Verdana"/>
          <w:b/>
          <w:color w:val="44546A" w:themeColor="text2"/>
          <w:sz w:val="17"/>
          <w:szCs w:val="17"/>
        </w:rPr>
      </w:pPr>
    </w:p>
    <w:p w14:paraId="588862C2" w14:textId="77777777" w:rsidR="009556AB" w:rsidRPr="009556AB" w:rsidRDefault="009556AB" w:rsidP="009556AB">
      <w:pPr>
        <w:spacing w:line="288" w:lineRule="auto"/>
        <w:jc w:val="both"/>
        <w:rPr>
          <w:rFonts w:ascii="Verdana" w:hAnsi="Verdana"/>
          <w:bCs/>
          <w:color w:val="44546A" w:themeColor="text2"/>
          <w:sz w:val="17"/>
          <w:szCs w:val="17"/>
        </w:rPr>
      </w:pPr>
      <w:r w:rsidRPr="009556AB">
        <w:rPr>
          <w:rFonts w:ascii="Verdana" w:hAnsi="Verdana"/>
          <w:bCs/>
          <w:color w:val="44546A" w:themeColor="text2"/>
          <w:sz w:val="17"/>
          <w:szCs w:val="17"/>
        </w:rPr>
        <w:t>The other elements of EIOPAs proposed improvements should be supported but the general application ratio should be increased to 100% instead of 85%.</w:t>
      </w:r>
    </w:p>
    <w:p w14:paraId="034193CF" w14:textId="77777777" w:rsidR="009556AB" w:rsidRPr="009556AB" w:rsidRDefault="009556AB" w:rsidP="009556AB">
      <w:pPr>
        <w:spacing w:line="288" w:lineRule="auto"/>
        <w:jc w:val="both"/>
        <w:rPr>
          <w:rFonts w:ascii="Verdana" w:hAnsi="Verdana"/>
          <w:bCs/>
          <w:color w:val="44546A" w:themeColor="text2"/>
          <w:sz w:val="17"/>
          <w:szCs w:val="17"/>
        </w:rPr>
      </w:pPr>
    </w:p>
    <w:p w14:paraId="05D00BD3" w14:textId="77777777" w:rsidR="009556AB" w:rsidRPr="009556AB" w:rsidRDefault="009556AB" w:rsidP="009556AB">
      <w:pPr>
        <w:spacing w:line="288" w:lineRule="auto"/>
        <w:jc w:val="both"/>
        <w:rPr>
          <w:rFonts w:ascii="Verdana" w:hAnsi="Verdana"/>
          <w:b/>
          <w:bCs/>
          <w:color w:val="44546A" w:themeColor="text2"/>
          <w:sz w:val="17"/>
          <w:szCs w:val="17"/>
        </w:rPr>
      </w:pPr>
    </w:p>
    <w:p w14:paraId="196243CC" w14:textId="77777777" w:rsidR="009556AB" w:rsidRPr="009556AB" w:rsidRDefault="009556AB" w:rsidP="009556AB">
      <w:pPr>
        <w:spacing w:line="288" w:lineRule="auto"/>
        <w:jc w:val="both"/>
        <w:rPr>
          <w:rFonts w:ascii="Verdana" w:hAnsi="Verdana"/>
          <w:color w:val="44546A" w:themeColor="text2"/>
          <w:sz w:val="17"/>
          <w:szCs w:val="17"/>
          <w:u w:val="single"/>
        </w:rPr>
      </w:pPr>
      <w:r w:rsidRPr="009556AB">
        <w:rPr>
          <w:rFonts w:ascii="Verdana" w:hAnsi="Verdana"/>
          <w:color w:val="44546A" w:themeColor="text2"/>
          <w:sz w:val="17"/>
          <w:szCs w:val="17"/>
          <w:u w:val="single"/>
        </w:rPr>
        <w:t>Symmetric adjustment</w:t>
      </w:r>
    </w:p>
    <w:p w14:paraId="69CF9EAC"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b/>
          <w:bCs/>
          <w:color w:val="44546A" w:themeColor="text2"/>
          <w:sz w:val="17"/>
          <w:szCs w:val="17"/>
        </w:rPr>
        <w:t xml:space="preserve">The application of the symmetric equity adjustment should be made optional. </w:t>
      </w:r>
      <w:r w:rsidRPr="009556AB">
        <w:rPr>
          <w:rFonts w:ascii="Verdana" w:hAnsi="Verdana"/>
          <w:color w:val="44546A" w:themeColor="text2"/>
          <w:sz w:val="17"/>
          <w:szCs w:val="17"/>
        </w:rPr>
        <w:t>Increasing the corridor as proposed by EIOPA could actually lead to higher volatility in the capital requirement for equities that will, among others, result in unwarranted disincentives to invest in equity holdings as well as negative implications for the policyholders. For example, this can be the case for insurance companies where there is little commonality between their holdings of equities and those which are used by EIOPA to calculate the symmetric adjustment.</w:t>
      </w:r>
    </w:p>
    <w:p w14:paraId="5D071891" w14:textId="77777777" w:rsidR="009556AB" w:rsidRPr="009556AB" w:rsidRDefault="009556AB" w:rsidP="009556AB">
      <w:pPr>
        <w:spacing w:line="288" w:lineRule="auto"/>
        <w:jc w:val="both"/>
        <w:rPr>
          <w:rFonts w:ascii="Verdana" w:hAnsi="Verdana"/>
          <w:b/>
          <w:bCs/>
          <w:color w:val="44546A" w:themeColor="text2"/>
          <w:sz w:val="17"/>
          <w:szCs w:val="17"/>
        </w:rPr>
      </w:pPr>
    </w:p>
    <w:p w14:paraId="7446605E" w14:textId="77777777" w:rsidR="009556AB" w:rsidRPr="009556AB" w:rsidRDefault="009556AB" w:rsidP="009556AB">
      <w:pPr>
        <w:spacing w:line="288" w:lineRule="auto"/>
        <w:jc w:val="both"/>
        <w:rPr>
          <w:rFonts w:ascii="Verdana" w:hAnsi="Verdana"/>
          <w:color w:val="44546A" w:themeColor="text2"/>
          <w:sz w:val="17"/>
          <w:szCs w:val="17"/>
          <w:u w:val="single"/>
        </w:rPr>
      </w:pPr>
      <w:r w:rsidRPr="009556AB">
        <w:rPr>
          <w:rFonts w:ascii="Verdana" w:hAnsi="Verdana"/>
          <w:color w:val="44546A" w:themeColor="text2"/>
          <w:sz w:val="17"/>
          <w:szCs w:val="17"/>
          <w:u w:val="single"/>
        </w:rPr>
        <w:t>Risk Margin</w:t>
      </w:r>
    </w:p>
    <w:p w14:paraId="4AEBF35A"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While EIOPA’s proposed changes are a step in the right direction, they do not go far enough to address the flaws and concerns around the risk margin.  </w:t>
      </w:r>
    </w:p>
    <w:p w14:paraId="58E3B19D" w14:textId="77777777" w:rsidR="009556AB" w:rsidRPr="009556AB" w:rsidRDefault="009556AB" w:rsidP="009556AB">
      <w:pPr>
        <w:spacing w:line="288" w:lineRule="auto"/>
        <w:jc w:val="both"/>
        <w:rPr>
          <w:rFonts w:ascii="Verdana" w:hAnsi="Verdana"/>
          <w:b/>
          <w:bCs/>
          <w:color w:val="44546A" w:themeColor="text2"/>
          <w:sz w:val="17"/>
          <w:szCs w:val="17"/>
        </w:rPr>
      </w:pPr>
    </w:p>
    <w:p w14:paraId="3221BFC9"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The following changes are needed in the risk margin:</w:t>
      </w:r>
    </w:p>
    <w:p w14:paraId="53C73D23"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 xml:space="preserve">A lower cost of capital (CoC). </w:t>
      </w:r>
      <w:r w:rsidRPr="009556AB">
        <w:rPr>
          <w:color w:val="44546A" w:themeColor="text2"/>
          <w:szCs w:val="17"/>
        </w:rPr>
        <w:t>The 6% cost of capital is exaggerated and should be reduced to an appropriate level.</w:t>
      </w:r>
      <w:r w:rsidRPr="009556AB">
        <w:rPr>
          <w:b/>
          <w:bCs/>
          <w:color w:val="44546A" w:themeColor="text2"/>
          <w:szCs w:val="17"/>
        </w:rPr>
        <w:t xml:space="preserve"> </w:t>
      </w:r>
      <w:r w:rsidRPr="009556AB">
        <w:rPr>
          <w:color w:val="44546A" w:themeColor="text2"/>
          <w:szCs w:val="17"/>
        </w:rPr>
        <w:t>A 3% CoC would be appropriate.</w:t>
      </w:r>
    </w:p>
    <w:p w14:paraId="1D814D9F"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 xml:space="preserve">Improve EIOPA’s current proposal </w:t>
      </w:r>
      <w:r w:rsidRPr="009556AB">
        <w:rPr>
          <w:color w:val="44546A" w:themeColor="text2"/>
          <w:szCs w:val="17"/>
        </w:rPr>
        <w:t>(by lowering the lambda and the floor</w:t>
      </w:r>
      <w:r w:rsidRPr="009556AB">
        <w:rPr>
          <w:b/>
          <w:bCs/>
          <w:color w:val="44546A" w:themeColor="text2"/>
          <w:szCs w:val="17"/>
        </w:rPr>
        <w:t xml:space="preserve">) </w:t>
      </w:r>
    </w:p>
    <w:p w14:paraId="048B8171" w14:textId="2D3C0DC8" w:rsidR="009556AB" w:rsidRPr="009556AB" w:rsidRDefault="009556AB" w:rsidP="009556AB">
      <w:pPr>
        <w:pStyle w:val="CEABullet-Level1"/>
        <w:numPr>
          <w:ilvl w:val="0"/>
          <w:numId w:val="33"/>
        </w:numPr>
        <w:ind w:left="360"/>
        <w:rPr>
          <w:b/>
          <w:bCs/>
          <w:color w:val="44546A" w:themeColor="text2"/>
          <w:szCs w:val="17"/>
        </w:rPr>
      </w:pPr>
      <w:r w:rsidRPr="009556AB">
        <w:rPr>
          <w:b/>
          <w:bCs/>
          <w:color w:val="44546A" w:themeColor="text2"/>
          <w:szCs w:val="17"/>
        </w:rPr>
        <w:t xml:space="preserve">Allowing for diversification at group level </w:t>
      </w:r>
      <w:r w:rsidRPr="009556AB">
        <w:rPr>
          <w:color w:val="44546A" w:themeColor="text2"/>
          <w:szCs w:val="17"/>
        </w:rPr>
        <w:t>(between life and non-life business lines within the same entity, or between different entities within a group)</w:t>
      </w:r>
    </w:p>
    <w:p w14:paraId="76F173C2" w14:textId="77777777" w:rsidR="009556AB" w:rsidRPr="009556AB" w:rsidRDefault="009556AB" w:rsidP="009556AB">
      <w:pPr>
        <w:spacing w:line="288" w:lineRule="auto"/>
        <w:jc w:val="both"/>
        <w:rPr>
          <w:rFonts w:ascii="Verdana" w:hAnsi="Verdana"/>
          <w:color w:val="44546A" w:themeColor="text2"/>
          <w:sz w:val="17"/>
          <w:szCs w:val="17"/>
        </w:rPr>
      </w:pPr>
    </w:p>
    <w:p w14:paraId="27F2E405"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The Risk Margin (RM) is excessively high (more than €190bn), especially for long-term business and its sensitivity to interest rates creates artificial volatility. These issues are particularly problematic for long-term products. There are a range of technical arguments which, taken together, support a significant reduction in the RM. </w:t>
      </w:r>
    </w:p>
    <w:p w14:paraId="2C22681D" w14:textId="77777777" w:rsidR="009556AB" w:rsidRPr="009556AB" w:rsidRDefault="009556AB" w:rsidP="009556AB">
      <w:pPr>
        <w:spacing w:line="288" w:lineRule="auto"/>
        <w:jc w:val="both"/>
        <w:rPr>
          <w:rFonts w:ascii="Verdana" w:hAnsi="Verdana"/>
          <w:color w:val="FF0000"/>
          <w:sz w:val="17"/>
          <w:szCs w:val="17"/>
        </w:rPr>
      </w:pPr>
    </w:p>
    <w:p w14:paraId="3F00E146" w14:textId="77777777" w:rsidR="009556AB" w:rsidRPr="009556AB" w:rsidRDefault="009556AB" w:rsidP="009556AB">
      <w:pPr>
        <w:spacing w:line="288" w:lineRule="auto"/>
        <w:jc w:val="both"/>
        <w:rPr>
          <w:rFonts w:ascii="Verdana" w:hAnsi="Verdana"/>
          <w:b/>
          <w:bCs/>
          <w:i/>
          <w:iCs/>
          <w:color w:val="FF0000"/>
          <w:sz w:val="17"/>
          <w:szCs w:val="17"/>
        </w:rPr>
      </w:pPr>
    </w:p>
    <w:p w14:paraId="1FCF11E0" w14:textId="77777777" w:rsidR="009556AB" w:rsidRPr="009556AB" w:rsidRDefault="009556AB" w:rsidP="009556AB">
      <w:pPr>
        <w:pStyle w:val="ListParagraph"/>
        <w:numPr>
          <w:ilvl w:val="0"/>
          <w:numId w:val="28"/>
        </w:numPr>
        <w:rPr>
          <w:i/>
          <w:szCs w:val="17"/>
        </w:rPr>
      </w:pPr>
      <w:r w:rsidRPr="009556AB">
        <w:rPr>
          <w:i/>
          <w:szCs w:val="17"/>
        </w:rPr>
        <w:t>Do Member States have other points to raise on those topics?</w:t>
      </w:r>
    </w:p>
    <w:p w14:paraId="65ED70E0" w14:textId="77777777" w:rsidR="009556AB" w:rsidRPr="009556AB" w:rsidRDefault="009556AB" w:rsidP="009556AB">
      <w:pPr>
        <w:spacing w:line="288" w:lineRule="auto"/>
        <w:jc w:val="both"/>
        <w:rPr>
          <w:rFonts w:ascii="Verdana" w:hAnsi="Verdana"/>
          <w:i/>
          <w:iCs/>
          <w:color w:val="44546A" w:themeColor="text2"/>
          <w:sz w:val="17"/>
          <w:szCs w:val="17"/>
        </w:rPr>
      </w:pPr>
    </w:p>
    <w:p w14:paraId="61102B8C" w14:textId="77777777" w:rsidR="009556AB" w:rsidRPr="009556AB" w:rsidRDefault="009556AB" w:rsidP="009556AB">
      <w:pPr>
        <w:spacing w:line="288" w:lineRule="auto"/>
        <w:jc w:val="both"/>
        <w:rPr>
          <w:rFonts w:ascii="Verdana" w:hAnsi="Verdana"/>
          <w:color w:val="44546A" w:themeColor="text2"/>
          <w:sz w:val="17"/>
          <w:szCs w:val="17"/>
          <w:u w:val="single"/>
        </w:rPr>
      </w:pPr>
      <w:r w:rsidRPr="009556AB">
        <w:rPr>
          <w:rFonts w:ascii="Verdana" w:hAnsi="Verdana"/>
          <w:color w:val="44546A" w:themeColor="text2"/>
          <w:sz w:val="17"/>
          <w:szCs w:val="17"/>
          <w:u w:val="single"/>
        </w:rPr>
        <w:t>Property risk</w:t>
      </w:r>
    </w:p>
    <w:p w14:paraId="44638276" w14:textId="77777777" w:rsidR="009556AB" w:rsidRPr="009556AB" w:rsidRDefault="009556AB" w:rsidP="009556AB">
      <w:pPr>
        <w:spacing w:line="288" w:lineRule="auto"/>
        <w:jc w:val="both"/>
        <w:rPr>
          <w:rFonts w:ascii="Verdana" w:hAnsi="Verdana"/>
          <w:color w:val="44546A" w:themeColor="text2"/>
          <w:sz w:val="17"/>
          <w:szCs w:val="17"/>
        </w:rPr>
      </w:pPr>
    </w:p>
    <w:p w14:paraId="3890B239"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The EIOPA proposal to not change the calibration is inappropriate and sufficient evidence exists that the property risk charge </w:t>
      </w:r>
      <w:r w:rsidRPr="009556AB">
        <w:rPr>
          <w:rFonts w:ascii="Verdana" w:hAnsi="Verdana"/>
          <w:b/>
          <w:bCs/>
          <w:color w:val="44546A" w:themeColor="text2"/>
          <w:sz w:val="17"/>
          <w:szCs w:val="17"/>
          <w:u w:val="single"/>
        </w:rPr>
        <w:t>should be reduced to 15%</w:t>
      </w:r>
      <w:r w:rsidRPr="009556AB">
        <w:rPr>
          <w:rFonts w:ascii="Verdana" w:hAnsi="Verdana"/>
          <w:b/>
          <w:bCs/>
          <w:color w:val="44546A" w:themeColor="text2"/>
          <w:sz w:val="17"/>
          <w:szCs w:val="17"/>
        </w:rPr>
        <w:t>. This would better reflect the real risk insurers face when investing in property.</w:t>
      </w:r>
    </w:p>
    <w:p w14:paraId="221207E1" w14:textId="77777777" w:rsidR="009556AB" w:rsidRPr="009556AB" w:rsidRDefault="009556AB" w:rsidP="009556AB">
      <w:pPr>
        <w:spacing w:line="288" w:lineRule="auto"/>
        <w:jc w:val="both"/>
        <w:rPr>
          <w:rFonts w:ascii="Verdana" w:hAnsi="Verdana"/>
          <w:color w:val="44546A" w:themeColor="text2"/>
          <w:sz w:val="17"/>
          <w:szCs w:val="17"/>
        </w:rPr>
      </w:pPr>
    </w:p>
    <w:p w14:paraId="28C50E0B"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Under the current framework, the calibration is based on UK commercial property market, which is exceptionally volatile and not representative of a typical European insurer’s real estate investment. In addition, available data for the pan-European real estate market shows that the calibration should be at 15% at most. </w:t>
      </w:r>
    </w:p>
    <w:p w14:paraId="6440A7C4" w14:textId="53A86C9D" w:rsidR="009556AB" w:rsidRPr="009556AB" w:rsidRDefault="009556AB" w:rsidP="009556AB">
      <w:pPr>
        <w:spacing w:line="288" w:lineRule="auto"/>
        <w:jc w:val="both"/>
        <w:rPr>
          <w:rFonts w:ascii="Verdana" w:hAnsi="Verdana"/>
          <w:sz w:val="17"/>
          <w:szCs w:val="17"/>
        </w:rPr>
      </w:pPr>
    </w:p>
    <w:p w14:paraId="77F476AD" w14:textId="77777777" w:rsidR="009556AB" w:rsidRPr="009556AB" w:rsidRDefault="009556AB" w:rsidP="009556AB">
      <w:pPr>
        <w:spacing w:line="288" w:lineRule="auto"/>
        <w:jc w:val="both"/>
        <w:rPr>
          <w:rFonts w:ascii="Verdana" w:hAnsi="Verdana"/>
          <w:b/>
          <w:sz w:val="17"/>
          <w:szCs w:val="17"/>
          <w:u w:val="single"/>
        </w:rPr>
      </w:pPr>
      <w:r w:rsidRPr="009556AB">
        <w:rPr>
          <w:rFonts w:ascii="Verdana" w:hAnsi="Verdana"/>
          <w:b/>
          <w:sz w:val="17"/>
          <w:szCs w:val="17"/>
          <w:u w:val="single"/>
        </w:rPr>
        <w:t>III – Proportionality</w:t>
      </w:r>
    </w:p>
    <w:p w14:paraId="7879B146" w14:textId="77777777" w:rsidR="009556AB" w:rsidRPr="009556AB" w:rsidRDefault="009556AB" w:rsidP="009556AB">
      <w:pPr>
        <w:pStyle w:val="ListParagraph"/>
        <w:numPr>
          <w:ilvl w:val="0"/>
          <w:numId w:val="28"/>
        </w:numPr>
        <w:rPr>
          <w:i/>
          <w:iCs/>
          <w:szCs w:val="17"/>
        </w:rPr>
      </w:pPr>
      <w:r w:rsidRPr="009556AB">
        <w:rPr>
          <w:i/>
          <w:iCs/>
          <w:szCs w:val="17"/>
        </w:rPr>
        <w:t>Member States are invited to share their views on EIOPA’s proposals on the scope of application of Solvency II, and on the new approach to proportionality. In particular, should the focus be more on exclusions from Solvency II or on the effective application of proportionate rules for insurers applying Solvency II.</w:t>
      </w:r>
    </w:p>
    <w:p w14:paraId="6F92AFF4" w14:textId="77777777" w:rsidR="009556AB" w:rsidRPr="009556AB" w:rsidRDefault="009556AB" w:rsidP="009556AB">
      <w:pPr>
        <w:spacing w:line="288" w:lineRule="auto"/>
        <w:jc w:val="both"/>
        <w:rPr>
          <w:rFonts w:ascii="Verdana" w:hAnsi="Verdana"/>
          <w:b/>
          <w:bCs/>
          <w:i/>
          <w:iCs/>
          <w:color w:val="FF0000"/>
          <w:sz w:val="17"/>
          <w:szCs w:val="17"/>
        </w:rPr>
      </w:pPr>
    </w:p>
    <w:p w14:paraId="697528A3"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The proposals included in EIOPA’s opinion are a very welcome </w:t>
      </w:r>
      <w:r w:rsidRPr="009556AB">
        <w:rPr>
          <w:rFonts w:ascii="Verdana" w:hAnsi="Verdana"/>
          <w:b/>
          <w:bCs/>
          <w:color w:val="44546A" w:themeColor="text2"/>
          <w:sz w:val="17"/>
          <w:szCs w:val="17"/>
          <w:u w:val="single"/>
        </w:rPr>
        <w:t>step in the right direction, but the following improvements are needed:</w:t>
      </w:r>
    </w:p>
    <w:p w14:paraId="4EA4DEF0"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It needs to be clarified in the Directive, not only that NSAs are able to deviate from requirements on the basis of proportionality, but that they have a duty to do so</w:t>
      </w:r>
    </w:p>
    <w:p w14:paraId="26098258"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 xml:space="preserve">Improvements needed to the definition of Low Risk Undertaking (LRU) </w:t>
      </w:r>
    </w:p>
    <w:p w14:paraId="55DA25B0"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 xml:space="preserve">Size alone must not exclude companies from automatic application of proportionality - larger companies must also be able to qualify for automatic application of certain proportionality measures where they do not have material exposure to a risk or activity.  </w:t>
      </w:r>
    </w:p>
    <w:p w14:paraId="2CE4A1DD" w14:textId="77777777" w:rsidR="009556AB" w:rsidRPr="009556AB" w:rsidRDefault="009556AB" w:rsidP="009556AB">
      <w:pPr>
        <w:pStyle w:val="CEABullet-Level1"/>
        <w:numPr>
          <w:ilvl w:val="0"/>
          <w:numId w:val="0"/>
        </w:numPr>
        <w:ind w:left="720" w:hanging="360"/>
        <w:rPr>
          <w:b/>
          <w:bCs/>
          <w:color w:val="44546A" w:themeColor="text2"/>
          <w:szCs w:val="17"/>
        </w:rPr>
      </w:pPr>
    </w:p>
    <w:p w14:paraId="5A22555A" w14:textId="1889B054" w:rsidR="009556AB" w:rsidRPr="009556AB" w:rsidRDefault="009556AB" w:rsidP="009556AB">
      <w:pPr>
        <w:pStyle w:val="CEABullet-Level1"/>
        <w:numPr>
          <w:ilvl w:val="0"/>
          <w:numId w:val="0"/>
        </w:numPr>
        <w:rPr>
          <w:b/>
          <w:bCs/>
          <w:color w:val="44546A" w:themeColor="text2"/>
          <w:szCs w:val="17"/>
        </w:rPr>
      </w:pPr>
      <w:r w:rsidRPr="009556AB">
        <w:rPr>
          <w:b/>
          <w:bCs/>
          <w:color w:val="44546A" w:themeColor="text2"/>
          <w:szCs w:val="17"/>
        </w:rPr>
        <w:t>Thresholds for the exclusion from the scope of Solvency II should be raised to preserve a diversif</w:t>
      </w:r>
      <w:r w:rsidR="007660FB">
        <w:rPr>
          <w:b/>
          <w:bCs/>
          <w:color w:val="44546A" w:themeColor="text2"/>
          <w:szCs w:val="17"/>
        </w:rPr>
        <w:t>ied</w:t>
      </w:r>
      <w:r w:rsidRPr="009556AB">
        <w:rPr>
          <w:b/>
          <w:bCs/>
          <w:color w:val="44546A" w:themeColor="text2"/>
          <w:szCs w:val="17"/>
        </w:rPr>
        <w:t xml:space="preserve"> market and exclude very small companies from SII requirements:</w:t>
      </w:r>
    </w:p>
    <w:p w14:paraId="72315521"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 xml:space="preserve">raise the premium threshold to €50m as proposed by EIOPA </w:t>
      </w:r>
    </w:p>
    <w:p w14:paraId="699BC15B" w14:textId="77777777" w:rsidR="009556AB" w:rsidRPr="009556AB" w:rsidRDefault="009556AB" w:rsidP="009556AB">
      <w:pPr>
        <w:pStyle w:val="CEABullet-Level1"/>
        <w:numPr>
          <w:ilvl w:val="0"/>
          <w:numId w:val="34"/>
        </w:numPr>
        <w:ind w:left="360"/>
        <w:rPr>
          <w:b/>
          <w:bCs/>
          <w:color w:val="44546A" w:themeColor="text2"/>
          <w:szCs w:val="17"/>
        </w:rPr>
      </w:pPr>
      <w:r w:rsidRPr="009556AB">
        <w:rPr>
          <w:b/>
          <w:bCs/>
          <w:color w:val="44546A" w:themeColor="text2"/>
          <w:szCs w:val="17"/>
        </w:rPr>
        <w:t>allow member states to increase the technical provisions threshold, in line with EIOPA’s proposals, but with a range of €10-€25m rather than €5m- €25m.</w:t>
      </w:r>
    </w:p>
    <w:p w14:paraId="1755AF54" w14:textId="77777777" w:rsidR="009556AB" w:rsidRPr="009556AB" w:rsidRDefault="009556AB" w:rsidP="009556AB">
      <w:pPr>
        <w:spacing w:line="288" w:lineRule="auto"/>
        <w:jc w:val="both"/>
        <w:rPr>
          <w:rFonts w:ascii="Verdana" w:hAnsi="Verdana"/>
          <w:color w:val="44546A" w:themeColor="text2"/>
          <w:sz w:val="17"/>
          <w:szCs w:val="17"/>
        </w:rPr>
      </w:pPr>
    </w:p>
    <w:p w14:paraId="4D33F93D"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The two options of excluding more very small companies from the SII scope or improving the application of proportionality are not mutually exclusive.</w:t>
      </w:r>
    </w:p>
    <w:p w14:paraId="5DED7D30" w14:textId="77777777" w:rsidR="009556AB" w:rsidRPr="009556AB" w:rsidRDefault="009556AB" w:rsidP="009556AB">
      <w:pPr>
        <w:spacing w:line="288" w:lineRule="auto"/>
        <w:jc w:val="both"/>
        <w:rPr>
          <w:rFonts w:ascii="Verdana" w:hAnsi="Verdana"/>
          <w:color w:val="44546A" w:themeColor="text2"/>
          <w:sz w:val="17"/>
          <w:szCs w:val="17"/>
        </w:rPr>
      </w:pPr>
    </w:p>
    <w:p w14:paraId="7AE88715"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Due to Solvency II being a highly sophisticated framework, the thresholds should be raised to exclude more very small companies and EIOPA has recognised it and has taken steps into that direction. But this alone does not solve the issue of overly burdensome requirements.</w:t>
      </w:r>
    </w:p>
    <w:p w14:paraId="45931901" w14:textId="77777777" w:rsidR="009556AB" w:rsidRPr="009556AB" w:rsidRDefault="009556AB" w:rsidP="009556AB">
      <w:pPr>
        <w:spacing w:line="288" w:lineRule="auto"/>
        <w:jc w:val="both"/>
        <w:rPr>
          <w:rFonts w:ascii="Verdana" w:hAnsi="Verdana"/>
          <w:b/>
          <w:bCs/>
          <w:color w:val="44546A" w:themeColor="text2"/>
          <w:sz w:val="17"/>
          <w:szCs w:val="17"/>
        </w:rPr>
      </w:pPr>
    </w:p>
    <w:p w14:paraId="37331641"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The ambition to improve the application of proportionality in Solvency II is welcome. Today, there is little application of proportionality in practice. In some cases, NSAs do not feel legally allowed to deviate from the standard text of Solvency II. In other cases, the complex and lengthy processes required to apply proportionality, with no legal guarantee, discourage insurers.</w:t>
      </w:r>
    </w:p>
    <w:p w14:paraId="3DE97BC1" w14:textId="77777777" w:rsidR="009556AB" w:rsidRPr="009556AB" w:rsidRDefault="009556AB" w:rsidP="009556AB">
      <w:pPr>
        <w:spacing w:line="288" w:lineRule="auto"/>
        <w:jc w:val="both"/>
        <w:rPr>
          <w:rFonts w:ascii="Verdana" w:hAnsi="Verdana"/>
          <w:color w:val="44546A" w:themeColor="text2"/>
          <w:sz w:val="17"/>
          <w:szCs w:val="17"/>
        </w:rPr>
      </w:pPr>
    </w:p>
    <w:p w14:paraId="413D612C"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Changes to the legal texts are needed to ensure the principle of proportionality is embedded in insurance supervision. This will help avoid unnecessary costs for all and support preserve a diversified insurance market, with small, medium and large players. </w:t>
      </w:r>
    </w:p>
    <w:p w14:paraId="6AC5A874" w14:textId="77777777" w:rsidR="009556AB" w:rsidRPr="009556AB" w:rsidRDefault="009556AB" w:rsidP="009556AB">
      <w:pPr>
        <w:spacing w:line="288" w:lineRule="auto"/>
        <w:jc w:val="both"/>
        <w:rPr>
          <w:rFonts w:ascii="Verdana" w:hAnsi="Verdana"/>
          <w:color w:val="44546A" w:themeColor="text2"/>
          <w:sz w:val="17"/>
          <w:szCs w:val="17"/>
        </w:rPr>
      </w:pPr>
    </w:p>
    <w:p w14:paraId="3BDC5151" w14:textId="77777777" w:rsidR="009556AB" w:rsidRPr="009556AB" w:rsidRDefault="009556AB" w:rsidP="009556AB">
      <w:pPr>
        <w:spacing w:line="288" w:lineRule="auto"/>
        <w:jc w:val="both"/>
        <w:rPr>
          <w:rFonts w:ascii="Verdana" w:hAnsi="Verdana"/>
          <w:i/>
          <w:iCs/>
          <w:color w:val="44546A" w:themeColor="text2"/>
          <w:sz w:val="17"/>
          <w:szCs w:val="17"/>
        </w:rPr>
      </w:pPr>
    </w:p>
    <w:p w14:paraId="0E286EEA" w14:textId="77777777" w:rsidR="009556AB" w:rsidRPr="009556AB" w:rsidRDefault="009556AB" w:rsidP="009556AB">
      <w:pPr>
        <w:pStyle w:val="ListParagraph"/>
        <w:numPr>
          <w:ilvl w:val="0"/>
          <w:numId w:val="28"/>
        </w:numPr>
        <w:rPr>
          <w:i/>
          <w:iCs/>
          <w:szCs w:val="17"/>
        </w:rPr>
      </w:pPr>
      <w:r w:rsidRPr="009556AB">
        <w:rPr>
          <w:i/>
          <w:iCs/>
          <w:szCs w:val="17"/>
        </w:rPr>
        <w:t>Member States are invited to express their views on the possibility of an automatic waiver of quarterly reporting.</w:t>
      </w:r>
    </w:p>
    <w:p w14:paraId="4033BC5B" w14:textId="77777777" w:rsidR="009556AB" w:rsidRPr="009556AB" w:rsidRDefault="009556AB" w:rsidP="009556AB">
      <w:pPr>
        <w:pStyle w:val="ListParagraph"/>
        <w:ind w:left="426"/>
        <w:rPr>
          <w:i/>
          <w:iCs/>
          <w:color w:val="44546A" w:themeColor="text2"/>
          <w:szCs w:val="17"/>
        </w:rPr>
      </w:pPr>
    </w:p>
    <w:p w14:paraId="1BCDD57D" w14:textId="77777777" w:rsidR="009556AB" w:rsidRPr="009556AB" w:rsidRDefault="009556AB" w:rsidP="009556AB">
      <w:pPr>
        <w:autoSpaceDE w:val="0"/>
        <w:autoSpaceDN w:val="0"/>
        <w:adjustRightInd w:val="0"/>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Option 1 is preferred, but it should be made mandatory to grant waivers up to the 20% threshold. </w:t>
      </w:r>
    </w:p>
    <w:p w14:paraId="4283DB80" w14:textId="77777777" w:rsidR="009556AB" w:rsidRPr="009556AB" w:rsidRDefault="009556AB" w:rsidP="009556AB">
      <w:pPr>
        <w:spacing w:line="288" w:lineRule="auto"/>
        <w:jc w:val="both"/>
        <w:rPr>
          <w:rFonts w:ascii="Verdana" w:hAnsi="Verdana"/>
          <w:i/>
          <w:iCs/>
          <w:color w:val="44546A" w:themeColor="text2"/>
          <w:sz w:val="17"/>
          <w:szCs w:val="17"/>
        </w:rPr>
      </w:pPr>
    </w:p>
    <w:p w14:paraId="57889517" w14:textId="77777777" w:rsidR="009556AB" w:rsidRPr="009556AB" w:rsidRDefault="009556AB" w:rsidP="009556AB">
      <w:pPr>
        <w:spacing w:line="288" w:lineRule="auto"/>
        <w:jc w:val="both"/>
        <w:rPr>
          <w:rFonts w:ascii="Verdana" w:hAnsi="Verdana"/>
          <w:i/>
          <w:iCs/>
          <w:color w:val="44546A" w:themeColor="text2"/>
          <w:sz w:val="17"/>
          <w:szCs w:val="17"/>
        </w:rPr>
      </w:pPr>
      <w:r w:rsidRPr="009556AB">
        <w:rPr>
          <w:rFonts w:ascii="Verdana" w:hAnsi="Verdana"/>
          <w:i/>
          <w:sz w:val="17"/>
          <w:szCs w:val="17"/>
        </w:rPr>
        <w:t xml:space="preserve">     9. </w:t>
      </w:r>
      <w:r w:rsidRPr="009556AB">
        <w:rPr>
          <w:rFonts w:ascii="Verdana" w:hAnsi="Verdana"/>
          <w:i/>
          <w:sz w:val="17"/>
          <w:szCs w:val="17"/>
        </w:rPr>
        <w:tab/>
        <w:t>Do Member States have other points to raise on those topics?</w:t>
      </w:r>
    </w:p>
    <w:p w14:paraId="2DCC7A29" w14:textId="77777777" w:rsidR="009556AB" w:rsidRPr="009556AB" w:rsidRDefault="009556AB" w:rsidP="009556AB">
      <w:pPr>
        <w:spacing w:line="288" w:lineRule="auto"/>
        <w:jc w:val="both"/>
        <w:rPr>
          <w:rFonts w:ascii="Verdana" w:hAnsi="Verdana"/>
          <w:sz w:val="17"/>
          <w:szCs w:val="17"/>
        </w:rPr>
      </w:pPr>
    </w:p>
    <w:p w14:paraId="18773277" w14:textId="77777777" w:rsidR="009556AB" w:rsidRPr="009556AB" w:rsidRDefault="009556AB" w:rsidP="009556AB">
      <w:pPr>
        <w:autoSpaceDE w:val="0"/>
        <w:autoSpaceDN w:val="0"/>
        <w:adjustRightInd w:val="0"/>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Introducing some automaticity in the application of proportionality aims at increasing legal certainty, and lowering the burden of application processes for both companies and NSAs to better focus resources on the actual risks an insurer faces. This does not aim at removing the existing flexibility in supervisory dialogue.</w:t>
      </w:r>
    </w:p>
    <w:p w14:paraId="7F5B9873" w14:textId="6EDBA375" w:rsidR="009556AB" w:rsidRDefault="009556AB">
      <w:pPr>
        <w:rPr>
          <w:rFonts w:ascii="Verdana" w:hAnsi="Verdana"/>
          <w:sz w:val="17"/>
          <w:szCs w:val="17"/>
        </w:rPr>
      </w:pPr>
      <w:r>
        <w:rPr>
          <w:rFonts w:ascii="Verdana" w:hAnsi="Verdana"/>
          <w:sz w:val="17"/>
          <w:szCs w:val="17"/>
        </w:rPr>
        <w:br w:type="page"/>
      </w:r>
    </w:p>
    <w:p w14:paraId="4DEE45E9" w14:textId="77777777" w:rsidR="009556AB" w:rsidRPr="009556AB" w:rsidRDefault="009556AB" w:rsidP="009556AB">
      <w:pPr>
        <w:spacing w:line="288" w:lineRule="auto"/>
        <w:jc w:val="both"/>
        <w:rPr>
          <w:rFonts w:ascii="Verdana" w:hAnsi="Verdana"/>
          <w:b/>
          <w:sz w:val="17"/>
          <w:szCs w:val="17"/>
          <w:u w:val="single"/>
        </w:rPr>
      </w:pPr>
      <w:r w:rsidRPr="009556AB">
        <w:rPr>
          <w:rFonts w:ascii="Verdana" w:hAnsi="Verdana"/>
          <w:b/>
          <w:sz w:val="17"/>
          <w:szCs w:val="17"/>
          <w:u w:val="single"/>
        </w:rPr>
        <w:lastRenderedPageBreak/>
        <w:t>IV – Quality of supervision and financial stability</w:t>
      </w:r>
    </w:p>
    <w:p w14:paraId="48FCCCDE" w14:textId="77777777" w:rsidR="009556AB" w:rsidRPr="00664955" w:rsidRDefault="009556AB" w:rsidP="009556AB">
      <w:pPr>
        <w:spacing w:line="288" w:lineRule="auto"/>
        <w:jc w:val="both"/>
        <w:rPr>
          <w:rFonts w:ascii="Verdana" w:hAnsi="Verdana"/>
          <w:i/>
          <w:sz w:val="17"/>
          <w:szCs w:val="17"/>
        </w:rPr>
      </w:pPr>
      <w:r w:rsidRPr="00664955">
        <w:rPr>
          <w:rFonts w:ascii="Verdana" w:hAnsi="Verdana"/>
          <w:i/>
          <w:sz w:val="17"/>
          <w:szCs w:val="17"/>
        </w:rPr>
        <w:t xml:space="preserve">10. </w:t>
      </w:r>
      <w:r w:rsidRPr="00664955">
        <w:rPr>
          <w:rFonts w:ascii="Verdana" w:hAnsi="Verdana"/>
          <w:i/>
          <w:sz w:val="17"/>
          <w:szCs w:val="17"/>
        </w:rPr>
        <w:tab/>
        <w:t>Member States are invited to share their views on the proposals presented in this note on quality of supervision.</w:t>
      </w:r>
    </w:p>
    <w:p w14:paraId="254C3698" w14:textId="77777777" w:rsidR="009556AB" w:rsidRPr="009556AB" w:rsidRDefault="009556AB" w:rsidP="009556AB">
      <w:pPr>
        <w:spacing w:line="288" w:lineRule="auto"/>
        <w:jc w:val="both"/>
        <w:rPr>
          <w:rFonts w:ascii="Verdana" w:hAnsi="Verdana"/>
          <w:b/>
          <w:bCs/>
          <w:i/>
          <w:iCs/>
          <w:color w:val="FF0000"/>
          <w:sz w:val="17"/>
          <w:szCs w:val="17"/>
        </w:rPr>
      </w:pPr>
    </w:p>
    <w:p w14:paraId="77D725CE"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On cross border related issues EIOPA’s recommendations should be </w:t>
      </w:r>
      <w:r w:rsidRPr="009556AB">
        <w:rPr>
          <w:rFonts w:ascii="Verdana" w:hAnsi="Verdana"/>
          <w:b/>
          <w:bCs/>
          <w:color w:val="44546A" w:themeColor="text2"/>
          <w:sz w:val="17"/>
          <w:szCs w:val="17"/>
          <w:u w:val="single"/>
        </w:rPr>
        <w:t>supported</w:t>
      </w:r>
    </w:p>
    <w:p w14:paraId="13D23FB5"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This includes to enhance the </w:t>
      </w:r>
      <w:r w:rsidRPr="009556AB">
        <w:rPr>
          <w:rFonts w:ascii="Verdana" w:hAnsi="Verdana"/>
          <w:color w:val="44546A" w:themeColor="text2"/>
          <w:sz w:val="17"/>
          <w:szCs w:val="17"/>
          <w:u w:val="single"/>
        </w:rPr>
        <w:t>supervision of insurance companies operating cross-border</w:t>
      </w:r>
      <w:r w:rsidRPr="009556AB">
        <w:rPr>
          <w:rFonts w:ascii="Verdana" w:hAnsi="Verdana"/>
          <w:color w:val="44546A" w:themeColor="text2"/>
          <w:sz w:val="17"/>
          <w:szCs w:val="17"/>
        </w:rPr>
        <w:t xml:space="preserve"> through the freedom to provide services (FOS) and the freedom of establishment (FOE), in order to prevent their failures and properly assess the fit and proper requirements.</w:t>
      </w:r>
    </w:p>
    <w:p w14:paraId="03E2BD94" w14:textId="77777777" w:rsidR="009556AB" w:rsidRPr="009556AB" w:rsidRDefault="009556AB" w:rsidP="009556AB">
      <w:pPr>
        <w:spacing w:line="288" w:lineRule="auto"/>
        <w:jc w:val="both"/>
        <w:rPr>
          <w:rFonts w:ascii="Verdana" w:hAnsi="Verdana"/>
          <w:b/>
          <w:bCs/>
          <w:color w:val="44546A" w:themeColor="text2"/>
          <w:sz w:val="17"/>
          <w:szCs w:val="17"/>
        </w:rPr>
      </w:pPr>
    </w:p>
    <w:p w14:paraId="2C8F7A6F"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Care however must be taken to ensure the principles of subsidiarity and of the “home Member State” are not diluted.</w:t>
      </w:r>
    </w:p>
    <w:p w14:paraId="1758B97C" w14:textId="77777777" w:rsidR="009556AB" w:rsidRPr="009556AB" w:rsidRDefault="009556AB" w:rsidP="009556AB">
      <w:pPr>
        <w:spacing w:line="288" w:lineRule="auto"/>
        <w:jc w:val="both"/>
        <w:rPr>
          <w:rFonts w:ascii="Verdana" w:hAnsi="Verdana"/>
          <w:b/>
          <w:bCs/>
          <w:i/>
          <w:iCs/>
          <w:color w:val="FF0000"/>
          <w:sz w:val="17"/>
          <w:szCs w:val="17"/>
        </w:rPr>
      </w:pPr>
    </w:p>
    <w:p w14:paraId="41D096A0" w14:textId="77777777" w:rsidR="009556AB" w:rsidRPr="009556AB" w:rsidRDefault="009556AB" w:rsidP="009556AB">
      <w:pPr>
        <w:spacing w:line="288" w:lineRule="auto"/>
        <w:jc w:val="both"/>
        <w:rPr>
          <w:rFonts w:ascii="Verdana" w:hAnsi="Verdana"/>
          <w:i/>
          <w:iCs/>
          <w:color w:val="44546A" w:themeColor="text2"/>
          <w:sz w:val="17"/>
          <w:szCs w:val="17"/>
        </w:rPr>
      </w:pPr>
    </w:p>
    <w:p w14:paraId="7A2F4406" w14:textId="77777777" w:rsidR="009556AB" w:rsidRPr="009556AB" w:rsidRDefault="009556AB" w:rsidP="009556AB">
      <w:pPr>
        <w:spacing w:line="288" w:lineRule="auto"/>
        <w:jc w:val="both"/>
        <w:rPr>
          <w:rFonts w:ascii="Verdana" w:hAnsi="Verdana"/>
          <w:i/>
          <w:iCs/>
          <w:sz w:val="17"/>
          <w:szCs w:val="17"/>
        </w:rPr>
      </w:pPr>
      <w:r w:rsidRPr="009556AB">
        <w:rPr>
          <w:rFonts w:ascii="Verdana" w:hAnsi="Verdana"/>
          <w:i/>
          <w:iCs/>
          <w:sz w:val="17"/>
          <w:szCs w:val="17"/>
        </w:rPr>
        <w:t>11.</w:t>
      </w:r>
      <w:r w:rsidRPr="009556AB">
        <w:rPr>
          <w:rFonts w:ascii="Verdana" w:hAnsi="Verdana"/>
          <w:i/>
          <w:iCs/>
          <w:sz w:val="17"/>
          <w:szCs w:val="17"/>
        </w:rPr>
        <w:tab/>
        <w:t>Member States are invited to express their views on EIOPA’s and ESRB’s proposals on macroprudential policy.</w:t>
      </w:r>
    </w:p>
    <w:p w14:paraId="02519A76" w14:textId="77777777" w:rsidR="009556AB" w:rsidRPr="009556AB" w:rsidRDefault="009556AB" w:rsidP="009556AB">
      <w:pPr>
        <w:spacing w:line="288" w:lineRule="auto"/>
        <w:jc w:val="both"/>
        <w:rPr>
          <w:rFonts w:ascii="Verdana" w:hAnsi="Verdana"/>
          <w:i/>
          <w:iCs/>
          <w:color w:val="FF0000"/>
          <w:sz w:val="17"/>
          <w:szCs w:val="17"/>
        </w:rPr>
      </w:pPr>
    </w:p>
    <w:p w14:paraId="0F9F5326"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EIOPAs proposals that go beyond those specifically referenced in the European Commission’s CfA should be </w:t>
      </w:r>
      <w:r w:rsidRPr="009556AB">
        <w:rPr>
          <w:rFonts w:ascii="Verdana" w:hAnsi="Verdana"/>
          <w:b/>
          <w:bCs/>
          <w:color w:val="44546A" w:themeColor="text2"/>
          <w:sz w:val="17"/>
          <w:szCs w:val="17"/>
          <w:u w:val="single"/>
        </w:rPr>
        <w:t>rejected</w:t>
      </w:r>
      <w:r w:rsidRPr="009556AB">
        <w:rPr>
          <w:rFonts w:ascii="Verdana" w:hAnsi="Verdana"/>
          <w:b/>
          <w:bCs/>
          <w:color w:val="44546A" w:themeColor="text2"/>
          <w:sz w:val="17"/>
          <w:szCs w:val="17"/>
        </w:rPr>
        <w:t xml:space="preserve">. In particular, its recommendations on capital surcharge for systemic risk, concentration thresholds and dividend controls are not needed and should not be followed.  </w:t>
      </w:r>
    </w:p>
    <w:p w14:paraId="6E4587B6" w14:textId="77777777" w:rsidR="009556AB" w:rsidRPr="009556AB" w:rsidRDefault="009556AB" w:rsidP="009556AB">
      <w:pPr>
        <w:spacing w:line="288" w:lineRule="auto"/>
        <w:jc w:val="both"/>
        <w:rPr>
          <w:rFonts w:ascii="Verdana" w:hAnsi="Verdana"/>
          <w:b/>
          <w:bCs/>
          <w:color w:val="44546A" w:themeColor="text2"/>
          <w:sz w:val="17"/>
          <w:szCs w:val="17"/>
        </w:rPr>
      </w:pPr>
    </w:p>
    <w:p w14:paraId="7C7436B7"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Solvency II already provides very significant customer protections and also already covers aspects of macroprudential risk.  Going beyond the EC CfA would add unnecessary extra costs and burdens and also would mean going beyond the internationally agreed holistic framework and place Europe at an unnecessary competitive disadvantage compared to other jurisdictions. </w:t>
      </w:r>
    </w:p>
    <w:p w14:paraId="11641660" w14:textId="77777777" w:rsidR="009556AB" w:rsidRPr="009556AB" w:rsidRDefault="009556AB" w:rsidP="009556AB">
      <w:pPr>
        <w:spacing w:line="288" w:lineRule="auto"/>
        <w:jc w:val="both"/>
        <w:rPr>
          <w:rFonts w:ascii="Verdana" w:hAnsi="Verdana"/>
          <w:b/>
          <w:bCs/>
          <w:i/>
          <w:iCs/>
          <w:color w:val="FF0000"/>
          <w:sz w:val="17"/>
          <w:szCs w:val="17"/>
        </w:rPr>
      </w:pPr>
    </w:p>
    <w:p w14:paraId="47BB1925" w14:textId="77777777" w:rsidR="009556AB" w:rsidRPr="009556AB" w:rsidRDefault="009556AB" w:rsidP="009556AB">
      <w:pPr>
        <w:spacing w:line="288" w:lineRule="auto"/>
        <w:jc w:val="both"/>
        <w:rPr>
          <w:rFonts w:ascii="Verdana" w:hAnsi="Verdana"/>
          <w:i/>
          <w:iCs/>
          <w:color w:val="44546A" w:themeColor="text2"/>
          <w:sz w:val="17"/>
          <w:szCs w:val="17"/>
        </w:rPr>
      </w:pPr>
    </w:p>
    <w:p w14:paraId="6FC08A16" w14:textId="77777777" w:rsidR="009556AB" w:rsidRPr="009556AB" w:rsidRDefault="009556AB" w:rsidP="009556AB">
      <w:pPr>
        <w:spacing w:line="288" w:lineRule="auto"/>
        <w:jc w:val="both"/>
        <w:rPr>
          <w:rFonts w:ascii="Verdana" w:hAnsi="Verdana"/>
          <w:i/>
          <w:iCs/>
          <w:sz w:val="17"/>
          <w:szCs w:val="17"/>
        </w:rPr>
      </w:pPr>
      <w:r w:rsidRPr="009556AB">
        <w:rPr>
          <w:rFonts w:ascii="Verdana" w:hAnsi="Verdana"/>
          <w:i/>
          <w:iCs/>
          <w:sz w:val="17"/>
          <w:szCs w:val="17"/>
        </w:rPr>
        <w:t xml:space="preserve">12. </w:t>
      </w:r>
      <w:r w:rsidRPr="009556AB">
        <w:rPr>
          <w:rFonts w:ascii="Verdana" w:hAnsi="Verdana"/>
          <w:i/>
          <w:iCs/>
          <w:sz w:val="17"/>
          <w:szCs w:val="17"/>
        </w:rPr>
        <w:tab/>
        <w:t>Do Member States have other points to raise on those topics?</w:t>
      </w:r>
    </w:p>
    <w:p w14:paraId="487E728A" w14:textId="77777777" w:rsidR="009556AB" w:rsidRPr="009556AB" w:rsidRDefault="009556AB" w:rsidP="009556AB">
      <w:pPr>
        <w:spacing w:line="288" w:lineRule="auto"/>
        <w:jc w:val="both"/>
        <w:rPr>
          <w:rFonts w:ascii="Verdana" w:hAnsi="Verdana"/>
          <w:b/>
          <w:bCs/>
          <w:i/>
          <w:iCs/>
          <w:color w:val="FF0000"/>
          <w:sz w:val="17"/>
          <w:szCs w:val="17"/>
        </w:rPr>
      </w:pPr>
    </w:p>
    <w:p w14:paraId="18DA66BF" w14:textId="77777777" w:rsidR="00664955" w:rsidRPr="00664955" w:rsidRDefault="00664955" w:rsidP="00664955">
      <w:pPr>
        <w:spacing w:line="288" w:lineRule="auto"/>
        <w:jc w:val="both"/>
        <w:rPr>
          <w:rFonts w:ascii="Verdana" w:hAnsi="Verdana"/>
          <w:color w:val="44546A" w:themeColor="text2"/>
          <w:sz w:val="17"/>
          <w:szCs w:val="17"/>
          <w:u w:val="single"/>
        </w:rPr>
      </w:pPr>
      <w:r w:rsidRPr="00664955">
        <w:rPr>
          <w:rFonts w:ascii="Verdana" w:hAnsi="Verdana"/>
          <w:color w:val="44546A" w:themeColor="text2"/>
          <w:sz w:val="17"/>
          <w:szCs w:val="17"/>
          <w:u w:val="single"/>
        </w:rPr>
        <w:t>Insurance Guarantee Schemes (IGS)</w:t>
      </w:r>
    </w:p>
    <w:p w14:paraId="19CF8A39" w14:textId="77777777" w:rsidR="00664955" w:rsidRDefault="00664955" w:rsidP="00664955">
      <w:pPr>
        <w:spacing w:line="288" w:lineRule="auto"/>
        <w:jc w:val="both"/>
        <w:rPr>
          <w:rFonts w:ascii="Verdana" w:hAnsi="Verdana"/>
          <w:b/>
          <w:bCs/>
          <w:color w:val="44546A" w:themeColor="text2"/>
          <w:sz w:val="17"/>
          <w:szCs w:val="17"/>
        </w:rPr>
      </w:pPr>
      <w:r w:rsidRPr="00664955">
        <w:rPr>
          <w:rFonts w:ascii="Verdana" w:hAnsi="Verdana"/>
          <w:b/>
          <w:bCs/>
          <w:color w:val="44546A" w:themeColor="text2"/>
          <w:sz w:val="17"/>
          <w:szCs w:val="17"/>
        </w:rPr>
        <w:t xml:space="preserve">There is </w:t>
      </w:r>
      <w:r w:rsidRPr="00664955">
        <w:rPr>
          <w:rFonts w:ascii="Verdana" w:hAnsi="Verdana"/>
          <w:b/>
          <w:bCs/>
          <w:color w:val="44546A" w:themeColor="text2"/>
          <w:sz w:val="17"/>
          <w:szCs w:val="17"/>
          <w:u w:val="single"/>
        </w:rPr>
        <w:t>no need for minimum harmonisation of IGS</w:t>
      </w:r>
      <w:r w:rsidRPr="00664955">
        <w:rPr>
          <w:rFonts w:ascii="Verdana" w:hAnsi="Verdana"/>
          <w:b/>
          <w:bCs/>
          <w:color w:val="44546A" w:themeColor="text2"/>
          <w:sz w:val="17"/>
          <w:szCs w:val="17"/>
        </w:rPr>
        <w:t xml:space="preserve">. </w:t>
      </w:r>
    </w:p>
    <w:p w14:paraId="0BA6BED2" w14:textId="77777777" w:rsidR="00664955" w:rsidRDefault="00664955" w:rsidP="00664955">
      <w:pPr>
        <w:spacing w:line="288" w:lineRule="auto"/>
        <w:jc w:val="both"/>
        <w:rPr>
          <w:rFonts w:ascii="Verdana" w:hAnsi="Verdana"/>
          <w:b/>
          <w:bCs/>
          <w:color w:val="44546A" w:themeColor="text2"/>
          <w:sz w:val="17"/>
          <w:szCs w:val="17"/>
        </w:rPr>
      </w:pPr>
    </w:p>
    <w:p w14:paraId="6CABD2EC" w14:textId="49F65EFC" w:rsidR="00664955" w:rsidRPr="00664955" w:rsidRDefault="00664955" w:rsidP="00664955">
      <w:pPr>
        <w:spacing w:line="288" w:lineRule="auto"/>
        <w:jc w:val="both"/>
        <w:rPr>
          <w:rFonts w:ascii="Verdana" w:hAnsi="Verdana"/>
          <w:b/>
          <w:bCs/>
          <w:color w:val="44546A" w:themeColor="text2"/>
          <w:sz w:val="17"/>
          <w:szCs w:val="17"/>
        </w:rPr>
      </w:pPr>
      <w:r w:rsidRPr="00664955">
        <w:rPr>
          <w:rFonts w:ascii="Verdana" w:hAnsi="Verdana"/>
          <w:b/>
          <w:bCs/>
          <w:color w:val="44546A" w:themeColor="text2"/>
          <w:sz w:val="17"/>
          <w:szCs w:val="17"/>
        </w:rPr>
        <w:t>Solvency II, when implemented appropriately, offers sufficiently high protection. The focus should be on ensuring Solvency II is calibrated and applied appropriately and on cooperation and coordination between supervisory and/or resolution authorities. The IGS currently in place vary significantly across Europe but generally work well in their local context and laws. The requirements and legal structures of IGS should continue to be decided by member states.</w:t>
      </w:r>
    </w:p>
    <w:p w14:paraId="500DC2DE" w14:textId="77777777" w:rsidR="00664955" w:rsidRDefault="00664955" w:rsidP="009556AB">
      <w:pPr>
        <w:spacing w:line="288" w:lineRule="auto"/>
        <w:jc w:val="both"/>
        <w:rPr>
          <w:rFonts w:ascii="Verdana" w:hAnsi="Verdana"/>
          <w:b/>
          <w:bCs/>
          <w:color w:val="44546A" w:themeColor="text2"/>
          <w:sz w:val="17"/>
          <w:szCs w:val="17"/>
        </w:rPr>
      </w:pPr>
    </w:p>
    <w:p w14:paraId="7B8E49F7" w14:textId="77777777" w:rsidR="00664955" w:rsidRPr="00664955" w:rsidRDefault="00664955" w:rsidP="009556AB">
      <w:pPr>
        <w:spacing w:line="288" w:lineRule="auto"/>
        <w:jc w:val="both"/>
        <w:rPr>
          <w:rFonts w:ascii="Verdana" w:hAnsi="Verdana"/>
          <w:color w:val="44546A" w:themeColor="text2"/>
          <w:sz w:val="17"/>
          <w:szCs w:val="17"/>
          <w:u w:val="single"/>
        </w:rPr>
      </w:pPr>
      <w:r w:rsidRPr="00664955">
        <w:rPr>
          <w:rFonts w:ascii="Verdana" w:hAnsi="Verdana"/>
          <w:color w:val="44546A" w:themeColor="text2"/>
          <w:sz w:val="17"/>
          <w:szCs w:val="17"/>
          <w:u w:val="single"/>
        </w:rPr>
        <w:t>Group supervision</w:t>
      </w:r>
    </w:p>
    <w:p w14:paraId="35FCFE69"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EIOPA’s proposals on group supervision are many, there is not sufficient justification for legislative changes and they </w:t>
      </w:r>
      <w:r w:rsidRPr="009556AB">
        <w:rPr>
          <w:rFonts w:ascii="Verdana" w:hAnsi="Verdana"/>
          <w:b/>
          <w:bCs/>
          <w:color w:val="44546A" w:themeColor="text2"/>
          <w:sz w:val="17"/>
          <w:szCs w:val="17"/>
          <w:u w:val="single"/>
        </w:rPr>
        <w:t xml:space="preserve">should not be included </w:t>
      </w:r>
      <w:r w:rsidRPr="009556AB">
        <w:rPr>
          <w:rFonts w:ascii="Verdana" w:hAnsi="Verdana"/>
          <w:b/>
          <w:bCs/>
          <w:color w:val="44546A" w:themeColor="text2"/>
          <w:sz w:val="17"/>
          <w:szCs w:val="17"/>
        </w:rPr>
        <w:t>in the SII review.</w:t>
      </w:r>
    </w:p>
    <w:p w14:paraId="45B8D9A9" w14:textId="77777777" w:rsidR="009556AB" w:rsidRPr="009556AB" w:rsidRDefault="009556AB" w:rsidP="009556AB">
      <w:pPr>
        <w:spacing w:line="288" w:lineRule="auto"/>
        <w:jc w:val="both"/>
        <w:rPr>
          <w:rFonts w:ascii="Verdana" w:hAnsi="Verdana"/>
          <w:b/>
          <w:bCs/>
          <w:color w:val="44546A" w:themeColor="text2"/>
          <w:sz w:val="17"/>
          <w:szCs w:val="17"/>
        </w:rPr>
      </w:pPr>
    </w:p>
    <w:p w14:paraId="5F83083A"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Most of EIOPA’s proposed changes aim at improving convergence of supervisory practices. While there may be a need for improvement in this respect, this should be achieved by making full use of EIOPA convergence tools (supervisory handbook, workshops, colleges of supervisors, etc).</w:t>
      </w:r>
    </w:p>
    <w:p w14:paraId="40DF7F1F" w14:textId="77777777" w:rsidR="009556AB" w:rsidRPr="009556AB" w:rsidRDefault="009556AB" w:rsidP="009556AB">
      <w:pPr>
        <w:spacing w:line="288" w:lineRule="auto"/>
        <w:jc w:val="both"/>
        <w:rPr>
          <w:rFonts w:ascii="Verdana" w:hAnsi="Verdana"/>
          <w:color w:val="44546A" w:themeColor="text2"/>
          <w:sz w:val="17"/>
          <w:szCs w:val="17"/>
        </w:rPr>
      </w:pPr>
    </w:p>
    <w:p w14:paraId="591CB13C"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Due to the various and unique complex structure of groups, and the diverging legal forms of companies in the EEA, the EC should ensure that Solvency II remains principles-based in this area. Supervisory convergence tools are more appropriate to address the current challenges without the risk of creating problems in the future.</w:t>
      </w:r>
    </w:p>
    <w:p w14:paraId="3CC836FE" w14:textId="77777777" w:rsidR="009556AB" w:rsidRPr="009556AB" w:rsidRDefault="009556AB" w:rsidP="009556AB">
      <w:pPr>
        <w:spacing w:line="288" w:lineRule="auto"/>
        <w:jc w:val="both"/>
        <w:rPr>
          <w:rFonts w:ascii="Verdana" w:hAnsi="Verdana"/>
          <w:color w:val="44546A" w:themeColor="text2"/>
          <w:sz w:val="17"/>
          <w:szCs w:val="17"/>
        </w:rPr>
      </w:pPr>
    </w:p>
    <w:p w14:paraId="4ADE51A0" w14:textId="0D84570E" w:rsidR="009556AB" w:rsidRDefault="009556AB" w:rsidP="001F16CE">
      <w:pPr>
        <w:spacing w:line="288" w:lineRule="auto"/>
        <w:jc w:val="both"/>
        <w:rPr>
          <w:rFonts w:ascii="Verdana" w:hAnsi="Verdana"/>
          <w:sz w:val="17"/>
          <w:szCs w:val="17"/>
        </w:rPr>
      </w:pPr>
      <w:r w:rsidRPr="009556AB">
        <w:rPr>
          <w:rFonts w:ascii="Verdana" w:hAnsi="Verdana"/>
          <w:color w:val="44546A" w:themeColor="text2"/>
          <w:sz w:val="17"/>
          <w:szCs w:val="17"/>
        </w:rPr>
        <w:t>As EIOPA failed to deliver an appropriate impact assessment of its proposals, there is no satisfactory evidence that the cost/benefit ratio of these proposed changes is acceptable.</w:t>
      </w:r>
      <w:r>
        <w:rPr>
          <w:rFonts w:ascii="Verdana" w:hAnsi="Verdana"/>
          <w:sz w:val="17"/>
          <w:szCs w:val="17"/>
        </w:rPr>
        <w:br w:type="page"/>
      </w:r>
    </w:p>
    <w:p w14:paraId="0BAD7A14" w14:textId="77777777" w:rsidR="009556AB" w:rsidRPr="009556AB" w:rsidRDefault="009556AB" w:rsidP="009556AB">
      <w:pPr>
        <w:spacing w:line="288" w:lineRule="auto"/>
        <w:jc w:val="both"/>
        <w:rPr>
          <w:rFonts w:ascii="Verdana" w:hAnsi="Verdana"/>
          <w:sz w:val="17"/>
          <w:szCs w:val="17"/>
        </w:rPr>
      </w:pPr>
    </w:p>
    <w:p w14:paraId="6019604C" w14:textId="77777777" w:rsidR="009556AB" w:rsidRPr="009556AB" w:rsidRDefault="009556AB" w:rsidP="009556AB">
      <w:pPr>
        <w:spacing w:line="288" w:lineRule="auto"/>
        <w:jc w:val="both"/>
        <w:rPr>
          <w:rFonts w:ascii="Verdana" w:hAnsi="Verdana"/>
          <w:b/>
          <w:sz w:val="17"/>
          <w:szCs w:val="17"/>
          <w:u w:val="single"/>
        </w:rPr>
      </w:pPr>
      <w:r w:rsidRPr="009556AB">
        <w:rPr>
          <w:rFonts w:ascii="Verdana" w:hAnsi="Verdana"/>
          <w:b/>
          <w:sz w:val="17"/>
          <w:szCs w:val="17"/>
          <w:u w:val="single"/>
        </w:rPr>
        <w:t>V – Overall impact of the review</w:t>
      </w:r>
    </w:p>
    <w:p w14:paraId="48901D99" w14:textId="77777777" w:rsidR="009556AB" w:rsidRPr="009556AB" w:rsidRDefault="009556AB" w:rsidP="009556AB">
      <w:pPr>
        <w:spacing w:line="288" w:lineRule="auto"/>
        <w:jc w:val="both"/>
        <w:rPr>
          <w:rFonts w:ascii="Verdana" w:hAnsi="Verdana"/>
          <w:i/>
          <w:iCs/>
          <w:sz w:val="17"/>
          <w:szCs w:val="17"/>
        </w:rPr>
      </w:pPr>
      <w:r w:rsidRPr="009556AB">
        <w:rPr>
          <w:rFonts w:ascii="Verdana" w:hAnsi="Verdana"/>
          <w:i/>
          <w:iCs/>
          <w:sz w:val="17"/>
          <w:szCs w:val="17"/>
        </w:rPr>
        <w:t>13.</w:t>
      </w:r>
      <w:r w:rsidRPr="009556AB">
        <w:rPr>
          <w:rFonts w:ascii="Verdana" w:hAnsi="Verdana"/>
          <w:i/>
          <w:iCs/>
          <w:sz w:val="17"/>
          <w:szCs w:val="17"/>
        </w:rPr>
        <w:tab/>
        <w:t>Member States are invited to share their views on whether EIOPA’s proposals lead to a “balanced outcome” in terms of quantitative impact. If this is not the case, Member States are requested to take into account how a balanced review could be achieved during the discussions on the different topics.</w:t>
      </w:r>
    </w:p>
    <w:p w14:paraId="5BCC5630" w14:textId="77777777" w:rsidR="009556AB" w:rsidRPr="009556AB" w:rsidRDefault="009556AB" w:rsidP="009556AB">
      <w:pPr>
        <w:spacing w:line="288" w:lineRule="auto"/>
        <w:jc w:val="both"/>
        <w:rPr>
          <w:rFonts w:ascii="Verdana" w:hAnsi="Verdana"/>
          <w:i/>
          <w:iCs/>
          <w:color w:val="FF0000"/>
          <w:sz w:val="17"/>
          <w:szCs w:val="17"/>
        </w:rPr>
      </w:pPr>
    </w:p>
    <w:p w14:paraId="491366F3" w14:textId="77777777" w:rsidR="009556AB" w:rsidRPr="009556AB" w:rsidRDefault="009556AB" w:rsidP="009556AB">
      <w:pPr>
        <w:spacing w:line="288" w:lineRule="auto"/>
        <w:jc w:val="both"/>
        <w:rPr>
          <w:rFonts w:ascii="Verdana" w:hAnsi="Verdana"/>
          <w:b/>
          <w:bCs/>
          <w:color w:val="44546A" w:themeColor="text2"/>
          <w:sz w:val="17"/>
          <w:szCs w:val="17"/>
        </w:rPr>
      </w:pPr>
      <w:r w:rsidRPr="009556AB">
        <w:rPr>
          <w:rFonts w:ascii="Verdana" w:hAnsi="Verdana"/>
          <w:b/>
          <w:bCs/>
          <w:color w:val="44546A" w:themeColor="text2"/>
          <w:sz w:val="17"/>
          <w:szCs w:val="17"/>
        </w:rPr>
        <w:t xml:space="preserve">EIOPA’s overall opinion is </w:t>
      </w:r>
      <w:r w:rsidRPr="009556AB">
        <w:rPr>
          <w:rFonts w:ascii="Verdana" w:hAnsi="Verdana"/>
          <w:b/>
          <w:bCs/>
          <w:color w:val="44546A" w:themeColor="text2"/>
          <w:sz w:val="17"/>
          <w:szCs w:val="17"/>
          <w:u w:val="single"/>
        </w:rPr>
        <w:t>not balanced</w:t>
      </w:r>
      <w:r w:rsidRPr="009556AB">
        <w:rPr>
          <w:rFonts w:ascii="Verdana" w:hAnsi="Verdana"/>
          <w:b/>
          <w:bCs/>
          <w:color w:val="44546A" w:themeColor="text2"/>
          <w:sz w:val="17"/>
          <w:szCs w:val="17"/>
        </w:rPr>
        <w:t xml:space="preserve">. </w:t>
      </w:r>
    </w:p>
    <w:p w14:paraId="08614741" w14:textId="77777777" w:rsidR="009556AB" w:rsidRPr="009556AB" w:rsidRDefault="009556AB" w:rsidP="009556AB">
      <w:pPr>
        <w:spacing w:line="288" w:lineRule="auto"/>
        <w:jc w:val="both"/>
        <w:rPr>
          <w:rFonts w:ascii="Verdana" w:hAnsi="Verdana"/>
          <w:b/>
          <w:bCs/>
          <w:color w:val="44546A" w:themeColor="text2"/>
          <w:sz w:val="17"/>
          <w:szCs w:val="17"/>
        </w:rPr>
      </w:pPr>
    </w:p>
    <w:p w14:paraId="16F74D53" w14:textId="77777777" w:rsidR="009556AB" w:rsidRPr="009556AB" w:rsidRDefault="009556AB" w:rsidP="009556AB">
      <w:pPr>
        <w:spacing w:line="288" w:lineRule="auto"/>
        <w:jc w:val="both"/>
        <w:rPr>
          <w:rFonts w:ascii="Verdana" w:hAnsi="Verdana"/>
          <w:color w:val="44546A" w:themeColor="text2"/>
          <w:sz w:val="17"/>
          <w:szCs w:val="17"/>
        </w:rPr>
      </w:pPr>
      <w:r w:rsidRPr="009556AB">
        <w:rPr>
          <w:rFonts w:ascii="Verdana" w:hAnsi="Verdana"/>
          <w:color w:val="44546A" w:themeColor="text2"/>
          <w:sz w:val="17"/>
          <w:szCs w:val="17"/>
        </w:rPr>
        <w:t xml:space="preserve">Overall impact is </w:t>
      </w:r>
      <w:r w:rsidRPr="009556AB">
        <w:rPr>
          <w:rFonts w:ascii="Verdana" w:hAnsi="Verdana"/>
          <w:b/>
          <w:bCs/>
          <w:color w:val="44546A" w:themeColor="text2"/>
          <w:sz w:val="17"/>
          <w:szCs w:val="17"/>
        </w:rPr>
        <w:t>significant and negative</w:t>
      </w:r>
      <w:r w:rsidRPr="009556AB">
        <w:rPr>
          <w:rFonts w:ascii="Verdana" w:hAnsi="Verdana"/>
          <w:color w:val="44546A" w:themeColor="text2"/>
          <w:sz w:val="17"/>
          <w:szCs w:val="17"/>
        </w:rPr>
        <w:t xml:space="preserve"> – increasing both </w:t>
      </w:r>
      <w:r w:rsidRPr="009556AB">
        <w:rPr>
          <w:rFonts w:ascii="Verdana" w:hAnsi="Verdana"/>
          <w:color w:val="44546A" w:themeColor="text2"/>
          <w:sz w:val="17"/>
          <w:szCs w:val="17"/>
          <w:u w:val="single"/>
        </w:rPr>
        <w:t>overall capital and volatility</w:t>
      </w:r>
      <w:r w:rsidRPr="009556AB">
        <w:rPr>
          <w:rFonts w:ascii="Verdana" w:hAnsi="Verdana"/>
          <w:color w:val="44546A" w:themeColor="text2"/>
          <w:sz w:val="17"/>
          <w:szCs w:val="17"/>
        </w:rPr>
        <w:t xml:space="preserve">: </w:t>
      </w:r>
    </w:p>
    <w:p w14:paraId="285E3249"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E.g. Their quantified proposals would reduce risk-taking capacity of the industry about by €60bn (based on EIOPA’s own figures at 30 June 2020 and excluding transitional measures)– to illustrate: In order to offset this, the industry would have to:</w:t>
      </w:r>
    </w:p>
    <w:p w14:paraId="40BBD8C9" w14:textId="77777777" w:rsidR="009556AB" w:rsidRPr="009556AB" w:rsidRDefault="009556AB" w:rsidP="009556AB">
      <w:pPr>
        <w:pStyle w:val="ListParagraph"/>
        <w:numPr>
          <w:ilvl w:val="1"/>
          <w:numId w:val="27"/>
        </w:numPr>
        <w:rPr>
          <w:color w:val="44546A" w:themeColor="text2"/>
          <w:szCs w:val="17"/>
        </w:rPr>
      </w:pPr>
      <w:r w:rsidRPr="009556AB">
        <w:rPr>
          <w:color w:val="44546A" w:themeColor="text2"/>
          <w:szCs w:val="17"/>
        </w:rPr>
        <w:t xml:space="preserve">reduce equity investments by €170bn </w:t>
      </w:r>
    </w:p>
    <w:p w14:paraId="01786EB1" w14:textId="77777777" w:rsidR="009556AB" w:rsidRPr="009556AB" w:rsidRDefault="009556AB" w:rsidP="009556AB">
      <w:pPr>
        <w:pStyle w:val="ListParagraph"/>
        <w:numPr>
          <w:ilvl w:val="1"/>
          <w:numId w:val="27"/>
        </w:numPr>
        <w:rPr>
          <w:color w:val="44546A" w:themeColor="text2"/>
          <w:szCs w:val="17"/>
        </w:rPr>
      </w:pPr>
      <w:r w:rsidRPr="009556AB">
        <w:rPr>
          <w:color w:val="44546A" w:themeColor="text2"/>
          <w:szCs w:val="17"/>
        </w:rPr>
        <w:t xml:space="preserve">or, reduce corporate bond investment by €680 billion </w:t>
      </w:r>
    </w:p>
    <w:p w14:paraId="043B1D59"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 xml:space="preserve">Not all potential impacts on capital have been quantified (eg on proposals on group supervision) and costs of implementing and ongoing compliance to new reporting and other requirements have been quantified to a very limited extent </w:t>
      </w:r>
    </w:p>
    <w:p w14:paraId="6AE196C7"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Impact for certain products (long-term especially) would be significantly negative</w:t>
      </w:r>
    </w:p>
    <w:p w14:paraId="6B624583"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Impact on investments (long-term especially) would be significantly negative</w:t>
      </w:r>
    </w:p>
    <w:p w14:paraId="34119EDD" w14:textId="77777777" w:rsidR="009556AB" w:rsidRPr="009556AB" w:rsidRDefault="009556AB" w:rsidP="009556AB">
      <w:pPr>
        <w:pStyle w:val="ListParagraph"/>
        <w:numPr>
          <w:ilvl w:val="0"/>
          <w:numId w:val="27"/>
        </w:numPr>
        <w:rPr>
          <w:color w:val="44546A" w:themeColor="text2"/>
          <w:szCs w:val="17"/>
        </w:rPr>
      </w:pPr>
      <w:r w:rsidRPr="009556AB">
        <w:rPr>
          <w:color w:val="44546A" w:themeColor="text2"/>
          <w:szCs w:val="17"/>
        </w:rPr>
        <w:t>Impact on across different markets not balanced</w:t>
      </w:r>
    </w:p>
    <w:p w14:paraId="7E201291" w14:textId="40142698" w:rsidR="009556AB" w:rsidRPr="009556AB" w:rsidRDefault="009556AB" w:rsidP="009556AB">
      <w:pPr>
        <w:spacing w:line="288" w:lineRule="auto"/>
        <w:jc w:val="both"/>
        <w:rPr>
          <w:rFonts w:ascii="Verdana" w:hAnsi="Verdana"/>
          <w:sz w:val="17"/>
          <w:szCs w:val="17"/>
          <w:lang w:val="en-GB"/>
        </w:rPr>
      </w:pPr>
    </w:p>
    <w:sectPr w:rsidR="009556AB" w:rsidRPr="009556A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54CA1" w14:textId="77777777" w:rsidR="001F16CE" w:rsidRDefault="001F16CE" w:rsidP="001F16CE">
      <w:r>
        <w:separator/>
      </w:r>
    </w:p>
  </w:endnote>
  <w:endnote w:type="continuationSeparator" w:id="0">
    <w:p w14:paraId="11FFD920" w14:textId="77777777" w:rsidR="001F16CE" w:rsidRDefault="001F16CE" w:rsidP="001F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0123861"/>
      <w:docPartObj>
        <w:docPartGallery w:val="Page Numbers (Bottom of Page)"/>
        <w:docPartUnique/>
      </w:docPartObj>
    </w:sdtPr>
    <w:sdtEndPr>
      <w:rPr>
        <w:noProof/>
      </w:rPr>
    </w:sdtEndPr>
    <w:sdtContent>
      <w:p w14:paraId="609AADAA" w14:textId="46E2F760" w:rsidR="001F16CE" w:rsidRDefault="001F16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BF6E2E" w14:textId="77777777" w:rsidR="001F16CE" w:rsidRDefault="001F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EF557" w14:textId="77777777" w:rsidR="001F16CE" w:rsidRDefault="001F16CE" w:rsidP="001F16CE">
      <w:r>
        <w:separator/>
      </w:r>
    </w:p>
  </w:footnote>
  <w:footnote w:type="continuationSeparator" w:id="0">
    <w:p w14:paraId="73A4E89B" w14:textId="77777777" w:rsidR="001F16CE" w:rsidRDefault="001F16CE" w:rsidP="001F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12" type="#_x0000_t75" style="width:11.5pt;height:11.5pt" o:bullet="t">
        <v:imagedata r:id="rId1" o:title="CEA - Bullets Rounded Squares_BulletLevel1_forMS"/>
      </v:shape>
    </w:pict>
  </w:numPicBullet>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F1E34"/>
    <w:multiLevelType w:val="hybridMultilevel"/>
    <w:tmpl w:val="9AEC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E4D06"/>
    <w:multiLevelType w:val="hybridMultilevel"/>
    <w:tmpl w:val="3C922576"/>
    <w:lvl w:ilvl="0" w:tplc="680C027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FC29E8"/>
    <w:multiLevelType w:val="hybridMultilevel"/>
    <w:tmpl w:val="832A6A04"/>
    <w:lvl w:ilvl="0" w:tplc="680C02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1663A"/>
    <w:multiLevelType w:val="hybridMultilevel"/>
    <w:tmpl w:val="1ED6457E"/>
    <w:lvl w:ilvl="0" w:tplc="08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E864B8B"/>
    <w:multiLevelType w:val="hybridMultilevel"/>
    <w:tmpl w:val="EAFAF6CE"/>
    <w:lvl w:ilvl="0" w:tplc="28A25AB8">
      <w:start w:val="1"/>
      <w:numFmt w:val="decimal"/>
      <w:lvlText w:val="%1."/>
      <w:lvlJc w:val="left"/>
      <w:pPr>
        <w:ind w:left="1071" w:hanging="71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D0431C"/>
    <w:multiLevelType w:val="hybridMultilevel"/>
    <w:tmpl w:val="92D220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5F0AF7"/>
    <w:multiLevelType w:val="hybridMultilevel"/>
    <w:tmpl w:val="89F6144E"/>
    <w:lvl w:ilvl="0" w:tplc="65D64FF4">
      <w:start w:val="1001"/>
      <w:numFmt w:val="bullet"/>
      <w:lvlText w:val="-"/>
      <w:lvlJc w:val="left"/>
      <w:pPr>
        <w:ind w:left="360" w:hanging="360"/>
      </w:pPr>
      <w:rPr>
        <w:rFonts w:ascii="Calibri" w:eastAsia="Cambr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A4E55FF"/>
    <w:multiLevelType w:val="hybridMultilevel"/>
    <w:tmpl w:val="C55612A6"/>
    <w:lvl w:ilvl="0" w:tplc="680C02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5F334F"/>
    <w:multiLevelType w:val="hybridMultilevel"/>
    <w:tmpl w:val="F16093F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394E90"/>
    <w:multiLevelType w:val="hybridMultilevel"/>
    <w:tmpl w:val="AFF28846"/>
    <w:lvl w:ilvl="0" w:tplc="82206FE2">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66623D"/>
    <w:multiLevelType w:val="hybridMultilevel"/>
    <w:tmpl w:val="19A2D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99E2B88"/>
    <w:multiLevelType w:val="hybridMultilevel"/>
    <w:tmpl w:val="ECE0FA70"/>
    <w:lvl w:ilvl="0" w:tplc="5A447224">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F268A4"/>
    <w:multiLevelType w:val="hybridMultilevel"/>
    <w:tmpl w:val="260E66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15"/>
  </w:num>
  <w:num w:numId="3">
    <w:abstractNumId w:val="11"/>
  </w:num>
  <w:num w:numId="4">
    <w:abstractNumId w:val="33"/>
  </w:num>
  <w:num w:numId="5">
    <w:abstractNumId w:val="18"/>
  </w:num>
  <w:num w:numId="6">
    <w:abstractNumId w:val="23"/>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2"/>
  </w:num>
  <w:num w:numId="20">
    <w:abstractNumId w:val="31"/>
  </w:num>
  <w:num w:numId="21">
    <w:abstractNumId w:val="24"/>
  </w:num>
  <w:num w:numId="22">
    <w:abstractNumId w:val="13"/>
  </w:num>
  <w:num w:numId="23">
    <w:abstractNumId w:val="35"/>
  </w:num>
  <w:num w:numId="24">
    <w:abstractNumId w:val="17"/>
  </w:num>
  <w:num w:numId="25">
    <w:abstractNumId w:val="16"/>
  </w:num>
  <w:num w:numId="26">
    <w:abstractNumId w:val="34"/>
  </w:num>
  <w:num w:numId="27">
    <w:abstractNumId w:val="29"/>
  </w:num>
  <w:num w:numId="28">
    <w:abstractNumId w:val="27"/>
  </w:num>
  <w:num w:numId="29">
    <w:abstractNumId w:val="32"/>
  </w:num>
  <w:num w:numId="30">
    <w:abstractNumId w:val="28"/>
  </w:num>
  <w:num w:numId="31">
    <w:abstractNumId w:val="21"/>
  </w:num>
  <w:num w:numId="32">
    <w:abstractNumId w:val="10"/>
  </w:num>
  <w:num w:numId="33">
    <w:abstractNumId w:val="14"/>
  </w:num>
  <w:num w:numId="34">
    <w:abstractNumId w:val="26"/>
  </w:num>
  <w:num w:numId="35">
    <w:abstractNumId w:val="12"/>
  </w:num>
  <w:num w:numId="36">
    <w:abstractNumId w:val="32"/>
  </w:num>
  <w:num w:numId="37">
    <w:abstractNumId w:val="3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AB"/>
    <w:rsid w:val="00180012"/>
    <w:rsid w:val="001F16CE"/>
    <w:rsid w:val="00645252"/>
    <w:rsid w:val="00664955"/>
    <w:rsid w:val="006D3D74"/>
    <w:rsid w:val="007660FB"/>
    <w:rsid w:val="0083569A"/>
    <w:rsid w:val="009556AB"/>
    <w:rsid w:val="00A9204E"/>
    <w:rsid w:val="00EE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BBD61"/>
  <w15:chartTrackingRefBased/>
  <w15:docId w15:val="{201821C7-9A10-4ED0-87D5-95629371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CEAGraphTitle">
    <w:name w:val="CEA Graph Title"/>
    <w:basedOn w:val="DefaultParagraphFont"/>
    <w:uiPriority w:val="1"/>
    <w:qFormat/>
    <w:rsid w:val="009556AB"/>
    <w:rPr>
      <w:rFonts w:ascii="Verdana" w:hAnsi="Verdana"/>
      <w:smallCaps w:val="0"/>
      <w:sz w:val="17"/>
      <w:lang w:val="en-GB"/>
    </w:rPr>
  </w:style>
  <w:style w:type="paragraph" w:styleId="ListParagraph">
    <w:name w:val="List Paragraph"/>
    <w:basedOn w:val="Normal"/>
    <w:uiPriority w:val="34"/>
    <w:qFormat/>
    <w:rsid w:val="009556AB"/>
    <w:pPr>
      <w:spacing w:line="288" w:lineRule="auto"/>
      <w:ind w:left="720"/>
      <w:contextualSpacing/>
      <w:jc w:val="both"/>
    </w:pPr>
    <w:rPr>
      <w:rFonts w:ascii="Verdana" w:eastAsia="Times New Roman" w:hAnsi="Verdana" w:cs="Times New Roman"/>
      <w:sz w:val="17"/>
      <w:szCs w:val="24"/>
      <w:lang w:val="en-GB"/>
    </w:rPr>
  </w:style>
  <w:style w:type="paragraph" w:customStyle="1" w:styleId="CEABullet-Level1">
    <w:name w:val="CEA Bullet - Level 1"/>
    <w:basedOn w:val="Normal"/>
    <w:qFormat/>
    <w:rsid w:val="009556AB"/>
    <w:pPr>
      <w:numPr>
        <w:numId w:val="29"/>
      </w:numPr>
      <w:autoSpaceDE w:val="0"/>
      <w:autoSpaceDN w:val="0"/>
      <w:adjustRightInd w:val="0"/>
      <w:spacing w:line="288" w:lineRule="auto"/>
      <w:jc w:val="both"/>
    </w:pPr>
    <w:rPr>
      <w:rFonts w:ascii="Verdana" w:eastAsia="Times New Roman" w:hAnsi="Verdana" w:cs="Frutiger LT Std 45 Light"/>
      <w:color w:val="000000"/>
      <w:sz w:val="17"/>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R\AppData\Local\Microsoft\Office\16.0\DTS\en-US%7b2C077060-F078-48B0-B210-E282072C61E7%7d\%7bD9696F43-390B-44A8-A453-7200A2311C8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d113e6c9-68c2-4198-bb3a-f8ecf571e120" xsi:nil="true"/>
    <_Source xmlns="http://schemas.microsoft.com/sharepoint/v3/fields" xsi:nil="true"/>
    <Starttime xmlns="d113e6c9-68c2-4198-bb3a-f8ecf571e120" xsi:nil="true"/>
    <Endtime xmlns="d113e6c9-68c2-4198-bb3a-f8ecf571e120" xsi:nil="true"/>
    <Document_x0020_Date xmlns="d113e6c9-68c2-4198-bb3a-f8ecf571e120" xsi:nil="true"/>
    <Type_x0020_of_x0020_document xmlns="d113e6c9-68c2-4198-bb3a-f8ecf571e120" xsi:nil="true"/>
    <Type_x0020_of_x0020_memo xmlns="d113e6c9-68c2-4198-bb3a-f8ecf571e120" xsi:nil="true"/>
    <Linked_x0020_files xmlns="7adb48b6-3973-4eaa-90bf-52485ba4b57c" xsi:nil="true"/>
    <Reference xmlns="d113e6c9-68c2-4198-bb3a-f8ecf571e1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werPoint" ma:contentTypeID="0x0101006E473759DEA5C3498F80FF601797316F00DB2C089DD7CAF24FA5E7AC32A0C860DB" ma:contentTypeVersion="5" ma:contentTypeDescription="" ma:contentTypeScope="" ma:versionID="4af3340808251e745de3f49f137585a4">
  <xsd:schema xmlns:xsd="http://www.w3.org/2001/XMLSchema" xmlns:xs="http://www.w3.org/2001/XMLSchema" xmlns:p="http://schemas.microsoft.com/office/2006/metadata/properties" xmlns:ns2="d113e6c9-68c2-4198-bb3a-f8ecf571e120" xmlns:ns3="7adb48b6-3973-4eaa-90bf-52485ba4b57c" xmlns:ns4="http://schemas.microsoft.com/sharepoint/v3/fields" targetNamespace="http://schemas.microsoft.com/office/2006/metadata/properties" ma:root="true" ma:fieldsID="c76e5dbe47cd411d4a5925dcaf00eb4a" ns2:_="" ns3:_="" ns4:_="">
    <xsd:import namespace="d113e6c9-68c2-4198-bb3a-f8ecf571e120"/>
    <xsd:import namespace="7adb48b6-3973-4eaa-90bf-52485ba4b57c"/>
    <xsd:import namespace="http://schemas.microsoft.com/sharepoint/v3/fields"/>
    <xsd:element name="properties">
      <xsd:complexType>
        <xsd:sequence>
          <xsd:element name="documentManagement">
            <xsd:complexType>
              <xsd:all>
                <xsd:element ref="ns2:Meeting_x0020_Date" minOccurs="0"/>
                <xsd:element ref="ns2:Starttime" minOccurs="0"/>
                <xsd:element ref="ns2:Endtime" minOccurs="0"/>
                <xsd:element ref="ns2:Document_x0020_Date" minOccurs="0"/>
                <xsd:element ref="ns2:Reference" minOccurs="0"/>
                <xsd:element ref="ns3:Linked_x0020_files" minOccurs="0"/>
                <xsd:element ref="ns4:_Source" minOccurs="0"/>
                <xsd:element ref="ns2:Type_x0020_of_x0020_document" minOccurs="0"/>
                <xsd:element ref="ns2:Type_x0020_of_x0020_me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3e6c9-68c2-4198-bb3a-f8ecf571e120" elementFormDefault="qualified">
    <xsd:import namespace="http://schemas.microsoft.com/office/2006/documentManagement/types"/>
    <xsd:import namespace="http://schemas.microsoft.com/office/infopath/2007/PartnerControls"/>
    <xsd:element name="Meeting_x0020_Date" ma:index="8" nillable="true" ma:displayName="Meeting Date" ma:format="DateOnly" ma:internalName="Meeting_x0020_Date">
      <xsd:simpleType>
        <xsd:restriction base="dms:DateTime"/>
      </xsd:simpleType>
    </xsd:element>
    <xsd:element name="Starttime" ma:index="9" nillable="true" ma:displayName="Starttime" ma:internalName="Starttime">
      <xsd:simpleType>
        <xsd:restriction base="dms:Text">
          <xsd:maxLength value="255"/>
        </xsd:restriction>
      </xsd:simpleType>
    </xsd:element>
    <xsd:element name="Endtime" ma:index="10" nillable="true" ma:displayName="Endtime" ma:internalName="Endtime">
      <xsd:simpleType>
        <xsd:restriction base="dms:Text">
          <xsd:maxLength value="255"/>
        </xsd:restriction>
      </xsd:simpleType>
    </xsd:element>
    <xsd:element name="Document_x0020_Date" ma:index="11" nillable="true" ma:displayName="Document Date" ma:internalName="Document_x0020_Date">
      <xsd:simpleType>
        <xsd:restriction base="dms:Text">
          <xsd:maxLength value="255"/>
        </xsd:restriction>
      </xsd:simpleType>
    </xsd:element>
    <xsd:element name="Reference" ma:index="12" nillable="true" ma:displayName="Reference" ma:internalName="Reference">
      <xsd:simpleType>
        <xsd:restriction base="dms:Text">
          <xsd:maxLength value="255"/>
        </xsd:restriction>
      </xsd:simpleType>
    </xsd:element>
    <xsd:element name="Type_x0020_of_x0020_document" ma:index="15"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enumeration value="External document"/>
          <xsd:enumeration value="Briefing Note"/>
          <xsd:enumeration value="Working Document"/>
          <xsd:enumeration value="Presentation"/>
          <xsd:enumeration value="Action Points"/>
          <xsd:enumeration value="RAB Agenda"/>
          <xsd:enumeration value="RAB Letter"/>
          <xsd:enumeration value="RAB Letter with CEOs"/>
          <xsd:enumeration value="RAB Blank document"/>
          <xsd:enumeration value="RAB Background note"/>
          <xsd:enumeration value="RAB Meeting conclusions"/>
        </xsd:restriction>
      </xsd:simpleType>
    </xsd:element>
    <xsd:element name="Type_x0020_of_x0020_memo" ma:index="16" nillable="true" ma:displayName="Type of memo" ma:format="Dropdown" ma:internalName="Type_x0020_of_x0020_memo">
      <xsd:simpleType>
        <xsd:restriction base="dms:Choice">
          <xsd:enumeration value="information"/>
          <xsd:enumeration value="action"/>
        </xsd:restriction>
      </xsd:simpleType>
    </xsd:element>
  </xsd:schema>
  <xsd:schema xmlns:xsd="http://www.w3.org/2001/XMLSchema" xmlns:xs="http://www.w3.org/2001/XMLSchema" xmlns:dms="http://schemas.microsoft.com/office/2006/documentManagement/types" xmlns:pc="http://schemas.microsoft.com/office/infopath/2007/PartnerControls" targetNamespace="7adb48b6-3973-4eaa-90bf-52485ba4b57c" elementFormDefault="qualified">
    <xsd:import namespace="http://schemas.microsoft.com/office/2006/documentManagement/types"/>
    <xsd:import namespace="http://schemas.microsoft.com/office/infopath/2007/PartnerControls"/>
    <xsd:element name="Linked_x0020_files" ma:index="13"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14"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D3171-D85C-48E8-87B3-679D7D6458B8}">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7adb48b6-3973-4eaa-90bf-52485ba4b5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d113e6c9-68c2-4198-bb3a-f8ecf571e120"/>
    <ds:schemaRef ds:uri="http://www.w3.org/XML/1998/namespace"/>
    <ds:schemaRef ds:uri="http://purl.org/dc/dcmitype/"/>
  </ds:schemaRefs>
</ds:datastoreItem>
</file>

<file path=customXml/itemProps3.xml><?xml version="1.0" encoding="utf-8"?>
<ds:datastoreItem xmlns:ds="http://schemas.openxmlformats.org/officeDocument/2006/customXml" ds:itemID="{6D6DCE88-C7CC-436F-B2AE-D807FE30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3e6c9-68c2-4198-bb3a-f8ecf571e120"/>
    <ds:schemaRef ds:uri="7adb48b6-3973-4eaa-90bf-52485ba4b5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{D9696F43-390B-44A8-A453-7200A2311C80}tf02786999_win32.dotx</Template>
  <TotalTime>10</TotalTime>
  <Pages>6</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CM</cp:lastModifiedBy>
  <cp:revision>4</cp:revision>
  <dcterms:created xsi:type="dcterms:W3CDTF">2021-02-09T11:59:00Z</dcterms:created>
  <dcterms:modified xsi:type="dcterms:W3CDTF">2021-02-09T12:12:00Z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0x0101006E473759DEA5C3498F80FF601797316F00DB2C089DD7CAF24FA5E7AC32A0C860DB</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