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D6CA5" w14:textId="77777777" w:rsidR="00665A3C" w:rsidRPr="00581EAE" w:rsidRDefault="00665A3C" w:rsidP="00665A3C">
      <w:pPr>
        <w:jc w:val="center"/>
        <w:rPr>
          <w:rFonts w:ascii="Times New Roman" w:hAnsi="Times New Roman" w:cs="Times New Roman"/>
          <w:b/>
          <w:bCs/>
          <w:sz w:val="24"/>
          <w:szCs w:val="24"/>
        </w:rPr>
      </w:pPr>
      <w:bookmarkStart w:id="0" w:name="_GoBack"/>
      <w:bookmarkEnd w:id="0"/>
      <w:r w:rsidRPr="00581EAE">
        <w:rPr>
          <w:rFonts w:ascii="Times New Roman" w:hAnsi="Times New Roman" w:cs="Times New Roman"/>
          <w:b/>
          <w:bCs/>
          <w:sz w:val="24"/>
          <w:szCs w:val="24"/>
        </w:rPr>
        <w:t>COMMISSION SERVICES NON-PAPER</w:t>
      </w:r>
    </w:p>
    <w:p w14:paraId="508DDC38" w14:textId="77777777" w:rsidR="00665A3C" w:rsidRPr="00581EAE" w:rsidRDefault="00665A3C" w:rsidP="00665A3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581EAE">
        <w:rPr>
          <w:rFonts w:ascii="Times New Roman" w:hAnsi="Times New Roman" w:cs="Times New Roman"/>
          <w:b/>
          <w:bCs/>
          <w:sz w:val="24"/>
          <w:szCs w:val="24"/>
        </w:rPr>
        <w:t>DISCLAIMER</w:t>
      </w:r>
    </w:p>
    <w:p w14:paraId="6D4627DC" w14:textId="77777777" w:rsidR="00665A3C" w:rsidRPr="009A2034" w:rsidRDefault="00665A3C" w:rsidP="00665A3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9A2034">
        <w:rPr>
          <w:rFonts w:ascii="Times New Roman" w:hAnsi="Times New Roman" w:cs="Times New Roman"/>
          <w:b/>
          <w:bCs/>
          <w:sz w:val="24"/>
          <w:szCs w:val="24"/>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p w14:paraId="377402C2" w14:textId="77777777" w:rsidR="00665A3C" w:rsidRPr="009A2034" w:rsidRDefault="00665A3C" w:rsidP="00665A3C">
      <w:pPr>
        <w:jc w:val="center"/>
        <w:rPr>
          <w:rFonts w:ascii="Times New Roman" w:hAnsi="Times New Roman" w:cs="Times New Roman"/>
          <w:b/>
          <w:sz w:val="24"/>
          <w:szCs w:val="24"/>
        </w:rPr>
      </w:pPr>
      <w:r w:rsidRPr="009A2034">
        <w:rPr>
          <w:rFonts w:ascii="Times New Roman" w:hAnsi="Times New Roman" w:cs="Times New Roman"/>
          <w:b/>
          <w:sz w:val="24"/>
          <w:szCs w:val="24"/>
        </w:rPr>
        <w:t>EXPERT GROUP ON BANKING, PAYMENTS AND INSURANCE (INSURANCE FORMATION)</w:t>
      </w:r>
    </w:p>
    <w:p w14:paraId="789A8C3D" w14:textId="77777777" w:rsidR="00665A3C" w:rsidRPr="003B41EC" w:rsidRDefault="006D4D00" w:rsidP="00665A3C">
      <w:pPr>
        <w:jc w:val="center"/>
        <w:rPr>
          <w:rFonts w:ascii="Times New Roman" w:hAnsi="Times New Roman" w:cs="Times New Roman"/>
          <w:b/>
          <w:sz w:val="24"/>
          <w:szCs w:val="24"/>
        </w:rPr>
      </w:pPr>
      <w:r w:rsidRPr="003B41EC">
        <w:rPr>
          <w:rFonts w:ascii="Times New Roman" w:hAnsi="Times New Roman" w:cs="Times New Roman"/>
          <w:b/>
          <w:sz w:val="24"/>
          <w:szCs w:val="24"/>
        </w:rPr>
        <w:t>1 February 2021</w:t>
      </w:r>
    </w:p>
    <w:p w14:paraId="5C02F01A" w14:textId="77777777" w:rsidR="003B41EC" w:rsidRPr="003B41EC" w:rsidRDefault="003B41EC" w:rsidP="003B41EC">
      <w:pPr>
        <w:autoSpaceDE w:val="0"/>
        <w:autoSpaceDN w:val="0"/>
        <w:adjustRightInd w:val="0"/>
        <w:spacing w:after="0" w:line="240" w:lineRule="auto"/>
        <w:jc w:val="center"/>
        <w:rPr>
          <w:rFonts w:ascii="Times New Roman" w:hAnsi="Times New Roman" w:cs="Times New Roman"/>
          <w:color w:val="000000"/>
          <w:sz w:val="24"/>
          <w:szCs w:val="24"/>
          <w:lang w:val="en-US"/>
        </w:rPr>
      </w:pPr>
      <w:r w:rsidRPr="003B41EC">
        <w:rPr>
          <w:rFonts w:ascii="Times New Roman" w:hAnsi="Times New Roman" w:cs="Times New Roman"/>
          <w:b/>
          <w:bCs/>
          <w:color w:val="000000"/>
          <w:sz w:val="23"/>
          <w:szCs w:val="23"/>
          <w:lang w:val="en-US"/>
        </w:rPr>
        <w:t>Solvency II review – Discussion on the main aspects of the EIOPA’s technical Advice</w:t>
      </w:r>
    </w:p>
    <w:p w14:paraId="77C1FDAB" w14:textId="77777777" w:rsidR="00841A05" w:rsidRDefault="00841A05" w:rsidP="00CA6ABE">
      <w:pPr>
        <w:spacing w:after="120"/>
        <w:jc w:val="both"/>
        <w:rPr>
          <w:rFonts w:ascii="Times New Roman" w:hAnsi="Times New Roman" w:cs="Times New Roman"/>
          <w:b/>
          <w:sz w:val="24"/>
          <w:szCs w:val="24"/>
        </w:rPr>
      </w:pPr>
    </w:p>
    <w:p w14:paraId="682D7C5C" w14:textId="77777777" w:rsidR="00665A3C" w:rsidRPr="009A2034" w:rsidRDefault="00665A3C" w:rsidP="00CA6ABE">
      <w:pPr>
        <w:spacing w:after="120"/>
        <w:jc w:val="both"/>
        <w:rPr>
          <w:rFonts w:ascii="Times New Roman" w:hAnsi="Times New Roman" w:cs="Times New Roman"/>
          <w:b/>
          <w:sz w:val="24"/>
          <w:szCs w:val="24"/>
        </w:rPr>
      </w:pPr>
      <w:r w:rsidRPr="009A2034">
        <w:rPr>
          <w:rFonts w:ascii="Times New Roman" w:hAnsi="Times New Roman" w:cs="Times New Roman"/>
          <w:b/>
          <w:sz w:val="24"/>
          <w:szCs w:val="24"/>
        </w:rPr>
        <w:t>Background</w:t>
      </w:r>
    </w:p>
    <w:p w14:paraId="3408BD59" w14:textId="77777777" w:rsidR="001905E5" w:rsidRDefault="005E4F88" w:rsidP="00CA6ABE">
      <w:pPr>
        <w:tabs>
          <w:tab w:val="left" w:pos="4962"/>
        </w:tabs>
        <w:spacing w:after="120"/>
        <w:jc w:val="both"/>
        <w:rPr>
          <w:rFonts w:ascii="Times New Roman" w:hAnsi="Times New Roman" w:cs="Times New Roman"/>
        </w:rPr>
      </w:pPr>
      <w:r>
        <w:rPr>
          <w:rFonts w:ascii="Times New Roman" w:hAnsi="Times New Roman" w:cs="Times New Roman"/>
        </w:rPr>
        <w:t xml:space="preserve">The European Commission </w:t>
      </w:r>
      <w:r w:rsidR="00CF37EA">
        <w:rPr>
          <w:rFonts w:ascii="Times New Roman" w:hAnsi="Times New Roman" w:cs="Times New Roman"/>
        </w:rPr>
        <w:t xml:space="preserve">intends to </w:t>
      </w:r>
      <w:r w:rsidR="00BB06FA">
        <w:rPr>
          <w:rFonts w:ascii="Times New Roman" w:hAnsi="Times New Roman" w:cs="Times New Roman"/>
        </w:rPr>
        <w:t>finalise</w:t>
      </w:r>
      <w:r>
        <w:rPr>
          <w:rFonts w:ascii="Times New Roman" w:hAnsi="Times New Roman" w:cs="Times New Roman"/>
        </w:rPr>
        <w:t xml:space="preserve"> a comprehensive review of the Solvency II </w:t>
      </w:r>
      <w:r w:rsidR="003A6603">
        <w:rPr>
          <w:rFonts w:ascii="Times New Roman" w:hAnsi="Times New Roman" w:cs="Times New Roman"/>
        </w:rPr>
        <w:t xml:space="preserve">framework </w:t>
      </w:r>
      <w:r w:rsidR="00A05819">
        <w:rPr>
          <w:rFonts w:ascii="Times New Roman" w:hAnsi="Times New Roman" w:cs="Times New Roman"/>
        </w:rPr>
        <w:t xml:space="preserve">by </w:t>
      </w:r>
      <w:r w:rsidR="00365EEC">
        <w:rPr>
          <w:rFonts w:ascii="Times New Roman" w:hAnsi="Times New Roman" w:cs="Times New Roman"/>
        </w:rPr>
        <w:t xml:space="preserve">the third quarter of </w:t>
      </w:r>
      <w:r w:rsidR="0025789D">
        <w:rPr>
          <w:rFonts w:ascii="Times New Roman" w:hAnsi="Times New Roman" w:cs="Times New Roman"/>
        </w:rPr>
        <w:t>2021</w:t>
      </w:r>
      <w:r>
        <w:rPr>
          <w:rFonts w:ascii="Times New Roman" w:hAnsi="Times New Roman" w:cs="Times New Roman"/>
        </w:rPr>
        <w:t>.</w:t>
      </w:r>
      <w:r w:rsidR="00DE012E">
        <w:rPr>
          <w:rFonts w:ascii="Times New Roman" w:hAnsi="Times New Roman" w:cs="Times New Roman"/>
        </w:rPr>
        <w:t xml:space="preserve"> </w:t>
      </w:r>
      <w:r w:rsidR="00CF37EA">
        <w:rPr>
          <w:rFonts w:ascii="Times New Roman" w:hAnsi="Times New Roman" w:cs="Times New Roman"/>
        </w:rPr>
        <w:t>For this purpose</w:t>
      </w:r>
      <w:r w:rsidR="003721B5">
        <w:rPr>
          <w:rFonts w:ascii="Times New Roman" w:hAnsi="Times New Roman" w:cs="Times New Roman"/>
        </w:rPr>
        <w:t xml:space="preserve">, </w:t>
      </w:r>
      <w:r w:rsidR="0037339E">
        <w:rPr>
          <w:rFonts w:ascii="Times New Roman" w:hAnsi="Times New Roman" w:cs="Times New Roman"/>
        </w:rPr>
        <w:t xml:space="preserve">DG FISMA sent to EIOPA in February 2019 </w:t>
      </w:r>
      <w:r w:rsidR="003721B5">
        <w:rPr>
          <w:rFonts w:ascii="Times New Roman" w:hAnsi="Times New Roman" w:cs="Times New Roman"/>
        </w:rPr>
        <w:t xml:space="preserve">a </w:t>
      </w:r>
      <w:hyperlink r:id="rId13" w:history="1">
        <w:r w:rsidR="003721B5" w:rsidRPr="003B41EC">
          <w:rPr>
            <w:rStyle w:val="Hipercze"/>
            <w:rFonts w:ascii="Times New Roman" w:hAnsi="Times New Roman" w:cs="Times New Roman"/>
          </w:rPr>
          <w:t>Call for Advice</w:t>
        </w:r>
      </w:hyperlink>
      <w:r w:rsidR="000912A4">
        <w:rPr>
          <w:rFonts w:ascii="Times New Roman" w:hAnsi="Times New Roman" w:cs="Times New Roman"/>
        </w:rPr>
        <w:t xml:space="preserve"> setting out the list of areas that</w:t>
      </w:r>
      <w:r w:rsidR="0033526F">
        <w:rPr>
          <w:rFonts w:ascii="Times New Roman" w:hAnsi="Times New Roman" w:cs="Times New Roman"/>
        </w:rPr>
        <w:t xml:space="preserve"> as a minimum</w:t>
      </w:r>
      <w:r w:rsidR="000912A4">
        <w:rPr>
          <w:rFonts w:ascii="Times New Roman" w:hAnsi="Times New Roman" w:cs="Times New Roman"/>
        </w:rPr>
        <w:t xml:space="preserve"> should </w:t>
      </w:r>
      <w:r w:rsidR="0033526F">
        <w:rPr>
          <w:rFonts w:ascii="Times New Roman" w:hAnsi="Times New Roman" w:cs="Times New Roman"/>
        </w:rPr>
        <w:t xml:space="preserve">be </w:t>
      </w:r>
      <w:r w:rsidR="000912A4">
        <w:rPr>
          <w:rFonts w:ascii="Times New Roman" w:hAnsi="Times New Roman" w:cs="Times New Roman"/>
        </w:rPr>
        <w:t>assessed during the review. EIOPA deliver</w:t>
      </w:r>
      <w:r w:rsidR="00841A05">
        <w:rPr>
          <w:rFonts w:ascii="Times New Roman" w:hAnsi="Times New Roman" w:cs="Times New Roman"/>
        </w:rPr>
        <w:t>ed</w:t>
      </w:r>
      <w:r w:rsidR="000912A4">
        <w:rPr>
          <w:rFonts w:ascii="Times New Roman" w:hAnsi="Times New Roman" w:cs="Times New Roman"/>
        </w:rPr>
        <w:t xml:space="preserve"> its </w:t>
      </w:r>
      <w:hyperlink r:id="rId14" w:history="1">
        <w:r w:rsidR="000912A4" w:rsidRPr="003B41EC">
          <w:rPr>
            <w:rStyle w:val="Hipercze"/>
            <w:rFonts w:ascii="Times New Roman" w:hAnsi="Times New Roman" w:cs="Times New Roman"/>
          </w:rPr>
          <w:t>Opinion</w:t>
        </w:r>
      </w:hyperlink>
      <w:r w:rsidR="000912A4">
        <w:rPr>
          <w:rFonts w:ascii="Times New Roman" w:hAnsi="Times New Roman" w:cs="Times New Roman"/>
        </w:rPr>
        <w:t xml:space="preserve"> on </w:t>
      </w:r>
      <w:r w:rsidR="00841A05">
        <w:rPr>
          <w:rFonts w:ascii="Times New Roman" w:hAnsi="Times New Roman" w:cs="Times New Roman"/>
        </w:rPr>
        <w:t>17</w:t>
      </w:r>
      <w:r w:rsidR="000912A4">
        <w:rPr>
          <w:rFonts w:ascii="Times New Roman" w:hAnsi="Times New Roman" w:cs="Times New Roman"/>
        </w:rPr>
        <w:t xml:space="preserve"> December 2020</w:t>
      </w:r>
      <w:r w:rsidR="00841A05">
        <w:rPr>
          <w:rFonts w:ascii="Times New Roman" w:hAnsi="Times New Roman" w:cs="Times New Roman"/>
        </w:rPr>
        <w:t>, accompanied with a holistic assessment of the cumulative impact of all changes propose</w:t>
      </w:r>
      <w:r w:rsidR="00152174">
        <w:rPr>
          <w:rFonts w:ascii="Times New Roman" w:hAnsi="Times New Roman" w:cs="Times New Roman"/>
        </w:rPr>
        <w:t>d</w:t>
      </w:r>
      <w:r w:rsidR="00841A05">
        <w:rPr>
          <w:rFonts w:ascii="Times New Roman" w:hAnsi="Times New Roman" w:cs="Times New Roman"/>
        </w:rPr>
        <w:t xml:space="preserve">. </w:t>
      </w:r>
    </w:p>
    <w:p w14:paraId="4E54D6B3" w14:textId="77777777" w:rsidR="001905E5" w:rsidRDefault="001905E5" w:rsidP="00CA6ABE">
      <w:pPr>
        <w:tabs>
          <w:tab w:val="left" w:pos="4962"/>
        </w:tabs>
        <w:spacing w:after="120"/>
        <w:jc w:val="both"/>
        <w:rPr>
          <w:rFonts w:ascii="Times New Roman" w:hAnsi="Times New Roman" w:cs="Times New Roman"/>
        </w:rPr>
      </w:pPr>
      <w:r>
        <w:rPr>
          <w:rFonts w:ascii="Times New Roman" w:hAnsi="Times New Roman" w:cs="Times New Roman"/>
        </w:rPr>
        <w:t>In addition to EIOPA’s Opinion on the Solvency II review, DG FISMA is assessing other reports from</w:t>
      </w:r>
      <w:r w:rsidR="00DE0144">
        <w:rPr>
          <w:rFonts w:ascii="Times New Roman" w:hAnsi="Times New Roman" w:cs="Times New Roman"/>
        </w:rPr>
        <w:t xml:space="preserve"> </w:t>
      </w:r>
      <w:r>
        <w:rPr>
          <w:rFonts w:ascii="Times New Roman" w:hAnsi="Times New Roman" w:cs="Times New Roman"/>
        </w:rPr>
        <w:t xml:space="preserve">EIOPA, in particular its </w:t>
      </w:r>
      <w:hyperlink r:id="rId15" w:history="1">
        <w:r w:rsidR="00DE0144" w:rsidRPr="00DE0144">
          <w:rPr>
            <w:rStyle w:val="Hipercze"/>
            <w:rFonts w:ascii="Times New Roman" w:hAnsi="Times New Roman" w:cs="Times New Roman"/>
          </w:rPr>
          <w:t>Opinion</w:t>
        </w:r>
      </w:hyperlink>
      <w:r w:rsidR="00DE0144">
        <w:rPr>
          <w:rFonts w:ascii="Times New Roman" w:hAnsi="Times New Roman" w:cs="Times New Roman"/>
        </w:rPr>
        <w:t xml:space="preserve"> on sustainability risks in Solvency II</w:t>
      </w:r>
      <w:r>
        <w:rPr>
          <w:rFonts w:ascii="Times New Roman" w:hAnsi="Times New Roman" w:cs="Times New Roman"/>
        </w:rPr>
        <w:t xml:space="preserve"> published in 2019, but also from the</w:t>
      </w:r>
      <w:r w:rsidR="00DE0144">
        <w:rPr>
          <w:rFonts w:ascii="Times New Roman" w:hAnsi="Times New Roman" w:cs="Times New Roman"/>
        </w:rPr>
        <w:t xml:space="preserve"> European Systemic Risk Board (ESRB</w:t>
      </w:r>
      <w:r>
        <w:rPr>
          <w:rFonts w:ascii="Times New Roman" w:hAnsi="Times New Roman" w:cs="Times New Roman"/>
        </w:rPr>
        <w:t xml:space="preserve">), including its </w:t>
      </w:r>
      <w:hyperlink r:id="rId16" w:history="1">
        <w:r w:rsidR="00DE0144" w:rsidRPr="00DE0144">
          <w:rPr>
            <w:rStyle w:val="Hipercze"/>
            <w:rFonts w:ascii="Times New Roman" w:hAnsi="Times New Roman" w:cs="Times New Roman"/>
          </w:rPr>
          <w:t>report</w:t>
        </w:r>
      </w:hyperlink>
      <w:r w:rsidR="00DE0144" w:rsidRPr="00DE0144">
        <w:rPr>
          <w:rFonts w:ascii="Times New Roman" w:hAnsi="Times New Roman" w:cs="Times New Roman"/>
        </w:rPr>
        <w:t xml:space="preserve"> on macroprudential policy for the insurance sector</w:t>
      </w:r>
      <w:r>
        <w:rPr>
          <w:rFonts w:ascii="Times New Roman" w:hAnsi="Times New Roman" w:cs="Times New Roman"/>
        </w:rPr>
        <w:t xml:space="preserve"> and its </w:t>
      </w:r>
      <w:hyperlink r:id="rId17" w:history="1">
        <w:r w:rsidR="00DE0144" w:rsidRPr="00DE0144">
          <w:rPr>
            <w:rStyle w:val="Hipercze"/>
            <w:rFonts w:ascii="Times New Roman" w:hAnsi="Times New Roman" w:cs="Times New Roman"/>
          </w:rPr>
          <w:t>feedback</w:t>
        </w:r>
      </w:hyperlink>
      <w:r w:rsidR="00DE0144">
        <w:rPr>
          <w:rFonts w:ascii="Times New Roman" w:hAnsi="Times New Roman" w:cs="Times New Roman"/>
        </w:rPr>
        <w:t xml:space="preserve"> to the Commission’s public consultation</w:t>
      </w:r>
      <w:r>
        <w:rPr>
          <w:rFonts w:ascii="Times New Roman" w:hAnsi="Times New Roman" w:cs="Times New Roman"/>
        </w:rPr>
        <w:t>.</w:t>
      </w:r>
      <w:r w:rsidR="00DE0144">
        <w:rPr>
          <w:rFonts w:ascii="Times New Roman" w:hAnsi="Times New Roman" w:cs="Times New Roman"/>
        </w:rPr>
        <w:t xml:space="preserve"> </w:t>
      </w:r>
    </w:p>
    <w:p w14:paraId="27BD62ED" w14:textId="77777777" w:rsidR="004523C6" w:rsidRDefault="00841A05" w:rsidP="00CA6ABE">
      <w:pPr>
        <w:tabs>
          <w:tab w:val="left" w:pos="4962"/>
        </w:tabs>
        <w:spacing w:after="120"/>
        <w:jc w:val="both"/>
        <w:rPr>
          <w:rFonts w:ascii="Times New Roman" w:hAnsi="Times New Roman" w:cs="Times New Roman"/>
        </w:rPr>
      </w:pPr>
      <w:r>
        <w:rPr>
          <w:rFonts w:ascii="Times New Roman" w:hAnsi="Times New Roman" w:cs="Times New Roman"/>
        </w:rPr>
        <w:t>The aim of this note is to highlight the main policy proposals made by EIOPA</w:t>
      </w:r>
      <w:r w:rsidR="006820C5">
        <w:rPr>
          <w:rFonts w:ascii="Times New Roman" w:hAnsi="Times New Roman" w:cs="Times New Roman"/>
        </w:rPr>
        <w:t xml:space="preserve"> and the ESRB</w:t>
      </w:r>
      <w:r>
        <w:rPr>
          <w:rFonts w:ascii="Times New Roman" w:hAnsi="Times New Roman" w:cs="Times New Roman"/>
        </w:rPr>
        <w:t xml:space="preserve">, grouped </w:t>
      </w:r>
      <w:r w:rsidR="00BB06FA">
        <w:rPr>
          <w:rFonts w:ascii="Times New Roman" w:hAnsi="Times New Roman" w:cs="Times New Roman"/>
        </w:rPr>
        <w:t xml:space="preserve">in line with the </w:t>
      </w:r>
      <w:r>
        <w:rPr>
          <w:rFonts w:ascii="Times New Roman" w:hAnsi="Times New Roman" w:cs="Times New Roman"/>
        </w:rPr>
        <w:t xml:space="preserve">objectives of the review, as discussed during the Expert Group meeting of 10 November 2020. This note </w:t>
      </w:r>
      <w:r w:rsidR="007123D0">
        <w:rPr>
          <w:rFonts w:ascii="Times New Roman" w:hAnsi="Times New Roman" w:cs="Times New Roman"/>
        </w:rPr>
        <w:t>does not</w:t>
      </w:r>
      <w:r>
        <w:rPr>
          <w:rFonts w:ascii="Times New Roman" w:hAnsi="Times New Roman" w:cs="Times New Roman"/>
        </w:rPr>
        <w:t xml:space="preserve"> </w:t>
      </w:r>
      <w:r w:rsidR="00365EEC">
        <w:rPr>
          <w:rFonts w:ascii="Times New Roman" w:hAnsi="Times New Roman" w:cs="Times New Roman"/>
        </w:rPr>
        <w:t xml:space="preserve">include references to recovery, </w:t>
      </w:r>
      <w:r>
        <w:rPr>
          <w:rFonts w:ascii="Times New Roman" w:hAnsi="Times New Roman" w:cs="Times New Roman"/>
        </w:rPr>
        <w:t>resolution and insurance guarantee schemes</w:t>
      </w:r>
      <w:r w:rsidR="007123D0">
        <w:rPr>
          <w:rFonts w:ascii="Times New Roman" w:hAnsi="Times New Roman" w:cs="Times New Roman"/>
        </w:rPr>
        <w:t>,</w:t>
      </w:r>
      <w:r>
        <w:rPr>
          <w:rFonts w:ascii="Times New Roman" w:hAnsi="Times New Roman" w:cs="Times New Roman"/>
        </w:rPr>
        <w:t xml:space="preserve"> which were subject to</w:t>
      </w:r>
      <w:r w:rsidR="0068606D">
        <w:rPr>
          <w:rFonts w:ascii="Times New Roman" w:hAnsi="Times New Roman" w:cs="Times New Roman"/>
        </w:rPr>
        <w:t xml:space="preserve"> dedicated notes and</w:t>
      </w:r>
      <w:r w:rsidR="006820C5">
        <w:rPr>
          <w:rFonts w:ascii="Times New Roman" w:hAnsi="Times New Roman" w:cs="Times New Roman"/>
        </w:rPr>
        <w:t xml:space="preserve"> discussions during</w:t>
      </w:r>
      <w:r>
        <w:rPr>
          <w:rFonts w:ascii="Times New Roman" w:hAnsi="Times New Roman" w:cs="Times New Roman"/>
        </w:rPr>
        <w:t xml:space="preserve"> Expert Group meeting</w:t>
      </w:r>
      <w:r w:rsidR="0068606D">
        <w:rPr>
          <w:rFonts w:ascii="Times New Roman" w:hAnsi="Times New Roman" w:cs="Times New Roman"/>
        </w:rPr>
        <w:t>s</w:t>
      </w:r>
      <w:r w:rsidR="00BB06FA">
        <w:rPr>
          <w:rFonts w:ascii="Times New Roman" w:hAnsi="Times New Roman" w:cs="Times New Roman"/>
        </w:rPr>
        <w:t xml:space="preserve"> </w:t>
      </w:r>
      <w:r w:rsidR="006820C5">
        <w:rPr>
          <w:rFonts w:ascii="Times New Roman" w:hAnsi="Times New Roman" w:cs="Times New Roman"/>
        </w:rPr>
        <w:t>in 2020.</w:t>
      </w:r>
    </w:p>
    <w:p w14:paraId="2788E608" w14:textId="77777777" w:rsidR="00457061" w:rsidRPr="008B24DA" w:rsidRDefault="00841A05" w:rsidP="008B24DA">
      <w:pPr>
        <w:pBdr>
          <w:top w:val="single" w:sz="4" w:space="1" w:color="auto"/>
          <w:left w:val="single" w:sz="4" w:space="4" w:color="auto"/>
          <w:bottom w:val="single" w:sz="4" w:space="1" w:color="auto"/>
          <w:right w:val="single" w:sz="4" w:space="4" w:color="auto"/>
        </w:pBdr>
        <w:tabs>
          <w:tab w:val="left" w:pos="4962"/>
        </w:tabs>
        <w:spacing w:after="120"/>
        <w:jc w:val="both"/>
        <w:rPr>
          <w:rFonts w:ascii="Times New Roman" w:hAnsi="Times New Roman" w:cs="Times New Roman"/>
          <w:b/>
        </w:rPr>
      </w:pPr>
      <w:r>
        <w:rPr>
          <w:rFonts w:ascii="Times New Roman" w:hAnsi="Times New Roman" w:cs="Times New Roman"/>
        </w:rPr>
        <w:t xml:space="preserve">During the </w:t>
      </w:r>
      <w:r w:rsidR="00365EEC">
        <w:rPr>
          <w:rFonts w:ascii="Times New Roman" w:hAnsi="Times New Roman" w:cs="Times New Roman"/>
        </w:rPr>
        <w:t>forthcoming</w:t>
      </w:r>
      <w:r>
        <w:rPr>
          <w:rFonts w:ascii="Times New Roman" w:hAnsi="Times New Roman" w:cs="Times New Roman"/>
        </w:rPr>
        <w:t xml:space="preserve"> meeting, Member States will be invited to provide their views on those different policy proposals</w:t>
      </w:r>
      <w:r w:rsidR="00365EEC">
        <w:rPr>
          <w:rFonts w:ascii="Times New Roman" w:hAnsi="Times New Roman" w:cs="Times New Roman"/>
        </w:rPr>
        <w:t>.</w:t>
      </w:r>
      <w:r w:rsidR="00CE7902">
        <w:rPr>
          <w:rFonts w:ascii="Times New Roman" w:hAnsi="Times New Roman" w:cs="Times New Roman"/>
        </w:rPr>
        <w:t xml:space="preserve"> Should EIOPA’s advice not be supported</w:t>
      </w:r>
      <w:r w:rsidR="001905E5">
        <w:rPr>
          <w:rFonts w:ascii="Times New Roman" w:hAnsi="Times New Roman" w:cs="Times New Roman"/>
        </w:rPr>
        <w:t>,</w:t>
      </w:r>
      <w:r w:rsidR="00CE7902">
        <w:rPr>
          <w:rFonts w:ascii="Times New Roman" w:hAnsi="Times New Roman" w:cs="Times New Roman"/>
        </w:rPr>
        <w:t xml:space="preserve"> Member States would be invited to present alternative suggestions if any.</w:t>
      </w:r>
      <w:r w:rsidR="00E41EE7">
        <w:rPr>
          <w:rFonts w:ascii="Times New Roman" w:hAnsi="Times New Roman" w:cs="Times New Roman"/>
        </w:rPr>
        <w:t xml:space="preserve"> </w:t>
      </w:r>
    </w:p>
    <w:p w14:paraId="49ED82C5" w14:textId="77777777" w:rsidR="009B79CD" w:rsidRPr="007123D0" w:rsidRDefault="0063436A" w:rsidP="00B90A5B">
      <w:pPr>
        <w:spacing w:before="240" w:after="120"/>
        <w:jc w:val="both"/>
        <w:rPr>
          <w:rFonts w:ascii="Times New Roman" w:hAnsi="Times New Roman" w:cs="Times New Roman"/>
          <w:b/>
          <w:sz w:val="24"/>
          <w:szCs w:val="24"/>
          <w:u w:val="single"/>
        </w:rPr>
      </w:pPr>
      <w:r>
        <w:rPr>
          <w:rFonts w:ascii="Times New Roman" w:hAnsi="Times New Roman" w:cs="Times New Roman"/>
          <w:b/>
          <w:sz w:val="24"/>
          <w:szCs w:val="24"/>
          <w:u w:val="single"/>
        </w:rPr>
        <w:t>I</w:t>
      </w:r>
      <w:r w:rsidR="00E73F4A" w:rsidRPr="007123D0">
        <w:rPr>
          <w:rFonts w:ascii="Times New Roman" w:hAnsi="Times New Roman" w:cs="Times New Roman"/>
          <w:b/>
          <w:sz w:val="24"/>
          <w:szCs w:val="24"/>
          <w:u w:val="single"/>
        </w:rPr>
        <w:t xml:space="preserve"> – </w:t>
      </w:r>
      <w:r w:rsidR="00F16BD4" w:rsidRPr="007123D0">
        <w:rPr>
          <w:rFonts w:ascii="Times New Roman" w:hAnsi="Times New Roman" w:cs="Times New Roman"/>
          <w:b/>
          <w:sz w:val="24"/>
          <w:szCs w:val="24"/>
          <w:u w:val="single"/>
        </w:rPr>
        <w:t>Role of the insurance industry in the context of the renewed Capital Markets Union (CMU) Action Plan and the (coming) renewed Sustainable Finance Strategy</w:t>
      </w:r>
    </w:p>
    <w:p w14:paraId="37BE8C72" w14:textId="77777777" w:rsidR="00F16BD4" w:rsidRDefault="00F16BD4" w:rsidP="00CA6ABE">
      <w:pPr>
        <w:tabs>
          <w:tab w:val="left" w:pos="4962"/>
        </w:tabs>
        <w:spacing w:after="120"/>
        <w:jc w:val="both"/>
        <w:rPr>
          <w:rFonts w:ascii="Times New Roman" w:hAnsi="Times New Roman" w:cs="Times New Roman"/>
        </w:rPr>
      </w:pPr>
      <w:r>
        <w:rPr>
          <w:rFonts w:ascii="Times New Roman" w:hAnsi="Times New Roman" w:cs="Times New Roman"/>
        </w:rPr>
        <w:t>In relation to the CMU objectives</w:t>
      </w:r>
      <w:r w:rsidR="00FB5EBE">
        <w:rPr>
          <w:rFonts w:ascii="Times New Roman" w:hAnsi="Times New Roman" w:cs="Times New Roman"/>
        </w:rPr>
        <w:t xml:space="preserve"> (i.e. insurers’ capacity to </w:t>
      </w:r>
      <w:r w:rsidR="00FB5EBE" w:rsidRPr="00FB5EBE">
        <w:rPr>
          <w:rFonts w:ascii="Times New Roman" w:hAnsi="Times New Roman" w:cs="Times New Roman"/>
        </w:rPr>
        <w:t>financ</w:t>
      </w:r>
      <w:r w:rsidR="00FB5EBE">
        <w:rPr>
          <w:rFonts w:ascii="Times New Roman" w:hAnsi="Times New Roman" w:cs="Times New Roman"/>
        </w:rPr>
        <w:t>e</w:t>
      </w:r>
      <w:r w:rsidR="00FB5EBE" w:rsidRPr="00FB5EBE">
        <w:rPr>
          <w:rFonts w:ascii="Times New Roman" w:hAnsi="Times New Roman" w:cs="Times New Roman"/>
        </w:rPr>
        <w:t xml:space="preserve"> the long-term sustainable growth of the European economy</w:t>
      </w:r>
      <w:r w:rsidR="00FB5EBE">
        <w:rPr>
          <w:rFonts w:ascii="Times New Roman" w:hAnsi="Times New Roman" w:cs="Times New Roman"/>
        </w:rPr>
        <w:t>)</w:t>
      </w:r>
      <w:r>
        <w:rPr>
          <w:rFonts w:ascii="Times New Roman" w:hAnsi="Times New Roman" w:cs="Times New Roman"/>
        </w:rPr>
        <w:t xml:space="preserve">, EIOPA </w:t>
      </w:r>
      <w:r w:rsidR="00CE7902">
        <w:rPr>
          <w:rFonts w:ascii="Times New Roman" w:hAnsi="Times New Roman" w:cs="Times New Roman"/>
        </w:rPr>
        <w:t xml:space="preserve">takes the view </w:t>
      </w:r>
      <w:r>
        <w:rPr>
          <w:rFonts w:ascii="Times New Roman" w:hAnsi="Times New Roman" w:cs="Times New Roman"/>
        </w:rPr>
        <w:t xml:space="preserve">that the </w:t>
      </w:r>
      <w:r w:rsidR="00FB5EBE">
        <w:rPr>
          <w:rFonts w:ascii="Times New Roman" w:hAnsi="Times New Roman" w:cs="Times New Roman"/>
        </w:rPr>
        <w:t>current</w:t>
      </w:r>
      <w:r>
        <w:rPr>
          <w:rFonts w:ascii="Times New Roman" w:hAnsi="Times New Roman" w:cs="Times New Roman"/>
        </w:rPr>
        <w:t xml:space="preserve"> 22% capital charge for long-term equity investments</w:t>
      </w:r>
      <w:r>
        <w:rPr>
          <w:rFonts w:ascii="Times New Roman" w:hAnsi="Times New Roman" w:cs="Times New Roman"/>
          <w:b/>
        </w:rPr>
        <w:t xml:space="preserve"> </w:t>
      </w:r>
      <w:r>
        <w:rPr>
          <w:rFonts w:ascii="Times New Roman" w:hAnsi="Times New Roman" w:cs="Times New Roman"/>
        </w:rPr>
        <w:t>is not supp</w:t>
      </w:r>
      <w:r w:rsidR="00365EEC">
        <w:rPr>
          <w:rFonts w:ascii="Times New Roman" w:hAnsi="Times New Roman" w:cs="Times New Roman"/>
        </w:rPr>
        <w:t>orted by quantitative evidence. Still, it</w:t>
      </w:r>
      <w:r>
        <w:rPr>
          <w:rFonts w:ascii="Times New Roman" w:hAnsi="Times New Roman" w:cs="Times New Roman"/>
        </w:rPr>
        <w:t xml:space="preserve"> advises to amend</w:t>
      </w:r>
      <w:r w:rsidRPr="00F16BD4">
        <w:rPr>
          <w:rFonts w:ascii="Times New Roman" w:hAnsi="Times New Roman" w:cs="Times New Roman"/>
        </w:rPr>
        <w:t xml:space="preserve"> the eligibility criteria</w:t>
      </w:r>
      <w:r>
        <w:rPr>
          <w:rFonts w:ascii="Times New Roman" w:hAnsi="Times New Roman" w:cs="Times New Roman"/>
        </w:rPr>
        <w:t xml:space="preserve"> of </w:t>
      </w:r>
      <w:r>
        <w:rPr>
          <w:rFonts w:ascii="Times New Roman" w:hAnsi="Times New Roman" w:cs="Times New Roman"/>
          <w:b/>
        </w:rPr>
        <w:t xml:space="preserve">long-term equity </w:t>
      </w:r>
      <w:r>
        <w:rPr>
          <w:rFonts w:ascii="Times New Roman" w:hAnsi="Times New Roman" w:cs="Times New Roman"/>
        </w:rPr>
        <w:t xml:space="preserve">with the aim of facilitating the use of this new asset class, which was introduced in the Commission Delegated Regulation (EU) 2019/981. Those criteria would in particular </w:t>
      </w:r>
      <w:r w:rsidR="00FB5EBE">
        <w:rPr>
          <w:rFonts w:ascii="Times New Roman" w:hAnsi="Times New Roman" w:cs="Times New Roman"/>
        </w:rPr>
        <w:t xml:space="preserve">rely </w:t>
      </w:r>
      <w:r>
        <w:rPr>
          <w:rFonts w:ascii="Times New Roman" w:hAnsi="Times New Roman" w:cs="Times New Roman"/>
        </w:rPr>
        <w:t>on the concept of “illiquidity” of long-term liabilities for life insurers, and on the concept of “liquidity buffer” for non-life insurers.</w:t>
      </w:r>
    </w:p>
    <w:p w14:paraId="241EB2D4" w14:textId="77777777" w:rsidR="001905E5" w:rsidRDefault="00F16BD4" w:rsidP="007123D0">
      <w:pPr>
        <w:tabs>
          <w:tab w:val="left" w:pos="4962"/>
        </w:tabs>
        <w:spacing w:after="120"/>
        <w:jc w:val="both"/>
        <w:rPr>
          <w:rFonts w:ascii="Times New Roman" w:hAnsi="Times New Roman" w:cs="Times New Roman"/>
        </w:rPr>
      </w:pPr>
      <w:r>
        <w:rPr>
          <w:rFonts w:ascii="Times New Roman" w:hAnsi="Times New Roman" w:cs="Times New Roman"/>
        </w:rPr>
        <w:lastRenderedPageBreak/>
        <w:t xml:space="preserve">In relation to the </w:t>
      </w:r>
      <w:r w:rsidR="00365EEC">
        <w:rPr>
          <w:rFonts w:ascii="Times New Roman" w:hAnsi="Times New Roman" w:cs="Times New Roman"/>
        </w:rPr>
        <w:t>European Green Deal</w:t>
      </w:r>
      <w:r w:rsidR="009B4569">
        <w:rPr>
          <w:rFonts w:ascii="Times New Roman" w:hAnsi="Times New Roman" w:cs="Times New Roman"/>
        </w:rPr>
        <w:t xml:space="preserve"> (i.e. insurers’ contribution to the green transition)</w:t>
      </w:r>
      <w:r>
        <w:rPr>
          <w:rFonts w:ascii="Times New Roman" w:hAnsi="Times New Roman" w:cs="Times New Roman"/>
        </w:rPr>
        <w:t>, EIOPA</w:t>
      </w:r>
      <w:r w:rsidR="00365EEC">
        <w:rPr>
          <w:rFonts w:ascii="Times New Roman" w:hAnsi="Times New Roman" w:cs="Times New Roman"/>
        </w:rPr>
        <w:t xml:space="preserve">’s </w:t>
      </w:r>
      <w:r w:rsidR="009B4569">
        <w:rPr>
          <w:rFonts w:ascii="Times New Roman" w:hAnsi="Times New Roman" w:cs="Times New Roman"/>
        </w:rPr>
        <w:t>separate</w:t>
      </w:r>
      <w:r w:rsidR="001905E5">
        <w:rPr>
          <w:rFonts w:ascii="Times New Roman" w:hAnsi="Times New Roman" w:cs="Times New Roman"/>
        </w:rPr>
        <w:t xml:space="preserve"> </w:t>
      </w:r>
      <w:r w:rsidR="00365EEC">
        <w:rPr>
          <w:rFonts w:ascii="Times New Roman" w:hAnsi="Times New Roman" w:cs="Times New Roman"/>
        </w:rPr>
        <w:t xml:space="preserve"> </w:t>
      </w:r>
      <w:hyperlink r:id="rId18" w:history="1">
        <w:r w:rsidR="001905E5">
          <w:rPr>
            <w:rStyle w:val="Hipercze"/>
            <w:rFonts w:ascii="Times New Roman" w:hAnsi="Times New Roman" w:cs="Times New Roman"/>
          </w:rPr>
          <w:t>O</w:t>
        </w:r>
        <w:r w:rsidR="00365EEC" w:rsidRPr="003B41EC">
          <w:rPr>
            <w:rStyle w:val="Hipercze"/>
            <w:rFonts w:ascii="Times New Roman" w:hAnsi="Times New Roman" w:cs="Times New Roman"/>
          </w:rPr>
          <w:t>pinion on sustainability within Solvency II</w:t>
        </w:r>
      </w:hyperlink>
      <w:r>
        <w:rPr>
          <w:rFonts w:ascii="Times New Roman" w:hAnsi="Times New Roman" w:cs="Times New Roman"/>
        </w:rPr>
        <w:t xml:space="preserve"> recommends incorporating </w:t>
      </w:r>
      <w:r w:rsidRPr="00F16BD4">
        <w:rPr>
          <w:rFonts w:ascii="Times New Roman" w:hAnsi="Times New Roman" w:cs="Times New Roman"/>
          <w:b/>
        </w:rPr>
        <w:t>climate change and sustainability risks</w:t>
      </w:r>
      <w:r>
        <w:rPr>
          <w:rFonts w:ascii="Times New Roman" w:hAnsi="Times New Roman" w:cs="Times New Roman"/>
        </w:rPr>
        <w:t xml:space="preserve"> in underwriting and risk management requirements of insurers (“Pillar 2”)</w:t>
      </w:r>
      <w:r w:rsidR="001905E5">
        <w:rPr>
          <w:rFonts w:ascii="Times New Roman" w:hAnsi="Times New Roman" w:cs="Times New Roman"/>
        </w:rPr>
        <w:t>. However, EIOPA</w:t>
      </w:r>
      <w:r>
        <w:rPr>
          <w:rFonts w:ascii="Times New Roman" w:hAnsi="Times New Roman" w:cs="Times New Roman"/>
        </w:rPr>
        <w:t xml:space="preserve"> concludes that there is </w:t>
      </w:r>
      <w:r w:rsidRPr="009D6C1E">
        <w:rPr>
          <w:rFonts w:ascii="Times New Roman" w:hAnsi="Times New Roman" w:cs="Times New Roman"/>
        </w:rPr>
        <w:t xml:space="preserve">no evidence at this stage to </w:t>
      </w:r>
      <w:r w:rsidR="00A53B34">
        <w:rPr>
          <w:rFonts w:ascii="Times New Roman" w:hAnsi="Times New Roman" w:cs="Times New Roman"/>
        </w:rPr>
        <w:t>introduce</w:t>
      </w:r>
      <w:r w:rsidRPr="009D6C1E">
        <w:rPr>
          <w:rFonts w:ascii="Times New Roman" w:hAnsi="Times New Roman" w:cs="Times New Roman"/>
        </w:rPr>
        <w:t xml:space="preserve"> differentiated capital treatment</w:t>
      </w:r>
      <w:r w:rsidRPr="003B41EC">
        <w:rPr>
          <w:rFonts w:ascii="Times New Roman" w:hAnsi="Times New Roman" w:cs="Times New Roman"/>
        </w:rPr>
        <w:t>s</w:t>
      </w:r>
      <w:r>
        <w:rPr>
          <w:rFonts w:ascii="Times New Roman" w:hAnsi="Times New Roman" w:cs="Times New Roman"/>
        </w:rPr>
        <w:t xml:space="preserve"> depending on the “green” or “brown” nature of insurers’ investments.</w:t>
      </w:r>
    </w:p>
    <w:tbl>
      <w:tblPr>
        <w:tblStyle w:val="Tabela-Siatka"/>
        <w:tblW w:w="0" w:type="auto"/>
        <w:tblLook w:val="04A0" w:firstRow="1" w:lastRow="0" w:firstColumn="1" w:lastColumn="0" w:noHBand="0" w:noVBand="1"/>
      </w:tblPr>
      <w:tblGrid>
        <w:gridCol w:w="9016"/>
      </w:tblGrid>
      <w:tr w:rsidR="001905E5" w14:paraId="310D239F" w14:textId="77777777" w:rsidTr="001905E5">
        <w:tc>
          <w:tcPr>
            <w:tcW w:w="9016" w:type="dxa"/>
          </w:tcPr>
          <w:p w14:paraId="48BF3872" w14:textId="77777777" w:rsidR="001905E5" w:rsidRPr="00B90A5B" w:rsidRDefault="006820C5" w:rsidP="00B90A5B">
            <w:pPr>
              <w:pStyle w:val="Akapitzlist"/>
              <w:numPr>
                <w:ilvl w:val="0"/>
                <w:numId w:val="19"/>
              </w:numPr>
              <w:tabs>
                <w:tab w:val="left" w:pos="4962"/>
              </w:tabs>
              <w:spacing w:before="120" w:after="120"/>
              <w:jc w:val="both"/>
              <w:rPr>
                <w:rFonts w:ascii="Times New Roman" w:hAnsi="Times New Roman" w:cs="Times New Roman"/>
                <w:i/>
                <w:sz w:val="21"/>
                <w:szCs w:val="21"/>
              </w:rPr>
            </w:pPr>
            <w:r w:rsidRPr="00B90A5B">
              <w:rPr>
                <w:rFonts w:ascii="Times New Roman" w:hAnsi="Times New Roman" w:cs="Times New Roman"/>
                <w:i/>
                <w:sz w:val="21"/>
                <w:szCs w:val="21"/>
              </w:rPr>
              <w:t xml:space="preserve">Member States are invited to share their views on </w:t>
            </w:r>
            <w:r w:rsidR="001905E5" w:rsidRPr="00B90A5B">
              <w:rPr>
                <w:rFonts w:ascii="Times New Roman" w:hAnsi="Times New Roman" w:cs="Times New Roman"/>
                <w:i/>
                <w:sz w:val="21"/>
                <w:szCs w:val="21"/>
              </w:rPr>
              <w:t>EIOPA’s proposals on equity</w:t>
            </w:r>
            <w:r w:rsidRPr="00B90A5B">
              <w:rPr>
                <w:rFonts w:ascii="Times New Roman" w:hAnsi="Times New Roman" w:cs="Times New Roman"/>
                <w:i/>
                <w:sz w:val="21"/>
                <w:szCs w:val="21"/>
              </w:rPr>
              <w:t>.</w:t>
            </w:r>
          </w:p>
          <w:p w14:paraId="6AE5478D" w14:textId="77777777" w:rsidR="001905E5" w:rsidRPr="00B90A5B" w:rsidRDefault="001905E5" w:rsidP="00B90A5B">
            <w:pPr>
              <w:pStyle w:val="Akapitzlist"/>
              <w:numPr>
                <w:ilvl w:val="0"/>
                <w:numId w:val="19"/>
              </w:numPr>
              <w:tabs>
                <w:tab w:val="left" w:pos="4962"/>
              </w:tabs>
              <w:spacing w:after="120"/>
              <w:jc w:val="both"/>
              <w:rPr>
                <w:rFonts w:ascii="Times New Roman" w:hAnsi="Times New Roman" w:cs="Times New Roman"/>
                <w:i/>
                <w:sz w:val="21"/>
                <w:szCs w:val="21"/>
              </w:rPr>
            </w:pPr>
            <w:r w:rsidRPr="00B90A5B">
              <w:rPr>
                <w:rFonts w:ascii="Times New Roman" w:hAnsi="Times New Roman" w:cs="Times New Roman"/>
                <w:i/>
                <w:sz w:val="21"/>
                <w:szCs w:val="21"/>
              </w:rPr>
              <w:t xml:space="preserve">Considering the importance of </w:t>
            </w:r>
            <w:r w:rsidR="00A57A95" w:rsidRPr="00B90A5B">
              <w:rPr>
                <w:rFonts w:ascii="Times New Roman" w:hAnsi="Times New Roman" w:cs="Times New Roman"/>
                <w:i/>
                <w:sz w:val="21"/>
                <w:szCs w:val="21"/>
              </w:rPr>
              <w:t>the topic of insurers’ contribution to the green transition</w:t>
            </w:r>
            <w:r w:rsidRPr="00B90A5B">
              <w:rPr>
                <w:rFonts w:ascii="Times New Roman" w:hAnsi="Times New Roman" w:cs="Times New Roman"/>
                <w:i/>
                <w:sz w:val="21"/>
                <w:szCs w:val="21"/>
              </w:rPr>
              <w:t xml:space="preserve">, DG FISMA would like to get the views of the Member States on whether the review should introduce differentiated </w:t>
            </w:r>
            <w:r w:rsidR="00A57A95" w:rsidRPr="00B90A5B">
              <w:rPr>
                <w:rFonts w:ascii="Times New Roman" w:hAnsi="Times New Roman" w:cs="Times New Roman"/>
                <w:i/>
                <w:sz w:val="21"/>
                <w:szCs w:val="21"/>
              </w:rPr>
              <w:t xml:space="preserve">prudential </w:t>
            </w:r>
            <w:r w:rsidRPr="00B90A5B">
              <w:rPr>
                <w:rFonts w:ascii="Times New Roman" w:hAnsi="Times New Roman" w:cs="Times New Roman"/>
                <w:i/>
                <w:sz w:val="21"/>
                <w:szCs w:val="21"/>
              </w:rPr>
              <w:t>treatment</w:t>
            </w:r>
            <w:r w:rsidR="00A57A95" w:rsidRPr="00B90A5B">
              <w:rPr>
                <w:rFonts w:ascii="Times New Roman" w:hAnsi="Times New Roman" w:cs="Times New Roman"/>
                <w:i/>
                <w:sz w:val="21"/>
                <w:szCs w:val="21"/>
              </w:rPr>
              <w:t>s for green/brown assets</w:t>
            </w:r>
            <w:r w:rsidRPr="00B90A5B">
              <w:rPr>
                <w:rFonts w:ascii="Times New Roman" w:hAnsi="Times New Roman" w:cs="Times New Roman"/>
                <w:i/>
                <w:sz w:val="21"/>
                <w:szCs w:val="21"/>
              </w:rPr>
              <w:t xml:space="preserve"> and, if so, on which basis (type of assets, calibration).</w:t>
            </w:r>
          </w:p>
          <w:p w14:paraId="78F6D9C4" w14:textId="77777777" w:rsidR="00A57A95" w:rsidRPr="00B90A5B" w:rsidRDefault="00A57A95" w:rsidP="00B90A5B">
            <w:pPr>
              <w:pStyle w:val="Akapitzlist"/>
              <w:numPr>
                <w:ilvl w:val="0"/>
                <w:numId w:val="19"/>
              </w:numPr>
              <w:tabs>
                <w:tab w:val="left" w:pos="4962"/>
              </w:tabs>
              <w:spacing w:after="120"/>
              <w:jc w:val="both"/>
              <w:rPr>
                <w:rFonts w:ascii="Times New Roman" w:hAnsi="Times New Roman" w:cs="Times New Roman"/>
              </w:rPr>
            </w:pPr>
            <w:r w:rsidRPr="00B90A5B">
              <w:rPr>
                <w:rFonts w:ascii="Times New Roman" w:hAnsi="Times New Roman" w:cs="Times New Roman"/>
                <w:i/>
                <w:sz w:val="21"/>
                <w:szCs w:val="21"/>
              </w:rPr>
              <w:t>Do Member States have other points to raise on those topics?</w:t>
            </w:r>
          </w:p>
        </w:tc>
      </w:tr>
    </w:tbl>
    <w:p w14:paraId="601C687F" w14:textId="77777777" w:rsidR="00F16BD4" w:rsidRPr="007123D0" w:rsidRDefault="00457061" w:rsidP="00B90A5B">
      <w:pPr>
        <w:spacing w:before="240" w:after="120"/>
        <w:jc w:val="both"/>
        <w:rPr>
          <w:rFonts w:ascii="Times New Roman" w:hAnsi="Times New Roman" w:cs="Times New Roman"/>
          <w:b/>
          <w:sz w:val="24"/>
          <w:szCs w:val="24"/>
          <w:u w:val="single"/>
        </w:rPr>
      </w:pPr>
      <w:r>
        <w:rPr>
          <w:rFonts w:ascii="Times New Roman" w:hAnsi="Times New Roman" w:cs="Times New Roman"/>
          <w:b/>
          <w:sz w:val="24"/>
          <w:szCs w:val="24"/>
          <w:u w:val="single"/>
        </w:rPr>
        <w:t>I</w:t>
      </w:r>
      <w:r w:rsidR="0063436A">
        <w:rPr>
          <w:rFonts w:ascii="Times New Roman" w:hAnsi="Times New Roman" w:cs="Times New Roman"/>
          <w:b/>
          <w:sz w:val="24"/>
          <w:szCs w:val="24"/>
          <w:u w:val="single"/>
        </w:rPr>
        <w:t>I</w:t>
      </w:r>
      <w:r w:rsidR="00E73F4A" w:rsidRPr="007123D0">
        <w:rPr>
          <w:rFonts w:ascii="Times New Roman" w:hAnsi="Times New Roman" w:cs="Times New Roman"/>
          <w:b/>
          <w:sz w:val="24"/>
          <w:szCs w:val="24"/>
          <w:u w:val="single"/>
        </w:rPr>
        <w:t xml:space="preserve"> – </w:t>
      </w:r>
      <w:r w:rsidR="00F16BD4" w:rsidRPr="007123D0">
        <w:rPr>
          <w:rFonts w:ascii="Times New Roman" w:hAnsi="Times New Roman" w:cs="Times New Roman"/>
          <w:b/>
          <w:sz w:val="24"/>
          <w:szCs w:val="24"/>
          <w:u w:val="single"/>
        </w:rPr>
        <w:t>Risk sensitivity and excessive volatility – review of the long-term guarantee package</w:t>
      </w:r>
    </w:p>
    <w:p w14:paraId="3CE1B2E5" w14:textId="77777777" w:rsidR="00F16BD4" w:rsidRPr="00F16BD4" w:rsidRDefault="00F16BD4" w:rsidP="00581EAE">
      <w:pPr>
        <w:pStyle w:val="Akapitzlist"/>
        <w:numPr>
          <w:ilvl w:val="0"/>
          <w:numId w:val="11"/>
        </w:numPr>
        <w:tabs>
          <w:tab w:val="left" w:pos="4962"/>
        </w:tabs>
        <w:spacing w:after="120"/>
        <w:jc w:val="both"/>
        <w:rPr>
          <w:rFonts w:ascii="Times New Roman" w:hAnsi="Times New Roman" w:cs="Times New Roman"/>
        </w:rPr>
      </w:pPr>
      <w:r w:rsidRPr="00F16BD4">
        <w:rPr>
          <w:rFonts w:ascii="Times New Roman" w:hAnsi="Times New Roman" w:cs="Times New Roman"/>
          <w:i/>
        </w:rPr>
        <w:t xml:space="preserve">Risk sensitivity </w:t>
      </w:r>
    </w:p>
    <w:p w14:paraId="3998BE1A" w14:textId="77777777" w:rsidR="00F16BD4" w:rsidRDefault="005926E5" w:rsidP="00F16BD4">
      <w:pPr>
        <w:tabs>
          <w:tab w:val="left" w:pos="4962"/>
        </w:tabs>
        <w:spacing w:after="120"/>
        <w:jc w:val="both"/>
        <w:rPr>
          <w:rFonts w:ascii="Times New Roman" w:hAnsi="Times New Roman" w:cs="Times New Roman"/>
        </w:rPr>
      </w:pPr>
      <w:r>
        <w:rPr>
          <w:rFonts w:ascii="Times New Roman" w:hAnsi="Times New Roman" w:cs="Times New Roman"/>
        </w:rPr>
        <w:t>In view of the low interest rates environment, EIOPA recommends amending the calibration of the standard formula</w:t>
      </w:r>
      <w:r w:rsidR="00430271">
        <w:rPr>
          <w:rFonts w:ascii="Times New Roman" w:hAnsi="Times New Roman" w:cs="Times New Roman"/>
        </w:rPr>
        <w:t xml:space="preserve"> for</w:t>
      </w:r>
      <w:r>
        <w:rPr>
          <w:rFonts w:ascii="Times New Roman" w:hAnsi="Times New Roman" w:cs="Times New Roman"/>
        </w:rPr>
        <w:t xml:space="preserve"> </w:t>
      </w:r>
      <w:r>
        <w:rPr>
          <w:rFonts w:ascii="Times New Roman" w:hAnsi="Times New Roman" w:cs="Times New Roman"/>
          <w:b/>
        </w:rPr>
        <w:t>interest rate risk</w:t>
      </w:r>
      <w:r>
        <w:rPr>
          <w:rFonts w:ascii="Times New Roman" w:hAnsi="Times New Roman" w:cs="Times New Roman"/>
        </w:rPr>
        <w:t xml:space="preserve"> so as to better reflect the risk of negative interest rates. However, in order to limit the impact of this change, </w:t>
      </w:r>
      <w:r w:rsidR="009B4569">
        <w:rPr>
          <w:rFonts w:ascii="Times New Roman" w:hAnsi="Times New Roman" w:cs="Times New Roman"/>
        </w:rPr>
        <w:t xml:space="preserve">EIOPA recommends introducing </w:t>
      </w:r>
      <w:r>
        <w:rPr>
          <w:rFonts w:ascii="Times New Roman" w:hAnsi="Times New Roman" w:cs="Times New Roman"/>
        </w:rPr>
        <w:t xml:space="preserve">a floor to negative interest rates (-1.25%), and </w:t>
      </w:r>
      <w:r w:rsidR="009B4569">
        <w:rPr>
          <w:rFonts w:ascii="Times New Roman" w:hAnsi="Times New Roman" w:cs="Times New Roman"/>
        </w:rPr>
        <w:t xml:space="preserve">a gradual implementation of </w:t>
      </w:r>
      <w:r>
        <w:rPr>
          <w:rFonts w:ascii="Times New Roman" w:hAnsi="Times New Roman" w:cs="Times New Roman"/>
        </w:rPr>
        <w:t xml:space="preserve">the amendment over a five-year </w:t>
      </w:r>
      <w:r w:rsidR="002713A2">
        <w:rPr>
          <w:rFonts w:ascii="Times New Roman" w:hAnsi="Times New Roman" w:cs="Times New Roman"/>
        </w:rPr>
        <w:t xml:space="preserve">transitional </w:t>
      </w:r>
      <w:r>
        <w:rPr>
          <w:rFonts w:ascii="Times New Roman" w:hAnsi="Times New Roman" w:cs="Times New Roman"/>
        </w:rPr>
        <w:t>period.</w:t>
      </w:r>
    </w:p>
    <w:p w14:paraId="33C1CD27" w14:textId="77777777" w:rsidR="00F16BD4" w:rsidRDefault="005926E5" w:rsidP="00CA6ABE">
      <w:pPr>
        <w:tabs>
          <w:tab w:val="left" w:pos="4962"/>
        </w:tabs>
        <w:spacing w:after="120"/>
        <w:jc w:val="both"/>
        <w:rPr>
          <w:rFonts w:ascii="Times New Roman" w:hAnsi="Times New Roman" w:cs="Times New Roman"/>
        </w:rPr>
      </w:pPr>
      <w:r>
        <w:rPr>
          <w:rFonts w:ascii="Times New Roman" w:hAnsi="Times New Roman" w:cs="Times New Roman"/>
        </w:rPr>
        <w:t xml:space="preserve">EIOPA also recommends adopting </w:t>
      </w:r>
      <w:r>
        <w:rPr>
          <w:rFonts w:ascii="Times New Roman" w:hAnsi="Times New Roman" w:cs="Times New Roman"/>
          <w:b/>
        </w:rPr>
        <w:t xml:space="preserve">an alternative extrapolation </w:t>
      </w:r>
      <w:r w:rsidRPr="005926E5">
        <w:rPr>
          <w:rFonts w:ascii="Times New Roman" w:hAnsi="Times New Roman" w:cs="Times New Roman"/>
          <w:b/>
        </w:rPr>
        <w:t>approach</w:t>
      </w:r>
      <w:r>
        <w:rPr>
          <w:rFonts w:ascii="Times New Roman" w:hAnsi="Times New Roman" w:cs="Times New Roman"/>
          <w:b/>
        </w:rPr>
        <w:t xml:space="preserve">, </w:t>
      </w:r>
      <w:r w:rsidRPr="005926E5">
        <w:rPr>
          <w:rFonts w:ascii="Times New Roman" w:hAnsi="Times New Roman" w:cs="Times New Roman"/>
        </w:rPr>
        <w:t>which</w:t>
      </w:r>
      <w:r>
        <w:rPr>
          <w:rFonts w:ascii="Times New Roman" w:hAnsi="Times New Roman" w:cs="Times New Roman"/>
        </w:rPr>
        <w:t xml:space="preserve"> would allow taking into account market information beyond the “last liquid point” (20</w:t>
      </w:r>
      <w:r w:rsidR="00A53B34">
        <w:rPr>
          <w:rFonts w:ascii="Times New Roman" w:hAnsi="Times New Roman" w:cs="Times New Roman"/>
        </w:rPr>
        <w:noBreakHyphen/>
        <w:t xml:space="preserve">year maturity </w:t>
      </w:r>
      <w:r>
        <w:rPr>
          <w:rFonts w:ascii="Times New Roman" w:hAnsi="Times New Roman" w:cs="Times New Roman"/>
        </w:rPr>
        <w:t xml:space="preserve">for the euro). </w:t>
      </w:r>
      <w:r w:rsidRPr="005926E5">
        <w:rPr>
          <w:rFonts w:ascii="Times New Roman" w:hAnsi="Times New Roman" w:cs="Times New Roman"/>
        </w:rPr>
        <w:t xml:space="preserve">As this change can materially reduce insurers’ solvency ratios, in particular when rates are low, EIOPA proposes a </w:t>
      </w:r>
      <w:r w:rsidRPr="005926E5">
        <w:rPr>
          <w:rFonts w:ascii="Times New Roman" w:hAnsi="Times New Roman" w:cs="Times New Roman"/>
          <w:b/>
        </w:rPr>
        <w:t>temporary safeguard mechanism</w:t>
      </w:r>
      <w:r>
        <w:rPr>
          <w:rStyle w:val="Odwoanieprzypisudolnego"/>
        </w:rPr>
        <w:footnoteReference w:id="2"/>
      </w:r>
      <w:r>
        <w:rPr>
          <w:rFonts w:ascii="Times New Roman" w:hAnsi="Times New Roman" w:cs="Times New Roman"/>
        </w:rPr>
        <w:t xml:space="preserve">, </w:t>
      </w:r>
      <w:r w:rsidRPr="005926E5">
        <w:rPr>
          <w:rFonts w:ascii="Times New Roman" w:hAnsi="Times New Roman" w:cs="Times New Roman"/>
        </w:rPr>
        <w:t>which limits the impact of this amendment</w:t>
      </w:r>
      <w:r w:rsidR="00A53B34">
        <w:rPr>
          <w:rFonts w:ascii="Times New Roman" w:hAnsi="Times New Roman" w:cs="Times New Roman"/>
        </w:rPr>
        <w:t xml:space="preserve"> when the </w:t>
      </w:r>
      <w:r w:rsidR="002713A2">
        <w:rPr>
          <w:rFonts w:ascii="Times New Roman" w:hAnsi="Times New Roman" w:cs="Times New Roman"/>
        </w:rPr>
        <w:t>“</w:t>
      </w:r>
      <w:r w:rsidR="00A53B34">
        <w:rPr>
          <w:rFonts w:ascii="Times New Roman" w:hAnsi="Times New Roman" w:cs="Times New Roman"/>
        </w:rPr>
        <w:t>first smoothing point</w:t>
      </w:r>
      <w:r w:rsidR="002713A2">
        <w:rPr>
          <w:rFonts w:ascii="Times New Roman" w:hAnsi="Times New Roman" w:cs="Times New Roman"/>
        </w:rPr>
        <w:t>”</w:t>
      </w:r>
      <w:r w:rsidR="00A53B34">
        <w:rPr>
          <w:rFonts w:ascii="Times New Roman" w:hAnsi="Times New Roman" w:cs="Times New Roman"/>
        </w:rPr>
        <w:t xml:space="preserve"> (</w:t>
      </w:r>
      <w:r w:rsidR="0082648C">
        <w:rPr>
          <w:rFonts w:ascii="Times New Roman" w:hAnsi="Times New Roman" w:cs="Times New Roman"/>
        </w:rPr>
        <w:t>broadly, when markets are no longer liquid</w:t>
      </w:r>
      <w:r w:rsidR="00A53B34">
        <w:rPr>
          <w:rFonts w:ascii="Times New Roman" w:hAnsi="Times New Roman" w:cs="Times New Roman"/>
        </w:rPr>
        <w:t>) is below 0.5%</w:t>
      </w:r>
      <w:r w:rsidRPr="005926E5">
        <w:rPr>
          <w:rFonts w:ascii="Times New Roman" w:hAnsi="Times New Roman" w:cs="Times New Roman"/>
        </w:rPr>
        <w:t>.</w:t>
      </w:r>
      <w:r w:rsidR="00A53B34">
        <w:rPr>
          <w:rFonts w:ascii="Times New Roman" w:hAnsi="Times New Roman" w:cs="Times New Roman"/>
        </w:rPr>
        <w:t xml:space="preserve"> The safeguard mechanism would progressively be phased out until 2032. In addition, </w:t>
      </w:r>
      <w:r w:rsidR="002451AB">
        <w:rPr>
          <w:rFonts w:ascii="Times New Roman" w:hAnsi="Times New Roman" w:cs="Times New Roman"/>
        </w:rPr>
        <w:t xml:space="preserve">EIOPA recommends that the </w:t>
      </w:r>
      <w:r w:rsidR="002451AB" w:rsidRPr="002451AB">
        <w:rPr>
          <w:rFonts w:ascii="Times New Roman" w:hAnsi="Times New Roman" w:cs="Times New Roman"/>
        </w:rPr>
        <w:t>sensitivity</w:t>
      </w:r>
      <w:r w:rsidR="002451AB">
        <w:rPr>
          <w:rFonts w:ascii="Times New Roman" w:hAnsi="Times New Roman" w:cs="Times New Roman"/>
        </w:rPr>
        <w:t xml:space="preserve"> of an insurer’s </w:t>
      </w:r>
      <w:r w:rsidR="00433171">
        <w:rPr>
          <w:rFonts w:ascii="Times New Roman" w:hAnsi="Times New Roman" w:cs="Times New Roman"/>
        </w:rPr>
        <w:t xml:space="preserve">solvency </w:t>
      </w:r>
      <w:r w:rsidR="002451AB">
        <w:rPr>
          <w:rFonts w:ascii="Times New Roman" w:hAnsi="Times New Roman" w:cs="Times New Roman"/>
        </w:rPr>
        <w:t>ratio to a change in</w:t>
      </w:r>
      <w:r w:rsidR="00A53B34">
        <w:rPr>
          <w:rFonts w:ascii="Times New Roman" w:hAnsi="Times New Roman" w:cs="Times New Roman"/>
        </w:rPr>
        <w:t xml:space="preserve"> a key input parameter</w:t>
      </w:r>
      <w:r w:rsidR="002451AB">
        <w:rPr>
          <w:rFonts w:ascii="Times New Roman" w:hAnsi="Times New Roman" w:cs="Times New Roman"/>
        </w:rPr>
        <w:t xml:space="preserve"> of the extrapolation method </w:t>
      </w:r>
      <w:r w:rsidR="00A53B34">
        <w:rPr>
          <w:rFonts w:ascii="Times New Roman" w:hAnsi="Times New Roman" w:cs="Times New Roman"/>
        </w:rPr>
        <w:t>(the so-called</w:t>
      </w:r>
      <w:r w:rsidR="00DB57F8">
        <w:rPr>
          <w:rFonts w:ascii="Times New Roman" w:hAnsi="Times New Roman" w:cs="Times New Roman"/>
        </w:rPr>
        <w:t xml:space="preserve"> </w:t>
      </w:r>
      <w:r w:rsidR="00DB57F8" w:rsidRPr="00DB57F8">
        <w:rPr>
          <w:rFonts w:ascii="Times New Roman" w:hAnsi="Times New Roman" w:cs="Times New Roman"/>
        </w:rPr>
        <w:t>convergence parameter</w:t>
      </w:r>
      <w:r w:rsidR="00DB57F8">
        <w:rPr>
          <w:rFonts w:ascii="Times New Roman" w:hAnsi="Times New Roman" w:cs="Times New Roman"/>
        </w:rPr>
        <w:t xml:space="preserve"> or</w:t>
      </w:r>
      <w:r w:rsidR="00A53B34">
        <w:rPr>
          <w:rFonts w:ascii="Times New Roman" w:hAnsi="Times New Roman" w:cs="Times New Roman"/>
        </w:rPr>
        <w:t xml:space="preserve"> “</w:t>
      </w:r>
      <w:r w:rsidR="00A53B34" w:rsidRPr="003B41EC">
        <w:rPr>
          <w:rFonts w:ascii="Times New Roman" w:hAnsi="Times New Roman" w:cs="Times New Roman"/>
          <w:i/>
        </w:rPr>
        <w:t>a</w:t>
      </w:r>
      <w:r w:rsidR="00A53B34">
        <w:rPr>
          <w:rFonts w:ascii="Times New Roman" w:hAnsi="Times New Roman" w:cs="Times New Roman"/>
        </w:rPr>
        <w:t xml:space="preserve">”) </w:t>
      </w:r>
      <w:r w:rsidR="002451AB">
        <w:rPr>
          <w:rFonts w:ascii="Times New Roman" w:hAnsi="Times New Roman" w:cs="Times New Roman"/>
        </w:rPr>
        <w:t>be disclosed.</w:t>
      </w:r>
    </w:p>
    <w:p w14:paraId="2CE8259D" w14:textId="77777777" w:rsidR="002451AB" w:rsidRPr="002451AB" w:rsidRDefault="00A53B34" w:rsidP="00CA6ABE">
      <w:pPr>
        <w:tabs>
          <w:tab w:val="left" w:pos="4962"/>
        </w:tabs>
        <w:spacing w:after="120"/>
        <w:jc w:val="both"/>
        <w:rPr>
          <w:rFonts w:ascii="Times New Roman" w:hAnsi="Times New Roman" w:cs="Times New Roman"/>
        </w:rPr>
      </w:pPr>
      <w:r>
        <w:rPr>
          <w:rFonts w:ascii="Times New Roman" w:hAnsi="Times New Roman" w:cs="Times New Roman"/>
        </w:rPr>
        <w:t>In relation to</w:t>
      </w:r>
      <w:r w:rsidR="002451AB">
        <w:rPr>
          <w:rFonts w:ascii="Times New Roman" w:hAnsi="Times New Roman" w:cs="Times New Roman"/>
        </w:rPr>
        <w:t xml:space="preserve"> market risks</w:t>
      </w:r>
      <w:r w:rsidR="00457F85" w:rsidRPr="00457F85">
        <w:rPr>
          <w:rFonts w:ascii="Times New Roman" w:hAnsi="Times New Roman" w:cs="Times New Roman"/>
        </w:rPr>
        <w:t xml:space="preserve"> </w:t>
      </w:r>
      <w:r w:rsidR="00457F85">
        <w:rPr>
          <w:rFonts w:ascii="Times New Roman" w:hAnsi="Times New Roman" w:cs="Times New Roman"/>
        </w:rPr>
        <w:t>other than interest rate risk</w:t>
      </w:r>
      <w:r w:rsidR="002451AB">
        <w:rPr>
          <w:rFonts w:ascii="Times New Roman" w:hAnsi="Times New Roman" w:cs="Times New Roman"/>
        </w:rPr>
        <w:t xml:space="preserve">, EIOPA concludes that </w:t>
      </w:r>
      <w:r>
        <w:rPr>
          <w:rFonts w:ascii="Times New Roman" w:hAnsi="Times New Roman" w:cs="Times New Roman"/>
        </w:rPr>
        <w:t xml:space="preserve">the available </w:t>
      </w:r>
      <w:r w:rsidR="002451AB">
        <w:rPr>
          <w:rFonts w:ascii="Times New Roman" w:hAnsi="Times New Roman" w:cs="Times New Roman"/>
        </w:rPr>
        <w:t>evidence is not sufficient to justify a change</w:t>
      </w:r>
      <w:r w:rsidR="00457F85">
        <w:rPr>
          <w:rFonts w:ascii="Times New Roman" w:hAnsi="Times New Roman" w:cs="Times New Roman"/>
        </w:rPr>
        <w:t>. In particular, EIOPA does not support a change</w:t>
      </w:r>
      <w:r w:rsidR="002451AB">
        <w:rPr>
          <w:rFonts w:ascii="Times New Roman" w:hAnsi="Times New Roman" w:cs="Times New Roman"/>
        </w:rPr>
        <w:t xml:space="preserve"> to the </w:t>
      </w:r>
      <w:r w:rsidR="002451AB">
        <w:rPr>
          <w:rFonts w:ascii="Times New Roman" w:hAnsi="Times New Roman" w:cs="Times New Roman"/>
          <w:b/>
        </w:rPr>
        <w:t>property risk</w:t>
      </w:r>
      <w:r w:rsidR="002451AB">
        <w:rPr>
          <w:rFonts w:ascii="Times New Roman" w:hAnsi="Times New Roman" w:cs="Times New Roman"/>
        </w:rPr>
        <w:t xml:space="preserve"> calibration. EIOPA does not propose a review of the treatment of </w:t>
      </w:r>
      <w:r w:rsidR="002451AB" w:rsidRPr="002451AB">
        <w:rPr>
          <w:rFonts w:ascii="Times New Roman" w:hAnsi="Times New Roman" w:cs="Times New Roman"/>
          <w:b/>
        </w:rPr>
        <w:t>securitisation investments</w:t>
      </w:r>
      <w:r>
        <w:rPr>
          <w:rFonts w:ascii="Times New Roman" w:hAnsi="Times New Roman" w:cs="Times New Roman"/>
        </w:rPr>
        <w:t xml:space="preserve"> either.</w:t>
      </w:r>
    </w:p>
    <w:p w14:paraId="60F7C6B5" w14:textId="77777777" w:rsidR="00D34E04" w:rsidRPr="002451AB" w:rsidRDefault="00106A7B" w:rsidP="00CA6ABE">
      <w:pPr>
        <w:tabs>
          <w:tab w:val="left" w:pos="4962"/>
        </w:tabs>
        <w:spacing w:after="120"/>
        <w:jc w:val="both"/>
        <w:rPr>
          <w:rFonts w:ascii="Times New Roman" w:hAnsi="Times New Roman" w:cs="Times New Roman"/>
        </w:rPr>
      </w:pPr>
      <w:r w:rsidRPr="00106A7B">
        <w:rPr>
          <w:rFonts w:ascii="Times New Roman" w:hAnsi="Times New Roman" w:cs="Times New Roman"/>
        </w:rPr>
        <w:t xml:space="preserve">In relation to </w:t>
      </w:r>
      <w:r w:rsidR="006D4D00" w:rsidRPr="00C86CF2">
        <w:rPr>
          <w:rFonts w:ascii="Times New Roman" w:hAnsi="Times New Roman" w:cs="Times New Roman"/>
          <w:b/>
        </w:rPr>
        <w:t>non-proportional reinsurance</w:t>
      </w:r>
      <w:r w:rsidRPr="00106A7B">
        <w:rPr>
          <w:rFonts w:ascii="Times New Roman" w:hAnsi="Times New Roman" w:cs="Times New Roman"/>
        </w:rPr>
        <w:t>, EIOPA advise</w:t>
      </w:r>
      <w:r w:rsidR="00FB0107">
        <w:rPr>
          <w:rFonts w:ascii="Times New Roman" w:hAnsi="Times New Roman" w:cs="Times New Roman"/>
        </w:rPr>
        <w:t>s</w:t>
      </w:r>
      <w:r w:rsidRPr="00106A7B">
        <w:rPr>
          <w:rFonts w:ascii="Times New Roman" w:hAnsi="Times New Roman" w:cs="Times New Roman"/>
        </w:rPr>
        <w:t xml:space="preserve"> </w:t>
      </w:r>
      <w:r w:rsidR="00FB0107">
        <w:rPr>
          <w:rFonts w:ascii="Times New Roman" w:hAnsi="Times New Roman" w:cs="Times New Roman"/>
        </w:rPr>
        <w:t xml:space="preserve">to allow </w:t>
      </w:r>
      <w:r w:rsidRPr="00106A7B">
        <w:rPr>
          <w:rFonts w:ascii="Times New Roman" w:hAnsi="Times New Roman" w:cs="Times New Roman"/>
        </w:rPr>
        <w:t xml:space="preserve">the recognition of </w:t>
      </w:r>
      <w:r w:rsidR="005A6841">
        <w:rPr>
          <w:rFonts w:ascii="Times New Roman" w:hAnsi="Times New Roman" w:cs="Times New Roman"/>
        </w:rPr>
        <w:t>“</w:t>
      </w:r>
      <w:r w:rsidRPr="00106A7B">
        <w:rPr>
          <w:rFonts w:ascii="Times New Roman" w:hAnsi="Times New Roman" w:cs="Times New Roman"/>
        </w:rPr>
        <w:t>adverse development covers</w:t>
      </w:r>
      <w:r w:rsidR="005A6841">
        <w:rPr>
          <w:rFonts w:ascii="Times New Roman" w:hAnsi="Times New Roman" w:cs="Times New Roman"/>
        </w:rPr>
        <w:t>”</w:t>
      </w:r>
      <w:r w:rsidR="005A6841">
        <w:rPr>
          <w:rStyle w:val="Odwoanieprzypisudolnego"/>
          <w:rFonts w:ascii="Times New Roman" w:hAnsi="Times New Roman" w:cs="Times New Roman"/>
        </w:rPr>
        <w:footnoteReference w:id="3"/>
      </w:r>
      <w:r w:rsidRPr="00106A7B">
        <w:rPr>
          <w:rFonts w:ascii="Times New Roman" w:hAnsi="Times New Roman" w:cs="Times New Roman"/>
        </w:rPr>
        <w:t xml:space="preserve"> within the standard formula provided that some prudent conditions are met</w:t>
      </w:r>
      <w:r w:rsidR="00FB0107">
        <w:rPr>
          <w:rFonts w:ascii="Times New Roman" w:hAnsi="Times New Roman" w:cs="Times New Roman"/>
        </w:rPr>
        <w:t>. In addition</w:t>
      </w:r>
      <w:r w:rsidR="001938BB">
        <w:rPr>
          <w:rFonts w:ascii="Times New Roman" w:hAnsi="Times New Roman" w:cs="Times New Roman"/>
        </w:rPr>
        <w:t>,</w:t>
      </w:r>
      <w:r w:rsidR="00FB0107">
        <w:rPr>
          <w:rFonts w:ascii="Times New Roman" w:hAnsi="Times New Roman" w:cs="Times New Roman"/>
        </w:rPr>
        <w:t xml:space="preserve"> EIOPA</w:t>
      </w:r>
      <w:r w:rsidRPr="00106A7B">
        <w:rPr>
          <w:rFonts w:ascii="Times New Roman" w:hAnsi="Times New Roman" w:cs="Times New Roman"/>
        </w:rPr>
        <w:t xml:space="preserve"> </w:t>
      </w:r>
      <w:r w:rsidR="00FB0107">
        <w:rPr>
          <w:rFonts w:ascii="Times New Roman" w:hAnsi="Times New Roman" w:cs="Times New Roman"/>
        </w:rPr>
        <w:t xml:space="preserve">suggests </w:t>
      </w:r>
      <w:r w:rsidR="00457F85">
        <w:rPr>
          <w:rFonts w:ascii="Times New Roman" w:hAnsi="Times New Roman" w:cs="Times New Roman"/>
        </w:rPr>
        <w:t>explicitly</w:t>
      </w:r>
      <w:r w:rsidR="005A6841">
        <w:rPr>
          <w:rFonts w:ascii="Times New Roman" w:hAnsi="Times New Roman" w:cs="Times New Roman"/>
        </w:rPr>
        <w:t xml:space="preserve"> </w:t>
      </w:r>
      <w:r w:rsidR="00430271">
        <w:rPr>
          <w:rFonts w:ascii="Times New Roman" w:hAnsi="Times New Roman" w:cs="Times New Roman"/>
        </w:rPr>
        <w:t xml:space="preserve">specifying </w:t>
      </w:r>
      <w:r w:rsidRPr="00106A7B">
        <w:rPr>
          <w:rFonts w:ascii="Times New Roman" w:hAnsi="Times New Roman" w:cs="Times New Roman"/>
        </w:rPr>
        <w:t>that</w:t>
      </w:r>
      <w:r>
        <w:rPr>
          <w:rFonts w:ascii="Times New Roman" w:hAnsi="Times New Roman" w:cs="Times New Roman"/>
        </w:rPr>
        <w:t xml:space="preserve"> financial instruments </w:t>
      </w:r>
      <w:r w:rsidR="00430271">
        <w:rPr>
          <w:rFonts w:ascii="Times New Roman" w:hAnsi="Times New Roman" w:cs="Times New Roman"/>
        </w:rPr>
        <w:t>convertible</w:t>
      </w:r>
      <w:r>
        <w:rPr>
          <w:rFonts w:ascii="Times New Roman" w:hAnsi="Times New Roman" w:cs="Times New Roman"/>
        </w:rPr>
        <w:t xml:space="preserve"> into insurers’ new share</w:t>
      </w:r>
      <w:r w:rsidR="005A6841">
        <w:rPr>
          <w:rFonts w:ascii="Times New Roman" w:hAnsi="Times New Roman" w:cs="Times New Roman"/>
        </w:rPr>
        <w:t>s</w:t>
      </w:r>
      <w:r>
        <w:rPr>
          <w:rFonts w:ascii="Times New Roman" w:hAnsi="Times New Roman" w:cs="Times New Roman"/>
        </w:rPr>
        <w:t xml:space="preserve"> </w:t>
      </w:r>
      <w:r w:rsidR="005A6841">
        <w:rPr>
          <w:rFonts w:ascii="Times New Roman" w:hAnsi="Times New Roman" w:cs="Times New Roman"/>
        </w:rPr>
        <w:t>upon the occurrence of</w:t>
      </w:r>
      <w:r w:rsidRPr="00106A7B">
        <w:rPr>
          <w:rFonts w:ascii="Times New Roman" w:hAnsi="Times New Roman" w:cs="Times New Roman"/>
        </w:rPr>
        <w:t xml:space="preserve"> specific event</w:t>
      </w:r>
      <w:r w:rsidR="005A6841">
        <w:rPr>
          <w:rFonts w:ascii="Times New Roman" w:hAnsi="Times New Roman" w:cs="Times New Roman"/>
        </w:rPr>
        <w:t>s</w:t>
      </w:r>
      <w:r>
        <w:rPr>
          <w:rFonts w:ascii="Times New Roman" w:hAnsi="Times New Roman" w:cs="Times New Roman"/>
        </w:rPr>
        <w:t xml:space="preserve"> cannot be used to reduce the </w:t>
      </w:r>
      <w:r w:rsidR="006D4D00">
        <w:rPr>
          <w:rFonts w:ascii="Times New Roman" w:hAnsi="Times New Roman" w:cs="Times New Roman"/>
        </w:rPr>
        <w:t>solvency capital requirements</w:t>
      </w:r>
      <w:r>
        <w:rPr>
          <w:rFonts w:ascii="Times New Roman" w:hAnsi="Times New Roman" w:cs="Times New Roman"/>
        </w:rPr>
        <w:t xml:space="preserve">, both in the standard formula and in internal models. </w:t>
      </w:r>
    </w:p>
    <w:p w14:paraId="1C8F0352" w14:textId="77777777" w:rsidR="00230E1D" w:rsidRPr="00CA6ABE" w:rsidRDefault="002451AB" w:rsidP="00CA6ABE">
      <w:pPr>
        <w:pStyle w:val="Akapitzlist"/>
        <w:numPr>
          <w:ilvl w:val="0"/>
          <w:numId w:val="11"/>
        </w:numPr>
        <w:tabs>
          <w:tab w:val="left" w:pos="4962"/>
        </w:tabs>
        <w:spacing w:after="120"/>
        <w:jc w:val="both"/>
        <w:rPr>
          <w:rFonts w:ascii="Times New Roman" w:hAnsi="Times New Roman" w:cs="Times New Roman"/>
          <w:i/>
        </w:rPr>
      </w:pPr>
      <w:r>
        <w:rPr>
          <w:rFonts w:ascii="Times New Roman" w:hAnsi="Times New Roman" w:cs="Times New Roman"/>
          <w:i/>
        </w:rPr>
        <w:t>E</w:t>
      </w:r>
      <w:r w:rsidR="00230E1D" w:rsidRPr="00CA6ABE">
        <w:rPr>
          <w:rFonts w:ascii="Times New Roman" w:hAnsi="Times New Roman" w:cs="Times New Roman"/>
          <w:i/>
        </w:rPr>
        <w:t>xcessive volatility</w:t>
      </w:r>
      <w:r w:rsidR="00002F70">
        <w:rPr>
          <w:rFonts w:ascii="Times New Roman" w:hAnsi="Times New Roman" w:cs="Times New Roman"/>
          <w:i/>
        </w:rPr>
        <w:t xml:space="preserve"> </w:t>
      </w:r>
    </w:p>
    <w:p w14:paraId="357F140A" w14:textId="77777777" w:rsidR="00230E1D" w:rsidRDefault="002451AB" w:rsidP="00230E1D">
      <w:pPr>
        <w:tabs>
          <w:tab w:val="left" w:pos="4962"/>
        </w:tabs>
        <w:spacing w:after="120"/>
        <w:jc w:val="both"/>
        <w:rPr>
          <w:rFonts w:ascii="Times New Roman" w:hAnsi="Times New Roman" w:cs="Times New Roman"/>
        </w:rPr>
      </w:pPr>
      <w:r>
        <w:rPr>
          <w:rFonts w:ascii="Times New Roman" w:hAnsi="Times New Roman" w:cs="Times New Roman"/>
        </w:rPr>
        <w:t xml:space="preserve">EIOPA recommends </w:t>
      </w:r>
      <w:r w:rsidR="00A53B34">
        <w:rPr>
          <w:rFonts w:ascii="Times New Roman" w:hAnsi="Times New Roman" w:cs="Times New Roman"/>
        </w:rPr>
        <w:t>several</w:t>
      </w:r>
      <w:r>
        <w:rPr>
          <w:rFonts w:ascii="Times New Roman" w:hAnsi="Times New Roman" w:cs="Times New Roman"/>
        </w:rPr>
        <w:t xml:space="preserve"> amendments to the </w:t>
      </w:r>
      <w:r w:rsidR="00457F85">
        <w:rPr>
          <w:rFonts w:ascii="Times New Roman" w:hAnsi="Times New Roman" w:cs="Times New Roman"/>
        </w:rPr>
        <w:t>current</w:t>
      </w:r>
      <w:r>
        <w:rPr>
          <w:rFonts w:ascii="Times New Roman" w:hAnsi="Times New Roman" w:cs="Times New Roman"/>
        </w:rPr>
        <w:t xml:space="preserve"> </w:t>
      </w:r>
      <w:r>
        <w:rPr>
          <w:rFonts w:ascii="Times New Roman" w:hAnsi="Times New Roman" w:cs="Times New Roman"/>
          <w:b/>
        </w:rPr>
        <w:t>volatility adjustment</w:t>
      </w:r>
      <w:r>
        <w:rPr>
          <w:rFonts w:ascii="Times New Roman" w:hAnsi="Times New Roman" w:cs="Times New Roman"/>
        </w:rPr>
        <w:t>:</w:t>
      </w:r>
    </w:p>
    <w:p w14:paraId="6730A6C3" w14:textId="77777777" w:rsidR="002451AB" w:rsidRDefault="00EF5A0F" w:rsidP="002451AB">
      <w:pPr>
        <w:pStyle w:val="Akapitzlist"/>
        <w:numPr>
          <w:ilvl w:val="0"/>
          <w:numId w:val="15"/>
        </w:numPr>
        <w:tabs>
          <w:tab w:val="left" w:pos="4962"/>
        </w:tabs>
        <w:spacing w:after="120"/>
        <w:jc w:val="both"/>
        <w:rPr>
          <w:rFonts w:ascii="Times New Roman" w:hAnsi="Times New Roman" w:cs="Times New Roman"/>
        </w:rPr>
      </w:pPr>
      <w:r>
        <w:rPr>
          <w:rFonts w:ascii="Times New Roman" w:hAnsi="Times New Roman" w:cs="Times New Roman"/>
        </w:rPr>
        <w:t xml:space="preserve">the </w:t>
      </w:r>
      <w:r w:rsidR="002451AB">
        <w:rPr>
          <w:rFonts w:ascii="Times New Roman" w:hAnsi="Times New Roman" w:cs="Times New Roman"/>
        </w:rPr>
        <w:t>general application ratio used to derive the volatility adjustment from the risk-corrected spread wou</w:t>
      </w:r>
      <w:r w:rsidR="00A53B34">
        <w:rPr>
          <w:rFonts w:ascii="Times New Roman" w:hAnsi="Times New Roman" w:cs="Times New Roman"/>
        </w:rPr>
        <w:t>ld be increased from 65% to 85%</w:t>
      </w:r>
      <w:r w:rsidR="00073FD3">
        <w:rPr>
          <w:rFonts w:ascii="Times New Roman" w:hAnsi="Times New Roman" w:cs="Times New Roman"/>
        </w:rPr>
        <w:t>;</w:t>
      </w:r>
    </w:p>
    <w:p w14:paraId="507A6C97" w14:textId="77777777" w:rsidR="002451AB" w:rsidRDefault="00EF5A0F" w:rsidP="002451AB">
      <w:pPr>
        <w:pStyle w:val="Akapitzlist"/>
        <w:numPr>
          <w:ilvl w:val="0"/>
          <w:numId w:val="15"/>
        </w:numPr>
        <w:tabs>
          <w:tab w:val="left" w:pos="4962"/>
        </w:tabs>
        <w:spacing w:after="120"/>
        <w:jc w:val="both"/>
        <w:rPr>
          <w:rFonts w:ascii="Times New Roman" w:hAnsi="Times New Roman" w:cs="Times New Roman"/>
        </w:rPr>
      </w:pPr>
      <w:r>
        <w:rPr>
          <w:rFonts w:ascii="Times New Roman" w:hAnsi="Times New Roman" w:cs="Times New Roman"/>
        </w:rPr>
        <w:lastRenderedPageBreak/>
        <w:t xml:space="preserve">the </w:t>
      </w:r>
      <w:r w:rsidR="002451AB">
        <w:rPr>
          <w:rFonts w:ascii="Times New Roman" w:hAnsi="Times New Roman" w:cs="Times New Roman"/>
        </w:rPr>
        <w:t>level of the volatility adjustment would be modulated depending on the extent to which each insurer’s liabilities are deemed “illiquid”</w:t>
      </w:r>
      <w:r w:rsidR="00A53B34">
        <w:rPr>
          <w:rStyle w:val="Odwoanieprzypisudolnego"/>
          <w:rFonts w:ascii="Times New Roman" w:hAnsi="Times New Roman" w:cs="Times New Roman"/>
        </w:rPr>
        <w:footnoteReference w:id="4"/>
      </w:r>
      <w:r w:rsidR="002451AB">
        <w:rPr>
          <w:rFonts w:ascii="Times New Roman" w:hAnsi="Times New Roman" w:cs="Times New Roman"/>
        </w:rPr>
        <w:t>;</w:t>
      </w:r>
    </w:p>
    <w:p w14:paraId="03A4D053" w14:textId="77777777" w:rsidR="002451AB" w:rsidRDefault="00EF5A0F" w:rsidP="002451AB">
      <w:pPr>
        <w:pStyle w:val="Akapitzlist"/>
        <w:numPr>
          <w:ilvl w:val="0"/>
          <w:numId w:val="15"/>
        </w:numPr>
        <w:tabs>
          <w:tab w:val="left" w:pos="4962"/>
        </w:tabs>
        <w:spacing w:after="120"/>
        <w:jc w:val="both"/>
        <w:rPr>
          <w:rFonts w:ascii="Times New Roman" w:hAnsi="Times New Roman" w:cs="Times New Roman"/>
        </w:rPr>
      </w:pPr>
      <w:r>
        <w:rPr>
          <w:rFonts w:ascii="Times New Roman" w:hAnsi="Times New Roman" w:cs="Times New Roman"/>
        </w:rPr>
        <w:t xml:space="preserve">in </w:t>
      </w:r>
      <w:r w:rsidR="002451AB">
        <w:rPr>
          <w:rFonts w:ascii="Times New Roman" w:hAnsi="Times New Roman" w:cs="Times New Roman"/>
        </w:rPr>
        <w:t xml:space="preserve">order to address the “over-shooting” issue, the </w:t>
      </w:r>
      <w:r w:rsidR="002A3F34">
        <w:rPr>
          <w:rFonts w:ascii="Times New Roman" w:hAnsi="Times New Roman" w:cs="Times New Roman"/>
        </w:rPr>
        <w:t xml:space="preserve">application ratio would be adjusted downward </w:t>
      </w:r>
      <w:r w:rsidR="002451AB">
        <w:rPr>
          <w:rFonts w:ascii="Times New Roman" w:hAnsi="Times New Roman" w:cs="Times New Roman"/>
        </w:rPr>
        <w:t>when the duration of assets is lower than the duration of liabilities;</w:t>
      </w:r>
    </w:p>
    <w:p w14:paraId="64D8B01B" w14:textId="77777777" w:rsidR="009D6C1E" w:rsidRPr="009D6C1E" w:rsidRDefault="00EF5A0F" w:rsidP="009D6C1E">
      <w:pPr>
        <w:pStyle w:val="Akapitzlist"/>
        <w:numPr>
          <w:ilvl w:val="0"/>
          <w:numId w:val="15"/>
        </w:numPr>
        <w:tabs>
          <w:tab w:val="left" w:pos="4962"/>
        </w:tabs>
        <w:spacing w:after="120"/>
        <w:jc w:val="both"/>
        <w:rPr>
          <w:rFonts w:ascii="Times New Roman" w:hAnsi="Times New Roman" w:cs="Times New Roman"/>
        </w:rPr>
      </w:pPr>
      <w:r>
        <w:rPr>
          <w:rFonts w:ascii="Times New Roman" w:hAnsi="Times New Roman" w:cs="Times New Roman"/>
        </w:rPr>
        <w:t xml:space="preserve">in </w:t>
      </w:r>
      <w:r w:rsidR="002451AB">
        <w:rPr>
          <w:rFonts w:ascii="Times New Roman" w:hAnsi="Times New Roman" w:cs="Times New Roman"/>
        </w:rPr>
        <w:t xml:space="preserve">order to address the “under-shooting” issue, </w:t>
      </w:r>
      <w:r w:rsidR="00433171">
        <w:rPr>
          <w:rFonts w:ascii="Times New Roman" w:hAnsi="Times New Roman" w:cs="Times New Roman"/>
        </w:rPr>
        <w:t xml:space="preserve">to </w:t>
      </w:r>
      <w:r w:rsidR="00F12CE6">
        <w:rPr>
          <w:rFonts w:ascii="Times New Roman" w:hAnsi="Times New Roman" w:cs="Times New Roman"/>
        </w:rPr>
        <w:t xml:space="preserve">mitigate </w:t>
      </w:r>
      <w:r w:rsidR="00433171">
        <w:rPr>
          <w:rFonts w:ascii="Times New Roman" w:hAnsi="Times New Roman" w:cs="Times New Roman"/>
        </w:rPr>
        <w:t xml:space="preserve">any cliff-edge effect and to make the volatility adjustment more responsive to </w:t>
      </w:r>
      <w:r w:rsidR="00430271">
        <w:rPr>
          <w:rFonts w:ascii="Times New Roman" w:hAnsi="Times New Roman" w:cs="Times New Roman"/>
        </w:rPr>
        <w:t>country</w:t>
      </w:r>
      <w:r w:rsidR="00433171">
        <w:rPr>
          <w:rFonts w:ascii="Times New Roman" w:hAnsi="Times New Roman" w:cs="Times New Roman"/>
        </w:rPr>
        <w:t xml:space="preserve">-specific spread crises, </w:t>
      </w:r>
      <w:r w:rsidR="002451AB">
        <w:rPr>
          <w:rFonts w:ascii="Times New Roman" w:hAnsi="Times New Roman" w:cs="Times New Roman"/>
        </w:rPr>
        <w:t>the country volatility adjustment would be amended</w:t>
      </w:r>
      <w:r w:rsidR="009D6C1E">
        <w:rPr>
          <w:rFonts w:ascii="Times New Roman" w:hAnsi="Times New Roman" w:cs="Times New Roman"/>
        </w:rPr>
        <w:t>.</w:t>
      </w:r>
    </w:p>
    <w:p w14:paraId="67E8DF3C" w14:textId="77777777" w:rsidR="009D6C1E" w:rsidRDefault="009D6C1E" w:rsidP="009D6C1E">
      <w:pPr>
        <w:tabs>
          <w:tab w:val="left" w:pos="4962"/>
        </w:tabs>
        <w:spacing w:after="120"/>
        <w:jc w:val="both"/>
        <w:rPr>
          <w:rFonts w:ascii="Times New Roman" w:hAnsi="Times New Roman" w:cs="Times New Roman"/>
        </w:rPr>
      </w:pPr>
      <w:r>
        <w:rPr>
          <w:rFonts w:ascii="Times New Roman" w:hAnsi="Times New Roman" w:cs="Times New Roman"/>
        </w:rPr>
        <w:t xml:space="preserve">In relation to the </w:t>
      </w:r>
      <w:r>
        <w:rPr>
          <w:rFonts w:ascii="Times New Roman" w:hAnsi="Times New Roman" w:cs="Times New Roman"/>
          <w:b/>
        </w:rPr>
        <w:t>dynamic volatility adjustment</w:t>
      </w:r>
      <w:r>
        <w:rPr>
          <w:rFonts w:ascii="Times New Roman" w:hAnsi="Times New Roman" w:cs="Times New Roman"/>
        </w:rPr>
        <w:t xml:space="preserve">, EIOPA </w:t>
      </w:r>
      <w:r w:rsidR="002A3F34">
        <w:rPr>
          <w:rFonts w:ascii="Times New Roman" w:hAnsi="Times New Roman" w:cs="Times New Roman"/>
        </w:rPr>
        <w:t>recommend</w:t>
      </w:r>
      <w:r w:rsidR="00433171">
        <w:rPr>
          <w:rFonts w:ascii="Times New Roman" w:hAnsi="Times New Roman" w:cs="Times New Roman"/>
        </w:rPr>
        <w:t>s</w:t>
      </w:r>
      <w:r w:rsidR="002A3F34">
        <w:rPr>
          <w:rFonts w:ascii="Times New Roman" w:hAnsi="Times New Roman" w:cs="Times New Roman"/>
        </w:rPr>
        <w:t xml:space="preserve"> </w:t>
      </w:r>
      <w:r w:rsidR="00433171">
        <w:rPr>
          <w:rFonts w:ascii="Times New Roman" w:hAnsi="Times New Roman" w:cs="Times New Roman"/>
        </w:rPr>
        <w:t>not</w:t>
      </w:r>
      <w:r w:rsidR="002A3F34">
        <w:rPr>
          <w:rFonts w:ascii="Times New Roman" w:hAnsi="Times New Roman" w:cs="Times New Roman"/>
        </w:rPr>
        <w:t xml:space="preserve"> allow</w:t>
      </w:r>
      <w:r w:rsidR="00433171">
        <w:rPr>
          <w:rFonts w:ascii="Times New Roman" w:hAnsi="Times New Roman" w:cs="Times New Roman"/>
        </w:rPr>
        <w:t>ing</w:t>
      </w:r>
      <w:r w:rsidR="002A3F34">
        <w:rPr>
          <w:rFonts w:ascii="Times New Roman" w:hAnsi="Times New Roman" w:cs="Times New Roman"/>
        </w:rPr>
        <w:t xml:space="preserve"> </w:t>
      </w:r>
      <w:r w:rsidR="00433171">
        <w:rPr>
          <w:rFonts w:ascii="Times New Roman" w:hAnsi="Times New Roman" w:cs="Times New Roman"/>
        </w:rPr>
        <w:t xml:space="preserve">it </w:t>
      </w:r>
      <w:r w:rsidR="002A3F34">
        <w:rPr>
          <w:rFonts w:ascii="Times New Roman" w:hAnsi="Times New Roman" w:cs="Times New Roman"/>
        </w:rPr>
        <w:t>within th</w:t>
      </w:r>
      <w:r>
        <w:rPr>
          <w:rFonts w:ascii="Times New Roman" w:hAnsi="Times New Roman" w:cs="Times New Roman"/>
        </w:rPr>
        <w:t>e standard formula. With regard to</w:t>
      </w:r>
      <w:r w:rsidR="002074D7">
        <w:rPr>
          <w:rFonts w:ascii="Times New Roman" w:hAnsi="Times New Roman" w:cs="Times New Roman"/>
        </w:rPr>
        <w:t xml:space="preserve"> its use in the context of</w:t>
      </w:r>
      <w:r>
        <w:rPr>
          <w:rFonts w:ascii="Times New Roman" w:hAnsi="Times New Roman" w:cs="Times New Roman"/>
        </w:rPr>
        <w:t xml:space="preserve"> internal models, EIOPA </w:t>
      </w:r>
      <w:r w:rsidRPr="009D6C1E">
        <w:rPr>
          <w:rFonts w:ascii="Times New Roman" w:hAnsi="Times New Roman" w:cs="Times New Roman"/>
        </w:rPr>
        <w:t>proposes to introduce a safeguard, which ensures that the benefit of the recognition of the dynamic volatil</w:t>
      </w:r>
      <w:r>
        <w:rPr>
          <w:rFonts w:ascii="Times New Roman" w:hAnsi="Times New Roman" w:cs="Times New Roman"/>
        </w:rPr>
        <w:t>ity adjustment is not excessive.</w:t>
      </w:r>
    </w:p>
    <w:p w14:paraId="6BC9026C" w14:textId="77777777" w:rsidR="009D6C1E" w:rsidRPr="009D6C1E" w:rsidRDefault="009D6C1E" w:rsidP="009D6C1E">
      <w:pPr>
        <w:tabs>
          <w:tab w:val="left" w:pos="4962"/>
        </w:tabs>
        <w:spacing w:after="120"/>
        <w:jc w:val="both"/>
        <w:rPr>
          <w:rFonts w:ascii="Times New Roman" w:hAnsi="Times New Roman" w:cs="Times New Roman"/>
        </w:rPr>
      </w:pPr>
      <w:r>
        <w:rPr>
          <w:rFonts w:ascii="Times New Roman" w:hAnsi="Times New Roman" w:cs="Times New Roman"/>
        </w:rPr>
        <w:t xml:space="preserve">EIOPA also proposes some amendments to the </w:t>
      </w:r>
      <w:r>
        <w:rPr>
          <w:rFonts w:ascii="Times New Roman" w:hAnsi="Times New Roman" w:cs="Times New Roman"/>
          <w:b/>
        </w:rPr>
        <w:t>matching adjustment</w:t>
      </w:r>
      <w:r>
        <w:rPr>
          <w:rFonts w:ascii="Times New Roman" w:hAnsi="Times New Roman" w:cs="Times New Roman"/>
        </w:rPr>
        <w:t>, in particular the recognition of diversification benefits between the matching adjustment portfolio and other assets and liabilities.</w:t>
      </w:r>
    </w:p>
    <w:p w14:paraId="196ECC38" w14:textId="77777777" w:rsidR="009D6C1E" w:rsidRDefault="009D6C1E" w:rsidP="009D6C1E">
      <w:pPr>
        <w:tabs>
          <w:tab w:val="left" w:pos="4962"/>
        </w:tabs>
        <w:spacing w:after="120"/>
        <w:jc w:val="both"/>
        <w:rPr>
          <w:rFonts w:ascii="Times New Roman" w:hAnsi="Times New Roman" w:cs="Times New Roman"/>
        </w:rPr>
      </w:pPr>
      <w:r>
        <w:rPr>
          <w:rFonts w:ascii="Times New Roman" w:hAnsi="Times New Roman" w:cs="Times New Roman"/>
        </w:rPr>
        <w:t xml:space="preserve">As regards the </w:t>
      </w:r>
      <w:r>
        <w:rPr>
          <w:rFonts w:ascii="Times New Roman" w:hAnsi="Times New Roman" w:cs="Times New Roman"/>
          <w:b/>
        </w:rPr>
        <w:t>symmetric adjustment</w:t>
      </w:r>
      <w:r>
        <w:rPr>
          <w:rFonts w:ascii="Times New Roman" w:hAnsi="Times New Roman" w:cs="Times New Roman"/>
        </w:rPr>
        <w:t xml:space="preserve">, EIOPA proposes to extend the “corridor” (from </w:t>
      </w:r>
      <w:r w:rsidRPr="009D6C1E">
        <w:rPr>
          <w:rFonts w:ascii="Times New Roman" w:hAnsi="Times New Roman" w:cs="Times New Roman"/>
          <w:u w:val="single"/>
        </w:rPr>
        <w:t>+</w:t>
      </w:r>
      <w:r>
        <w:rPr>
          <w:rFonts w:ascii="Times New Roman" w:hAnsi="Times New Roman" w:cs="Times New Roman"/>
        </w:rPr>
        <w:t xml:space="preserve">10 percentage points to </w:t>
      </w:r>
      <w:r w:rsidRPr="009D6C1E">
        <w:rPr>
          <w:rFonts w:ascii="Times New Roman" w:hAnsi="Times New Roman" w:cs="Times New Roman"/>
          <w:u w:val="single"/>
        </w:rPr>
        <w:t>+</w:t>
      </w:r>
      <w:r>
        <w:rPr>
          <w:rFonts w:ascii="Times New Roman" w:hAnsi="Times New Roman" w:cs="Times New Roman"/>
        </w:rPr>
        <w:t>17 percentage points) in order to increase the countercyclical effect of the tool.</w:t>
      </w:r>
    </w:p>
    <w:p w14:paraId="4A9D31DF" w14:textId="77777777" w:rsidR="00E73F4A" w:rsidRDefault="009D6C1E" w:rsidP="007123D0">
      <w:pPr>
        <w:tabs>
          <w:tab w:val="left" w:pos="4962"/>
        </w:tabs>
        <w:spacing w:after="120"/>
        <w:jc w:val="both"/>
        <w:rPr>
          <w:rFonts w:ascii="Times New Roman" w:hAnsi="Times New Roman" w:cs="Times New Roman"/>
        </w:rPr>
      </w:pPr>
      <w:r>
        <w:rPr>
          <w:rFonts w:ascii="Times New Roman" w:hAnsi="Times New Roman" w:cs="Times New Roman"/>
        </w:rPr>
        <w:t xml:space="preserve">Finally, in relation to the </w:t>
      </w:r>
      <w:r w:rsidRPr="009D6C1E">
        <w:rPr>
          <w:rFonts w:ascii="Times New Roman" w:hAnsi="Times New Roman" w:cs="Times New Roman"/>
          <w:b/>
        </w:rPr>
        <w:t>risk margin</w:t>
      </w:r>
      <w:r>
        <w:rPr>
          <w:rFonts w:ascii="Times New Roman" w:hAnsi="Times New Roman" w:cs="Times New Roman"/>
        </w:rPr>
        <w:t xml:space="preserve">, EIOPA proposes </w:t>
      </w:r>
      <w:r w:rsidRPr="001A04A3">
        <w:rPr>
          <w:rFonts w:ascii="Times New Roman" w:hAnsi="Times New Roman" w:cs="Times New Roman"/>
        </w:rPr>
        <w:t>to amend the calculation formula (introduction of a “lambda factor”</w:t>
      </w:r>
      <w:r w:rsidR="005F621B" w:rsidRPr="001A04A3">
        <w:rPr>
          <w:rFonts w:ascii="Times New Roman" w:hAnsi="Times New Roman" w:cs="Times New Roman"/>
        </w:rPr>
        <w:t xml:space="preserve"> when calculating future projected solvency capital requirements</w:t>
      </w:r>
      <w:r w:rsidRPr="001A04A3">
        <w:rPr>
          <w:rFonts w:ascii="Times New Roman" w:hAnsi="Times New Roman" w:cs="Times New Roman"/>
        </w:rPr>
        <w:t xml:space="preserve">) aiming to </w:t>
      </w:r>
      <w:r w:rsidR="00302209" w:rsidRPr="001A04A3">
        <w:rPr>
          <w:rFonts w:ascii="Times New Roman" w:hAnsi="Times New Roman" w:cs="Times New Roman"/>
        </w:rPr>
        <w:t xml:space="preserve">take into account the dependence of risks over time and </w:t>
      </w:r>
      <w:r w:rsidRPr="001A04A3">
        <w:rPr>
          <w:rFonts w:ascii="Times New Roman" w:hAnsi="Times New Roman" w:cs="Times New Roman"/>
        </w:rPr>
        <w:t>reduce the volatility of the risk margin</w:t>
      </w:r>
      <w:r w:rsidR="00EF5A0F" w:rsidRPr="001A04A3">
        <w:rPr>
          <w:rFonts w:ascii="Times New Roman" w:hAnsi="Times New Roman" w:cs="Times New Roman"/>
        </w:rPr>
        <w:t>, in particular</w:t>
      </w:r>
      <w:r w:rsidR="00D87BF1" w:rsidRPr="001A04A3">
        <w:rPr>
          <w:rFonts w:ascii="Times New Roman" w:hAnsi="Times New Roman" w:cs="Times New Roman"/>
        </w:rPr>
        <w:t xml:space="preserve"> </w:t>
      </w:r>
      <w:r w:rsidRPr="001A04A3">
        <w:rPr>
          <w:rFonts w:ascii="Times New Roman" w:hAnsi="Times New Roman" w:cs="Times New Roman"/>
        </w:rPr>
        <w:t>for long-term</w:t>
      </w:r>
      <w:r w:rsidR="00EF5A0F" w:rsidRPr="001A04A3">
        <w:rPr>
          <w:rFonts w:ascii="Times New Roman" w:hAnsi="Times New Roman" w:cs="Times New Roman"/>
        </w:rPr>
        <w:t xml:space="preserve"> insurance products</w:t>
      </w:r>
      <w:r w:rsidR="00073FD3" w:rsidRPr="001A04A3">
        <w:rPr>
          <w:rFonts w:ascii="Times New Roman" w:hAnsi="Times New Roman" w:cs="Times New Roman"/>
        </w:rPr>
        <w:t>.</w:t>
      </w:r>
      <w:r w:rsidRPr="001A04A3">
        <w:rPr>
          <w:rFonts w:ascii="Times New Roman" w:hAnsi="Times New Roman" w:cs="Times New Roman"/>
        </w:rPr>
        <w:t xml:space="preserve"> </w:t>
      </w:r>
      <w:r w:rsidR="005F621B" w:rsidRPr="001A04A3">
        <w:rPr>
          <w:rFonts w:ascii="Times New Roman" w:hAnsi="Times New Roman" w:cs="Times New Roman"/>
        </w:rPr>
        <w:t>However, EIOPA recommends limiting the impact of that change by flooring the reduction factor, which is applied to future projected capital requirements.</w:t>
      </w:r>
      <w:r w:rsidR="006D4D00" w:rsidRPr="001A04A3">
        <w:rPr>
          <w:rFonts w:ascii="Times New Roman" w:hAnsi="Times New Roman" w:cs="Times New Roman"/>
        </w:rPr>
        <w:t xml:space="preserve"> In addition</w:t>
      </w:r>
      <w:r w:rsidR="006D4D00">
        <w:rPr>
          <w:rFonts w:ascii="Times New Roman" w:hAnsi="Times New Roman" w:cs="Times New Roman"/>
        </w:rPr>
        <w:t xml:space="preserve">, EIOPA confirmed its previous advice that the cost-of-capital rate used to derive the risk margin should </w:t>
      </w:r>
      <w:r w:rsidR="002F4026">
        <w:rPr>
          <w:rFonts w:ascii="Times New Roman" w:hAnsi="Times New Roman" w:cs="Times New Roman"/>
        </w:rPr>
        <w:t>remain</w:t>
      </w:r>
      <w:r w:rsidR="006D4D00">
        <w:rPr>
          <w:rFonts w:ascii="Times New Roman" w:hAnsi="Times New Roman" w:cs="Times New Roman"/>
        </w:rPr>
        <w:t xml:space="preserve"> 6%.</w:t>
      </w:r>
    </w:p>
    <w:tbl>
      <w:tblPr>
        <w:tblStyle w:val="Tabela-Siatka"/>
        <w:tblW w:w="0" w:type="auto"/>
        <w:tblLook w:val="04A0" w:firstRow="1" w:lastRow="0" w:firstColumn="1" w:lastColumn="0" w:noHBand="0" w:noVBand="1"/>
      </w:tblPr>
      <w:tblGrid>
        <w:gridCol w:w="9016"/>
      </w:tblGrid>
      <w:tr w:rsidR="00A57A95" w:rsidRPr="0024068E" w14:paraId="316F3B8D" w14:textId="77777777" w:rsidTr="00A57A95">
        <w:tc>
          <w:tcPr>
            <w:tcW w:w="9016" w:type="dxa"/>
          </w:tcPr>
          <w:p w14:paraId="0B8F1454" w14:textId="77777777" w:rsidR="00A57A95" w:rsidRPr="00B90A5B" w:rsidRDefault="006820C5" w:rsidP="00B90A5B">
            <w:pPr>
              <w:pStyle w:val="Akapitzlist"/>
              <w:numPr>
                <w:ilvl w:val="0"/>
                <w:numId w:val="19"/>
              </w:numPr>
              <w:tabs>
                <w:tab w:val="left" w:pos="4962"/>
              </w:tabs>
              <w:spacing w:before="120" w:after="120"/>
              <w:jc w:val="both"/>
              <w:rPr>
                <w:rFonts w:ascii="Times New Roman" w:hAnsi="Times New Roman" w:cs="Times New Roman"/>
                <w:i/>
                <w:sz w:val="21"/>
                <w:szCs w:val="21"/>
              </w:rPr>
            </w:pPr>
            <w:r w:rsidRPr="00B90A5B">
              <w:rPr>
                <w:rFonts w:ascii="Times New Roman" w:hAnsi="Times New Roman" w:cs="Times New Roman"/>
                <w:i/>
                <w:sz w:val="21"/>
                <w:szCs w:val="21"/>
              </w:rPr>
              <w:t>Member States are invited to share their views on</w:t>
            </w:r>
            <w:r w:rsidR="00A57A95" w:rsidRPr="00B90A5B">
              <w:rPr>
                <w:rFonts w:ascii="Times New Roman" w:hAnsi="Times New Roman" w:cs="Times New Roman"/>
                <w:i/>
                <w:sz w:val="21"/>
                <w:szCs w:val="21"/>
              </w:rPr>
              <w:t xml:space="preserve"> EIOPA’s approach to improve risk sensitivity, in particular in relation to interest rate risk and extrapolation, including the temporary safeguard mechanism</w:t>
            </w:r>
            <w:r w:rsidRPr="00B90A5B">
              <w:rPr>
                <w:rFonts w:ascii="Times New Roman" w:hAnsi="Times New Roman" w:cs="Times New Roman"/>
                <w:i/>
                <w:sz w:val="21"/>
                <w:szCs w:val="21"/>
              </w:rPr>
              <w:t>.</w:t>
            </w:r>
          </w:p>
          <w:p w14:paraId="0B0B859A" w14:textId="77777777" w:rsidR="00A57A95" w:rsidRPr="00B90A5B" w:rsidRDefault="006820C5" w:rsidP="00B90A5B">
            <w:pPr>
              <w:pStyle w:val="Akapitzlist"/>
              <w:numPr>
                <w:ilvl w:val="0"/>
                <w:numId w:val="19"/>
              </w:numPr>
              <w:tabs>
                <w:tab w:val="left" w:pos="4962"/>
              </w:tabs>
              <w:spacing w:before="120" w:after="120"/>
              <w:jc w:val="both"/>
              <w:rPr>
                <w:rFonts w:ascii="Times New Roman" w:hAnsi="Times New Roman" w:cs="Times New Roman"/>
                <w:i/>
                <w:sz w:val="21"/>
                <w:szCs w:val="21"/>
              </w:rPr>
            </w:pPr>
            <w:r w:rsidRPr="00B90A5B">
              <w:rPr>
                <w:rFonts w:ascii="Times New Roman" w:hAnsi="Times New Roman" w:cs="Times New Roman"/>
                <w:i/>
                <w:sz w:val="21"/>
                <w:szCs w:val="21"/>
              </w:rPr>
              <w:t xml:space="preserve">Member States are invited to </w:t>
            </w:r>
            <w:r w:rsidR="006B7123">
              <w:rPr>
                <w:rFonts w:ascii="Times New Roman" w:hAnsi="Times New Roman" w:cs="Times New Roman"/>
                <w:i/>
                <w:sz w:val="21"/>
                <w:szCs w:val="21"/>
              </w:rPr>
              <w:t>share their views on</w:t>
            </w:r>
            <w:r w:rsidR="00A57A95" w:rsidRPr="00B90A5B">
              <w:rPr>
                <w:rFonts w:ascii="Times New Roman" w:hAnsi="Times New Roman" w:cs="Times New Roman"/>
                <w:i/>
                <w:sz w:val="21"/>
                <w:szCs w:val="21"/>
              </w:rPr>
              <w:t xml:space="preserve"> EIOPA’s proposals on the review of the volatility adjustment, the matching adjustment, the symmetric adjustment and the risk margin</w:t>
            </w:r>
            <w:r w:rsidRPr="00B90A5B">
              <w:rPr>
                <w:rFonts w:ascii="Times New Roman" w:hAnsi="Times New Roman" w:cs="Times New Roman"/>
                <w:i/>
                <w:sz w:val="21"/>
                <w:szCs w:val="21"/>
              </w:rPr>
              <w:t>.</w:t>
            </w:r>
          </w:p>
          <w:p w14:paraId="5411296E" w14:textId="77777777" w:rsidR="00A57A95" w:rsidRPr="0024068E" w:rsidRDefault="00A57A95" w:rsidP="00B90A5B">
            <w:pPr>
              <w:pStyle w:val="Akapitzlist"/>
              <w:numPr>
                <w:ilvl w:val="0"/>
                <w:numId w:val="19"/>
              </w:numPr>
              <w:tabs>
                <w:tab w:val="left" w:pos="4962"/>
              </w:tabs>
              <w:spacing w:before="120" w:after="120"/>
              <w:jc w:val="both"/>
              <w:rPr>
                <w:rFonts w:ascii="Times New Roman" w:hAnsi="Times New Roman" w:cs="Times New Roman"/>
              </w:rPr>
            </w:pPr>
            <w:r w:rsidRPr="00B90A5B">
              <w:rPr>
                <w:rFonts w:ascii="Times New Roman" w:hAnsi="Times New Roman" w:cs="Times New Roman"/>
                <w:i/>
                <w:sz w:val="21"/>
                <w:szCs w:val="21"/>
              </w:rPr>
              <w:t>Do Member States have other points to raise on those topics?</w:t>
            </w:r>
          </w:p>
        </w:tc>
      </w:tr>
    </w:tbl>
    <w:p w14:paraId="134C5ADB" w14:textId="77777777" w:rsidR="00B22D39" w:rsidRPr="007123D0" w:rsidRDefault="00457061" w:rsidP="00B90A5B">
      <w:pPr>
        <w:spacing w:before="240" w:after="120"/>
        <w:jc w:val="both"/>
        <w:rPr>
          <w:rFonts w:ascii="Times New Roman" w:hAnsi="Times New Roman" w:cs="Times New Roman"/>
          <w:b/>
          <w:sz w:val="24"/>
          <w:szCs w:val="24"/>
          <w:u w:val="single"/>
        </w:rPr>
      </w:pPr>
      <w:r>
        <w:rPr>
          <w:rFonts w:ascii="Times New Roman" w:hAnsi="Times New Roman" w:cs="Times New Roman"/>
          <w:b/>
          <w:sz w:val="24"/>
          <w:szCs w:val="24"/>
          <w:u w:val="single"/>
        </w:rPr>
        <w:t>III</w:t>
      </w:r>
      <w:r w:rsidR="00E73F4A" w:rsidRPr="007123D0">
        <w:rPr>
          <w:rFonts w:ascii="Times New Roman" w:hAnsi="Times New Roman" w:cs="Times New Roman"/>
          <w:b/>
          <w:sz w:val="24"/>
          <w:szCs w:val="24"/>
          <w:u w:val="single"/>
        </w:rPr>
        <w:t xml:space="preserve"> – </w:t>
      </w:r>
      <w:r w:rsidR="00591F52" w:rsidRPr="007123D0">
        <w:rPr>
          <w:rFonts w:ascii="Times New Roman" w:hAnsi="Times New Roman" w:cs="Times New Roman"/>
          <w:b/>
          <w:sz w:val="24"/>
          <w:szCs w:val="24"/>
          <w:u w:val="single"/>
        </w:rPr>
        <w:t>Proportionality</w:t>
      </w:r>
    </w:p>
    <w:p w14:paraId="734633BC" w14:textId="77777777" w:rsidR="00E952E9" w:rsidRDefault="00A05358" w:rsidP="00E952E9">
      <w:pPr>
        <w:spacing w:after="120"/>
        <w:jc w:val="both"/>
        <w:rPr>
          <w:rFonts w:ascii="Times New Roman" w:hAnsi="Times New Roman" w:cs="Times New Roman"/>
        </w:rPr>
      </w:pPr>
      <w:r>
        <w:rPr>
          <w:rFonts w:ascii="Times New Roman" w:hAnsi="Times New Roman" w:cs="Times New Roman"/>
        </w:rPr>
        <w:t xml:space="preserve">EIOPA recommends extending </w:t>
      </w:r>
      <w:r w:rsidR="00E952E9">
        <w:rPr>
          <w:rFonts w:ascii="Times New Roman" w:hAnsi="Times New Roman" w:cs="Times New Roman"/>
        </w:rPr>
        <w:t xml:space="preserve">the </w:t>
      </w:r>
      <w:r w:rsidR="00E952E9" w:rsidRPr="00E952E9">
        <w:rPr>
          <w:rFonts w:ascii="Times New Roman" w:hAnsi="Times New Roman" w:cs="Times New Roman"/>
          <w:b/>
        </w:rPr>
        <w:t>exclusion thresholds</w:t>
      </w:r>
      <w:r w:rsidR="00E952E9">
        <w:rPr>
          <w:rFonts w:ascii="Times New Roman" w:hAnsi="Times New Roman" w:cs="Times New Roman"/>
        </w:rPr>
        <w:t xml:space="preserve"> from </w:t>
      </w:r>
      <w:r w:rsidR="005E4F88" w:rsidRPr="009C2287">
        <w:rPr>
          <w:rFonts w:ascii="Times New Roman" w:hAnsi="Times New Roman" w:cs="Times New Roman"/>
        </w:rPr>
        <w:t>Solvency II</w:t>
      </w:r>
      <w:r w:rsidR="00E952E9">
        <w:rPr>
          <w:rFonts w:ascii="Times New Roman" w:hAnsi="Times New Roman" w:cs="Times New Roman"/>
        </w:rPr>
        <w:t xml:space="preserve"> as follows:</w:t>
      </w:r>
    </w:p>
    <w:p w14:paraId="673BABA1" w14:textId="77777777" w:rsidR="00E952E9" w:rsidRPr="00E952E9" w:rsidRDefault="00E952E9" w:rsidP="00E952E9">
      <w:pPr>
        <w:pStyle w:val="Akapitzlist"/>
        <w:numPr>
          <w:ilvl w:val="0"/>
          <w:numId w:val="16"/>
        </w:numPr>
        <w:spacing w:after="120"/>
        <w:jc w:val="both"/>
        <w:rPr>
          <w:rFonts w:ascii="Times New Roman" w:hAnsi="Times New Roman" w:cs="Times New Roman"/>
        </w:rPr>
      </w:pPr>
      <w:r w:rsidRPr="00E952E9">
        <w:rPr>
          <w:rFonts w:ascii="Times New Roman" w:hAnsi="Times New Roman" w:cs="Times New Roman"/>
        </w:rPr>
        <w:t>doubling the threshold on technical provisions: from € 25 million to € 50 million</w:t>
      </w:r>
    </w:p>
    <w:p w14:paraId="773434E6" w14:textId="77777777" w:rsidR="00E952E9" w:rsidRPr="00E952E9" w:rsidRDefault="00E952E9" w:rsidP="00E952E9">
      <w:pPr>
        <w:pStyle w:val="Akapitzlist"/>
        <w:numPr>
          <w:ilvl w:val="0"/>
          <w:numId w:val="16"/>
        </w:numPr>
        <w:spacing w:after="120"/>
        <w:jc w:val="both"/>
        <w:rPr>
          <w:rFonts w:ascii="Times New Roman" w:hAnsi="Times New Roman" w:cs="Times New Roman"/>
        </w:rPr>
      </w:pPr>
      <w:r w:rsidRPr="00E952E9">
        <w:rPr>
          <w:rFonts w:ascii="Times New Roman" w:hAnsi="Times New Roman" w:cs="Times New Roman"/>
        </w:rPr>
        <w:t>leaving the discretion for Member States to set the threshold on gross written premiums between € 5 million (current threshold) and € 25 million</w:t>
      </w:r>
      <w:r w:rsidRPr="00E952E9">
        <w:rPr>
          <w:rStyle w:val="Odwoanieprzypisudolnego"/>
          <w:rFonts w:ascii="Times New Roman" w:hAnsi="Times New Roman" w:cs="Times New Roman"/>
        </w:rPr>
        <w:footnoteReference w:id="5"/>
      </w:r>
      <w:r w:rsidR="002A3F34">
        <w:rPr>
          <w:rFonts w:ascii="Times New Roman" w:hAnsi="Times New Roman" w:cs="Times New Roman"/>
        </w:rPr>
        <w:t>.</w:t>
      </w:r>
    </w:p>
    <w:p w14:paraId="28DE4D99" w14:textId="77777777" w:rsidR="008C751F" w:rsidRDefault="00E952E9" w:rsidP="00CA6ABE">
      <w:pPr>
        <w:spacing w:after="120"/>
        <w:jc w:val="both"/>
        <w:rPr>
          <w:rFonts w:ascii="Times New Roman" w:hAnsi="Times New Roman" w:cs="Times New Roman"/>
        </w:rPr>
      </w:pPr>
      <w:r w:rsidRPr="00E952E9">
        <w:rPr>
          <w:rFonts w:ascii="Times New Roman" w:hAnsi="Times New Roman" w:cs="Times New Roman"/>
        </w:rPr>
        <w:lastRenderedPageBreak/>
        <w:t xml:space="preserve">As regards </w:t>
      </w:r>
      <w:r w:rsidRPr="00E952E9">
        <w:rPr>
          <w:rFonts w:ascii="Times New Roman" w:hAnsi="Times New Roman" w:cs="Times New Roman"/>
          <w:b/>
        </w:rPr>
        <w:t>proportionality</w:t>
      </w:r>
      <w:r w:rsidRPr="00E952E9">
        <w:rPr>
          <w:rFonts w:ascii="Times New Roman" w:hAnsi="Times New Roman" w:cs="Times New Roman"/>
        </w:rPr>
        <w:t xml:space="preserve"> within Solvency II, EIOPA has developed a set of </w:t>
      </w:r>
      <w:r w:rsidR="00D30979">
        <w:rPr>
          <w:rFonts w:ascii="Times New Roman" w:hAnsi="Times New Roman" w:cs="Times New Roman"/>
        </w:rPr>
        <w:t xml:space="preserve">seven </w:t>
      </w:r>
      <w:r w:rsidRPr="00E952E9">
        <w:rPr>
          <w:rFonts w:ascii="Times New Roman" w:hAnsi="Times New Roman" w:cs="Times New Roman"/>
        </w:rPr>
        <w:t>criteria that would trigger more automatic application of proportionality measures</w:t>
      </w:r>
      <w:r w:rsidR="001A04A3">
        <w:rPr>
          <w:rFonts w:ascii="Times New Roman" w:hAnsi="Times New Roman" w:cs="Times New Roman"/>
        </w:rPr>
        <w:t xml:space="preserve"> for insurers that are deemed of low risk profile</w:t>
      </w:r>
      <w:r w:rsidRPr="00E952E9">
        <w:rPr>
          <w:rFonts w:ascii="Times New Roman" w:hAnsi="Times New Roman" w:cs="Times New Roman"/>
        </w:rPr>
        <w:t>, and has also specified what those proportionate measures should be</w:t>
      </w:r>
      <w:r w:rsidR="003B41EC">
        <w:rPr>
          <w:rStyle w:val="Odwoanieprzypisudolnego"/>
          <w:rFonts w:ascii="Times New Roman" w:hAnsi="Times New Roman" w:cs="Times New Roman"/>
        </w:rPr>
        <w:footnoteReference w:id="6"/>
      </w:r>
      <w:r w:rsidRPr="00E952E9">
        <w:rPr>
          <w:rFonts w:ascii="Times New Roman" w:hAnsi="Times New Roman" w:cs="Times New Roman"/>
        </w:rPr>
        <w:t>.</w:t>
      </w:r>
      <w:r>
        <w:rPr>
          <w:rFonts w:ascii="Times New Roman" w:hAnsi="Times New Roman" w:cs="Times New Roman"/>
        </w:rPr>
        <w:t xml:space="preserve"> </w:t>
      </w:r>
      <w:r w:rsidR="002A3F34">
        <w:rPr>
          <w:rFonts w:ascii="Times New Roman" w:hAnsi="Times New Roman" w:cs="Times New Roman"/>
        </w:rPr>
        <w:t xml:space="preserve">According to EIOPA’s </w:t>
      </w:r>
      <w:r w:rsidR="008C751F">
        <w:rPr>
          <w:rFonts w:ascii="Times New Roman" w:hAnsi="Times New Roman" w:cs="Times New Roman"/>
        </w:rPr>
        <w:t xml:space="preserve">impact </w:t>
      </w:r>
      <w:r w:rsidR="002A3F34">
        <w:rPr>
          <w:rFonts w:ascii="Times New Roman" w:hAnsi="Times New Roman" w:cs="Times New Roman"/>
        </w:rPr>
        <w:t xml:space="preserve">assessment, the criteria selected would allow classifying </w:t>
      </w:r>
      <w:r w:rsidR="00B33E59">
        <w:rPr>
          <w:rFonts w:ascii="Times New Roman" w:hAnsi="Times New Roman" w:cs="Times New Roman"/>
        </w:rPr>
        <w:t>16</w:t>
      </w:r>
      <w:r w:rsidR="002A3F34">
        <w:rPr>
          <w:rFonts w:ascii="Times New Roman" w:hAnsi="Times New Roman" w:cs="Times New Roman"/>
        </w:rPr>
        <w:t xml:space="preserve">% of </w:t>
      </w:r>
      <w:r w:rsidR="008C751F">
        <w:rPr>
          <w:rFonts w:ascii="Times New Roman" w:hAnsi="Times New Roman" w:cs="Times New Roman"/>
        </w:rPr>
        <w:t xml:space="preserve">EEA undertakings as at end-2019 </w:t>
      </w:r>
      <w:r w:rsidR="002A3F34">
        <w:rPr>
          <w:rFonts w:ascii="Times New Roman" w:hAnsi="Times New Roman" w:cs="Times New Roman"/>
        </w:rPr>
        <w:t xml:space="preserve">as low-risk profiles (assuming that no change to the exclusion thresholds is made). Different combinations of criteria </w:t>
      </w:r>
      <w:r w:rsidR="008C751F">
        <w:rPr>
          <w:rFonts w:ascii="Times New Roman" w:hAnsi="Times New Roman" w:cs="Times New Roman"/>
        </w:rPr>
        <w:t xml:space="preserve">and thresholds </w:t>
      </w:r>
      <w:r w:rsidR="002A3F34">
        <w:rPr>
          <w:rFonts w:ascii="Times New Roman" w:hAnsi="Times New Roman" w:cs="Times New Roman"/>
        </w:rPr>
        <w:t xml:space="preserve">have been </w:t>
      </w:r>
      <w:r w:rsidR="002713A2">
        <w:rPr>
          <w:rFonts w:ascii="Times New Roman" w:hAnsi="Times New Roman" w:cs="Times New Roman"/>
        </w:rPr>
        <w:t>considered</w:t>
      </w:r>
      <w:r w:rsidR="002A3F34">
        <w:rPr>
          <w:rFonts w:ascii="Times New Roman" w:hAnsi="Times New Roman" w:cs="Times New Roman"/>
        </w:rPr>
        <w:t xml:space="preserve">, </w:t>
      </w:r>
      <w:r w:rsidR="00D30979">
        <w:rPr>
          <w:rFonts w:ascii="Times New Roman" w:hAnsi="Times New Roman" w:cs="Times New Roman"/>
        </w:rPr>
        <w:t>capturing</w:t>
      </w:r>
      <w:r w:rsidR="002A3F34">
        <w:rPr>
          <w:rFonts w:ascii="Times New Roman" w:hAnsi="Times New Roman" w:cs="Times New Roman"/>
        </w:rPr>
        <w:t xml:space="preserve"> from </w:t>
      </w:r>
      <w:r w:rsidR="00B33E59">
        <w:rPr>
          <w:rFonts w:ascii="Times New Roman" w:hAnsi="Times New Roman" w:cs="Times New Roman"/>
        </w:rPr>
        <w:t>10</w:t>
      </w:r>
      <w:r w:rsidR="002A3F34">
        <w:rPr>
          <w:rFonts w:ascii="Times New Roman" w:hAnsi="Times New Roman" w:cs="Times New Roman"/>
        </w:rPr>
        <w:t xml:space="preserve">% to </w:t>
      </w:r>
      <w:r w:rsidR="00B33E59">
        <w:rPr>
          <w:rFonts w:ascii="Times New Roman" w:hAnsi="Times New Roman" w:cs="Times New Roman"/>
        </w:rPr>
        <w:t>23</w:t>
      </w:r>
      <w:r w:rsidR="002A3F34">
        <w:rPr>
          <w:rFonts w:ascii="Times New Roman" w:hAnsi="Times New Roman" w:cs="Times New Roman"/>
        </w:rPr>
        <w:t xml:space="preserve">% of insurance firms. </w:t>
      </w:r>
      <w:r w:rsidR="008C751F">
        <w:rPr>
          <w:rFonts w:ascii="Times New Roman" w:hAnsi="Times New Roman" w:cs="Times New Roman"/>
        </w:rPr>
        <w:t xml:space="preserve">On top of </w:t>
      </w:r>
      <w:r w:rsidR="001A04A3">
        <w:rPr>
          <w:rFonts w:ascii="Times New Roman" w:hAnsi="Times New Roman" w:cs="Times New Roman"/>
        </w:rPr>
        <w:t>this</w:t>
      </w:r>
      <w:r w:rsidR="008C751F">
        <w:rPr>
          <w:rFonts w:ascii="Times New Roman" w:hAnsi="Times New Roman" w:cs="Times New Roman"/>
        </w:rPr>
        <w:t xml:space="preserve"> automatic application of the principle of proportionality, EIOPA proposes that </w:t>
      </w:r>
      <w:r w:rsidR="001A04A3">
        <w:rPr>
          <w:rFonts w:ascii="Times New Roman" w:hAnsi="Times New Roman" w:cs="Times New Roman"/>
        </w:rPr>
        <w:t>s</w:t>
      </w:r>
      <w:r w:rsidR="008C751F">
        <w:rPr>
          <w:rFonts w:ascii="Times New Roman" w:hAnsi="Times New Roman" w:cs="Times New Roman"/>
        </w:rPr>
        <w:t xml:space="preserve">upervisory </w:t>
      </w:r>
      <w:r w:rsidR="001A04A3">
        <w:rPr>
          <w:rFonts w:ascii="Times New Roman" w:hAnsi="Times New Roman" w:cs="Times New Roman"/>
        </w:rPr>
        <w:t>a</w:t>
      </w:r>
      <w:r w:rsidR="008C751F">
        <w:rPr>
          <w:rFonts w:ascii="Times New Roman" w:hAnsi="Times New Roman" w:cs="Times New Roman"/>
        </w:rPr>
        <w:t xml:space="preserve">uthorities </w:t>
      </w:r>
      <w:r w:rsidR="001A04A3">
        <w:rPr>
          <w:rFonts w:ascii="Times New Roman" w:hAnsi="Times New Roman" w:cs="Times New Roman"/>
        </w:rPr>
        <w:t>carry out</w:t>
      </w:r>
      <w:r w:rsidR="008C751F">
        <w:rPr>
          <w:rFonts w:ascii="Times New Roman" w:hAnsi="Times New Roman" w:cs="Times New Roman"/>
        </w:rPr>
        <w:t xml:space="preserve"> a case-by-case assessment </w:t>
      </w:r>
      <w:r w:rsidR="001A04A3">
        <w:rPr>
          <w:rFonts w:ascii="Times New Roman" w:hAnsi="Times New Roman" w:cs="Times New Roman"/>
        </w:rPr>
        <w:t>for insurance companies that do not meet the criteria to be classified as of “low risk profile”</w:t>
      </w:r>
      <w:r w:rsidR="008C751F">
        <w:rPr>
          <w:rFonts w:ascii="Times New Roman" w:hAnsi="Times New Roman" w:cs="Times New Roman"/>
        </w:rPr>
        <w:t xml:space="preserve">, </w:t>
      </w:r>
      <w:r w:rsidR="001A04A3">
        <w:rPr>
          <w:rFonts w:ascii="Times New Roman" w:hAnsi="Times New Roman" w:cs="Times New Roman"/>
        </w:rPr>
        <w:t xml:space="preserve">which could result in an overall higher </w:t>
      </w:r>
      <w:r w:rsidR="008C751F">
        <w:rPr>
          <w:rFonts w:ascii="Times New Roman" w:hAnsi="Times New Roman" w:cs="Times New Roman"/>
        </w:rPr>
        <w:t xml:space="preserve">number of </w:t>
      </w:r>
      <w:r w:rsidR="001A04A3">
        <w:rPr>
          <w:rFonts w:ascii="Times New Roman" w:hAnsi="Times New Roman" w:cs="Times New Roman"/>
        </w:rPr>
        <w:t>firms</w:t>
      </w:r>
      <w:r w:rsidR="008C751F">
        <w:rPr>
          <w:rFonts w:ascii="Times New Roman" w:hAnsi="Times New Roman" w:cs="Times New Roman"/>
        </w:rPr>
        <w:t xml:space="preserve"> applying proportionality.</w:t>
      </w:r>
    </w:p>
    <w:p w14:paraId="7353ABBD" w14:textId="77777777" w:rsidR="00E952E9" w:rsidRDefault="00BE333E" w:rsidP="00CA6ABE">
      <w:pPr>
        <w:spacing w:after="120"/>
        <w:jc w:val="both"/>
        <w:rPr>
          <w:rFonts w:ascii="Times New Roman" w:hAnsi="Times New Roman" w:cs="Times New Roman"/>
        </w:rPr>
      </w:pPr>
      <w:r>
        <w:rPr>
          <w:rFonts w:ascii="Times New Roman" w:hAnsi="Times New Roman" w:cs="Times New Roman"/>
        </w:rPr>
        <w:t>Finally</w:t>
      </w:r>
      <w:r w:rsidR="00E952E9">
        <w:rPr>
          <w:rFonts w:ascii="Times New Roman" w:hAnsi="Times New Roman" w:cs="Times New Roman"/>
        </w:rPr>
        <w:t xml:space="preserve">, EIOPA </w:t>
      </w:r>
      <w:r w:rsidR="005C609E">
        <w:rPr>
          <w:rFonts w:ascii="Times New Roman" w:hAnsi="Times New Roman" w:cs="Times New Roman"/>
        </w:rPr>
        <w:t>proposes</w:t>
      </w:r>
      <w:r w:rsidR="00F96313">
        <w:rPr>
          <w:rFonts w:ascii="Times New Roman" w:hAnsi="Times New Roman" w:cs="Times New Roman"/>
        </w:rPr>
        <w:t xml:space="preserve"> </w:t>
      </w:r>
      <w:r w:rsidR="00384D02">
        <w:rPr>
          <w:rFonts w:ascii="Times New Roman" w:hAnsi="Times New Roman" w:cs="Times New Roman"/>
        </w:rPr>
        <w:t>to clarify</w:t>
      </w:r>
      <w:r w:rsidR="00F96313">
        <w:rPr>
          <w:rFonts w:ascii="Times New Roman" w:hAnsi="Times New Roman" w:cs="Times New Roman"/>
        </w:rPr>
        <w:t xml:space="preserve"> that</w:t>
      </w:r>
      <w:r w:rsidR="00E952E9">
        <w:rPr>
          <w:rFonts w:ascii="Times New Roman" w:hAnsi="Times New Roman" w:cs="Times New Roman"/>
        </w:rPr>
        <w:t xml:space="preserve"> each Member State </w:t>
      </w:r>
      <w:r w:rsidR="00F96313">
        <w:rPr>
          <w:rFonts w:ascii="Times New Roman" w:hAnsi="Times New Roman" w:cs="Times New Roman"/>
        </w:rPr>
        <w:t>may</w:t>
      </w:r>
      <w:r w:rsidR="00E952E9">
        <w:rPr>
          <w:rFonts w:ascii="Times New Roman" w:hAnsi="Times New Roman" w:cs="Times New Roman"/>
        </w:rPr>
        <w:t xml:space="preserve"> </w:t>
      </w:r>
      <w:r w:rsidR="00E952E9" w:rsidRPr="00E952E9">
        <w:rPr>
          <w:rFonts w:ascii="Times New Roman" w:hAnsi="Times New Roman" w:cs="Times New Roman"/>
          <w:b/>
        </w:rPr>
        <w:t>waive</w:t>
      </w:r>
      <w:r w:rsidR="00E952E9">
        <w:rPr>
          <w:rFonts w:ascii="Times New Roman" w:hAnsi="Times New Roman" w:cs="Times New Roman"/>
        </w:rPr>
        <w:t xml:space="preserve"> </w:t>
      </w:r>
      <w:r w:rsidR="00E952E9">
        <w:rPr>
          <w:rFonts w:ascii="Times New Roman" w:hAnsi="Times New Roman" w:cs="Times New Roman"/>
          <w:b/>
        </w:rPr>
        <w:t xml:space="preserve">quarterly reporting </w:t>
      </w:r>
      <w:r w:rsidR="00E952E9">
        <w:rPr>
          <w:rFonts w:ascii="Times New Roman" w:hAnsi="Times New Roman" w:cs="Times New Roman"/>
        </w:rPr>
        <w:t xml:space="preserve">for </w:t>
      </w:r>
      <w:r w:rsidR="00F96313">
        <w:rPr>
          <w:rFonts w:ascii="Times New Roman" w:hAnsi="Times New Roman" w:cs="Times New Roman"/>
        </w:rPr>
        <w:t>up to 20%</w:t>
      </w:r>
      <w:r w:rsidR="00E952E9">
        <w:rPr>
          <w:rFonts w:ascii="Times New Roman" w:hAnsi="Times New Roman" w:cs="Times New Roman"/>
        </w:rPr>
        <w:t xml:space="preserve"> of its national </w:t>
      </w:r>
      <w:r w:rsidR="002713A2">
        <w:rPr>
          <w:rFonts w:ascii="Times New Roman" w:hAnsi="Times New Roman" w:cs="Times New Roman"/>
        </w:rPr>
        <w:t>market</w:t>
      </w:r>
      <w:r w:rsidR="00F96313">
        <w:rPr>
          <w:rFonts w:ascii="Times New Roman" w:hAnsi="Times New Roman" w:cs="Times New Roman"/>
        </w:rPr>
        <w:t xml:space="preserve">, prioritizing </w:t>
      </w:r>
      <w:r w:rsidR="00384D02">
        <w:rPr>
          <w:rFonts w:ascii="Times New Roman" w:hAnsi="Times New Roman" w:cs="Times New Roman"/>
        </w:rPr>
        <w:t>insurers</w:t>
      </w:r>
      <w:r w:rsidR="00F96313">
        <w:rPr>
          <w:rFonts w:ascii="Times New Roman" w:hAnsi="Times New Roman" w:cs="Times New Roman"/>
        </w:rPr>
        <w:t xml:space="preserve"> that are </w:t>
      </w:r>
      <w:r w:rsidR="00384D02">
        <w:rPr>
          <w:rFonts w:ascii="Times New Roman" w:hAnsi="Times New Roman" w:cs="Times New Roman"/>
        </w:rPr>
        <w:t xml:space="preserve">classified as </w:t>
      </w:r>
      <w:r w:rsidR="00F96313">
        <w:rPr>
          <w:rFonts w:ascii="Times New Roman" w:hAnsi="Times New Roman" w:cs="Times New Roman"/>
        </w:rPr>
        <w:t>low risk profile</w:t>
      </w:r>
      <w:r w:rsidR="00384D02">
        <w:rPr>
          <w:rFonts w:ascii="Times New Roman" w:hAnsi="Times New Roman" w:cs="Times New Roman"/>
        </w:rPr>
        <w:t xml:space="preserve">. In addition, EIOPA considered another proposal </w:t>
      </w:r>
      <w:r w:rsidR="005C609E">
        <w:rPr>
          <w:rFonts w:ascii="Times New Roman" w:hAnsi="Times New Roman" w:cs="Times New Roman"/>
        </w:rPr>
        <w:t xml:space="preserve">where Member States would be required to waive quarterly reporting for at least 5% of </w:t>
      </w:r>
      <w:r w:rsidR="00384D02">
        <w:rPr>
          <w:rFonts w:ascii="Times New Roman" w:hAnsi="Times New Roman" w:cs="Times New Roman"/>
        </w:rPr>
        <w:t>their</w:t>
      </w:r>
      <w:r w:rsidR="005C609E">
        <w:rPr>
          <w:rFonts w:ascii="Times New Roman" w:hAnsi="Times New Roman" w:cs="Times New Roman"/>
        </w:rPr>
        <w:t xml:space="preserve"> national market</w:t>
      </w:r>
      <w:r w:rsidR="00F25457">
        <w:rPr>
          <w:rFonts w:ascii="Times New Roman" w:hAnsi="Times New Roman" w:cs="Times New Roman"/>
        </w:rPr>
        <w:t xml:space="preserve">, </w:t>
      </w:r>
      <w:r w:rsidR="00F25457" w:rsidRPr="003B41EC">
        <w:rPr>
          <w:rFonts w:ascii="Times New Roman" w:hAnsi="Times New Roman" w:cs="Times New Roman"/>
        </w:rPr>
        <w:t>provided that they are low risk profile insurers</w:t>
      </w:r>
      <w:r w:rsidR="00E952E9" w:rsidRPr="003B41EC">
        <w:rPr>
          <w:rFonts w:ascii="Times New Roman" w:hAnsi="Times New Roman" w:cs="Times New Roman"/>
        </w:rPr>
        <w:t>.</w:t>
      </w:r>
      <w:r w:rsidR="00E952E9">
        <w:rPr>
          <w:rFonts w:ascii="Times New Roman" w:hAnsi="Times New Roman" w:cs="Times New Roman"/>
        </w:rPr>
        <w:t xml:space="preserve"> </w:t>
      </w:r>
      <w:r w:rsidR="00384D02">
        <w:rPr>
          <w:rFonts w:ascii="Times New Roman" w:hAnsi="Times New Roman" w:cs="Times New Roman"/>
        </w:rPr>
        <w:t xml:space="preserve">However, this proposal was not consensual and is therefore presented as an “option” </w:t>
      </w:r>
      <w:r w:rsidR="00871E73">
        <w:rPr>
          <w:rFonts w:ascii="Times New Roman" w:hAnsi="Times New Roman" w:cs="Times New Roman"/>
        </w:rPr>
        <w:t xml:space="preserve">for </w:t>
      </w:r>
      <w:r w:rsidR="00384D02">
        <w:rPr>
          <w:rFonts w:ascii="Times New Roman" w:hAnsi="Times New Roman" w:cs="Times New Roman"/>
        </w:rPr>
        <w:t>consider</w:t>
      </w:r>
      <w:r w:rsidR="00871E73">
        <w:rPr>
          <w:rFonts w:ascii="Times New Roman" w:hAnsi="Times New Roman" w:cs="Times New Roman"/>
        </w:rPr>
        <w:t>ation</w:t>
      </w:r>
      <w:r w:rsidR="00384D02">
        <w:rPr>
          <w:rFonts w:ascii="Times New Roman" w:hAnsi="Times New Roman" w:cs="Times New Roman"/>
        </w:rPr>
        <w:t xml:space="preserve"> </w:t>
      </w:r>
      <w:r w:rsidR="00871E73">
        <w:rPr>
          <w:rFonts w:ascii="Times New Roman" w:hAnsi="Times New Roman" w:cs="Times New Roman"/>
        </w:rPr>
        <w:t>by</w:t>
      </w:r>
      <w:r w:rsidR="00384D02">
        <w:rPr>
          <w:rFonts w:ascii="Times New Roman" w:hAnsi="Times New Roman" w:cs="Times New Roman"/>
        </w:rPr>
        <w:t xml:space="preserve"> the Commission services.</w:t>
      </w:r>
      <w:r w:rsidR="00E952E9">
        <w:rPr>
          <w:rFonts w:ascii="Times New Roman" w:hAnsi="Times New Roman" w:cs="Times New Roman"/>
        </w:rPr>
        <w:t xml:space="preserve"> Finally, EIOPA recommends granting the power for supervisory authorities to define </w:t>
      </w:r>
      <w:r w:rsidR="00E952E9">
        <w:rPr>
          <w:rFonts w:ascii="Times New Roman" w:hAnsi="Times New Roman" w:cs="Times New Roman"/>
          <w:b/>
        </w:rPr>
        <w:t>new proportiona</w:t>
      </w:r>
      <w:r w:rsidR="00E73F4A">
        <w:rPr>
          <w:rFonts w:ascii="Times New Roman" w:hAnsi="Times New Roman" w:cs="Times New Roman"/>
          <w:b/>
        </w:rPr>
        <w:t xml:space="preserve">lity measures </w:t>
      </w:r>
      <w:r w:rsidR="00E73F4A">
        <w:rPr>
          <w:rFonts w:ascii="Times New Roman" w:hAnsi="Times New Roman" w:cs="Times New Roman"/>
        </w:rPr>
        <w:t xml:space="preserve">that are not foreseen </w:t>
      </w:r>
      <w:r w:rsidR="00430271">
        <w:rPr>
          <w:rFonts w:ascii="Times New Roman" w:hAnsi="Times New Roman" w:cs="Times New Roman"/>
        </w:rPr>
        <w:t>in</w:t>
      </w:r>
      <w:r w:rsidR="00E73F4A">
        <w:rPr>
          <w:rFonts w:ascii="Times New Roman" w:hAnsi="Times New Roman" w:cs="Times New Roman"/>
        </w:rPr>
        <w:t xml:space="preserve"> the framework</w:t>
      </w:r>
      <w:r w:rsidR="008C751F">
        <w:rPr>
          <w:rFonts w:ascii="Times New Roman" w:hAnsi="Times New Roman" w:cs="Times New Roman"/>
        </w:rPr>
        <w:t xml:space="preserve">, under </w:t>
      </w:r>
      <w:r w:rsidR="008C751F" w:rsidRPr="00FD069E">
        <w:rPr>
          <w:rFonts w:ascii="Times New Roman" w:hAnsi="Times New Roman" w:cs="Times New Roman"/>
        </w:rPr>
        <w:t>certain "safeguards"</w:t>
      </w:r>
      <w:r w:rsidR="008C751F">
        <w:rPr>
          <w:rFonts w:ascii="Times New Roman" w:hAnsi="Times New Roman" w:cs="Times New Roman"/>
        </w:rPr>
        <w:t xml:space="preserve"> (</w:t>
      </w:r>
      <w:r w:rsidR="008C751F" w:rsidRPr="00FD069E">
        <w:rPr>
          <w:rFonts w:ascii="Times New Roman" w:hAnsi="Times New Roman" w:cs="Times New Roman"/>
        </w:rPr>
        <w:t xml:space="preserve">i.e. </w:t>
      </w:r>
      <w:r w:rsidR="008C751F">
        <w:rPr>
          <w:rFonts w:ascii="Times New Roman" w:hAnsi="Times New Roman" w:cs="Times New Roman"/>
        </w:rPr>
        <w:t xml:space="preserve">this power </w:t>
      </w:r>
      <w:r w:rsidR="008C751F" w:rsidRPr="00FD069E">
        <w:rPr>
          <w:rFonts w:ascii="Times New Roman" w:hAnsi="Times New Roman" w:cs="Times New Roman"/>
        </w:rPr>
        <w:t>should not lead to a complete exemption from requirements and the proportionality measures should be in line with the general and overa</w:t>
      </w:r>
      <w:r w:rsidR="008C751F">
        <w:rPr>
          <w:rFonts w:ascii="Times New Roman" w:hAnsi="Times New Roman" w:cs="Times New Roman"/>
        </w:rPr>
        <w:t>rching principle of Solvency II)</w:t>
      </w:r>
      <w:r w:rsidR="008C751F" w:rsidRPr="00FD069E">
        <w:rPr>
          <w:rFonts w:ascii="Times New Roman" w:hAnsi="Times New Roman" w:cs="Times New Roman"/>
        </w:rPr>
        <w:t>.</w:t>
      </w:r>
      <w:r w:rsidR="00E73F4A">
        <w:rPr>
          <w:rFonts w:ascii="Times New Roman" w:hAnsi="Times New Roman" w:cs="Times New Roman"/>
        </w:rPr>
        <w:t xml:space="preserve"> </w:t>
      </w:r>
    </w:p>
    <w:tbl>
      <w:tblPr>
        <w:tblStyle w:val="Tabela-Siatka"/>
        <w:tblW w:w="0" w:type="auto"/>
        <w:tblLook w:val="04A0" w:firstRow="1" w:lastRow="0" w:firstColumn="1" w:lastColumn="0" w:noHBand="0" w:noVBand="1"/>
      </w:tblPr>
      <w:tblGrid>
        <w:gridCol w:w="9016"/>
      </w:tblGrid>
      <w:tr w:rsidR="00A57A95" w14:paraId="14C75CAF" w14:textId="77777777" w:rsidTr="00A57A95">
        <w:tc>
          <w:tcPr>
            <w:tcW w:w="9016" w:type="dxa"/>
          </w:tcPr>
          <w:p w14:paraId="6BF06499" w14:textId="77777777" w:rsidR="00A57A95" w:rsidRPr="00B90A5B" w:rsidRDefault="006820C5" w:rsidP="00B90A5B">
            <w:pPr>
              <w:pStyle w:val="Akapitzlist"/>
              <w:numPr>
                <w:ilvl w:val="0"/>
                <w:numId w:val="19"/>
              </w:numPr>
              <w:tabs>
                <w:tab w:val="left" w:pos="4962"/>
              </w:tabs>
              <w:spacing w:before="120" w:after="120"/>
              <w:jc w:val="both"/>
              <w:rPr>
                <w:rFonts w:ascii="Times New Roman" w:hAnsi="Times New Roman" w:cs="Times New Roman"/>
                <w:i/>
                <w:sz w:val="21"/>
                <w:szCs w:val="21"/>
              </w:rPr>
            </w:pPr>
            <w:r w:rsidRPr="00B90A5B">
              <w:rPr>
                <w:rFonts w:ascii="Times New Roman" w:hAnsi="Times New Roman" w:cs="Times New Roman"/>
                <w:i/>
                <w:sz w:val="21"/>
                <w:szCs w:val="21"/>
              </w:rPr>
              <w:t xml:space="preserve">Member States are invited to share their views on </w:t>
            </w:r>
            <w:r w:rsidR="00A57A95" w:rsidRPr="00B90A5B">
              <w:rPr>
                <w:rFonts w:ascii="Times New Roman" w:hAnsi="Times New Roman" w:cs="Times New Roman"/>
                <w:i/>
                <w:sz w:val="21"/>
                <w:szCs w:val="21"/>
              </w:rPr>
              <w:t>EIOPA’s proposals on the scope of application of Solvency II, and on the new app</w:t>
            </w:r>
            <w:r w:rsidRPr="00B90A5B">
              <w:rPr>
                <w:rFonts w:ascii="Times New Roman" w:hAnsi="Times New Roman" w:cs="Times New Roman"/>
                <w:i/>
                <w:sz w:val="21"/>
                <w:szCs w:val="21"/>
              </w:rPr>
              <w:t>roach to proportionality. In particular, s</w:t>
            </w:r>
            <w:r w:rsidR="00B14B56" w:rsidRPr="00B90A5B">
              <w:rPr>
                <w:rFonts w:ascii="Times New Roman" w:hAnsi="Times New Roman" w:cs="Times New Roman"/>
                <w:i/>
                <w:sz w:val="21"/>
                <w:szCs w:val="21"/>
              </w:rPr>
              <w:t>hould the focus be more on exclusions from Solvency II or on the effective application of proportionate rules for insurers applying Solvency II</w:t>
            </w:r>
            <w:r w:rsidR="00E41575" w:rsidRPr="00B90A5B">
              <w:rPr>
                <w:rFonts w:ascii="Times New Roman" w:hAnsi="Times New Roman" w:cs="Times New Roman"/>
                <w:i/>
                <w:sz w:val="21"/>
                <w:szCs w:val="21"/>
              </w:rPr>
              <w:t>.</w:t>
            </w:r>
          </w:p>
          <w:p w14:paraId="00503400" w14:textId="77777777" w:rsidR="00A57A95" w:rsidRPr="00B90A5B" w:rsidRDefault="006820C5" w:rsidP="00B90A5B">
            <w:pPr>
              <w:pStyle w:val="Akapitzlist"/>
              <w:numPr>
                <w:ilvl w:val="0"/>
                <w:numId w:val="19"/>
              </w:numPr>
              <w:tabs>
                <w:tab w:val="left" w:pos="4962"/>
              </w:tabs>
              <w:spacing w:before="120" w:after="120"/>
              <w:jc w:val="both"/>
              <w:rPr>
                <w:rFonts w:ascii="Times New Roman" w:hAnsi="Times New Roman" w:cs="Times New Roman"/>
                <w:i/>
                <w:sz w:val="21"/>
                <w:szCs w:val="21"/>
              </w:rPr>
            </w:pPr>
            <w:r w:rsidRPr="00B90A5B">
              <w:rPr>
                <w:rFonts w:ascii="Times New Roman" w:hAnsi="Times New Roman" w:cs="Times New Roman"/>
                <w:i/>
                <w:sz w:val="21"/>
                <w:szCs w:val="21"/>
              </w:rPr>
              <w:t xml:space="preserve">Member States are invited to express their views on the </w:t>
            </w:r>
            <w:r w:rsidR="00A57A95" w:rsidRPr="00B90A5B">
              <w:rPr>
                <w:rFonts w:ascii="Times New Roman" w:hAnsi="Times New Roman" w:cs="Times New Roman"/>
                <w:i/>
                <w:sz w:val="21"/>
                <w:szCs w:val="21"/>
              </w:rPr>
              <w:t xml:space="preserve">possibility of an automatic waiver </w:t>
            </w:r>
            <w:r w:rsidRPr="00B90A5B">
              <w:rPr>
                <w:rFonts w:ascii="Times New Roman" w:hAnsi="Times New Roman" w:cs="Times New Roman"/>
                <w:i/>
                <w:sz w:val="21"/>
                <w:szCs w:val="21"/>
              </w:rPr>
              <w:t>of</w:t>
            </w:r>
            <w:r w:rsidR="00A57A95" w:rsidRPr="00B90A5B">
              <w:rPr>
                <w:rFonts w:ascii="Times New Roman" w:hAnsi="Times New Roman" w:cs="Times New Roman"/>
                <w:i/>
                <w:sz w:val="21"/>
                <w:szCs w:val="21"/>
              </w:rPr>
              <w:t xml:space="preserve"> quarterly reporting</w:t>
            </w:r>
            <w:r w:rsidR="00E41575" w:rsidRPr="00B90A5B">
              <w:rPr>
                <w:rFonts w:ascii="Times New Roman" w:hAnsi="Times New Roman" w:cs="Times New Roman"/>
                <w:i/>
                <w:sz w:val="21"/>
                <w:szCs w:val="21"/>
              </w:rPr>
              <w:t>.</w:t>
            </w:r>
          </w:p>
          <w:p w14:paraId="1FE7A591" w14:textId="77777777" w:rsidR="00A57A95" w:rsidRPr="00B90A5B" w:rsidRDefault="00A57A95" w:rsidP="00B90A5B">
            <w:pPr>
              <w:pStyle w:val="Akapitzlist"/>
              <w:numPr>
                <w:ilvl w:val="0"/>
                <w:numId w:val="19"/>
              </w:numPr>
              <w:tabs>
                <w:tab w:val="left" w:pos="4962"/>
              </w:tabs>
              <w:spacing w:before="120" w:after="120"/>
              <w:jc w:val="both"/>
              <w:rPr>
                <w:rFonts w:ascii="Times New Roman" w:hAnsi="Times New Roman" w:cs="Times New Roman"/>
              </w:rPr>
            </w:pPr>
            <w:r w:rsidRPr="00B90A5B">
              <w:rPr>
                <w:rFonts w:ascii="Times New Roman" w:hAnsi="Times New Roman" w:cs="Times New Roman"/>
                <w:i/>
                <w:sz w:val="21"/>
                <w:szCs w:val="21"/>
              </w:rPr>
              <w:t xml:space="preserve">Do Member States have other points to raise on those </w:t>
            </w:r>
            <w:r w:rsidR="006820C5" w:rsidRPr="00B90A5B">
              <w:rPr>
                <w:rFonts w:ascii="Times New Roman" w:hAnsi="Times New Roman" w:cs="Times New Roman"/>
                <w:i/>
                <w:sz w:val="21"/>
                <w:szCs w:val="21"/>
              </w:rPr>
              <w:t>topics</w:t>
            </w:r>
            <w:r w:rsidRPr="00B90A5B">
              <w:rPr>
                <w:rFonts w:ascii="Times New Roman" w:hAnsi="Times New Roman" w:cs="Times New Roman"/>
                <w:i/>
                <w:sz w:val="21"/>
                <w:szCs w:val="21"/>
              </w:rPr>
              <w:t>?</w:t>
            </w:r>
          </w:p>
        </w:tc>
      </w:tr>
    </w:tbl>
    <w:p w14:paraId="3F3B5F7F" w14:textId="77777777" w:rsidR="00591F52" w:rsidRPr="007123D0" w:rsidRDefault="00457061" w:rsidP="00B90A5B">
      <w:pPr>
        <w:spacing w:before="240" w:after="120"/>
        <w:jc w:val="both"/>
        <w:rPr>
          <w:rFonts w:ascii="Times New Roman" w:hAnsi="Times New Roman" w:cs="Times New Roman"/>
          <w:b/>
          <w:sz w:val="24"/>
          <w:szCs w:val="24"/>
          <w:u w:val="single"/>
        </w:rPr>
      </w:pPr>
      <w:r>
        <w:rPr>
          <w:rFonts w:ascii="Times New Roman" w:hAnsi="Times New Roman" w:cs="Times New Roman"/>
          <w:b/>
          <w:sz w:val="24"/>
          <w:szCs w:val="24"/>
          <w:u w:val="single"/>
        </w:rPr>
        <w:t>I</w:t>
      </w:r>
      <w:r w:rsidR="00E73F4A" w:rsidRPr="007123D0">
        <w:rPr>
          <w:rFonts w:ascii="Times New Roman" w:hAnsi="Times New Roman" w:cs="Times New Roman"/>
          <w:b/>
          <w:sz w:val="24"/>
          <w:szCs w:val="24"/>
          <w:u w:val="single"/>
        </w:rPr>
        <w:t xml:space="preserve">V – </w:t>
      </w:r>
      <w:r w:rsidR="00A843DE" w:rsidRPr="007123D0">
        <w:rPr>
          <w:rFonts w:ascii="Times New Roman" w:hAnsi="Times New Roman" w:cs="Times New Roman"/>
          <w:b/>
          <w:sz w:val="24"/>
          <w:szCs w:val="24"/>
          <w:u w:val="single"/>
        </w:rPr>
        <w:t>Quality</w:t>
      </w:r>
      <w:r w:rsidR="00C127B9" w:rsidRPr="007123D0">
        <w:rPr>
          <w:rFonts w:ascii="Times New Roman" w:hAnsi="Times New Roman" w:cs="Times New Roman"/>
          <w:b/>
          <w:sz w:val="24"/>
          <w:szCs w:val="24"/>
          <w:u w:val="single"/>
        </w:rPr>
        <w:t xml:space="preserve"> of supervision</w:t>
      </w:r>
      <w:r w:rsidR="00591F52" w:rsidRPr="007123D0">
        <w:rPr>
          <w:rFonts w:ascii="Times New Roman" w:hAnsi="Times New Roman" w:cs="Times New Roman"/>
          <w:b/>
          <w:sz w:val="24"/>
          <w:szCs w:val="24"/>
          <w:u w:val="single"/>
        </w:rPr>
        <w:t xml:space="preserve"> and financial stability</w:t>
      </w:r>
    </w:p>
    <w:p w14:paraId="63CB4E45" w14:textId="77777777" w:rsidR="00E73F4A" w:rsidRPr="00E73F4A" w:rsidRDefault="00E73F4A" w:rsidP="00D6234E">
      <w:pPr>
        <w:pStyle w:val="Akapitzlist"/>
        <w:numPr>
          <w:ilvl w:val="0"/>
          <w:numId w:val="17"/>
        </w:numPr>
        <w:tabs>
          <w:tab w:val="left" w:pos="4962"/>
        </w:tabs>
        <w:spacing w:after="120"/>
        <w:jc w:val="both"/>
        <w:rPr>
          <w:rFonts w:ascii="Times New Roman" w:hAnsi="Times New Roman" w:cs="Times New Roman"/>
          <w:i/>
        </w:rPr>
      </w:pPr>
      <w:r>
        <w:rPr>
          <w:rFonts w:ascii="Times New Roman" w:hAnsi="Times New Roman" w:cs="Times New Roman"/>
          <w:i/>
        </w:rPr>
        <w:t>Quality of supervision</w:t>
      </w:r>
    </w:p>
    <w:p w14:paraId="0986A3AE" w14:textId="77777777" w:rsidR="00E73F4A" w:rsidRDefault="00E73F4A" w:rsidP="00D6234E">
      <w:pPr>
        <w:tabs>
          <w:tab w:val="left" w:pos="4962"/>
        </w:tabs>
        <w:spacing w:after="120"/>
        <w:jc w:val="both"/>
        <w:rPr>
          <w:rFonts w:ascii="Times New Roman" w:hAnsi="Times New Roman" w:cs="Times New Roman"/>
        </w:rPr>
      </w:pPr>
      <w:r>
        <w:rPr>
          <w:rFonts w:ascii="Times New Roman" w:hAnsi="Times New Roman" w:cs="Times New Roman"/>
        </w:rPr>
        <w:t xml:space="preserve">EIOPA makes a series of proposals aiming to strengthen the coordination and </w:t>
      </w:r>
      <w:r w:rsidR="002A3F34">
        <w:rPr>
          <w:rFonts w:ascii="Times New Roman" w:hAnsi="Times New Roman" w:cs="Times New Roman"/>
        </w:rPr>
        <w:t>efficiency</w:t>
      </w:r>
      <w:r>
        <w:rPr>
          <w:rFonts w:ascii="Times New Roman" w:hAnsi="Times New Roman" w:cs="Times New Roman"/>
        </w:rPr>
        <w:t xml:space="preserve"> of </w:t>
      </w:r>
      <w:r w:rsidR="002A3F34">
        <w:rPr>
          <w:rFonts w:ascii="Times New Roman" w:hAnsi="Times New Roman" w:cs="Times New Roman"/>
        </w:rPr>
        <w:t xml:space="preserve">the </w:t>
      </w:r>
      <w:r>
        <w:rPr>
          <w:rFonts w:ascii="Times New Roman" w:hAnsi="Times New Roman" w:cs="Times New Roman"/>
        </w:rPr>
        <w:t>supervision of cross-border insurance business. Those proposals include in particular:</w:t>
      </w:r>
    </w:p>
    <w:p w14:paraId="0D42124C" w14:textId="77777777" w:rsidR="00C97836" w:rsidRDefault="002A3F34" w:rsidP="00C97836">
      <w:pPr>
        <w:pStyle w:val="Akapitzlist"/>
        <w:numPr>
          <w:ilvl w:val="0"/>
          <w:numId w:val="16"/>
        </w:numPr>
        <w:tabs>
          <w:tab w:val="left" w:pos="4962"/>
        </w:tabs>
        <w:spacing w:after="120"/>
        <w:jc w:val="both"/>
        <w:rPr>
          <w:rFonts w:ascii="Times New Roman" w:hAnsi="Times New Roman" w:cs="Times New Roman"/>
        </w:rPr>
      </w:pPr>
      <w:r w:rsidRPr="002713A2">
        <w:rPr>
          <w:rFonts w:ascii="Times New Roman" w:hAnsi="Times New Roman" w:cs="Times New Roman"/>
          <w:b/>
        </w:rPr>
        <w:t>m</w:t>
      </w:r>
      <w:r w:rsidR="00C97836" w:rsidRPr="002713A2">
        <w:rPr>
          <w:rFonts w:ascii="Times New Roman" w:hAnsi="Times New Roman" w:cs="Times New Roman"/>
          <w:b/>
        </w:rPr>
        <w:t xml:space="preserve">ore </w:t>
      </w:r>
      <w:r w:rsidR="00A559CC" w:rsidRPr="002713A2">
        <w:rPr>
          <w:rFonts w:ascii="Times New Roman" w:hAnsi="Times New Roman" w:cs="Times New Roman"/>
          <w:b/>
        </w:rPr>
        <w:t xml:space="preserve">requirements </w:t>
      </w:r>
      <w:r w:rsidR="00A559CC">
        <w:rPr>
          <w:rFonts w:ascii="Times New Roman" w:hAnsi="Times New Roman" w:cs="Times New Roman"/>
          <w:b/>
        </w:rPr>
        <w:t xml:space="preserve">on </w:t>
      </w:r>
      <w:r w:rsidR="00C97836" w:rsidRPr="002713A2">
        <w:rPr>
          <w:rFonts w:ascii="Times New Roman" w:hAnsi="Times New Roman" w:cs="Times New Roman"/>
          <w:b/>
        </w:rPr>
        <w:t xml:space="preserve">exchange </w:t>
      </w:r>
      <w:r w:rsidR="00A559CC">
        <w:rPr>
          <w:rFonts w:ascii="Times New Roman" w:hAnsi="Times New Roman" w:cs="Times New Roman"/>
          <w:b/>
        </w:rPr>
        <w:t xml:space="preserve">of </w:t>
      </w:r>
      <w:r w:rsidR="00A559CC" w:rsidRPr="002713A2">
        <w:rPr>
          <w:rFonts w:ascii="Times New Roman" w:hAnsi="Times New Roman" w:cs="Times New Roman"/>
          <w:b/>
        </w:rPr>
        <w:t>information</w:t>
      </w:r>
      <w:r w:rsidR="00A559CC" w:rsidRPr="002713A2" w:rsidDel="00A559CC">
        <w:rPr>
          <w:rFonts w:ascii="Times New Roman" w:hAnsi="Times New Roman" w:cs="Times New Roman"/>
          <w:b/>
        </w:rPr>
        <w:t xml:space="preserve"> </w:t>
      </w:r>
      <w:r w:rsidR="00C97836">
        <w:rPr>
          <w:rFonts w:ascii="Times New Roman" w:hAnsi="Times New Roman" w:cs="Times New Roman"/>
        </w:rPr>
        <w:t>between Home and Host Member States, in particular in case</w:t>
      </w:r>
      <w:r w:rsidR="00545F30">
        <w:rPr>
          <w:rFonts w:ascii="Times New Roman" w:hAnsi="Times New Roman" w:cs="Times New Roman"/>
        </w:rPr>
        <w:t>s</w:t>
      </w:r>
      <w:r w:rsidR="00C97836">
        <w:rPr>
          <w:rFonts w:ascii="Times New Roman" w:hAnsi="Times New Roman" w:cs="Times New Roman"/>
        </w:rPr>
        <w:t xml:space="preserve"> of </w:t>
      </w:r>
      <w:r w:rsidR="00545F30">
        <w:rPr>
          <w:rFonts w:ascii="Times New Roman" w:hAnsi="Times New Roman" w:cs="Times New Roman"/>
        </w:rPr>
        <w:t xml:space="preserve">a </w:t>
      </w:r>
      <w:r w:rsidR="00C97836">
        <w:rPr>
          <w:rFonts w:ascii="Times New Roman" w:hAnsi="Times New Roman" w:cs="Times New Roman"/>
        </w:rPr>
        <w:t>material change in the business model for cross-border activities</w:t>
      </w:r>
      <w:r w:rsidR="0096423A">
        <w:rPr>
          <w:rFonts w:ascii="Times New Roman" w:hAnsi="Times New Roman" w:cs="Times New Roman"/>
        </w:rPr>
        <w:t>, or about past rejections of authorisation request</w:t>
      </w:r>
      <w:r w:rsidR="00545F30">
        <w:rPr>
          <w:rFonts w:ascii="Times New Roman" w:hAnsi="Times New Roman" w:cs="Times New Roman"/>
        </w:rPr>
        <w:t>s</w:t>
      </w:r>
      <w:r w:rsidR="0096423A">
        <w:rPr>
          <w:rFonts w:ascii="Times New Roman" w:hAnsi="Times New Roman" w:cs="Times New Roman"/>
        </w:rPr>
        <w:t xml:space="preserve"> in other Member States</w:t>
      </w:r>
      <w:r w:rsidR="00A559CC">
        <w:rPr>
          <w:rFonts w:ascii="Times New Roman" w:hAnsi="Times New Roman" w:cs="Times New Roman"/>
        </w:rPr>
        <w:t>;</w:t>
      </w:r>
    </w:p>
    <w:p w14:paraId="3AC4970C" w14:textId="77777777" w:rsidR="0096423A" w:rsidRDefault="002A3F34" w:rsidP="00C97836">
      <w:pPr>
        <w:pStyle w:val="Akapitzlist"/>
        <w:numPr>
          <w:ilvl w:val="0"/>
          <w:numId w:val="16"/>
        </w:numPr>
        <w:tabs>
          <w:tab w:val="left" w:pos="4962"/>
        </w:tabs>
        <w:spacing w:after="120"/>
        <w:jc w:val="both"/>
        <w:rPr>
          <w:rFonts w:ascii="Times New Roman" w:hAnsi="Times New Roman" w:cs="Times New Roman"/>
        </w:rPr>
      </w:pPr>
      <w:r>
        <w:rPr>
          <w:rFonts w:ascii="Times New Roman" w:hAnsi="Times New Roman" w:cs="Times New Roman"/>
        </w:rPr>
        <w:t>a</w:t>
      </w:r>
      <w:r w:rsidR="0096423A">
        <w:rPr>
          <w:rFonts w:ascii="Times New Roman" w:hAnsi="Times New Roman" w:cs="Times New Roman"/>
        </w:rPr>
        <w:t xml:space="preserve"> </w:t>
      </w:r>
      <w:r w:rsidR="0096423A" w:rsidRPr="002713A2">
        <w:rPr>
          <w:rFonts w:ascii="Times New Roman" w:hAnsi="Times New Roman" w:cs="Times New Roman"/>
          <w:b/>
        </w:rPr>
        <w:t>stronger coordination role for EIOPA</w:t>
      </w:r>
      <w:r w:rsidR="0096423A">
        <w:rPr>
          <w:rFonts w:ascii="Times New Roman" w:hAnsi="Times New Roman" w:cs="Times New Roman"/>
        </w:rPr>
        <w:t xml:space="preserve"> in the context of coordination platforms, by granting the possibility for EIOPA to issue a recommendation subject to a “comply or explain” procedure in case of disagreement between Home and Host authorities. </w:t>
      </w:r>
    </w:p>
    <w:p w14:paraId="22E36BFF" w14:textId="77777777" w:rsidR="0096423A" w:rsidRDefault="0096423A" w:rsidP="0096423A">
      <w:pPr>
        <w:tabs>
          <w:tab w:val="left" w:pos="4962"/>
        </w:tabs>
        <w:spacing w:after="120"/>
        <w:jc w:val="both"/>
        <w:rPr>
          <w:rFonts w:ascii="Times New Roman" w:hAnsi="Times New Roman" w:cs="Times New Roman"/>
        </w:rPr>
      </w:pPr>
      <w:r>
        <w:rPr>
          <w:rFonts w:ascii="Times New Roman" w:hAnsi="Times New Roman" w:cs="Times New Roman"/>
        </w:rPr>
        <w:t xml:space="preserve">In addition, the French and Italian supervisory authorities shared with the Commission services a non-paper putting forward additional proposals, in particular </w:t>
      </w:r>
      <w:r w:rsidR="00D02BB4">
        <w:rPr>
          <w:rFonts w:ascii="Times New Roman" w:hAnsi="Times New Roman" w:cs="Times New Roman"/>
        </w:rPr>
        <w:t xml:space="preserve">on </w:t>
      </w:r>
      <w:r>
        <w:rPr>
          <w:rFonts w:ascii="Times New Roman" w:hAnsi="Times New Roman" w:cs="Times New Roman"/>
        </w:rPr>
        <w:t>the possibility for Host superviso</w:t>
      </w:r>
      <w:r w:rsidR="002A3F34">
        <w:rPr>
          <w:rFonts w:ascii="Times New Roman" w:hAnsi="Times New Roman" w:cs="Times New Roman"/>
        </w:rPr>
        <w:t>rs to:</w:t>
      </w:r>
    </w:p>
    <w:p w14:paraId="09B2D7CD" w14:textId="77777777" w:rsidR="0096423A" w:rsidRDefault="0096423A" w:rsidP="0096423A">
      <w:pPr>
        <w:pStyle w:val="Akapitzlist"/>
        <w:numPr>
          <w:ilvl w:val="0"/>
          <w:numId w:val="16"/>
        </w:numPr>
        <w:tabs>
          <w:tab w:val="left" w:pos="4962"/>
        </w:tabs>
        <w:spacing w:after="120"/>
        <w:jc w:val="both"/>
        <w:rPr>
          <w:rFonts w:ascii="Times New Roman" w:hAnsi="Times New Roman" w:cs="Times New Roman"/>
        </w:rPr>
      </w:pPr>
      <w:r>
        <w:rPr>
          <w:rFonts w:ascii="Times New Roman" w:hAnsi="Times New Roman" w:cs="Times New Roman"/>
        </w:rPr>
        <w:t>have regular prudential information, at least</w:t>
      </w:r>
      <w:r w:rsidR="00D02BB4">
        <w:rPr>
          <w:rFonts w:ascii="Times New Roman" w:hAnsi="Times New Roman" w:cs="Times New Roman"/>
        </w:rPr>
        <w:t xml:space="preserve"> on</w:t>
      </w:r>
      <w:r>
        <w:rPr>
          <w:rFonts w:ascii="Times New Roman" w:hAnsi="Times New Roman" w:cs="Times New Roman"/>
        </w:rPr>
        <w:t xml:space="preserve"> </w:t>
      </w:r>
      <w:r w:rsidRPr="0096423A">
        <w:rPr>
          <w:rFonts w:ascii="Times New Roman" w:hAnsi="Times New Roman" w:cs="Times New Roman"/>
        </w:rPr>
        <w:t>the SCR and MCR ratios</w:t>
      </w:r>
      <w:r>
        <w:rPr>
          <w:rFonts w:ascii="Times New Roman" w:hAnsi="Times New Roman" w:cs="Times New Roman"/>
        </w:rPr>
        <w:t>;</w:t>
      </w:r>
    </w:p>
    <w:p w14:paraId="2D0D95DC" w14:textId="77777777" w:rsidR="0096423A" w:rsidRDefault="0096423A" w:rsidP="0096423A">
      <w:pPr>
        <w:pStyle w:val="Akapitzlist"/>
        <w:numPr>
          <w:ilvl w:val="0"/>
          <w:numId w:val="16"/>
        </w:numPr>
        <w:tabs>
          <w:tab w:val="left" w:pos="4962"/>
        </w:tabs>
        <w:spacing w:after="120"/>
        <w:jc w:val="both"/>
        <w:rPr>
          <w:rFonts w:ascii="Times New Roman" w:hAnsi="Times New Roman" w:cs="Times New Roman"/>
        </w:rPr>
      </w:pPr>
      <w:r>
        <w:rPr>
          <w:rFonts w:ascii="Times New Roman" w:hAnsi="Times New Roman" w:cs="Times New Roman"/>
        </w:rPr>
        <w:lastRenderedPageBreak/>
        <w:t>have the possibility to request a joint on-site inspection where the conclusions would be jointly adopted by the Home and Host authorities, with EIOPA having a mediation role in case of disagreement between authorities.</w:t>
      </w:r>
    </w:p>
    <w:p w14:paraId="7D3AF036" w14:textId="77777777" w:rsidR="0096423A" w:rsidRDefault="0096423A" w:rsidP="0096423A">
      <w:pPr>
        <w:tabs>
          <w:tab w:val="left" w:pos="4962"/>
        </w:tabs>
        <w:spacing w:after="120"/>
        <w:jc w:val="both"/>
        <w:rPr>
          <w:rFonts w:ascii="Times New Roman" w:hAnsi="Times New Roman" w:cs="Times New Roman"/>
        </w:rPr>
      </w:pPr>
      <w:r>
        <w:rPr>
          <w:rFonts w:ascii="Times New Roman" w:hAnsi="Times New Roman" w:cs="Times New Roman"/>
        </w:rPr>
        <w:t>In order to improve the consistency and level-playing field, EIOPA proposes to:</w:t>
      </w:r>
    </w:p>
    <w:p w14:paraId="591E38E8" w14:textId="77777777" w:rsidR="0096423A" w:rsidRDefault="0096423A" w:rsidP="0096423A">
      <w:pPr>
        <w:pStyle w:val="Akapitzlist"/>
        <w:numPr>
          <w:ilvl w:val="0"/>
          <w:numId w:val="16"/>
        </w:numPr>
        <w:tabs>
          <w:tab w:val="left" w:pos="4962"/>
        </w:tabs>
        <w:spacing w:after="120"/>
        <w:jc w:val="both"/>
        <w:rPr>
          <w:rFonts w:ascii="Times New Roman" w:hAnsi="Times New Roman" w:cs="Times New Roman"/>
        </w:rPr>
      </w:pPr>
      <w:r>
        <w:rPr>
          <w:rFonts w:ascii="Times New Roman" w:hAnsi="Times New Roman" w:cs="Times New Roman"/>
        </w:rPr>
        <w:t xml:space="preserve">clarify and amend the framework for </w:t>
      </w:r>
      <w:r>
        <w:rPr>
          <w:rFonts w:ascii="Times New Roman" w:hAnsi="Times New Roman" w:cs="Times New Roman"/>
          <w:b/>
        </w:rPr>
        <w:t>group supervision</w:t>
      </w:r>
      <w:r>
        <w:rPr>
          <w:rFonts w:ascii="Times New Roman" w:hAnsi="Times New Roman" w:cs="Times New Roman"/>
        </w:rPr>
        <w:t>, so as to ensure that supervisory authorities have the appropriate powers to exercise effective supervision, regardless of the group structure, the nature and hea</w:t>
      </w:r>
      <w:r w:rsidR="002A3F34">
        <w:rPr>
          <w:rFonts w:ascii="Times New Roman" w:hAnsi="Times New Roman" w:cs="Times New Roman"/>
        </w:rPr>
        <w:t xml:space="preserve">d office of the parent company, but also to improve the level-playing field by clarifying how group solvency and governance requirements should be applied; </w:t>
      </w:r>
    </w:p>
    <w:p w14:paraId="777A0EB2" w14:textId="77777777" w:rsidR="007123D0" w:rsidRPr="0096423A" w:rsidRDefault="007123D0" w:rsidP="0096423A">
      <w:pPr>
        <w:pStyle w:val="Akapitzlist"/>
        <w:numPr>
          <w:ilvl w:val="0"/>
          <w:numId w:val="16"/>
        </w:numPr>
        <w:tabs>
          <w:tab w:val="left" w:pos="4962"/>
        </w:tabs>
        <w:spacing w:after="120"/>
        <w:jc w:val="both"/>
        <w:rPr>
          <w:rFonts w:ascii="Times New Roman" w:hAnsi="Times New Roman" w:cs="Times New Roman"/>
        </w:rPr>
      </w:pPr>
      <w:r>
        <w:rPr>
          <w:rFonts w:ascii="Times New Roman" w:hAnsi="Times New Roman" w:cs="Times New Roman"/>
        </w:rPr>
        <w:t xml:space="preserve">require that each Member State should introduce an </w:t>
      </w:r>
      <w:r w:rsidRPr="007123D0">
        <w:rPr>
          <w:rFonts w:ascii="Times New Roman" w:hAnsi="Times New Roman" w:cs="Times New Roman"/>
          <w:b/>
        </w:rPr>
        <w:t>audit requirement of the Solvency II balance sheet</w:t>
      </w:r>
      <w:r w:rsidR="00D34E04">
        <w:rPr>
          <w:rFonts w:ascii="Times New Roman" w:hAnsi="Times New Roman" w:cs="Times New Roman"/>
        </w:rPr>
        <w:t>;</w:t>
      </w:r>
    </w:p>
    <w:p w14:paraId="2092AA84" w14:textId="77777777" w:rsidR="00D34E04" w:rsidRPr="0096423A" w:rsidRDefault="00EF5A0F" w:rsidP="0096423A">
      <w:pPr>
        <w:pStyle w:val="Akapitzlist"/>
        <w:numPr>
          <w:ilvl w:val="0"/>
          <w:numId w:val="16"/>
        </w:numPr>
        <w:tabs>
          <w:tab w:val="left" w:pos="4962"/>
        </w:tabs>
        <w:spacing w:after="120"/>
        <w:jc w:val="both"/>
        <w:rPr>
          <w:rFonts w:ascii="Times New Roman" w:hAnsi="Times New Roman" w:cs="Times New Roman"/>
        </w:rPr>
      </w:pPr>
      <w:r>
        <w:rPr>
          <w:rFonts w:ascii="Times New Roman" w:hAnsi="Times New Roman" w:cs="Times New Roman"/>
        </w:rPr>
        <w:t xml:space="preserve">introduce </w:t>
      </w:r>
      <w:r w:rsidR="00D34E04">
        <w:rPr>
          <w:rFonts w:ascii="Times New Roman" w:hAnsi="Times New Roman" w:cs="Times New Roman"/>
        </w:rPr>
        <w:t xml:space="preserve">limited changes to rules governing </w:t>
      </w:r>
      <w:r w:rsidR="00D34E04" w:rsidRPr="00D34E04">
        <w:rPr>
          <w:rFonts w:ascii="Times New Roman" w:hAnsi="Times New Roman" w:cs="Times New Roman"/>
          <w:b/>
        </w:rPr>
        <w:t>remuneration</w:t>
      </w:r>
      <w:r w:rsidR="008528A4">
        <w:rPr>
          <w:rFonts w:ascii="Times New Roman" w:hAnsi="Times New Roman" w:cs="Times New Roman"/>
          <w:b/>
        </w:rPr>
        <w:t xml:space="preserve"> and fit &amp; proper requirements</w:t>
      </w:r>
      <w:r w:rsidR="00D34E04">
        <w:rPr>
          <w:rFonts w:ascii="Times New Roman" w:hAnsi="Times New Roman" w:cs="Times New Roman"/>
        </w:rPr>
        <w:t>.</w:t>
      </w:r>
    </w:p>
    <w:p w14:paraId="35A45A81" w14:textId="77777777" w:rsidR="0096423A" w:rsidRDefault="0096423A" w:rsidP="0096423A">
      <w:pPr>
        <w:pStyle w:val="Akapitzlist"/>
        <w:tabs>
          <w:tab w:val="left" w:pos="4962"/>
        </w:tabs>
        <w:spacing w:after="120"/>
        <w:jc w:val="both"/>
        <w:rPr>
          <w:rFonts w:ascii="Times New Roman" w:hAnsi="Times New Roman" w:cs="Times New Roman"/>
        </w:rPr>
      </w:pPr>
    </w:p>
    <w:p w14:paraId="7D30C473" w14:textId="77777777" w:rsidR="0096423A" w:rsidRDefault="0096423A" w:rsidP="0096423A">
      <w:pPr>
        <w:pStyle w:val="Akapitzlist"/>
        <w:numPr>
          <w:ilvl w:val="0"/>
          <w:numId w:val="17"/>
        </w:numPr>
        <w:tabs>
          <w:tab w:val="left" w:pos="4962"/>
        </w:tabs>
        <w:spacing w:after="120"/>
        <w:jc w:val="both"/>
        <w:rPr>
          <w:rFonts w:ascii="Times New Roman" w:hAnsi="Times New Roman" w:cs="Times New Roman"/>
          <w:i/>
        </w:rPr>
      </w:pPr>
      <w:r>
        <w:rPr>
          <w:rFonts w:ascii="Times New Roman" w:hAnsi="Times New Roman" w:cs="Times New Roman"/>
          <w:i/>
        </w:rPr>
        <w:t>Financial stability</w:t>
      </w:r>
      <w:r w:rsidR="00425422">
        <w:rPr>
          <w:rStyle w:val="Odwoanieprzypisudolnego"/>
          <w:rFonts w:ascii="Times New Roman" w:hAnsi="Times New Roman" w:cs="Times New Roman"/>
          <w:i/>
        </w:rPr>
        <w:footnoteReference w:id="7"/>
      </w:r>
    </w:p>
    <w:p w14:paraId="52ED7BD1" w14:textId="77777777" w:rsidR="0096423A" w:rsidRDefault="0096423A" w:rsidP="0096423A">
      <w:pPr>
        <w:tabs>
          <w:tab w:val="left" w:pos="4962"/>
        </w:tabs>
        <w:spacing w:after="120"/>
        <w:jc w:val="both"/>
        <w:rPr>
          <w:rFonts w:ascii="Times New Roman" w:hAnsi="Times New Roman" w:cs="Times New Roman"/>
        </w:rPr>
      </w:pPr>
      <w:r>
        <w:rPr>
          <w:rFonts w:ascii="Times New Roman" w:hAnsi="Times New Roman" w:cs="Times New Roman"/>
        </w:rPr>
        <w:t xml:space="preserve">In order to </w:t>
      </w:r>
      <w:r w:rsidR="002713A2">
        <w:rPr>
          <w:rFonts w:ascii="Times New Roman" w:hAnsi="Times New Roman" w:cs="Times New Roman"/>
        </w:rPr>
        <w:t>prevent and address</w:t>
      </w:r>
      <w:r w:rsidR="002A3F34">
        <w:rPr>
          <w:rFonts w:ascii="Times New Roman" w:hAnsi="Times New Roman" w:cs="Times New Roman"/>
        </w:rPr>
        <w:t xml:space="preserve"> financial stability risks stemming from</w:t>
      </w:r>
      <w:r>
        <w:rPr>
          <w:rFonts w:ascii="Times New Roman" w:hAnsi="Times New Roman" w:cs="Times New Roman"/>
        </w:rPr>
        <w:t xml:space="preserve"> risk-taking activities </w:t>
      </w:r>
      <w:r w:rsidR="008510F4">
        <w:rPr>
          <w:rFonts w:ascii="Times New Roman" w:hAnsi="Times New Roman" w:cs="Times New Roman"/>
        </w:rPr>
        <w:t xml:space="preserve">by insurance companies, the following proposals are </w:t>
      </w:r>
      <w:r w:rsidR="002713A2">
        <w:rPr>
          <w:rFonts w:ascii="Times New Roman" w:hAnsi="Times New Roman" w:cs="Times New Roman"/>
        </w:rPr>
        <w:t>put forward</w:t>
      </w:r>
      <w:r w:rsidR="008510F4">
        <w:rPr>
          <w:rFonts w:ascii="Times New Roman" w:hAnsi="Times New Roman" w:cs="Times New Roman"/>
        </w:rPr>
        <w:t xml:space="preserve"> by EIOPA and/or the ESRB</w:t>
      </w:r>
      <w:r w:rsidR="002713A2">
        <w:rPr>
          <w:rFonts w:ascii="Times New Roman" w:hAnsi="Times New Roman" w:cs="Times New Roman"/>
        </w:rPr>
        <w:t>:</w:t>
      </w:r>
    </w:p>
    <w:p w14:paraId="7BB3ED7E" w14:textId="77777777" w:rsidR="002A3F34" w:rsidRDefault="00EF5A0F" w:rsidP="008510F4">
      <w:pPr>
        <w:pStyle w:val="Akapitzlist"/>
        <w:numPr>
          <w:ilvl w:val="0"/>
          <w:numId w:val="16"/>
        </w:numPr>
        <w:tabs>
          <w:tab w:val="left" w:pos="4962"/>
        </w:tabs>
        <w:spacing w:after="120"/>
        <w:jc w:val="both"/>
        <w:rPr>
          <w:rFonts w:ascii="Times New Roman" w:hAnsi="Times New Roman" w:cs="Times New Roman"/>
        </w:rPr>
      </w:pPr>
      <w:r>
        <w:rPr>
          <w:rFonts w:ascii="Times New Roman" w:hAnsi="Times New Roman" w:cs="Times New Roman"/>
        </w:rPr>
        <w:t xml:space="preserve">integrating </w:t>
      </w:r>
      <w:r w:rsidR="008C1E2D">
        <w:rPr>
          <w:rFonts w:ascii="Times New Roman" w:hAnsi="Times New Roman" w:cs="Times New Roman"/>
        </w:rPr>
        <w:t xml:space="preserve"> macroprudential consideration</w:t>
      </w:r>
      <w:r w:rsidR="002A3F34">
        <w:rPr>
          <w:rFonts w:ascii="Times New Roman" w:hAnsi="Times New Roman" w:cs="Times New Roman"/>
        </w:rPr>
        <w:t xml:space="preserve"> in insurers</w:t>
      </w:r>
      <w:r w:rsidR="00D02BB4">
        <w:rPr>
          <w:rFonts w:ascii="Times New Roman" w:hAnsi="Times New Roman" w:cs="Times New Roman"/>
        </w:rPr>
        <w:t>’</w:t>
      </w:r>
      <w:r w:rsidR="002A3F34">
        <w:rPr>
          <w:rFonts w:ascii="Times New Roman" w:hAnsi="Times New Roman" w:cs="Times New Roman"/>
        </w:rPr>
        <w:t xml:space="preserve"> investment (</w:t>
      </w:r>
      <w:r w:rsidR="002A3F34" w:rsidRPr="00494F54">
        <w:rPr>
          <w:rFonts w:ascii="Times New Roman" w:hAnsi="Times New Roman" w:cs="Times New Roman"/>
          <w:b/>
        </w:rPr>
        <w:t>prudent person principle</w:t>
      </w:r>
      <w:r w:rsidR="002A3F34">
        <w:rPr>
          <w:rFonts w:ascii="Times New Roman" w:hAnsi="Times New Roman" w:cs="Times New Roman"/>
        </w:rPr>
        <w:t>) and risk-management (</w:t>
      </w:r>
      <w:r w:rsidR="002A3F34" w:rsidRPr="00494F54">
        <w:rPr>
          <w:rFonts w:ascii="Times New Roman" w:hAnsi="Times New Roman" w:cs="Times New Roman"/>
          <w:b/>
        </w:rPr>
        <w:t>ORSA</w:t>
      </w:r>
      <w:r w:rsidR="002A3F34">
        <w:rPr>
          <w:rFonts w:ascii="Times New Roman" w:hAnsi="Times New Roman" w:cs="Times New Roman"/>
        </w:rPr>
        <w:t>) activities;</w:t>
      </w:r>
    </w:p>
    <w:p w14:paraId="40AB028B" w14:textId="77777777" w:rsidR="008510F4" w:rsidRDefault="00EF5A0F" w:rsidP="008510F4">
      <w:pPr>
        <w:pStyle w:val="Akapitzlist"/>
        <w:numPr>
          <w:ilvl w:val="0"/>
          <w:numId w:val="16"/>
        </w:numPr>
        <w:tabs>
          <w:tab w:val="left" w:pos="4962"/>
        </w:tabs>
        <w:spacing w:after="120"/>
        <w:jc w:val="both"/>
        <w:rPr>
          <w:rFonts w:ascii="Times New Roman" w:hAnsi="Times New Roman" w:cs="Times New Roman"/>
        </w:rPr>
      </w:pPr>
      <w:r>
        <w:rPr>
          <w:rFonts w:ascii="Times New Roman" w:hAnsi="Times New Roman" w:cs="Times New Roman"/>
        </w:rPr>
        <w:t xml:space="preserve">granting </w:t>
      </w:r>
      <w:r w:rsidR="008510F4">
        <w:rPr>
          <w:rFonts w:ascii="Times New Roman" w:hAnsi="Times New Roman" w:cs="Times New Roman"/>
        </w:rPr>
        <w:t>supervisory authorities the power to impose</w:t>
      </w:r>
      <w:r w:rsidR="0068606D">
        <w:rPr>
          <w:rFonts w:ascii="Times New Roman" w:hAnsi="Times New Roman" w:cs="Times New Roman"/>
        </w:rPr>
        <w:t xml:space="preserve"> a</w:t>
      </w:r>
      <w:r w:rsidR="008510F4">
        <w:rPr>
          <w:rFonts w:ascii="Times New Roman" w:hAnsi="Times New Roman" w:cs="Times New Roman"/>
        </w:rPr>
        <w:t xml:space="preserve"> </w:t>
      </w:r>
      <w:r w:rsidR="008510F4" w:rsidRPr="008510F4">
        <w:rPr>
          <w:rFonts w:ascii="Times New Roman" w:hAnsi="Times New Roman" w:cs="Times New Roman"/>
          <w:b/>
        </w:rPr>
        <w:t>capital surcharge for systemic risk</w:t>
      </w:r>
      <w:r w:rsidR="0068606D">
        <w:rPr>
          <w:rFonts w:ascii="Times New Roman" w:hAnsi="Times New Roman" w:cs="Times New Roman"/>
          <w:b/>
        </w:rPr>
        <w:t xml:space="preserve"> </w:t>
      </w:r>
      <w:r w:rsidR="0068606D" w:rsidRPr="00164E3E">
        <w:rPr>
          <w:rFonts w:ascii="Times New Roman" w:hAnsi="Times New Roman" w:cs="Times New Roman"/>
        </w:rPr>
        <w:t>as a supplement to the currently existing microprudential capital add-on</w:t>
      </w:r>
      <w:r w:rsidR="0068606D">
        <w:rPr>
          <w:rFonts w:ascii="Times New Roman" w:hAnsi="Times New Roman" w:cs="Times New Roman"/>
        </w:rPr>
        <w:t>;</w:t>
      </w:r>
    </w:p>
    <w:p w14:paraId="7B8D6D6D" w14:textId="77777777" w:rsidR="008510F4" w:rsidRDefault="008C1E2D" w:rsidP="008510F4">
      <w:pPr>
        <w:pStyle w:val="Akapitzlist"/>
        <w:numPr>
          <w:ilvl w:val="0"/>
          <w:numId w:val="16"/>
        </w:numPr>
        <w:tabs>
          <w:tab w:val="left" w:pos="4962"/>
        </w:tabs>
        <w:spacing w:after="120"/>
        <w:jc w:val="both"/>
        <w:rPr>
          <w:rFonts w:ascii="Times New Roman" w:hAnsi="Times New Roman" w:cs="Times New Roman"/>
        </w:rPr>
      </w:pPr>
      <w:r>
        <w:rPr>
          <w:rFonts w:ascii="Times New Roman" w:hAnsi="Times New Roman" w:cs="Times New Roman"/>
        </w:rPr>
        <w:t xml:space="preserve">granting supervisors with the power to define </w:t>
      </w:r>
      <w:r w:rsidRPr="00142306">
        <w:rPr>
          <w:rFonts w:ascii="Times New Roman" w:hAnsi="Times New Roman" w:cs="Times New Roman"/>
          <w:b/>
        </w:rPr>
        <w:t>soft thresholds</w:t>
      </w:r>
      <w:r>
        <w:rPr>
          <w:rFonts w:ascii="Times New Roman" w:hAnsi="Times New Roman" w:cs="Times New Roman"/>
        </w:rPr>
        <w:t xml:space="preserve">  for action at market level if a certain exposure increases dramatically (e.g. on equity, government or corporate bonds), and this creates concerns from a financial stability perspective</w:t>
      </w:r>
      <w:r w:rsidR="00BC2148">
        <w:rPr>
          <w:rFonts w:ascii="Times New Roman" w:hAnsi="Times New Roman" w:cs="Times New Roman"/>
        </w:rPr>
        <w:t>;</w:t>
      </w:r>
    </w:p>
    <w:p w14:paraId="7BABF41E" w14:textId="77777777" w:rsidR="00BC2148" w:rsidRDefault="00EF5A0F" w:rsidP="008510F4">
      <w:pPr>
        <w:pStyle w:val="Akapitzlist"/>
        <w:numPr>
          <w:ilvl w:val="0"/>
          <w:numId w:val="16"/>
        </w:numPr>
        <w:tabs>
          <w:tab w:val="left" w:pos="4962"/>
        </w:tabs>
        <w:spacing w:after="120"/>
        <w:jc w:val="both"/>
        <w:rPr>
          <w:rFonts w:ascii="Times New Roman" w:hAnsi="Times New Roman" w:cs="Times New Roman"/>
        </w:rPr>
      </w:pPr>
      <w:r>
        <w:rPr>
          <w:rFonts w:ascii="Times New Roman" w:hAnsi="Times New Roman" w:cs="Times New Roman"/>
        </w:rPr>
        <w:t xml:space="preserve">the </w:t>
      </w:r>
      <w:r w:rsidR="00BC2148">
        <w:rPr>
          <w:rFonts w:ascii="Times New Roman" w:hAnsi="Times New Roman" w:cs="Times New Roman"/>
        </w:rPr>
        <w:t xml:space="preserve">possibility </w:t>
      </w:r>
      <w:r w:rsidR="003756FB">
        <w:rPr>
          <w:rFonts w:ascii="Times New Roman" w:hAnsi="Times New Roman" w:cs="Times New Roman"/>
        </w:rPr>
        <w:t xml:space="preserve">for supervisory authorities </w:t>
      </w:r>
      <w:r w:rsidR="00BC2148">
        <w:rPr>
          <w:rFonts w:ascii="Times New Roman" w:hAnsi="Times New Roman" w:cs="Times New Roman"/>
        </w:rPr>
        <w:t xml:space="preserve">to require </w:t>
      </w:r>
      <w:r w:rsidR="00BC2148" w:rsidRPr="00BC2148">
        <w:rPr>
          <w:rFonts w:ascii="Times New Roman" w:hAnsi="Times New Roman" w:cs="Times New Roman"/>
          <w:b/>
        </w:rPr>
        <w:t>systemic risk management plans</w:t>
      </w:r>
      <w:r w:rsidR="00BC2148">
        <w:rPr>
          <w:rFonts w:ascii="Times New Roman" w:hAnsi="Times New Roman" w:cs="Times New Roman"/>
        </w:rPr>
        <w:t xml:space="preserve"> </w:t>
      </w:r>
      <w:r w:rsidR="000F162E">
        <w:rPr>
          <w:rFonts w:ascii="Times New Roman" w:hAnsi="Times New Roman" w:cs="Times New Roman"/>
        </w:rPr>
        <w:t>by</w:t>
      </w:r>
      <w:r w:rsidR="00BC2148">
        <w:rPr>
          <w:rFonts w:ascii="Times New Roman" w:hAnsi="Times New Roman" w:cs="Times New Roman"/>
        </w:rPr>
        <w:t xml:space="preserve"> insurance companies and groups</w:t>
      </w:r>
      <w:r w:rsidR="008C1E2D">
        <w:rPr>
          <w:rFonts w:ascii="Times New Roman" w:hAnsi="Times New Roman" w:cs="Times New Roman"/>
        </w:rPr>
        <w:t>,</w:t>
      </w:r>
      <w:r w:rsidR="00151539" w:rsidRPr="00151539">
        <w:t xml:space="preserve"> </w:t>
      </w:r>
      <w:r w:rsidR="00151539" w:rsidRPr="00151539">
        <w:rPr>
          <w:rFonts w:ascii="Times New Roman" w:hAnsi="Times New Roman" w:cs="Times New Roman"/>
        </w:rPr>
        <w:t>more likely to create and/or amplify systemic risk through an entity, activity or behavioural channel</w:t>
      </w:r>
      <w:r w:rsidR="00BC2148">
        <w:rPr>
          <w:rFonts w:ascii="Times New Roman" w:hAnsi="Times New Roman" w:cs="Times New Roman"/>
        </w:rPr>
        <w:t>;</w:t>
      </w:r>
    </w:p>
    <w:p w14:paraId="0EC1171E" w14:textId="77777777" w:rsidR="0068606D" w:rsidRDefault="0068606D" w:rsidP="0068606D">
      <w:pPr>
        <w:pStyle w:val="Akapitzlist"/>
        <w:numPr>
          <w:ilvl w:val="0"/>
          <w:numId w:val="16"/>
        </w:numPr>
        <w:tabs>
          <w:tab w:val="left" w:pos="4962"/>
        </w:tabs>
        <w:spacing w:after="120"/>
        <w:jc w:val="both"/>
        <w:rPr>
          <w:rFonts w:ascii="Times New Roman" w:hAnsi="Times New Roman" w:cs="Times New Roman"/>
        </w:rPr>
      </w:pPr>
      <w:r>
        <w:rPr>
          <w:rFonts w:ascii="Times New Roman" w:hAnsi="Times New Roman" w:cs="Times New Roman"/>
        </w:rPr>
        <w:t xml:space="preserve">making the volatility adjustment “symmetric”, so as to ensure that when credit spreads are compressed compared to their long-term average, supervisory authorities can require a </w:t>
      </w:r>
      <w:r w:rsidRPr="008510F4">
        <w:rPr>
          <w:rFonts w:ascii="Times New Roman" w:hAnsi="Times New Roman" w:cs="Times New Roman"/>
          <w:b/>
        </w:rPr>
        <w:t>countercyclical buffer</w:t>
      </w:r>
      <w:r>
        <w:rPr>
          <w:rFonts w:ascii="Times New Roman" w:hAnsi="Times New Roman" w:cs="Times New Roman"/>
        </w:rPr>
        <w:t xml:space="preserve"> (proposal by the ESRB, but discarded by EIOPA);</w:t>
      </w:r>
    </w:p>
    <w:p w14:paraId="20A082E3" w14:textId="77777777" w:rsidR="008510F4" w:rsidRPr="007123D0" w:rsidRDefault="00EF5A0F" w:rsidP="008510F4">
      <w:pPr>
        <w:pStyle w:val="Akapitzlist"/>
        <w:numPr>
          <w:ilvl w:val="0"/>
          <w:numId w:val="16"/>
        </w:numPr>
        <w:tabs>
          <w:tab w:val="left" w:pos="4962"/>
        </w:tabs>
        <w:spacing w:after="120"/>
        <w:jc w:val="both"/>
        <w:rPr>
          <w:rFonts w:ascii="Times New Roman" w:hAnsi="Times New Roman" w:cs="Times New Roman"/>
        </w:rPr>
      </w:pPr>
      <w:r>
        <w:rPr>
          <w:rFonts w:ascii="Times New Roman" w:hAnsi="Times New Roman" w:cs="Times New Roman"/>
        </w:rPr>
        <w:t xml:space="preserve">in </w:t>
      </w:r>
      <w:r w:rsidR="008510F4">
        <w:rPr>
          <w:rFonts w:ascii="Times New Roman" w:hAnsi="Times New Roman" w:cs="Times New Roman"/>
        </w:rPr>
        <w:t xml:space="preserve">order to better align </w:t>
      </w:r>
      <w:r w:rsidR="00BC2148">
        <w:rPr>
          <w:rFonts w:ascii="Times New Roman" w:hAnsi="Times New Roman" w:cs="Times New Roman"/>
        </w:rPr>
        <w:t xml:space="preserve">rules </w:t>
      </w:r>
      <w:r w:rsidR="008510F4">
        <w:rPr>
          <w:rFonts w:ascii="Times New Roman" w:hAnsi="Times New Roman" w:cs="Times New Roman"/>
        </w:rPr>
        <w:t xml:space="preserve">with </w:t>
      </w:r>
      <w:r w:rsidR="00BC2148">
        <w:rPr>
          <w:rFonts w:ascii="Times New Roman" w:hAnsi="Times New Roman" w:cs="Times New Roman"/>
        </w:rPr>
        <w:t xml:space="preserve">those applicable to </w:t>
      </w:r>
      <w:r w:rsidR="008510F4">
        <w:rPr>
          <w:rFonts w:ascii="Times New Roman" w:hAnsi="Times New Roman" w:cs="Times New Roman"/>
        </w:rPr>
        <w:t>the banking sector</w:t>
      </w:r>
      <w:r w:rsidR="00BC2148">
        <w:rPr>
          <w:rFonts w:ascii="Times New Roman" w:hAnsi="Times New Roman" w:cs="Times New Roman"/>
        </w:rPr>
        <w:t xml:space="preserve"> on loan-origination activities</w:t>
      </w:r>
      <w:r w:rsidR="008510F4">
        <w:rPr>
          <w:rFonts w:ascii="Times New Roman" w:hAnsi="Times New Roman" w:cs="Times New Roman"/>
        </w:rPr>
        <w:t xml:space="preserve">, setting a </w:t>
      </w:r>
      <w:r w:rsidR="008510F4" w:rsidRPr="008510F4">
        <w:rPr>
          <w:rFonts w:ascii="Times New Roman" w:hAnsi="Times New Roman" w:cs="Times New Roman"/>
          <w:b/>
        </w:rPr>
        <w:t>floor to the loss-given defaults</w:t>
      </w:r>
      <w:r w:rsidR="008510F4">
        <w:rPr>
          <w:rFonts w:ascii="Times New Roman" w:hAnsi="Times New Roman" w:cs="Times New Roman"/>
        </w:rPr>
        <w:t xml:space="preserve"> for the calculation of counterparty default risk capital requirements (proposal by </w:t>
      </w:r>
      <w:r w:rsidR="00D87BF1">
        <w:rPr>
          <w:rFonts w:ascii="Times New Roman" w:hAnsi="Times New Roman" w:cs="Times New Roman"/>
        </w:rPr>
        <w:t xml:space="preserve">the </w:t>
      </w:r>
      <w:r w:rsidR="008510F4">
        <w:rPr>
          <w:rFonts w:ascii="Times New Roman" w:hAnsi="Times New Roman" w:cs="Times New Roman"/>
        </w:rPr>
        <w:t>ESRB).</w:t>
      </w:r>
    </w:p>
    <w:p w14:paraId="48C9FFA7" w14:textId="77777777" w:rsidR="008510F4" w:rsidRDefault="008510F4" w:rsidP="008510F4">
      <w:pPr>
        <w:tabs>
          <w:tab w:val="left" w:pos="4962"/>
        </w:tabs>
        <w:spacing w:after="120"/>
        <w:jc w:val="both"/>
        <w:rPr>
          <w:rFonts w:ascii="Times New Roman" w:hAnsi="Times New Roman" w:cs="Times New Roman"/>
        </w:rPr>
      </w:pPr>
      <w:r>
        <w:rPr>
          <w:rFonts w:ascii="Times New Roman" w:hAnsi="Times New Roman" w:cs="Times New Roman"/>
        </w:rPr>
        <w:t>In addition, in order to better address liquidity risk</w:t>
      </w:r>
      <w:r w:rsidR="00D87BF1">
        <w:rPr>
          <w:rFonts w:ascii="Times New Roman" w:hAnsi="Times New Roman" w:cs="Times New Roman"/>
        </w:rPr>
        <w:t>s</w:t>
      </w:r>
      <w:r>
        <w:rPr>
          <w:rFonts w:ascii="Times New Roman" w:hAnsi="Times New Roman" w:cs="Times New Roman"/>
        </w:rPr>
        <w:t xml:space="preserve">, EIOPA </w:t>
      </w:r>
      <w:r w:rsidR="00BC2148">
        <w:rPr>
          <w:rFonts w:ascii="Times New Roman" w:hAnsi="Times New Roman" w:cs="Times New Roman"/>
        </w:rPr>
        <w:t>advises to introduce</w:t>
      </w:r>
      <w:r>
        <w:rPr>
          <w:rFonts w:ascii="Times New Roman" w:hAnsi="Times New Roman" w:cs="Times New Roman"/>
        </w:rPr>
        <w:t xml:space="preserve"> </w:t>
      </w:r>
      <w:r w:rsidRPr="008510F4">
        <w:rPr>
          <w:rFonts w:ascii="Times New Roman" w:hAnsi="Times New Roman" w:cs="Times New Roman"/>
          <w:b/>
        </w:rPr>
        <w:t>liquidity risk management planning</w:t>
      </w:r>
      <w:r>
        <w:rPr>
          <w:rFonts w:ascii="Times New Roman" w:hAnsi="Times New Roman" w:cs="Times New Roman"/>
        </w:rPr>
        <w:t xml:space="preserve"> </w:t>
      </w:r>
      <w:r w:rsidRPr="00BC2148">
        <w:rPr>
          <w:rFonts w:ascii="Times New Roman" w:hAnsi="Times New Roman" w:cs="Times New Roman"/>
          <w:b/>
        </w:rPr>
        <w:t>and reporting requirement</w:t>
      </w:r>
      <w:r w:rsidR="002356E8">
        <w:rPr>
          <w:rFonts w:ascii="Times New Roman" w:hAnsi="Times New Roman" w:cs="Times New Roman"/>
          <w:b/>
        </w:rPr>
        <w:t>s</w:t>
      </w:r>
      <w:r>
        <w:rPr>
          <w:rFonts w:ascii="Times New Roman" w:hAnsi="Times New Roman" w:cs="Times New Roman"/>
        </w:rPr>
        <w:t xml:space="preserve"> </w:t>
      </w:r>
      <w:r w:rsidR="00430271">
        <w:rPr>
          <w:rFonts w:ascii="Times New Roman" w:hAnsi="Times New Roman" w:cs="Times New Roman"/>
        </w:rPr>
        <w:t>for</w:t>
      </w:r>
      <w:r>
        <w:rPr>
          <w:rFonts w:ascii="Times New Roman" w:hAnsi="Times New Roman" w:cs="Times New Roman"/>
        </w:rPr>
        <w:t xml:space="preserve"> insurers</w:t>
      </w:r>
      <w:r w:rsidR="00142306">
        <w:rPr>
          <w:rFonts w:ascii="Times New Roman" w:hAnsi="Times New Roman" w:cs="Times New Roman"/>
        </w:rPr>
        <w:t>. It is proposed to</w:t>
      </w:r>
      <w:r>
        <w:rPr>
          <w:rFonts w:ascii="Times New Roman" w:hAnsi="Times New Roman" w:cs="Times New Roman"/>
        </w:rPr>
        <w:t xml:space="preserve"> grant supervisory authorities the power to </w:t>
      </w:r>
      <w:r w:rsidR="00BC2148">
        <w:rPr>
          <w:rFonts w:ascii="Times New Roman" w:hAnsi="Times New Roman" w:cs="Times New Roman"/>
        </w:rPr>
        <w:t>impose</w:t>
      </w:r>
      <w:r w:rsidR="0068606D">
        <w:rPr>
          <w:rFonts w:ascii="Times New Roman" w:hAnsi="Times New Roman" w:cs="Times New Roman"/>
        </w:rPr>
        <w:t xml:space="preserve"> </w:t>
      </w:r>
      <w:r w:rsidR="0068606D" w:rsidRPr="003F7D05">
        <w:rPr>
          <w:rFonts w:ascii="Times New Roman" w:hAnsi="Times New Roman" w:cs="Times New Roman"/>
          <w:b/>
        </w:rPr>
        <w:t>mitigating measures</w:t>
      </w:r>
      <w:r w:rsidR="0068606D" w:rsidRPr="003B41EC">
        <w:rPr>
          <w:rFonts w:ascii="Times New Roman" w:hAnsi="Times New Roman" w:cs="Times New Roman"/>
        </w:rPr>
        <w:t xml:space="preserve"> </w:t>
      </w:r>
      <w:r w:rsidR="00BC2148">
        <w:rPr>
          <w:rFonts w:ascii="Times New Roman" w:hAnsi="Times New Roman" w:cs="Times New Roman"/>
        </w:rPr>
        <w:t xml:space="preserve">to </w:t>
      </w:r>
      <w:r w:rsidR="00142306">
        <w:rPr>
          <w:rFonts w:ascii="Times New Roman" w:hAnsi="Times New Roman" w:cs="Times New Roman"/>
        </w:rPr>
        <w:t>incentivise insurers to reinforce their liquidity position (e.g. via reduction in exposures more prone to liquidity risk and/or incentivise insurers to increase the availability liquidity)</w:t>
      </w:r>
      <w:r w:rsidR="00BC2148">
        <w:rPr>
          <w:rFonts w:ascii="Times New Roman" w:hAnsi="Times New Roman" w:cs="Times New Roman"/>
        </w:rPr>
        <w:t xml:space="preserve">. </w:t>
      </w:r>
      <w:r w:rsidR="00430271">
        <w:rPr>
          <w:rFonts w:ascii="Times New Roman" w:hAnsi="Times New Roman" w:cs="Times New Roman"/>
        </w:rPr>
        <w:t xml:space="preserve">Similarly, the ESRB recommends that supervisors should have the power to require individual firms with a vulnerable liquidity profile to hold a “liquidity buffer” based on common liquidity metrics. </w:t>
      </w:r>
      <w:r w:rsidR="00BC2148">
        <w:rPr>
          <w:rFonts w:ascii="Times New Roman" w:hAnsi="Times New Roman" w:cs="Times New Roman"/>
        </w:rPr>
        <w:t xml:space="preserve">EIOPA is </w:t>
      </w:r>
      <w:r w:rsidR="00430271">
        <w:rPr>
          <w:rFonts w:ascii="Times New Roman" w:hAnsi="Times New Roman" w:cs="Times New Roman"/>
        </w:rPr>
        <w:t xml:space="preserve">also </w:t>
      </w:r>
      <w:r w:rsidR="00BC2148">
        <w:rPr>
          <w:rFonts w:ascii="Times New Roman" w:hAnsi="Times New Roman" w:cs="Times New Roman"/>
        </w:rPr>
        <w:t xml:space="preserve">of the view that supervisors should have the power </w:t>
      </w:r>
      <w:r>
        <w:rPr>
          <w:rFonts w:ascii="Times New Roman" w:hAnsi="Times New Roman" w:cs="Times New Roman"/>
        </w:rPr>
        <w:t xml:space="preserve">to allow a </w:t>
      </w:r>
      <w:r w:rsidRPr="008510F4">
        <w:rPr>
          <w:rFonts w:ascii="Times New Roman" w:hAnsi="Times New Roman" w:cs="Times New Roman"/>
          <w:b/>
        </w:rPr>
        <w:t>temporary freeze of redemption rights</w:t>
      </w:r>
      <w:r w:rsidR="00BC2148">
        <w:rPr>
          <w:rFonts w:ascii="Times New Roman" w:hAnsi="Times New Roman" w:cs="Times New Roman"/>
        </w:rPr>
        <w:t xml:space="preserve"> on life insurance policies</w:t>
      </w:r>
      <w:r w:rsidR="00151539">
        <w:rPr>
          <w:rFonts w:ascii="Times New Roman" w:hAnsi="Times New Roman" w:cs="Times New Roman"/>
        </w:rPr>
        <w:t xml:space="preserve"> in exceptional circumstances</w:t>
      </w:r>
      <w:r w:rsidR="00BC2148">
        <w:rPr>
          <w:rFonts w:ascii="Times New Roman" w:hAnsi="Times New Roman" w:cs="Times New Roman"/>
        </w:rPr>
        <w:t>.</w:t>
      </w:r>
    </w:p>
    <w:p w14:paraId="0861848F" w14:textId="77777777" w:rsidR="00665A3C" w:rsidRDefault="00BC2148" w:rsidP="007123D0">
      <w:pPr>
        <w:tabs>
          <w:tab w:val="left" w:pos="4962"/>
        </w:tabs>
        <w:spacing w:after="120"/>
        <w:jc w:val="both"/>
        <w:rPr>
          <w:rFonts w:ascii="Times New Roman" w:hAnsi="Times New Roman" w:cs="Times New Roman"/>
        </w:rPr>
      </w:pPr>
      <w:r>
        <w:rPr>
          <w:rFonts w:ascii="Times New Roman" w:hAnsi="Times New Roman" w:cs="Times New Roman"/>
        </w:rPr>
        <w:t>More generally</w:t>
      </w:r>
      <w:r w:rsidR="008510F4">
        <w:rPr>
          <w:rFonts w:ascii="Times New Roman" w:hAnsi="Times New Roman" w:cs="Times New Roman"/>
        </w:rPr>
        <w:t xml:space="preserve">, in order to </w:t>
      </w:r>
      <w:r w:rsidR="007123D0">
        <w:rPr>
          <w:rFonts w:ascii="Times New Roman" w:hAnsi="Times New Roman" w:cs="Times New Roman"/>
        </w:rPr>
        <w:t xml:space="preserve">safeguard the capital position of insurers, EIOPA recommends granting the power to </w:t>
      </w:r>
      <w:r w:rsidR="00142306">
        <w:rPr>
          <w:rFonts w:ascii="Times New Roman" w:hAnsi="Times New Roman" w:cs="Times New Roman"/>
          <w:b/>
        </w:rPr>
        <w:t>restrict or suspend</w:t>
      </w:r>
      <w:r w:rsidR="00142306" w:rsidRPr="007123D0">
        <w:rPr>
          <w:rFonts w:ascii="Times New Roman" w:hAnsi="Times New Roman" w:cs="Times New Roman"/>
          <w:b/>
        </w:rPr>
        <w:t xml:space="preserve"> </w:t>
      </w:r>
      <w:r w:rsidR="007123D0" w:rsidRPr="007123D0">
        <w:rPr>
          <w:rFonts w:ascii="Times New Roman" w:hAnsi="Times New Roman" w:cs="Times New Roman"/>
          <w:b/>
        </w:rPr>
        <w:t>dividend distributions</w:t>
      </w:r>
      <w:r w:rsidR="007123D0">
        <w:rPr>
          <w:rFonts w:ascii="Times New Roman" w:hAnsi="Times New Roman" w:cs="Times New Roman"/>
        </w:rPr>
        <w:t xml:space="preserve"> </w:t>
      </w:r>
      <w:r w:rsidR="00E57630" w:rsidRPr="00E57630">
        <w:rPr>
          <w:rFonts w:ascii="Times New Roman" w:hAnsi="Times New Roman" w:cs="Times New Roman"/>
        </w:rPr>
        <w:t>or other payments to shareholders</w:t>
      </w:r>
      <w:r w:rsidR="00E57630">
        <w:rPr>
          <w:rFonts w:ascii="Times New Roman" w:hAnsi="Times New Roman" w:cs="Times New Roman"/>
        </w:rPr>
        <w:t xml:space="preserve"> </w:t>
      </w:r>
      <w:r w:rsidR="007123D0">
        <w:rPr>
          <w:rFonts w:ascii="Times New Roman" w:hAnsi="Times New Roman" w:cs="Times New Roman"/>
        </w:rPr>
        <w:t xml:space="preserve">at sectoral or individual level for financial stability reasons. </w:t>
      </w:r>
      <w:r w:rsidR="00D02BB4">
        <w:rPr>
          <w:rFonts w:ascii="Times New Roman" w:hAnsi="Times New Roman" w:cs="Times New Roman"/>
        </w:rPr>
        <w:t xml:space="preserve">Moreover, </w:t>
      </w:r>
      <w:r w:rsidR="007123D0">
        <w:rPr>
          <w:rFonts w:ascii="Times New Roman" w:hAnsi="Times New Roman" w:cs="Times New Roman"/>
        </w:rPr>
        <w:t xml:space="preserve">EIOPA proposes that dividend distribution </w:t>
      </w:r>
      <w:r w:rsidR="007123D0">
        <w:rPr>
          <w:rFonts w:ascii="Times New Roman" w:hAnsi="Times New Roman" w:cs="Times New Roman"/>
        </w:rPr>
        <w:lastRenderedPageBreak/>
        <w:t>bans may also be envisaged in other circumstances, for instance when a supervisor is of the view that an insurer</w:t>
      </w:r>
      <w:r w:rsidR="002713A2">
        <w:rPr>
          <w:rFonts w:ascii="Times New Roman" w:hAnsi="Times New Roman" w:cs="Times New Roman"/>
        </w:rPr>
        <w:t>,</w:t>
      </w:r>
      <w:r w:rsidR="007123D0">
        <w:rPr>
          <w:rFonts w:ascii="Times New Roman" w:hAnsi="Times New Roman" w:cs="Times New Roman"/>
        </w:rPr>
        <w:t xml:space="preserve"> which is currently meeting its capital requirements</w:t>
      </w:r>
      <w:r w:rsidR="002713A2">
        <w:rPr>
          <w:rFonts w:ascii="Times New Roman" w:hAnsi="Times New Roman" w:cs="Times New Roman"/>
        </w:rPr>
        <w:t>,</w:t>
      </w:r>
      <w:r w:rsidR="007123D0">
        <w:rPr>
          <w:rFonts w:ascii="Times New Roman" w:hAnsi="Times New Roman" w:cs="Times New Roman"/>
        </w:rPr>
        <w:t xml:space="preserve"> may be </w:t>
      </w:r>
      <w:r w:rsidR="000F162E">
        <w:rPr>
          <w:rFonts w:ascii="Times New Roman" w:hAnsi="Times New Roman" w:cs="Times New Roman"/>
        </w:rPr>
        <w:t>at</w:t>
      </w:r>
      <w:r w:rsidR="007123D0">
        <w:rPr>
          <w:rFonts w:ascii="Times New Roman" w:hAnsi="Times New Roman" w:cs="Times New Roman"/>
        </w:rPr>
        <w:t xml:space="preserve"> risk of </w:t>
      </w:r>
      <w:r w:rsidR="000F162E">
        <w:rPr>
          <w:rFonts w:ascii="Times New Roman" w:hAnsi="Times New Roman" w:cs="Times New Roman"/>
        </w:rPr>
        <w:t xml:space="preserve">a </w:t>
      </w:r>
      <w:r>
        <w:rPr>
          <w:rFonts w:ascii="Times New Roman" w:hAnsi="Times New Roman" w:cs="Times New Roman"/>
        </w:rPr>
        <w:t>SCR breach over the medium term, or when a temporary freeze of redemption rights is applied.</w:t>
      </w:r>
    </w:p>
    <w:tbl>
      <w:tblPr>
        <w:tblStyle w:val="Tabela-Siatka"/>
        <w:tblW w:w="0" w:type="auto"/>
        <w:tblLook w:val="04A0" w:firstRow="1" w:lastRow="0" w:firstColumn="1" w:lastColumn="0" w:noHBand="0" w:noVBand="1"/>
      </w:tblPr>
      <w:tblGrid>
        <w:gridCol w:w="9016"/>
      </w:tblGrid>
      <w:tr w:rsidR="00A57A95" w14:paraId="71E5C0FE" w14:textId="77777777" w:rsidTr="00A57A95">
        <w:tc>
          <w:tcPr>
            <w:tcW w:w="9016" w:type="dxa"/>
          </w:tcPr>
          <w:p w14:paraId="20272217" w14:textId="77777777" w:rsidR="00A57A95" w:rsidRPr="00B90A5B" w:rsidRDefault="006820C5" w:rsidP="00B90A5B">
            <w:pPr>
              <w:pStyle w:val="Akapitzlist"/>
              <w:numPr>
                <w:ilvl w:val="0"/>
                <w:numId w:val="19"/>
              </w:numPr>
              <w:tabs>
                <w:tab w:val="left" w:pos="4962"/>
              </w:tabs>
              <w:spacing w:before="120" w:after="120"/>
              <w:jc w:val="both"/>
              <w:rPr>
                <w:rFonts w:ascii="Times New Roman" w:hAnsi="Times New Roman" w:cs="Times New Roman"/>
                <w:i/>
                <w:sz w:val="21"/>
                <w:szCs w:val="21"/>
              </w:rPr>
            </w:pPr>
            <w:r w:rsidRPr="00B90A5B">
              <w:rPr>
                <w:rFonts w:ascii="Times New Roman" w:hAnsi="Times New Roman" w:cs="Times New Roman"/>
                <w:i/>
                <w:sz w:val="21"/>
                <w:szCs w:val="21"/>
              </w:rPr>
              <w:t xml:space="preserve">Member States are invited to share their views on the </w:t>
            </w:r>
            <w:r w:rsidR="00A57A95" w:rsidRPr="00B90A5B">
              <w:rPr>
                <w:rFonts w:ascii="Times New Roman" w:hAnsi="Times New Roman" w:cs="Times New Roman"/>
                <w:i/>
                <w:sz w:val="21"/>
                <w:szCs w:val="21"/>
              </w:rPr>
              <w:t xml:space="preserve">proposals presented in this note </w:t>
            </w:r>
            <w:r w:rsidRPr="00B90A5B">
              <w:rPr>
                <w:rFonts w:ascii="Times New Roman" w:hAnsi="Times New Roman" w:cs="Times New Roman"/>
                <w:i/>
                <w:sz w:val="21"/>
                <w:szCs w:val="21"/>
              </w:rPr>
              <w:t>on</w:t>
            </w:r>
            <w:r w:rsidR="00A57A95" w:rsidRPr="00B90A5B">
              <w:rPr>
                <w:rFonts w:ascii="Times New Roman" w:hAnsi="Times New Roman" w:cs="Times New Roman"/>
                <w:i/>
                <w:sz w:val="21"/>
                <w:szCs w:val="21"/>
              </w:rPr>
              <w:t xml:space="preserve"> quality of supervision</w:t>
            </w:r>
            <w:r w:rsidRPr="00B90A5B">
              <w:rPr>
                <w:rFonts w:ascii="Times New Roman" w:hAnsi="Times New Roman" w:cs="Times New Roman"/>
                <w:i/>
                <w:sz w:val="21"/>
                <w:szCs w:val="21"/>
              </w:rPr>
              <w:t>.</w:t>
            </w:r>
          </w:p>
          <w:p w14:paraId="1853926B" w14:textId="77777777" w:rsidR="00A57A95" w:rsidRPr="00B90A5B" w:rsidRDefault="006820C5" w:rsidP="00B90A5B">
            <w:pPr>
              <w:pStyle w:val="Akapitzlist"/>
              <w:numPr>
                <w:ilvl w:val="0"/>
                <w:numId w:val="19"/>
              </w:numPr>
              <w:tabs>
                <w:tab w:val="left" w:pos="4962"/>
              </w:tabs>
              <w:spacing w:before="120" w:after="120"/>
              <w:jc w:val="both"/>
              <w:rPr>
                <w:rFonts w:ascii="Times New Roman" w:hAnsi="Times New Roman" w:cs="Times New Roman"/>
                <w:i/>
                <w:sz w:val="21"/>
                <w:szCs w:val="21"/>
              </w:rPr>
            </w:pPr>
            <w:r w:rsidRPr="00B90A5B">
              <w:rPr>
                <w:rFonts w:ascii="Times New Roman" w:hAnsi="Times New Roman" w:cs="Times New Roman"/>
                <w:i/>
                <w:sz w:val="21"/>
                <w:szCs w:val="21"/>
              </w:rPr>
              <w:t xml:space="preserve">Member States are invited to express their views on </w:t>
            </w:r>
            <w:r w:rsidR="00A57A95" w:rsidRPr="00B90A5B">
              <w:rPr>
                <w:rFonts w:ascii="Times New Roman" w:hAnsi="Times New Roman" w:cs="Times New Roman"/>
                <w:i/>
                <w:sz w:val="21"/>
                <w:szCs w:val="21"/>
              </w:rPr>
              <w:t>EIOPA’s and ESRB’s proposals on macroprudential policy</w:t>
            </w:r>
            <w:r w:rsidR="00E41575" w:rsidRPr="00B90A5B">
              <w:rPr>
                <w:rFonts w:ascii="Times New Roman" w:hAnsi="Times New Roman" w:cs="Times New Roman"/>
                <w:i/>
                <w:sz w:val="21"/>
                <w:szCs w:val="21"/>
              </w:rPr>
              <w:t>.</w:t>
            </w:r>
          </w:p>
          <w:p w14:paraId="5924BFFA" w14:textId="77777777" w:rsidR="00A57A95" w:rsidRPr="00B90A5B" w:rsidRDefault="00A57A95" w:rsidP="00B90A5B">
            <w:pPr>
              <w:pStyle w:val="Akapitzlist"/>
              <w:numPr>
                <w:ilvl w:val="0"/>
                <w:numId w:val="19"/>
              </w:numPr>
              <w:tabs>
                <w:tab w:val="left" w:pos="4962"/>
              </w:tabs>
              <w:spacing w:before="120" w:after="120"/>
              <w:jc w:val="both"/>
              <w:rPr>
                <w:rFonts w:ascii="Times New Roman" w:hAnsi="Times New Roman" w:cs="Times New Roman"/>
              </w:rPr>
            </w:pPr>
            <w:r w:rsidRPr="00B90A5B">
              <w:rPr>
                <w:rFonts w:ascii="Times New Roman" w:hAnsi="Times New Roman" w:cs="Times New Roman"/>
                <w:i/>
                <w:sz w:val="21"/>
                <w:szCs w:val="21"/>
              </w:rPr>
              <w:t xml:space="preserve">Do Member States have other points to raise on those </w:t>
            </w:r>
            <w:r w:rsidR="006820C5" w:rsidRPr="00B90A5B">
              <w:rPr>
                <w:rFonts w:ascii="Times New Roman" w:hAnsi="Times New Roman" w:cs="Times New Roman"/>
                <w:i/>
                <w:sz w:val="21"/>
                <w:szCs w:val="21"/>
              </w:rPr>
              <w:t>topics</w:t>
            </w:r>
            <w:r w:rsidRPr="00B90A5B">
              <w:rPr>
                <w:rFonts w:ascii="Times New Roman" w:hAnsi="Times New Roman" w:cs="Times New Roman"/>
                <w:i/>
                <w:sz w:val="21"/>
                <w:szCs w:val="21"/>
              </w:rPr>
              <w:t>?</w:t>
            </w:r>
          </w:p>
        </w:tc>
      </w:tr>
    </w:tbl>
    <w:p w14:paraId="1629D50D" w14:textId="77777777" w:rsidR="00457061" w:rsidRDefault="00457061" w:rsidP="00457061">
      <w:pPr>
        <w:spacing w:before="240" w:after="120"/>
        <w:jc w:val="both"/>
        <w:rPr>
          <w:rFonts w:ascii="Times New Roman" w:hAnsi="Times New Roman" w:cs="Times New Roman"/>
          <w:b/>
          <w:sz w:val="24"/>
          <w:szCs w:val="24"/>
          <w:u w:val="single"/>
        </w:rPr>
      </w:pPr>
      <w:r>
        <w:rPr>
          <w:rFonts w:ascii="Times New Roman" w:hAnsi="Times New Roman" w:cs="Times New Roman"/>
          <w:b/>
          <w:sz w:val="24"/>
          <w:szCs w:val="24"/>
          <w:u w:val="single"/>
        </w:rPr>
        <w:t>V</w:t>
      </w:r>
      <w:r w:rsidRPr="007123D0">
        <w:rPr>
          <w:rFonts w:ascii="Times New Roman" w:hAnsi="Times New Roman" w:cs="Times New Roman"/>
          <w:b/>
          <w:sz w:val="24"/>
          <w:szCs w:val="24"/>
          <w:u w:val="single"/>
        </w:rPr>
        <w:t xml:space="preserve"> – </w:t>
      </w:r>
      <w:r>
        <w:rPr>
          <w:rFonts w:ascii="Times New Roman" w:hAnsi="Times New Roman" w:cs="Times New Roman"/>
          <w:b/>
          <w:sz w:val="24"/>
          <w:szCs w:val="24"/>
          <w:u w:val="single"/>
        </w:rPr>
        <w:t>Overall impact of the review</w:t>
      </w:r>
    </w:p>
    <w:p w14:paraId="5DDF021A" w14:textId="77777777" w:rsidR="00457061" w:rsidRPr="003B41EC" w:rsidRDefault="00457061" w:rsidP="00457061">
      <w:pPr>
        <w:spacing w:after="120"/>
        <w:jc w:val="both"/>
        <w:rPr>
          <w:rFonts w:ascii="Times New Roman" w:hAnsi="Times New Roman" w:cs="Times New Roman"/>
        </w:rPr>
      </w:pPr>
      <w:r w:rsidRPr="003B41EC">
        <w:rPr>
          <w:rFonts w:ascii="Times New Roman" w:hAnsi="Times New Roman" w:cs="Times New Roman"/>
        </w:rPr>
        <w:t>EIOPA conducted two holistic impact assessments with reference dates end of 2019 and mid-2020. The below table provides information on:</w:t>
      </w:r>
    </w:p>
    <w:p w14:paraId="4F6089FE" w14:textId="77777777" w:rsidR="00457061" w:rsidRPr="003B41EC" w:rsidRDefault="00457061" w:rsidP="00457061">
      <w:pPr>
        <w:pStyle w:val="Akapitzlist"/>
        <w:numPr>
          <w:ilvl w:val="0"/>
          <w:numId w:val="16"/>
        </w:numPr>
        <w:spacing w:after="120"/>
        <w:jc w:val="both"/>
        <w:rPr>
          <w:rFonts w:ascii="Times New Roman" w:hAnsi="Times New Roman" w:cs="Times New Roman"/>
        </w:rPr>
      </w:pPr>
      <w:r w:rsidRPr="003B41EC">
        <w:rPr>
          <w:rFonts w:ascii="Times New Roman" w:hAnsi="Times New Roman" w:cs="Times New Roman"/>
        </w:rPr>
        <w:t>the baseline scenario (“Base case”) – application of current rules;</w:t>
      </w:r>
    </w:p>
    <w:p w14:paraId="459ABA5A" w14:textId="77777777" w:rsidR="00457061" w:rsidRPr="003B41EC" w:rsidRDefault="00457061" w:rsidP="00457061">
      <w:pPr>
        <w:pStyle w:val="Akapitzlist"/>
        <w:numPr>
          <w:ilvl w:val="0"/>
          <w:numId w:val="16"/>
        </w:numPr>
        <w:spacing w:after="120"/>
        <w:jc w:val="both"/>
        <w:rPr>
          <w:rFonts w:ascii="Times New Roman" w:hAnsi="Times New Roman" w:cs="Times New Roman"/>
        </w:rPr>
      </w:pPr>
      <w:r w:rsidRPr="003B41EC">
        <w:rPr>
          <w:rFonts w:ascii="Times New Roman" w:hAnsi="Times New Roman" w:cs="Times New Roman"/>
        </w:rPr>
        <w:t xml:space="preserve">the cumulative impact of all recommendations </w:t>
      </w:r>
      <w:r w:rsidRPr="003B41EC">
        <w:rPr>
          <w:rFonts w:ascii="Times New Roman" w:hAnsi="Times New Roman" w:cs="Times New Roman"/>
          <w:u w:val="single"/>
        </w:rPr>
        <w:t>excluding</w:t>
      </w:r>
      <w:r w:rsidRPr="003B41EC">
        <w:rPr>
          <w:rFonts w:ascii="Times New Roman" w:hAnsi="Times New Roman" w:cs="Times New Roman"/>
        </w:rPr>
        <w:t xml:space="preserve"> both the proposed amendments on the standard formula interest rate risk and the temporary safeguard mechanism on extrapolation (“Partial impact”);</w:t>
      </w:r>
    </w:p>
    <w:p w14:paraId="5BEBE9CF" w14:textId="77777777" w:rsidR="00457061" w:rsidRPr="003B41EC" w:rsidRDefault="00457061" w:rsidP="00457061">
      <w:pPr>
        <w:pStyle w:val="Akapitzlist"/>
        <w:numPr>
          <w:ilvl w:val="0"/>
          <w:numId w:val="16"/>
        </w:numPr>
        <w:spacing w:after="120"/>
        <w:jc w:val="both"/>
        <w:rPr>
          <w:rFonts w:ascii="Times New Roman" w:hAnsi="Times New Roman" w:cs="Times New Roman"/>
        </w:rPr>
      </w:pPr>
      <w:r w:rsidRPr="003B41EC">
        <w:rPr>
          <w:rFonts w:ascii="Times New Roman" w:hAnsi="Times New Roman" w:cs="Times New Roman"/>
        </w:rPr>
        <w:t xml:space="preserve">the cumulative impact of all recommendations </w:t>
      </w:r>
      <w:r w:rsidRPr="003B41EC">
        <w:rPr>
          <w:rFonts w:ascii="Times New Roman" w:hAnsi="Times New Roman" w:cs="Times New Roman"/>
          <w:u w:val="single"/>
        </w:rPr>
        <w:t>including</w:t>
      </w:r>
      <w:r w:rsidRPr="003B41EC">
        <w:rPr>
          <w:rFonts w:ascii="Times New Roman" w:hAnsi="Times New Roman" w:cs="Times New Roman"/>
        </w:rPr>
        <w:t xml:space="preserve"> the proposed amendment on interest rate risk change but </w:t>
      </w:r>
      <w:r w:rsidRPr="003B41EC">
        <w:rPr>
          <w:rFonts w:ascii="Times New Roman" w:hAnsi="Times New Roman" w:cs="Times New Roman"/>
          <w:u w:val="single"/>
        </w:rPr>
        <w:t>excluding</w:t>
      </w:r>
      <w:r w:rsidRPr="003B41EC">
        <w:rPr>
          <w:rFonts w:ascii="Times New Roman" w:hAnsi="Times New Roman" w:cs="Times New Roman"/>
        </w:rPr>
        <w:t xml:space="preserve"> the temporary safeguard mechanism on extrapolation – i.e. the total impact at the end of the transitional periods (“Total impact”).</w:t>
      </w:r>
    </w:p>
    <w:p w14:paraId="04757F3F" w14:textId="77777777" w:rsidR="00457061" w:rsidRPr="008B24DA" w:rsidRDefault="00457061" w:rsidP="008B24DA">
      <w:pPr>
        <w:spacing w:after="120"/>
        <w:jc w:val="both"/>
        <w:rPr>
          <w:rFonts w:ascii="Times New Roman" w:hAnsi="Times New Roman" w:cs="Times New Roman"/>
        </w:rPr>
      </w:pPr>
      <w:r w:rsidRPr="003B41EC">
        <w:rPr>
          <w:rFonts w:ascii="Times New Roman" w:hAnsi="Times New Roman" w:cs="Times New Roman"/>
        </w:rPr>
        <w:t>Note that in EIOPA’s proposal, the interest rate risk change would be gradually implemented over a five-year period following the entry into application of the revised framework, and the safeguard mechanism on extrapolation would be progressively phased out until 2032.</w:t>
      </w:r>
    </w:p>
    <w:tbl>
      <w:tblPr>
        <w:tblStyle w:val="Tabela-Siatka"/>
        <w:tblW w:w="0" w:type="auto"/>
        <w:tblLook w:val="04A0" w:firstRow="1" w:lastRow="0" w:firstColumn="1" w:lastColumn="0" w:noHBand="0" w:noVBand="1"/>
      </w:tblPr>
      <w:tblGrid>
        <w:gridCol w:w="1505"/>
        <w:gridCol w:w="1230"/>
        <w:gridCol w:w="928"/>
        <w:gridCol w:w="1133"/>
        <w:gridCol w:w="989"/>
        <w:gridCol w:w="996"/>
        <w:gridCol w:w="993"/>
        <w:gridCol w:w="1206"/>
      </w:tblGrid>
      <w:tr w:rsidR="00457061" w:rsidRPr="00E139FE" w14:paraId="5A6F493F" w14:textId="77777777" w:rsidTr="009C2299">
        <w:trPr>
          <w:trHeight w:val="97"/>
        </w:trPr>
        <w:tc>
          <w:tcPr>
            <w:tcW w:w="2735" w:type="dxa"/>
            <w:gridSpan w:val="2"/>
            <w:vMerge w:val="restart"/>
            <w:tcBorders>
              <w:top w:val="single" w:sz="18" w:space="0" w:color="FFFFFF" w:themeColor="background1"/>
              <w:left w:val="single" w:sz="18" w:space="0" w:color="FFFFFF" w:themeColor="background1"/>
              <w:right w:val="single" w:sz="18" w:space="0" w:color="auto"/>
            </w:tcBorders>
            <w:vAlign w:val="center"/>
          </w:tcPr>
          <w:p w14:paraId="2A9F4D95" w14:textId="77777777" w:rsidR="00457061" w:rsidRPr="00E139FE" w:rsidRDefault="00457061" w:rsidP="009C2299">
            <w:pPr>
              <w:spacing w:after="0"/>
              <w:jc w:val="center"/>
              <w:rPr>
                <w:rFonts w:ascii="Times New Roman" w:hAnsi="Times New Roman" w:cs="Times New Roman"/>
              </w:rPr>
            </w:pPr>
          </w:p>
        </w:tc>
        <w:tc>
          <w:tcPr>
            <w:tcW w:w="3050" w:type="dxa"/>
            <w:gridSpan w:val="3"/>
            <w:tcBorders>
              <w:top w:val="single" w:sz="18" w:space="0" w:color="auto"/>
              <w:left w:val="single" w:sz="18" w:space="0" w:color="auto"/>
              <w:right w:val="single" w:sz="18" w:space="0" w:color="auto"/>
            </w:tcBorders>
            <w:vAlign w:val="center"/>
          </w:tcPr>
          <w:p w14:paraId="3C7021B9" w14:textId="77777777" w:rsidR="00457061" w:rsidRPr="00E139FE" w:rsidRDefault="00457061" w:rsidP="009C2299">
            <w:pPr>
              <w:spacing w:after="0"/>
              <w:jc w:val="center"/>
              <w:rPr>
                <w:rFonts w:ascii="Times New Roman" w:hAnsi="Times New Roman" w:cs="Times New Roman"/>
                <w:b/>
              </w:rPr>
            </w:pPr>
            <w:r>
              <w:rPr>
                <w:rFonts w:ascii="Times New Roman" w:hAnsi="Times New Roman" w:cs="Times New Roman"/>
                <w:b/>
              </w:rPr>
              <w:t xml:space="preserve">Reference date: </w:t>
            </w:r>
            <w:r w:rsidRPr="00E139FE">
              <w:rPr>
                <w:rFonts w:ascii="Times New Roman" w:hAnsi="Times New Roman" w:cs="Times New Roman"/>
                <w:b/>
              </w:rPr>
              <w:t>31-12-2019</w:t>
            </w:r>
          </w:p>
        </w:tc>
        <w:tc>
          <w:tcPr>
            <w:tcW w:w="3195" w:type="dxa"/>
            <w:gridSpan w:val="3"/>
            <w:tcBorders>
              <w:top w:val="single" w:sz="18" w:space="0" w:color="auto"/>
              <w:left w:val="single" w:sz="18" w:space="0" w:color="auto"/>
              <w:right w:val="single" w:sz="18" w:space="0" w:color="auto"/>
            </w:tcBorders>
            <w:vAlign w:val="center"/>
          </w:tcPr>
          <w:p w14:paraId="34CA92D2" w14:textId="77777777" w:rsidR="00457061" w:rsidRPr="00E139FE" w:rsidRDefault="00457061" w:rsidP="009C2299">
            <w:pPr>
              <w:spacing w:after="0"/>
              <w:jc w:val="center"/>
              <w:rPr>
                <w:rFonts w:ascii="Times New Roman" w:hAnsi="Times New Roman" w:cs="Times New Roman"/>
                <w:b/>
              </w:rPr>
            </w:pPr>
            <w:r>
              <w:rPr>
                <w:rFonts w:ascii="Times New Roman" w:hAnsi="Times New Roman" w:cs="Times New Roman"/>
                <w:b/>
              </w:rPr>
              <w:t xml:space="preserve">Reference date: </w:t>
            </w:r>
            <w:r w:rsidRPr="00E139FE">
              <w:rPr>
                <w:rFonts w:ascii="Times New Roman" w:hAnsi="Times New Roman" w:cs="Times New Roman"/>
                <w:b/>
              </w:rPr>
              <w:t>30-06-2020</w:t>
            </w:r>
          </w:p>
        </w:tc>
      </w:tr>
      <w:tr w:rsidR="00457061" w:rsidRPr="00E139FE" w14:paraId="173C9B1C" w14:textId="77777777" w:rsidTr="009C2299">
        <w:tc>
          <w:tcPr>
            <w:tcW w:w="2735" w:type="dxa"/>
            <w:gridSpan w:val="2"/>
            <w:vMerge/>
            <w:tcBorders>
              <w:left w:val="single" w:sz="18" w:space="0" w:color="FFFFFF" w:themeColor="background1"/>
              <w:bottom w:val="single" w:sz="18" w:space="0" w:color="auto"/>
              <w:right w:val="single" w:sz="18" w:space="0" w:color="auto"/>
            </w:tcBorders>
            <w:vAlign w:val="center"/>
          </w:tcPr>
          <w:p w14:paraId="7A59D03F" w14:textId="77777777" w:rsidR="00457061" w:rsidRPr="00E139FE" w:rsidRDefault="00457061" w:rsidP="009C2299">
            <w:pPr>
              <w:spacing w:after="0"/>
              <w:jc w:val="center"/>
              <w:rPr>
                <w:rFonts w:ascii="Times New Roman" w:hAnsi="Times New Roman" w:cs="Times New Roman"/>
              </w:rPr>
            </w:pPr>
          </w:p>
        </w:tc>
        <w:tc>
          <w:tcPr>
            <w:tcW w:w="928" w:type="dxa"/>
            <w:tcBorders>
              <w:left w:val="single" w:sz="18" w:space="0" w:color="auto"/>
              <w:bottom w:val="single" w:sz="18" w:space="0" w:color="auto"/>
            </w:tcBorders>
            <w:vAlign w:val="center"/>
          </w:tcPr>
          <w:p w14:paraId="62970356"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Base case</w:t>
            </w:r>
          </w:p>
        </w:tc>
        <w:tc>
          <w:tcPr>
            <w:tcW w:w="1133" w:type="dxa"/>
            <w:tcBorders>
              <w:bottom w:val="single" w:sz="18" w:space="0" w:color="auto"/>
            </w:tcBorders>
            <w:vAlign w:val="center"/>
          </w:tcPr>
          <w:p w14:paraId="5667DD39"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Partial Impact</w:t>
            </w:r>
            <w:r w:rsidRPr="00E139FE">
              <w:rPr>
                <w:rStyle w:val="Odwoanieprzypisudolnego"/>
                <w:rFonts w:ascii="Times New Roman" w:hAnsi="Times New Roman" w:cs="Times New Roman"/>
                <w:b/>
              </w:rPr>
              <w:footnoteReference w:id="8"/>
            </w:r>
            <w:r w:rsidRPr="00E139FE">
              <w:rPr>
                <w:rFonts w:ascii="Times New Roman" w:hAnsi="Times New Roman" w:cs="Times New Roman"/>
                <w:b/>
              </w:rPr>
              <w:t xml:space="preserve"> </w:t>
            </w:r>
          </w:p>
        </w:tc>
        <w:tc>
          <w:tcPr>
            <w:tcW w:w="989" w:type="dxa"/>
            <w:tcBorders>
              <w:bottom w:val="single" w:sz="18" w:space="0" w:color="auto"/>
              <w:right w:val="single" w:sz="18" w:space="0" w:color="auto"/>
            </w:tcBorders>
            <w:vAlign w:val="center"/>
          </w:tcPr>
          <w:p w14:paraId="699EAB85"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Total impact</w:t>
            </w:r>
          </w:p>
        </w:tc>
        <w:tc>
          <w:tcPr>
            <w:tcW w:w="996" w:type="dxa"/>
            <w:tcBorders>
              <w:left w:val="single" w:sz="18" w:space="0" w:color="auto"/>
              <w:bottom w:val="single" w:sz="18" w:space="0" w:color="auto"/>
            </w:tcBorders>
            <w:vAlign w:val="center"/>
          </w:tcPr>
          <w:p w14:paraId="07270907"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Base case</w:t>
            </w:r>
          </w:p>
        </w:tc>
        <w:tc>
          <w:tcPr>
            <w:tcW w:w="993" w:type="dxa"/>
            <w:tcBorders>
              <w:bottom w:val="single" w:sz="18" w:space="0" w:color="auto"/>
            </w:tcBorders>
            <w:vAlign w:val="center"/>
          </w:tcPr>
          <w:p w14:paraId="7F9200BF"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Partial Impact</w:t>
            </w:r>
            <w:r w:rsidRPr="00E139FE">
              <w:rPr>
                <w:rStyle w:val="Odwoanieprzypisudolnego"/>
                <w:rFonts w:ascii="Times New Roman" w:hAnsi="Times New Roman" w:cs="Times New Roman"/>
                <w:b/>
              </w:rPr>
              <w:footnoteReference w:id="9"/>
            </w:r>
          </w:p>
        </w:tc>
        <w:tc>
          <w:tcPr>
            <w:tcW w:w="1206" w:type="dxa"/>
            <w:tcBorders>
              <w:bottom w:val="single" w:sz="18" w:space="0" w:color="auto"/>
              <w:right w:val="single" w:sz="18" w:space="0" w:color="auto"/>
            </w:tcBorders>
            <w:vAlign w:val="center"/>
          </w:tcPr>
          <w:p w14:paraId="1F3389DD"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Total impact</w:t>
            </w:r>
          </w:p>
        </w:tc>
      </w:tr>
      <w:tr w:rsidR="00457061" w:rsidRPr="00E139FE" w14:paraId="17A50D78" w14:textId="77777777" w:rsidTr="009C2299">
        <w:tc>
          <w:tcPr>
            <w:tcW w:w="1505" w:type="dxa"/>
            <w:vMerge w:val="restart"/>
            <w:tcBorders>
              <w:top w:val="single" w:sz="18" w:space="0" w:color="auto"/>
              <w:left w:val="single" w:sz="18" w:space="0" w:color="auto"/>
            </w:tcBorders>
            <w:vAlign w:val="center"/>
          </w:tcPr>
          <w:p w14:paraId="0B174104"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SCR ratio</w:t>
            </w:r>
          </w:p>
        </w:tc>
        <w:tc>
          <w:tcPr>
            <w:tcW w:w="1230" w:type="dxa"/>
            <w:tcBorders>
              <w:top w:val="single" w:sz="18" w:space="0" w:color="auto"/>
              <w:right w:val="single" w:sz="18" w:space="0" w:color="auto"/>
            </w:tcBorders>
            <w:vAlign w:val="center"/>
          </w:tcPr>
          <w:p w14:paraId="1625E0A4"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Total</w:t>
            </w:r>
          </w:p>
        </w:tc>
        <w:tc>
          <w:tcPr>
            <w:tcW w:w="928" w:type="dxa"/>
            <w:tcBorders>
              <w:top w:val="single" w:sz="18" w:space="0" w:color="auto"/>
              <w:left w:val="single" w:sz="18" w:space="0" w:color="auto"/>
            </w:tcBorders>
            <w:vAlign w:val="center"/>
          </w:tcPr>
          <w:p w14:paraId="4627B12B"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247%</w:t>
            </w:r>
          </w:p>
        </w:tc>
        <w:tc>
          <w:tcPr>
            <w:tcW w:w="1133" w:type="dxa"/>
            <w:tcBorders>
              <w:top w:val="single" w:sz="18" w:space="0" w:color="auto"/>
            </w:tcBorders>
            <w:vAlign w:val="center"/>
          </w:tcPr>
          <w:p w14:paraId="7BC4A44C"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248%</w:t>
            </w:r>
          </w:p>
        </w:tc>
        <w:tc>
          <w:tcPr>
            <w:tcW w:w="989" w:type="dxa"/>
            <w:tcBorders>
              <w:top w:val="single" w:sz="18" w:space="0" w:color="auto"/>
              <w:right w:val="single" w:sz="18" w:space="0" w:color="auto"/>
            </w:tcBorders>
            <w:vAlign w:val="center"/>
          </w:tcPr>
          <w:p w14:paraId="41DFE41B"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234%</w:t>
            </w:r>
          </w:p>
        </w:tc>
        <w:tc>
          <w:tcPr>
            <w:tcW w:w="996" w:type="dxa"/>
            <w:tcBorders>
              <w:top w:val="single" w:sz="18" w:space="0" w:color="auto"/>
              <w:left w:val="single" w:sz="18" w:space="0" w:color="auto"/>
            </w:tcBorders>
            <w:vAlign w:val="center"/>
          </w:tcPr>
          <w:p w14:paraId="453EBA3F"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226%</w:t>
            </w:r>
          </w:p>
        </w:tc>
        <w:tc>
          <w:tcPr>
            <w:tcW w:w="993" w:type="dxa"/>
            <w:tcBorders>
              <w:top w:val="single" w:sz="18" w:space="0" w:color="auto"/>
            </w:tcBorders>
            <w:vAlign w:val="center"/>
          </w:tcPr>
          <w:p w14:paraId="127BE5F2"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216%</w:t>
            </w:r>
          </w:p>
        </w:tc>
        <w:tc>
          <w:tcPr>
            <w:tcW w:w="1206" w:type="dxa"/>
            <w:tcBorders>
              <w:top w:val="single" w:sz="18" w:space="0" w:color="auto"/>
              <w:right w:val="single" w:sz="18" w:space="0" w:color="auto"/>
            </w:tcBorders>
            <w:vAlign w:val="center"/>
          </w:tcPr>
          <w:p w14:paraId="36312D56"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204%</w:t>
            </w:r>
          </w:p>
        </w:tc>
      </w:tr>
      <w:tr w:rsidR="00457061" w:rsidRPr="00E139FE" w14:paraId="52C0BA42" w14:textId="77777777" w:rsidTr="009C2299">
        <w:tc>
          <w:tcPr>
            <w:tcW w:w="1505" w:type="dxa"/>
            <w:vMerge/>
            <w:tcBorders>
              <w:left w:val="single" w:sz="18" w:space="0" w:color="auto"/>
            </w:tcBorders>
            <w:vAlign w:val="center"/>
          </w:tcPr>
          <w:p w14:paraId="3202642D" w14:textId="77777777" w:rsidR="00457061" w:rsidRPr="00E139FE" w:rsidRDefault="00457061" w:rsidP="009C2299">
            <w:pPr>
              <w:spacing w:after="0"/>
              <w:jc w:val="center"/>
              <w:rPr>
                <w:rFonts w:ascii="Times New Roman" w:hAnsi="Times New Roman" w:cs="Times New Roman"/>
              </w:rPr>
            </w:pPr>
          </w:p>
        </w:tc>
        <w:tc>
          <w:tcPr>
            <w:tcW w:w="1230" w:type="dxa"/>
            <w:tcBorders>
              <w:right w:val="single" w:sz="18" w:space="0" w:color="auto"/>
            </w:tcBorders>
            <w:vAlign w:val="center"/>
          </w:tcPr>
          <w:p w14:paraId="20C9D2F0"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Life</w:t>
            </w:r>
          </w:p>
        </w:tc>
        <w:tc>
          <w:tcPr>
            <w:tcW w:w="928" w:type="dxa"/>
            <w:tcBorders>
              <w:left w:val="single" w:sz="18" w:space="0" w:color="auto"/>
            </w:tcBorders>
            <w:vAlign w:val="center"/>
          </w:tcPr>
          <w:p w14:paraId="79AE0AB0"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252%</w:t>
            </w:r>
          </w:p>
        </w:tc>
        <w:tc>
          <w:tcPr>
            <w:tcW w:w="1133" w:type="dxa"/>
            <w:vAlign w:val="center"/>
          </w:tcPr>
          <w:p w14:paraId="24DD0969"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252%</w:t>
            </w:r>
          </w:p>
        </w:tc>
        <w:tc>
          <w:tcPr>
            <w:tcW w:w="989" w:type="dxa"/>
            <w:tcBorders>
              <w:right w:val="single" w:sz="18" w:space="0" w:color="auto"/>
            </w:tcBorders>
            <w:vAlign w:val="center"/>
          </w:tcPr>
          <w:p w14:paraId="4EBEC434"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228%</w:t>
            </w:r>
          </w:p>
        </w:tc>
        <w:tc>
          <w:tcPr>
            <w:tcW w:w="996" w:type="dxa"/>
            <w:tcBorders>
              <w:left w:val="single" w:sz="18" w:space="0" w:color="auto"/>
            </w:tcBorders>
            <w:vAlign w:val="center"/>
          </w:tcPr>
          <w:p w14:paraId="0779EE8A"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223%</w:t>
            </w:r>
          </w:p>
        </w:tc>
        <w:tc>
          <w:tcPr>
            <w:tcW w:w="993" w:type="dxa"/>
            <w:vAlign w:val="center"/>
          </w:tcPr>
          <w:p w14:paraId="6BC0C9F8"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205%</w:t>
            </w:r>
          </w:p>
        </w:tc>
        <w:tc>
          <w:tcPr>
            <w:tcW w:w="1206" w:type="dxa"/>
            <w:tcBorders>
              <w:right w:val="single" w:sz="18" w:space="0" w:color="auto"/>
            </w:tcBorders>
            <w:vAlign w:val="center"/>
          </w:tcPr>
          <w:p w14:paraId="5E1124E1"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188%</w:t>
            </w:r>
          </w:p>
        </w:tc>
      </w:tr>
      <w:tr w:rsidR="00457061" w:rsidRPr="00E139FE" w14:paraId="68773878" w14:textId="77777777" w:rsidTr="009C2299">
        <w:trPr>
          <w:trHeight w:val="179"/>
        </w:trPr>
        <w:tc>
          <w:tcPr>
            <w:tcW w:w="1505" w:type="dxa"/>
            <w:vMerge/>
            <w:tcBorders>
              <w:left w:val="single" w:sz="18" w:space="0" w:color="auto"/>
              <w:bottom w:val="single" w:sz="18" w:space="0" w:color="auto"/>
            </w:tcBorders>
            <w:vAlign w:val="center"/>
          </w:tcPr>
          <w:p w14:paraId="46B64CBE" w14:textId="77777777" w:rsidR="00457061" w:rsidRPr="00E139FE" w:rsidRDefault="00457061" w:rsidP="009C2299">
            <w:pPr>
              <w:spacing w:after="0"/>
              <w:jc w:val="center"/>
              <w:rPr>
                <w:rFonts w:ascii="Times New Roman" w:hAnsi="Times New Roman" w:cs="Times New Roman"/>
              </w:rPr>
            </w:pPr>
          </w:p>
        </w:tc>
        <w:tc>
          <w:tcPr>
            <w:tcW w:w="1230" w:type="dxa"/>
            <w:tcBorders>
              <w:bottom w:val="single" w:sz="18" w:space="0" w:color="auto"/>
              <w:right w:val="single" w:sz="18" w:space="0" w:color="auto"/>
            </w:tcBorders>
            <w:vAlign w:val="center"/>
          </w:tcPr>
          <w:p w14:paraId="5AAAFBE6"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Non-life and reinsurance</w:t>
            </w:r>
          </w:p>
        </w:tc>
        <w:tc>
          <w:tcPr>
            <w:tcW w:w="928" w:type="dxa"/>
            <w:tcBorders>
              <w:left w:val="single" w:sz="18" w:space="0" w:color="auto"/>
              <w:bottom w:val="single" w:sz="18" w:space="0" w:color="auto"/>
            </w:tcBorders>
            <w:vAlign w:val="center"/>
          </w:tcPr>
          <w:p w14:paraId="6C8E8F74"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240%</w:t>
            </w:r>
          </w:p>
        </w:tc>
        <w:tc>
          <w:tcPr>
            <w:tcW w:w="1133" w:type="dxa"/>
            <w:tcBorders>
              <w:bottom w:val="single" w:sz="18" w:space="0" w:color="auto"/>
            </w:tcBorders>
            <w:vAlign w:val="center"/>
          </w:tcPr>
          <w:p w14:paraId="34223A5F"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243%</w:t>
            </w:r>
          </w:p>
        </w:tc>
        <w:tc>
          <w:tcPr>
            <w:tcW w:w="989" w:type="dxa"/>
            <w:tcBorders>
              <w:bottom w:val="single" w:sz="18" w:space="0" w:color="auto"/>
              <w:right w:val="single" w:sz="18" w:space="0" w:color="auto"/>
            </w:tcBorders>
            <w:vAlign w:val="center"/>
          </w:tcPr>
          <w:p w14:paraId="20261146"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242%</w:t>
            </w:r>
          </w:p>
        </w:tc>
        <w:tc>
          <w:tcPr>
            <w:tcW w:w="996" w:type="dxa"/>
            <w:tcBorders>
              <w:left w:val="single" w:sz="18" w:space="0" w:color="auto"/>
              <w:bottom w:val="single" w:sz="18" w:space="0" w:color="auto"/>
            </w:tcBorders>
            <w:vAlign w:val="center"/>
          </w:tcPr>
          <w:p w14:paraId="6F717E32"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229%</w:t>
            </w:r>
          </w:p>
        </w:tc>
        <w:tc>
          <w:tcPr>
            <w:tcW w:w="993" w:type="dxa"/>
            <w:tcBorders>
              <w:bottom w:val="single" w:sz="18" w:space="0" w:color="auto"/>
            </w:tcBorders>
            <w:vAlign w:val="center"/>
          </w:tcPr>
          <w:p w14:paraId="70034736"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231%</w:t>
            </w:r>
          </w:p>
        </w:tc>
        <w:tc>
          <w:tcPr>
            <w:tcW w:w="1206" w:type="dxa"/>
            <w:tcBorders>
              <w:bottom w:val="single" w:sz="18" w:space="0" w:color="auto"/>
              <w:right w:val="single" w:sz="18" w:space="0" w:color="auto"/>
            </w:tcBorders>
            <w:vAlign w:val="center"/>
          </w:tcPr>
          <w:p w14:paraId="48CFD6FB"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231%</w:t>
            </w:r>
          </w:p>
        </w:tc>
      </w:tr>
      <w:tr w:rsidR="00457061" w:rsidRPr="00E139FE" w14:paraId="4B0F8679" w14:textId="77777777" w:rsidTr="009C2299">
        <w:tc>
          <w:tcPr>
            <w:tcW w:w="1505" w:type="dxa"/>
            <w:vMerge w:val="restart"/>
            <w:tcBorders>
              <w:top w:val="single" w:sz="18" w:space="0" w:color="auto"/>
              <w:left w:val="single" w:sz="18" w:space="0" w:color="auto"/>
            </w:tcBorders>
            <w:vAlign w:val="center"/>
          </w:tcPr>
          <w:p w14:paraId="40BE32E7"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 xml:space="preserve">Change in excess own funds over SCR </w:t>
            </w:r>
            <w:r w:rsidRPr="00E139FE">
              <w:rPr>
                <w:rFonts w:ascii="Times New Roman" w:hAnsi="Times New Roman" w:cs="Times New Roman"/>
                <w:u w:val="single"/>
              </w:rPr>
              <w:t>for the sample</w:t>
            </w:r>
            <w:r w:rsidRPr="00E139FE">
              <w:rPr>
                <w:rFonts w:ascii="Times New Roman" w:hAnsi="Times New Roman" w:cs="Times New Roman"/>
              </w:rPr>
              <w:t xml:space="preserve"> (in EUR)</w:t>
            </w:r>
          </w:p>
        </w:tc>
        <w:tc>
          <w:tcPr>
            <w:tcW w:w="1230" w:type="dxa"/>
            <w:tcBorders>
              <w:top w:val="single" w:sz="18" w:space="0" w:color="auto"/>
              <w:right w:val="single" w:sz="18" w:space="0" w:color="auto"/>
            </w:tcBorders>
            <w:vAlign w:val="center"/>
          </w:tcPr>
          <w:p w14:paraId="5BB3A38E"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Total</w:t>
            </w:r>
          </w:p>
        </w:tc>
        <w:tc>
          <w:tcPr>
            <w:tcW w:w="928" w:type="dxa"/>
            <w:tcBorders>
              <w:top w:val="single" w:sz="18" w:space="0" w:color="auto"/>
              <w:left w:val="single" w:sz="18" w:space="0" w:color="auto"/>
            </w:tcBorders>
            <w:vAlign w:val="center"/>
          </w:tcPr>
          <w:p w14:paraId="15965E0C"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w:t>
            </w:r>
          </w:p>
        </w:tc>
        <w:tc>
          <w:tcPr>
            <w:tcW w:w="1133" w:type="dxa"/>
            <w:tcBorders>
              <w:top w:val="single" w:sz="18" w:space="0" w:color="auto"/>
            </w:tcBorders>
            <w:vAlign w:val="center"/>
          </w:tcPr>
          <w:p w14:paraId="44A2B592"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+7 bn</w:t>
            </w:r>
          </w:p>
        </w:tc>
        <w:tc>
          <w:tcPr>
            <w:tcW w:w="989" w:type="dxa"/>
            <w:tcBorders>
              <w:top w:val="single" w:sz="18" w:space="0" w:color="auto"/>
              <w:right w:val="single" w:sz="18" w:space="0" w:color="auto"/>
            </w:tcBorders>
            <w:vAlign w:val="center"/>
          </w:tcPr>
          <w:p w14:paraId="311C7942"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-15 bn</w:t>
            </w:r>
          </w:p>
        </w:tc>
        <w:tc>
          <w:tcPr>
            <w:tcW w:w="996" w:type="dxa"/>
            <w:tcBorders>
              <w:top w:val="single" w:sz="18" w:space="0" w:color="auto"/>
              <w:left w:val="single" w:sz="18" w:space="0" w:color="auto"/>
            </w:tcBorders>
            <w:vAlign w:val="center"/>
          </w:tcPr>
          <w:p w14:paraId="2C649CF0"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w:t>
            </w:r>
          </w:p>
        </w:tc>
        <w:tc>
          <w:tcPr>
            <w:tcW w:w="993" w:type="dxa"/>
            <w:tcBorders>
              <w:top w:val="single" w:sz="18" w:space="0" w:color="auto"/>
            </w:tcBorders>
            <w:vAlign w:val="center"/>
          </w:tcPr>
          <w:p w14:paraId="2AE5735D"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-21 bn</w:t>
            </w:r>
          </w:p>
        </w:tc>
        <w:tc>
          <w:tcPr>
            <w:tcW w:w="1206" w:type="dxa"/>
            <w:tcBorders>
              <w:top w:val="single" w:sz="18" w:space="0" w:color="auto"/>
              <w:right w:val="single" w:sz="18" w:space="0" w:color="auto"/>
            </w:tcBorders>
            <w:vAlign w:val="center"/>
          </w:tcPr>
          <w:p w14:paraId="3F8777E6"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-40 bn</w:t>
            </w:r>
          </w:p>
        </w:tc>
      </w:tr>
      <w:tr w:rsidR="00457061" w:rsidRPr="00E139FE" w14:paraId="0701843B" w14:textId="77777777" w:rsidTr="009C2299">
        <w:tc>
          <w:tcPr>
            <w:tcW w:w="1505" w:type="dxa"/>
            <w:vMerge/>
            <w:tcBorders>
              <w:left w:val="single" w:sz="18" w:space="0" w:color="auto"/>
            </w:tcBorders>
            <w:vAlign w:val="center"/>
          </w:tcPr>
          <w:p w14:paraId="2DA6BA95" w14:textId="77777777" w:rsidR="00457061" w:rsidRPr="00E139FE" w:rsidRDefault="00457061" w:rsidP="009C2299">
            <w:pPr>
              <w:spacing w:after="0"/>
              <w:jc w:val="center"/>
              <w:rPr>
                <w:rFonts w:ascii="Times New Roman" w:hAnsi="Times New Roman" w:cs="Times New Roman"/>
              </w:rPr>
            </w:pPr>
          </w:p>
        </w:tc>
        <w:tc>
          <w:tcPr>
            <w:tcW w:w="1230" w:type="dxa"/>
            <w:tcBorders>
              <w:right w:val="single" w:sz="18" w:space="0" w:color="auto"/>
            </w:tcBorders>
            <w:vAlign w:val="center"/>
          </w:tcPr>
          <w:p w14:paraId="7050ABCF"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Life</w:t>
            </w:r>
          </w:p>
        </w:tc>
        <w:tc>
          <w:tcPr>
            <w:tcW w:w="928" w:type="dxa"/>
            <w:tcBorders>
              <w:left w:val="single" w:sz="18" w:space="0" w:color="auto"/>
            </w:tcBorders>
            <w:vAlign w:val="center"/>
          </w:tcPr>
          <w:p w14:paraId="61DC218D"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w:t>
            </w:r>
          </w:p>
        </w:tc>
        <w:tc>
          <w:tcPr>
            <w:tcW w:w="1133" w:type="dxa"/>
            <w:vAlign w:val="center"/>
          </w:tcPr>
          <w:p w14:paraId="55001A14"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+2 bn</w:t>
            </w:r>
          </w:p>
        </w:tc>
        <w:tc>
          <w:tcPr>
            <w:tcW w:w="989" w:type="dxa"/>
            <w:tcBorders>
              <w:right w:val="single" w:sz="18" w:space="0" w:color="auto"/>
            </w:tcBorders>
            <w:vAlign w:val="center"/>
          </w:tcPr>
          <w:p w14:paraId="7FF554C4"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-20 bn</w:t>
            </w:r>
          </w:p>
        </w:tc>
        <w:tc>
          <w:tcPr>
            <w:tcW w:w="996" w:type="dxa"/>
            <w:tcBorders>
              <w:left w:val="single" w:sz="18" w:space="0" w:color="auto"/>
            </w:tcBorders>
            <w:vAlign w:val="center"/>
          </w:tcPr>
          <w:p w14:paraId="01C1EBCD"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w:t>
            </w:r>
          </w:p>
        </w:tc>
        <w:tc>
          <w:tcPr>
            <w:tcW w:w="993" w:type="dxa"/>
            <w:vAlign w:val="center"/>
          </w:tcPr>
          <w:p w14:paraId="077FD00C"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-24 bn</w:t>
            </w:r>
          </w:p>
        </w:tc>
        <w:tc>
          <w:tcPr>
            <w:tcW w:w="1206" w:type="dxa"/>
            <w:tcBorders>
              <w:right w:val="single" w:sz="18" w:space="0" w:color="auto"/>
            </w:tcBorders>
            <w:vAlign w:val="center"/>
          </w:tcPr>
          <w:p w14:paraId="4D5D1528"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-43 bn</w:t>
            </w:r>
          </w:p>
        </w:tc>
      </w:tr>
      <w:tr w:rsidR="00457061" w:rsidRPr="00E139FE" w14:paraId="45A0AF83" w14:textId="77777777" w:rsidTr="009C2299">
        <w:tc>
          <w:tcPr>
            <w:tcW w:w="1505" w:type="dxa"/>
            <w:vMerge/>
            <w:tcBorders>
              <w:left w:val="single" w:sz="18" w:space="0" w:color="auto"/>
              <w:bottom w:val="single" w:sz="18" w:space="0" w:color="auto"/>
            </w:tcBorders>
            <w:vAlign w:val="center"/>
          </w:tcPr>
          <w:p w14:paraId="603A746B" w14:textId="77777777" w:rsidR="00457061" w:rsidRPr="00E139FE" w:rsidRDefault="00457061" w:rsidP="009C2299">
            <w:pPr>
              <w:spacing w:after="0"/>
              <w:jc w:val="center"/>
              <w:rPr>
                <w:rFonts w:ascii="Times New Roman" w:hAnsi="Times New Roman" w:cs="Times New Roman"/>
              </w:rPr>
            </w:pPr>
          </w:p>
        </w:tc>
        <w:tc>
          <w:tcPr>
            <w:tcW w:w="1230" w:type="dxa"/>
            <w:tcBorders>
              <w:bottom w:val="single" w:sz="18" w:space="0" w:color="auto"/>
              <w:right w:val="single" w:sz="18" w:space="0" w:color="auto"/>
            </w:tcBorders>
            <w:vAlign w:val="center"/>
          </w:tcPr>
          <w:p w14:paraId="3D91146C"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Non-life and reinsurance</w:t>
            </w:r>
          </w:p>
        </w:tc>
        <w:tc>
          <w:tcPr>
            <w:tcW w:w="928" w:type="dxa"/>
            <w:tcBorders>
              <w:left w:val="single" w:sz="18" w:space="0" w:color="auto"/>
              <w:bottom w:val="single" w:sz="18" w:space="0" w:color="auto"/>
            </w:tcBorders>
            <w:vAlign w:val="center"/>
          </w:tcPr>
          <w:p w14:paraId="01C94E20"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w:t>
            </w:r>
          </w:p>
        </w:tc>
        <w:tc>
          <w:tcPr>
            <w:tcW w:w="1133" w:type="dxa"/>
            <w:tcBorders>
              <w:bottom w:val="single" w:sz="18" w:space="0" w:color="auto"/>
            </w:tcBorders>
            <w:vAlign w:val="center"/>
          </w:tcPr>
          <w:p w14:paraId="22C6E1C4"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+5 bn</w:t>
            </w:r>
          </w:p>
        </w:tc>
        <w:tc>
          <w:tcPr>
            <w:tcW w:w="989" w:type="dxa"/>
            <w:tcBorders>
              <w:bottom w:val="single" w:sz="18" w:space="0" w:color="auto"/>
              <w:right w:val="single" w:sz="18" w:space="0" w:color="auto"/>
            </w:tcBorders>
            <w:vAlign w:val="center"/>
          </w:tcPr>
          <w:p w14:paraId="42CFE243"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+5 bn</w:t>
            </w:r>
          </w:p>
        </w:tc>
        <w:tc>
          <w:tcPr>
            <w:tcW w:w="996" w:type="dxa"/>
            <w:tcBorders>
              <w:left w:val="single" w:sz="18" w:space="0" w:color="auto"/>
            </w:tcBorders>
            <w:vAlign w:val="center"/>
          </w:tcPr>
          <w:p w14:paraId="3C280ED0"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w:t>
            </w:r>
          </w:p>
        </w:tc>
        <w:tc>
          <w:tcPr>
            <w:tcW w:w="993" w:type="dxa"/>
            <w:vAlign w:val="center"/>
          </w:tcPr>
          <w:p w14:paraId="67CD1FAC"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+3 bn</w:t>
            </w:r>
          </w:p>
        </w:tc>
        <w:tc>
          <w:tcPr>
            <w:tcW w:w="1206" w:type="dxa"/>
            <w:tcBorders>
              <w:right w:val="single" w:sz="18" w:space="0" w:color="auto"/>
            </w:tcBorders>
            <w:vAlign w:val="center"/>
          </w:tcPr>
          <w:p w14:paraId="4344E8B8"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+3 bn</w:t>
            </w:r>
          </w:p>
        </w:tc>
      </w:tr>
      <w:tr w:rsidR="00457061" w:rsidRPr="00E139FE" w14:paraId="47F5BED7" w14:textId="77777777" w:rsidTr="009C2299">
        <w:tc>
          <w:tcPr>
            <w:tcW w:w="2735" w:type="dxa"/>
            <w:gridSpan w:val="2"/>
            <w:tcBorders>
              <w:top w:val="single" w:sz="18" w:space="0" w:color="auto"/>
              <w:left w:val="single" w:sz="18" w:space="0" w:color="auto"/>
              <w:bottom w:val="single" w:sz="18" w:space="0" w:color="auto"/>
              <w:right w:val="single" w:sz="18" w:space="0" w:color="auto"/>
            </w:tcBorders>
            <w:vAlign w:val="center"/>
          </w:tcPr>
          <w:p w14:paraId="407A182B" w14:textId="77777777" w:rsidR="00457061" w:rsidRPr="00E139FE" w:rsidRDefault="00457061" w:rsidP="009C2299">
            <w:pPr>
              <w:spacing w:after="0"/>
              <w:jc w:val="center"/>
              <w:rPr>
                <w:rFonts w:ascii="Times New Roman" w:hAnsi="Times New Roman" w:cs="Times New Roman"/>
              </w:rPr>
            </w:pPr>
            <w:r w:rsidRPr="00E139FE">
              <w:rPr>
                <w:rFonts w:ascii="Times New Roman" w:hAnsi="Times New Roman" w:cs="Times New Roman"/>
              </w:rPr>
              <w:t xml:space="preserve">Estimated change in excess own funds over SCR </w:t>
            </w:r>
            <w:r w:rsidRPr="00E139FE">
              <w:rPr>
                <w:rFonts w:ascii="Times New Roman" w:hAnsi="Times New Roman" w:cs="Times New Roman"/>
                <w:u w:val="single"/>
              </w:rPr>
              <w:t>for the whole market</w:t>
            </w:r>
            <w:r w:rsidRPr="00E139FE">
              <w:rPr>
                <w:rFonts w:ascii="Times New Roman" w:hAnsi="Times New Roman" w:cs="Times New Roman"/>
              </w:rPr>
              <w:t xml:space="preserve"> (in EUR)</w:t>
            </w:r>
          </w:p>
        </w:tc>
        <w:tc>
          <w:tcPr>
            <w:tcW w:w="928" w:type="dxa"/>
            <w:tcBorders>
              <w:top w:val="single" w:sz="18" w:space="0" w:color="auto"/>
              <w:left w:val="single" w:sz="18" w:space="0" w:color="auto"/>
              <w:bottom w:val="single" w:sz="18" w:space="0" w:color="auto"/>
            </w:tcBorders>
            <w:vAlign w:val="center"/>
          </w:tcPr>
          <w:p w14:paraId="26FE12D3"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w:t>
            </w:r>
          </w:p>
        </w:tc>
        <w:tc>
          <w:tcPr>
            <w:tcW w:w="1133" w:type="dxa"/>
            <w:tcBorders>
              <w:top w:val="single" w:sz="18" w:space="0" w:color="auto"/>
              <w:bottom w:val="single" w:sz="18" w:space="0" w:color="auto"/>
            </w:tcBorders>
            <w:vAlign w:val="center"/>
          </w:tcPr>
          <w:p w14:paraId="7C24DD06"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+11 bn</w:t>
            </w:r>
          </w:p>
        </w:tc>
        <w:tc>
          <w:tcPr>
            <w:tcW w:w="989" w:type="dxa"/>
            <w:tcBorders>
              <w:top w:val="single" w:sz="18" w:space="0" w:color="auto"/>
              <w:bottom w:val="single" w:sz="18" w:space="0" w:color="auto"/>
              <w:right w:val="single" w:sz="18" w:space="0" w:color="auto"/>
            </w:tcBorders>
            <w:vAlign w:val="center"/>
          </w:tcPr>
          <w:p w14:paraId="2D402E1C" w14:textId="77777777" w:rsidR="00457061" w:rsidRPr="00E139FE" w:rsidRDefault="00457061" w:rsidP="009C2299">
            <w:pPr>
              <w:spacing w:after="0"/>
              <w:jc w:val="center"/>
              <w:rPr>
                <w:rFonts w:ascii="Times New Roman" w:hAnsi="Times New Roman" w:cs="Times New Roman"/>
                <w:b/>
              </w:rPr>
            </w:pPr>
            <w:r w:rsidRPr="00E139FE">
              <w:rPr>
                <w:rFonts w:ascii="Times New Roman" w:hAnsi="Times New Roman" w:cs="Times New Roman"/>
                <w:b/>
              </w:rPr>
              <w:t>-18 bn</w:t>
            </w:r>
          </w:p>
        </w:tc>
        <w:tc>
          <w:tcPr>
            <w:tcW w:w="996" w:type="dxa"/>
            <w:tcBorders>
              <w:left w:val="single" w:sz="18" w:space="0" w:color="auto"/>
              <w:bottom w:val="single" w:sz="18" w:space="0" w:color="auto"/>
            </w:tcBorders>
            <w:shd w:val="clear" w:color="auto" w:fill="000000" w:themeFill="text1"/>
            <w:vAlign w:val="center"/>
          </w:tcPr>
          <w:p w14:paraId="1235B6A0" w14:textId="77777777" w:rsidR="00457061" w:rsidRPr="00E139FE" w:rsidRDefault="00457061" w:rsidP="009C2299">
            <w:pPr>
              <w:spacing w:after="0"/>
              <w:jc w:val="center"/>
              <w:rPr>
                <w:rFonts w:ascii="Times New Roman" w:hAnsi="Times New Roman" w:cs="Times New Roman"/>
              </w:rPr>
            </w:pPr>
          </w:p>
        </w:tc>
        <w:tc>
          <w:tcPr>
            <w:tcW w:w="993" w:type="dxa"/>
            <w:tcBorders>
              <w:bottom w:val="single" w:sz="18" w:space="0" w:color="auto"/>
            </w:tcBorders>
            <w:shd w:val="clear" w:color="auto" w:fill="000000" w:themeFill="text1"/>
            <w:vAlign w:val="center"/>
          </w:tcPr>
          <w:p w14:paraId="31ABD26C" w14:textId="77777777" w:rsidR="00457061" w:rsidRPr="00E139FE" w:rsidRDefault="00457061" w:rsidP="009C2299">
            <w:pPr>
              <w:spacing w:after="0"/>
              <w:jc w:val="center"/>
              <w:rPr>
                <w:rFonts w:ascii="Times New Roman" w:hAnsi="Times New Roman" w:cs="Times New Roman"/>
              </w:rPr>
            </w:pPr>
          </w:p>
        </w:tc>
        <w:tc>
          <w:tcPr>
            <w:tcW w:w="1206" w:type="dxa"/>
            <w:tcBorders>
              <w:bottom w:val="single" w:sz="18" w:space="0" w:color="auto"/>
              <w:right w:val="single" w:sz="18" w:space="0" w:color="auto"/>
            </w:tcBorders>
            <w:shd w:val="clear" w:color="auto" w:fill="000000" w:themeFill="text1"/>
            <w:vAlign w:val="center"/>
          </w:tcPr>
          <w:p w14:paraId="27B438DA" w14:textId="77777777" w:rsidR="00457061" w:rsidRPr="00E139FE" w:rsidRDefault="00457061" w:rsidP="009C2299">
            <w:pPr>
              <w:spacing w:after="0"/>
              <w:jc w:val="center"/>
              <w:rPr>
                <w:rFonts w:ascii="Times New Roman" w:hAnsi="Times New Roman" w:cs="Times New Roman"/>
              </w:rPr>
            </w:pPr>
          </w:p>
        </w:tc>
      </w:tr>
    </w:tbl>
    <w:p w14:paraId="39A7080F" w14:textId="77777777" w:rsidR="00457061" w:rsidRDefault="00457061" w:rsidP="00457061">
      <w:pPr>
        <w:tabs>
          <w:tab w:val="left" w:pos="4962"/>
        </w:tabs>
        <w:spacing w:before="100" w:beforeAutospacing="1" w:after="240"/>
        <w:jc w:val="both"/>
        <w:rPr>
          <w:rFonts w:ascii="Times New Roman" w:hAnsi="Times New Roman" w:cs="Times New Roman"/>
        </w:rPr>
      </w:pPr>
      <w:r w:rsidRPr="0024068E">
        <w:rPr>
          <w:rFonts w:ascii="Times New Roman" w:hAnsi="Times New Roman" w:cs="Times New Roman"/>
        </w:rPr>
        <w:t>EIOPA considers that, overall, the proposed amendments to the Solvency II framework remain balanced</w:t>
      </w:r>
      <w:r>
        <w:rPr>
          <w:rFonts w:ascii="Times New Roman" w:hAnsi="Times New Roman" w:cs="Times New Roman"/>
        </w:rPr>
        <w:t xml:space="preserve"> in terms of the second objective above</w:t>
      </w:r>
      <w:r w:rsidRPr="0024068E">
        <w:rPr>
          <w:rFonts w:ascii="Times New Roman" w:hAnsi="Times New Roman" w:cs="Times New Roman"/>
        </w:rPr>
        <w:t xml:space="preserve">, </w:t>
      </w:r>
      <w:r>
        <w:rPr>
          <w:rFonts w:ascii="Times New Roman" w:hAnsi="Times New Roman" w:cs="Times New Roman"/>
        </w:rPr>
        <w:t>as</w:t>
      </w:r>
      <w:r w:rsidRPr="0024068E">
        <w:rPr>
          <w:rFonts w:ascii="Times New Roman" w:hAnsi="Times New Roman" w:cs="Times New Roman"/>
        </w:rPr>
        <w:t xml:space="preserve"> they do not increase capital requirements imposed on insurers (not taking into account impact of the interest rate risk standard formula change).</w:t>
      </w:r>
    </w:p>
    <w:p w14:paraId="57ED0C00" w14:textId="77777777" w:rsidR="00457061" w:rsidRPr="00B90A5B" w:rsidRDefault="00457061" w:rsidP="00457061">
      <w:pPr>
        <w:pStyle w:val="Akapitzlist"/>
        <w:numPr>
          <w:ilvl w:val="0"/>
          <w:numId w:val="19"/>
        </w:numPr>
        <w:pBdr>
          <w:top w:val="single" w:sz="4" w:space="1" w:color="auto"/>
          <w:left w:val="single" w:sz="4" w:space="12" w:color="auto"/>
          <w:bottom w:val="single" w:sz="4" w:space="1" w:color="auto"/>
          <w:right w:val="single" w:sz="4" w:space="4" w:color="auto"/>
        </w:pBdr>
        <w:tabs>
          <w:tab w:val="left" w:pos="4962"/>
        </w:tabs>
        <w:spacing w:before="120" w:after="120"/>
        <w:jc w:val="both"/>
        <w:rPr>
          <w:rFonts w:ascii="Times New Roman" w:hAnsi="Times New Roman" w:cs="Times New Roman"/>
          <w:i/>
          <w:sz w:val="21"/>
          <w:szCs w:val="21"/>
        </w:rPr>
      </w:pPr>
      <w:r w:rsidRPr="00B90A5B">
        <w:rPr>
          <w:rFonts w:ascii="Times New Roman" w:hAnsi="Times New Roman" w:cs="Times New Roman"/>
          <w:i/>
          <w:sz w:val="21"/>
          <w:szCs w:val="21"/>
        </w:rPr>
        <w:t xml:space="preserve">Member States are invited to </w:t>
      </w:r>
      <w:r w:rsidR="006B7123">
        <w:rPr>
          <w:rFonts w:ascii="Times New Roman" w:hAnsi="Times New Roman" w:cs="Times New Roman"/>
          <w:i/>
          <w:sz w:val="21"/>
          <w:szCs w:val="21"/>
        </w:rPr>
        <w:t>share their views on</w:t>
      </w:r>
      <w:r w:rsidR="006B7123" w:rsidRPr="00B90A5B">
        <w:rPr>
          <w:rFonts w:ascii="Times New Roman" w:hAnsi="Times New Roman" w:cs="Times New Roman"/>
          <w:i/>
          <w:sz w:val="21"/>
          <w:szCs w:val="21"/>
        </w:rPr>
        <w:t xml:space="preserve"> </w:t>
      </w:r>
      <w:r w:rsidRPr="00B90A5B">
        <w:rPr>
          <w:rFonts w:ascii="Times New Roman" w:hAnsi="Times New Roman" w:cs="Times New Roman"/>
          <w:i/>
          <w:sz w:val="21"/>
          <w:szCs w:val="21"/>
        </w:rPr>
        <w:t xml:space="preserve">whether </w:t>
      </w:r>
      <w:r>
        <w:rPr>
          <w:rFonts w:ascii="Times New Roman" w:hAnsi="Times New Roman" w:cs="Times New Roman"/>
          <w:i/>
          <w:sz w:val="21"/>
          <w:szCs w:val="21"/>
        </w:rPr>
        <w:t>EIOPA’s proposals lead to a “balanced outcome” in terms of quantitative impact. If this is not the case, Member States are requested to take into account how a balanced review could be achieved during the di</w:t>
      </w:r>
      <w:r w:rsidR="00E45808">
        <w:rPr>
          <w:rFonts w:ascii="Times New Roman" w:hAnsi="Times New Roman" w:cs="Times New Roman"/>
          <w:i/>
          <w:sz w:val="21"/>
          <w:szCs w:val="21"/>
        </w:rPr>
        <w:t>s</w:t>
      </w:r>
      <w:r>
        <w:rPr>
          <w:rFonts w:ascii="Times New Roman" w:hAnsi="Times New Roman" w:cs="Times New Roman"/>
          <w:i/>
          <w:sz w:val="21"/>
          <w:szCs w:val="21"/>
        </w:rPr>
        <w:t>cussions on the different topics.</w:t>
      </w:r>
    </w:p>
    <w:p w14:paraId="3BF25310" w14:textId="77777777" w:rsidR="00B90A5B" w:rsidRDefault="00B90A5B" w:rsidP="00B90A5B">
      <w:pPr>
        <w:spacing w:before="120" w:after="120"/>
        <w:jc w:val="both"/>
        <w:rPr>
          <w:rFonts w:ascii="Times New Roman" w:hAnsi="Times New Roman" w:cs="Times New Roman"/>
          <w:b/>
          <w:sz w:val="24"/>
          <w:szCs w:val="24"/>
          <w:u w:val="single"/>
        </w:rPr>
      </w:pPr>
    </w:p>
    <w:sectPr w:rsidR="00B90A5B" w:rsidSect="00491CD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BE6D7" w14:textId="77777777" w:rsidR="00FC6AA1" w:rsidRDefault="00FC6AA1" w:rsidP="003721B5">
      <w:pPr>
        <w:spacing w:after="0" w:line="240" w:lineRule="auto"/>
      </w:pPr>
      <w:r>
        <w:separator/>
      </w:r>
    </w:p>
  </w:endnote>
  <w:endnote w:type="continuationSeparator" w:id="0">
    <w:p w14:paraId="7B7DD040" w14:textId="77777777" w:rsidR="00FC6AA1" w:rsidRDefault="00FC6AA1" w:rsidP="003721B5">
      <w:pPr>
        <w:spacing w:after="0" w:line="240" w:lineRule="auto"/>
      </w:pPr>
      <w:r>
        <w:continuationSeparator/>
      </w:r>
    </w:p>
  </w:endnote>
  <w:endnote w:type="continuationNotice" w:id="1">
    <w:p w14:paraId="530D165F" w14:textId="77777777" w:rsidR="00FC6AA1" w:rsidRDefault="00FC6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B7326" w14:textId="77777777" w:rsidR="002C1B00" w:rsidRDefault="002C1B0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83561"/>
      <w:docPartObj>
        <w:docPartGallery w:val="Page Numbers (Bottom of Page)"/>
        <w:docPartUnique/>
      </w:docPartObj>
    </w:sdtPr>
    <w:sdtEndPr>
      <w:rPr>
        <w:rFonts w:ascii="Times New Roman" w:hAnsi="Times New Roman" w:cs="Times New Roman"/>
        <w:noProof/>
      </w:rPr>
    </w:sdtEndPr>
    <w:sdtContent>
      <w:p w14:paraId="286BB1DD" w14:textId="4EEF6883" w:rsidR="002C1B00" w:rsidRPr="00B90A5B" w:rsidRDefault="002C1B00">
        <w:pPr>
          <w:pStyle w:val="Stopka"/>
          <w:jc w:val="center"/>
          <w:rPr>
            <w:rFonts w:ascii="Times New Roman" w:hAnsi="Times New Roman" w:cs="Times New Roman"/>
          </w:rPr>
        </w:pPr>
        <w:r w:rsidRPr="00B90A5B">
          <w:rPr>
            <w:rFonts w:ascii="Times New Roman" w:hAnsi="Times New Roman" w:cs="Times New Roman"/>
          </w:rPr>
          <w:fldChar w:fldCharType="begin"/>
        </w:r>
        <w:r w:rsidRPr="00B90A5B">
          <w:rPr>
            <w:rFonts w:ascii="Times New Roman" w:hAnsi="Times New Roman" w:cs="Times New Roman"/>
          </w:rPr>
          <w:instrText xml:space="preserve"> PAGE   \* MERGEFORMAT </w:instrText>
        </w:r>
        <w:r w:rsidRPr="00B90A5B">
          <w:rPr>
            <w:rFonts w:ascii="Times New Roman" w:hAnsi="Times New Roman" w:cs="Times New Roman"/>
          </w:rPr>
          <w:fldChar w:fldCharType="separate"/>
        </w:r>
        <w:r w:rsidR="00404C17">
          <w:rPr>
            <w:rFonts w:ascii="Times New Roman" w:hAnsi="Times New Roman" w:cs="Times New Roman"/>
            <w:noProof/>
          </w:rPr>
          <w:t>4</w:t>
        </w:r>
        <w:r w:rsidRPr="00B90A5B">
          <w:rPr>
            <w:rFonts w:ascii="Times New Roman" w:hAnsi="Times New Roman" w:cs="Times New Roman"/>
            <w:noProof/>
          </w:rPr>
          <w:fldChar w:fldCharType="end"/>
        </w:r>
      </w:p>
    </w:sdtContent>
  </w:sdt>
  <w:p w14:paraId="46934041" w14:textId="77777777" w:rsidR="002C1B00" w:rsidRDefault="002C1B0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8EED8" w14:textId="77777777" w:rsidR="002C1B00" w:rsidRDefault="002C1B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8C7AF" w14:textId="77777777" w:rsidR="00FC6AA1" w:rsidRDefault="00FC6AA1" w:rsidP="003721B5">
      <w:pPr>
        <w:spacing w:after="0" w:line="240" w:lineRule="auto"/>
      </w:pPr>
      <w:r>
        <w:separator/>
      </w:r>
    </w:p>
  </w:footnote>
  <w:footnote w:type="continuationSeparator" w:id="0">
    <w:p w14:paraId="51848635" w14:textId="77777777" w:rsidR="00FC6AA1" w:rsidRDefault="00FC6AA1" w:rsidP="003721B5">
      <w:pPr>
        <w:spacing w:after="0" w:line="240" w:lineRule="auto"/>
      </w:pPr>
      <w:r>
        <w:continuationSeparator/>
      </w:r>
    </w:p>
  </w:footnote>
  <w:footnote w:type="continuationNotice" w:id="1">
    <w:p w14:paraId="599BC0D0" w14:textId="77777777" w:rsidR="00FC6AA1" w:rsidRDefault="00FC6AA1">
      <w:pPr>
        <w:spacing w:after="0" w:line="240" w:lineRule="auto"/>
      </w:pPr>
    </w:p>
  </w:footnote>
  <w:footnote w:id="2">
    <w:p w14:paraId="375ED108" w14:textId="77777777" w:rsidR="002C1B00" w:rsidRPr="00365EEC" w:rsidRDefault="002C1B00" w:rsidP="005926E5">
      <w:pPr>
        <w:pStyle w:val="Tekstprzypisudolnego"/>
        <w:jc w:val="both"/>
        <w:rPr>
          <w:rFonts w:ascii="Times New Roman" w:hAnsi="Times New Roman" w:cs="Times New Roman"/>
          <w:sz w:val="16"/>
        </w:rPr>
      </w:pPr>
      <w:r w:rsidRPr="00365EEC">
        <w:rPr>
          <w:rStyle w:val="Odwoanieprzypisudolnego"/>
          <w:rFonts w:ascii="Times New Roman" w:hAnsi="Times New Roman" w:cs="Times New Roman"/>
          <w:sz w:val="18"/>
          <w:szCs w:val="18"/>
        </w:rPr>
        <w:footnoteRef/>
      </w:r>
      <w:r w:rsidRPr="00365EEC">
        <w:rPr>
          <w:rFonts w:ascii="Times New Roman" w:hAnsi="Times New Roman" w:cs="Times New Roman"/>
          <w:sz w:val="18"/>
          <w:szCs w:val="18"/>
        </w:rPr>
        <w:t xml:space="preserve"> The safeguard mechanism makes the parameters for the extrapolation method dependent on the current interest rate level. Where interest rates are very low, the parameters of the extrapolation are chosen such that the resulting regulatory interest rates are closer to the regulatory interest rates as determined with th</w:t>
      </w:r>
      <w:r>
        <w:rPr>
          <w:rFonts w:ascii="Times New Roman" w:hAnsi="Times New Roman" w:cs="Times New Roman"/>
          <w:sz w:val="18"/>
          <w:szCs w:val="18"/>
        </w:rPr>
        <w:t>e current extrapolation method.</w:t>
      </w:r>
    </w:p>
  </w:footnote>
  <w:footnote w:id="3">
    <w:p w14:paraId="4B85E4B1" w14:textId="77777777" w:rsidR="005A6841" w:rsidRPr="003B41EC" w:rsidRDefault="005A6841" w:rsidP="005A6841">
      <w:pPr>
        <w:pStyle w:val="Tekstprzypisudolnego"/>
        <w:jc w:val="both"/>
        <w:rPr>
          <w:rFonts w:ascii="Times New Roman" w:hAnsi="Times New Roman" w:cs="Times New Roman"/>
          <w:sz w:val="18"/>
          <w:szCs w:val="18"/>
        </w:rPr>
      </w:pPr>
      <w:r w:rsidRPr="003B41EC">
        <w:rPr>
          <w:rStyle w:val="Odwoanieprzypisudolnego"/>
          <w:rFonts w:ascii="Times New Roman" w:hAnsi="Times New Roman" w:cs="Times New Roman"/>
          <w:sz w:val="18"/>
          <w:szCs w:val="18"/>
        </w:rPr>
        <w:footnoteRef/>
      </w:r>
      <w:r w:rsidRPr="003B41EC">
        <w:rPr>
          <w:rFonts w:ascii="Times New Roman" w:hAnsi="Times New Roman" w:cs="Times New Roman"/>
          <w:sz w:val="18"/>
          <w:szCs w:val="18"/>
        </w:rPr>
        <w:t xml:space="preserve"> </w:t>
      </w:r>
      <w:r w:rsidRPr="006D4D00">
        <w:rPr>
          <w:rFonts w:ascii="Times New Roman" w:hAnsi="Times New Roman" w:cs="Times New Roman"/>
          <w:sz w:val="18"/>
          <w:szCs w:val="18"/>
        </w:rPr>
        <w:t>Adverse Development Covers are a form of retrospective reinsurance in which the insurer cedes the claims development risk associated with policies from past underwriting periods.</w:t>
      </w:r>
      <w:r w:rsidRPr="003B41EC">
        <w:rPr>
          <w:rFonts w:ascii="Times New Roman" w:hAnsi="Times New Roman" w:cs="Times New Roman"/>
          <w:sz w:val="18"/>
          <w:szCs w:val="18"/>
        </w:rPr>
        <w:t xml:space="preserve"> </w:t>
      </w:r>
    </w:p>
  </w:footnote>
  <w:footnote w:id="4">
    <w:p w14:paraId="6AA32A66" w14:textId="77777777" w:rsidR="002C1B00" w:rsidRPr="00A53B34" w:rsidRDefault="002C1B00" w:rsidP="008E1206">
      <w:pPr>
        <w:pStyle w:val="Tekstprzypisudolnego"/>
        <w:jc w:val="both"/>
        <w:rPr>
          <w:rFonts w:ascii="Times New Roman" w:hAnsi="Times New Roman" w:cs="Times New Roman"/>
          <w:sz w:val="18"/>
        </w:rPr>
      </w:pPr>
      <w:r w:rsidRPr="00A53B34">
        <w:rPr>
          <w:rStyle w:val="Odwoanieprzypisudolnego"/>
          <w:rFonts w:ascii="Times New Roman" w:hAnsi="Times New Roman" w:cs="Times New Roman"/>
          <w:sz w:val="18"/>
        </w:rPr>
        <w:footnoteRef/>
      </w:r>
      <w:r w:rsidRPr="00A53B34">
        <w:rPr>
          <w:rFonts w:ascii="Times New Roman" w:hAnsi="Times New Roman" w:cs="Times New Roman"/>
          <w:sz w:val="18"/>
        </w:rPr>
        <w:t xml:space="preserve"> Three “buckets” of liabilities would be defined. The combination of the new general application ratio and the adjustment f</w:t>
      </w:r>
      <w:r>
        <w:rPr>
          <w:rFonts w:ascii="Times New Roman" w:hAnsi="Times New Roman" w:cs="Times New Roman"/>
          <w:sz w:val="18"/>
        </w:rPr>
        <w:t xml:space="preserve">or illiquidity would lead to an application </w:t>
      </w:r>
      <w:r w:rsidRPr="00A53B34">
        <w:rPr>
          <w:rFonts w:ascii="Times New Roman" w:hAnsi="Times New Roman" w:cs="Times New Roman"/>
          <w:sz w:val="18"/>
        </w:rPr>
        <w:t>ratio of 85% for “bucket 1” liabilities (most illiquid liabilities), of 64% for “bucket 2” liabilities (moderately illiquid liabilities), and of 51% for “bucket 3” liabilities (most liquid liabilities)</w:t>
      </w:r>
      <w:r>
        <w:rPr>
          <w:rFonts w:ascii="Times New Roman" w:hAnsi="Times New Roman" w:cs="Times New Roman"/>
          <w:sz w:val="18"/>
        </w:rPr>
        <w:t>. Those values have to be compared with the uniform application ratio of 65% under current rules.</w:t>
      </w:r>
    </w:p>
  </w:footnote>
  <w:footnote w:id="5">
    <w:p w14:paraId="109E6B91" w14:textId="77777777" w:rsidR="002C1B00" w:rsidRPr="00E952E9" w:rsidRDefault="002C1B00" w:rsidP="003B41EC">
      <w:pPr>
        <w:pStyle w:val="Tekstprzypisudolnego"/>
        <w:jc w:val="both"/>
      </w:pPr>
      <w:r w:rsidRPr="008E1206">
        <w:rPr>
          <w:rStyle w:val="Odwoanieprzypisudolnego"/>
          <w:rFonts w:ascii="Times New Roman" w:hAnsi="Times New Roman" w:cs="Times New Roman"/>
          <w:sz w:val="18"/>
        </w:rPr>
        <w:footnoteRef/>
      </w:r>
      <w:r w:rsidRPr="008E1206">
        <w:rPr>
          <w:rFonts w:ascii="Times New Roman" w:hAnsi="Times New Roman" w:cs="Times New Roman"/>
          <w:sz w:val="18"/>
        </w:rPr>
        <w:t xml:space="preserve"> Member States have full flexibility regarding the supervisory regime applicable to insurers below the thresholds set out in the Solvency II Directive. Therefore, they can apply Solvency II at national level beyond the minimum scope defined by the Directive. As a result, </w:t>
      </w:r>
      <w:r w:rsidRPr="008E1206">
        <w:rPr>
          <w:rFonts w:ascii="Times New Roman" w:hAnsi="Times New Roman" w:cs="Times New Roman"/>
          <w:b/>
          <w:sz w:val="18"/>
        </w:rPr>
        <w:t xml:space="preserve">the discretion proposed by EIOPA in relation to the gross-written premium threshold </w:t>
      </w:r>
      <w:r>
        <w:rPr>
          <w:rFonts w:ascii="Times New Roman" w:hAnsi="Times New Roman" w:cs="Times New Roman"/>
          <w:b/>
          <w:sz w:val="18"/>
        </w:rPr>
        <w:t>would also concern insurers with gross written premiums of less than € 5 million</w:t>
      </w:r>
      <w:r>
        <w:rPr>
          <w:rFonts w:ascii="Times New Roman" w:hAnsi="Times New Roman" w:cs="Times New Roman"/>
          <w:sz w:val="18"/>
        </w:rPr>
        <w:t xml:space="preserve">. Therefore, </w:t>
      </w:r>
      <w:r w:rsidRPr="003B41EC">
        <w:rPr>
          <w:rFonts w:ascii="Times New Roman" w:hAnsi="Times New Roman" w:cs="Times New Roman"/>
          <w:sz w:val="18"/>
        </w:rPr>
        <w:t>in practice</w:t>
      </w:r>
      <w:r>
        <w:rPr>
          <w:rFonts w:ascii="Times New Roman" w:hAnsi="Times New Roman" w:cs="Times New Roman"/>
          <w:sz w:val="18"/>
        </w:rPr>
        <w:t>, EIOPA’s recommendation is</w:t>
      </w:r>
      <w:r w:rsidR="000109F4">
        <w:rPr>
          <w:rFonts w:ascii="Times New Roman" w:hAnsi="Times New Roman" w:cs="Times New Roman"/>
          <w:sz w:val="18"/>
        </w:rPr>
        <w:t xml:space="preserve"> </w:t>
      </w:r>
      <w:r w:rsidRPr="008E1206">
        <w:rPr>
          <w:rFonts w:ascii="Times New Roman" w:hAnsi="Times New Roman" w:cs="Times New Roman"/>
          <w:b/>
          <w:sz w:val="18"/>
        </w:rPr>
        <w:t>equivalent to simply setting the gross written premium threshold to the highest boundary of € 25 million (multiplication by 5 of this threshold).</w:t>
      </w:r>
    </w:p>
  </w:footnote>
  <w:footnote w:id="6">
    <w:p w14:paraId="28914B5B" w14:textId="77777777" w:rsidR="003B41EC" w:rsidRPr="003B41EC" w:rsidRDefault="003B41EC">
      <w:pPr>
        <w:pStyle w:val="Tekstprzypisudolnego"/>
        <w:rPr>
          <w:rFonts w:ascii="Times New Roman" w:hAnsi="Times New Roman" w:cs="Times New Roman"/>
          <w:sz w:val="18"/>
          <w:szCs w:val="18"/>
        </w:rPr>
      </w:pPr>
      <w:r w:rsidRPr="003B41EC">
        <w:rPr>
          <w:rStyle w:val="Odwoanieprzypisudolnego"/>
          <w:rFonts w:ascii="Times New Roman" w:hAnsi="Times New Roman" w:cs="Times New Roman"/>
          <w:sz w:val="18"/>
          <w:szCs w:val="18"/>
        </w:rPr>
        <w:footnoteRef/>
      </w:r>
      <w:r w:rsidRPr="003B41EC">
        <w:rPr>
          <w:rFonts w:ascii="Times New Roman" w:hAnsi="Times New Roman" w:cs="Times New Roman"/>
          <w:sz w:val="18"/>
          <w:szCs w:val="18"/>
        </w:rPr>
        <w:t xml:space="preserve"> For instance, combination of key functions, biannual submission of the ORSA report to the supervisor, submission of the regular supervisory report every three years</w:t>
      </w:r>
    </w:p>
  </w:footnote>
  <w:footnote w:id="7">
    <w:p w14:paraId="6904A5F1" w14:textId="77777777" w:rsidR="00425422" w:rsidRPr="003B41EC" w:rsidRDefault="00425422" w:rsidP="003B41EC">
      <w:pPr>
        <w:pStyle w:val="Tekstprzypisudolnego"/>
        <w:jc w:val="both"/>
        <w:rPr>
          <w:rFonts w:ascii="Times New Roman" w:hAnsi="Times New Roman" w:cs="Times New Roman"/>
        </w:rPr>
      </w:pPr>
      <w:r w:rsidRPr="003B41EC">
        <w:rPr>
          <w:rStyle w:val="Odwoanieprzypisudolnego"/>
          <w:rFonts w:ascii="Times New Roman" w:hAnsi="Times New Roman" w:cs="Times New Roman"/>
        </w:rPr>
        <w:footnoteRef/>
      </w:r>
      <w:r w:rsidRPr="003B41EC">
        <w:rPr>
          <w:rFonts w:ascii="Times New Roman" w:hAnsi="Times New Roman" w:cs="Times New Roman"/>
        </w:rPr>
        <w:t xml:space="preserve"> NB: some </w:t>
      </w:r>
      <w:r>
        <w:rPr>
          <w:rFonts w:ascii="Times New Roman" w:hAnsi="Times New Roman" w:cs="Times New Roman"/>
        </w:rPr>
        <w:t>of</w:t>
      </w:r>
      <w:r w:rsidRPr="003B41EC">
        <w:rPr>
          <w:rFonts w:ascii="Times New Roman" w:hAnsi="Times New Roman" w:cs="Times New Roman"/>
        </w:rPr>
        <w:t xml:space="preserve"> EIOPA</w:t>
      </w:r>
      <w:r>
        <w:rPr>
          <w:rFonts w:ascii="Times New Roman" w:hAnsi="Times New Roman" w:cs="Times New Roman"/>
        </w:rPr>
        <w:t>’s proposals</w:t>
      </w:r>
      <w:r w:rsidRPr="003B41EC">
        <w:rPr>
          <w:rFonts w:ascii="Times New Roman" w:hAnsi="Times New Roman" w:cs="Times New Roman"/>
        </w:rPr>
        <w:t xml:space="preserve"> </w:t>
      </w:r>
      <w:r>
        <w:rPr>
          <w:rFonts w:ascii="Times New Roman" w:hAnsi="Times New Roman" w:cs="Times New Roman"/>
        </w:rPr>
        <w:t>aim</w:t>
      </w:r>
      <w:r w:rsidRPr="003B41EC">
        <w:rPr>
          <w:rFonts w:ascii="Times New Roman" w:hAnsi="Times New Roman" w:cs="Times New Roman"/>
        </w:rPr>
        <w:t xml:space="preserve"> to align Solvency II with the “Holistic Framework for Systemic risk in the insurance sector</w:t>
      </w:r>
      <w:r>
        <w:rPr>
          <w:rFonts w:ascii="Times New Roman" w:hAnsi="Times New Roman" w:cs="Times New Roman"/>
        </w:rPr>
        <w:t>”</w:t>
      </w:r>
      <w:r w:rsidRPr="003B41EC">
        <w:rPr>
          <w:rFonts w:ascii="Times New Roman" w:hAnsi="Times New Roman" w:cs="Times New Roman"/>
        </w:rPr>
        <w:t xml:space="preserve"> adopted by the International Association of Insurance Supervisors in </w:t>
      </w:r>
      <w:r>
        <w:rPr>
          <w:rFonts w:ascii="Times New Roman" w:hAnsi="Times New Roman" w:cs="Times New Roman"/>
        </w:rPr>
        <w:t xml:space="preserve">November </w:t>
      </w:r>
      <w:r w:rsidRPr="003B41EC">
        <w:rPr>
          <w:rFonts w:ascii="Times New Roman" w:hAnsi="Times New Roman" w:cs="Times New Roman"/>
        </w:rPr>
        <w:t>2019.</w:t>
      </w:r>
    </w:p>
  </w:footnote>
  <w:footnote w:id="8">
    <w:p w14:paraId="725EFE1E" w14:textId="77777777" w:rsidR="00457061" w:rsidRPr="000E18D7" w:rsidRDefault="00457061" w:rsidP="00457061">
      <w:pPr>
        <w:pStyle w:val="Tekstprzypisudolnego"/>
        <w:jc w:val="both"/>
        <w:rPr>
          <w:rFonts w:ascii="Times New Roman" w:hAnsi="Times New Roman" w:cs="Times New Roman"/>
        </w:rPr>
      </w:pPr>
      <w:r w:rsidRPr="000E18D7">
        <w:rPr>
          <w:rStyle w:val="Odwoanieprzypisudolnego"/>
          <w:rFonts w:ascii="Times New Roman" w:hAnsi="Times New Roman" w:cs="Times New Roman"/>
        </w:rPr>
        <w:footnoteRef/>
      </w:r>
      <w:r w:rsidRPr="000E18D7">
        <w:rPr>
          <w:rFonts w:ascii="Times New Roman" w:hAnsi="Times New Roman" w:cs="Times New Roman"/>
        </w:rPr>
        <w:t xml:space="preserve"> NB: the safety mechanism on the alternative extrapolation is calibrated so that it would not have been triggered at the end of 2019.</w:t>
      </w:r>
    </w:p>
  </w:footnote>
  <w:footnote w:id="9">
    <w:p w14:paraId="4147B07F" w14:textId="77777777" w:rsidR="00457061" w:rsidRPr="008A7F21" w:rsidRDefault="00457061" w:rsidP="00457061">
      <w:pPr>
        <w:pStyle w:val="Tekstprzypisudolnego"/>
        <w:jc w:val="both"/>
        <w:rPr>
          <w:rFonts w:ascii="Times New Roman" w:hAnsi="Times New Roman" w:cs="Times New Roman"/>
          <w:lang w:val="en-US"/>
        </w:rPr>
      </w:pPr>
      <w:r w:rsidRPr="008A7F21">
        <w:rPr>
          <w:rStyle w:val="Odwoanieprzypisudolnego"/>
          <w:rFonts w:ascii="Times New Roman" w:hAnsi="Times New Roman" w:cs="Times New Roman"/>
        </w:rPr>
        <w:footnoteRef/>
      </w:r>
      <w:r w:rsidRPr="008A7F21">
        <w:rPr>
          <w:rFonts w:ascii="Times New Roman" w:hAnsi="Times New Roman" w:cs="Times New Roman"/>
        </w:rPr>
        <w:t xml:space="preserve"> </w:t>
      </w:r>
      <w:r w:rsidRPr="008A7F21">
        <w:rPr>
          <w:rFonts w:ascii="Times New Roman" w:hAnsi="Times New Roman" w:cs="Times New Roman"/>
          <w:lang w:val="en-US"/>
        </w:rPr>
        <w:t xml:space="preserve">NB: the safety mechanism on the </w:t>
      </w:r>
      <w:r>
        <w:rPr>
          <w:rFonts w:ascii="Times New Roman" w:hAnsi="Times New Roman" w:cs="Times New Roman"/>
          <w:lang w:val="en-US"/>
        </w:rPr>
        <w:t xml:space="preserve">alternative </w:t>
      </w:r>
      <w:r w:rsidRPr="008A7F21">
        <w:rPr>
          <w:rFonts w:ascii="Times New Roman" w:hAnsi="Times New Roman" w:cs="Times New Roman"/>
          <w:lang w:val="en-US"/>
        </w:rPr>
        <w:t xml:space="preserve">extrapolation </w:t>
      </w:r>
      <w:r>
        <w:rPr>
          <w:rFonts w:ascii="Times New Roman" w:hAnsi="Times New Roman" w:cs="Times New Roman"/>
          <w:lang w:val="en-US"/>
        </w:rPr>
        <w:t>would have allowed maintaining the same level of surplus own funds over capital requirements (excluding the amendment on the interest rate risk submodule) as in the baseline.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BFF2" w14:textId="77777777" w:rsidR="002C1B00" w:rsidRDefault="002C1B0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50C12" w14:textId="77777777" w:rsidR="002C1B00" w:rsidRDefault="002C1B0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D901B" w14:textId="77777777" w:rsidR="002C1B00" w:rsidRDefault="002C1B0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0FF4"/>
    <w:multiLevelType w:val="hybridMultilevel"/>
    <w:tmpl w:val="73EEE8B4"/>
    <w:lvl w:ilvl="0" w:tplc="2E107E1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D1089"/>
    <w:multiLevelType w:val="hybridMultilevel"/>
    <w:tmpl w:val="20663F86"/>
    <w:lvl w:ilvl="0" w:tplc="403210B8">
      <w:numFmt w:val="bullet"/>
      <w:lvlText w:val="-"/>
      <w:lvlJc w:val="left"/>
      <w:pPr>
        <w:ind w:left="720" w:hanging="360"/>
      </w:pPr>
      <w:rPr>
        <w:rFonts w:ascii="Calibri" w:eastAsia="Times New Roman"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A09073C"/>
    <w:multiLevelType w:val="hybridMultilevel"/>
    <w:tmpl w:val="ADE6C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C56982"/>
    <w:multiLevelType w:val="hybridMultilevel"/>
    <w:tmpl w:val="889C4DF4"/>
    <w:lvl w:ilvl="0" w:tplc="1B062BC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734306"/>
    <w:multiLevelType w:val="multilevel"/>
    <w:tmpl w:val="D266108E"/>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0C564BD"/>
    <w:multiLevelType w:val="hybridMultilevel"/>
    <w:tmpl w:val="E4BE0A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B40CD0"/>
    <w:multiLevelType w:val="hybridMultilevel"/>
    <w:tmpl w:val="5250478E"/>
    <w:lvl w:ilvl="0" w:tplc="E1366E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554B6F"/>
    <w:multiLevelType w:val="hybridMultilevel"/>
    <w:tmpl w:val="43E05C0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2CA323EF"/>
    <w:multiLevelType w:val="hybridMultilevel"/>
    <w:tmpl w:val="8AD6997C"/>
    <w:lvl w:ilvl="0" w:tplc="D10C4BCC">
      <w:start w:val="1"/>
      <w:numFmt w:val="decimal"/>
      <w:lvlText w:val="%1)"/>
      <w:lvlJc w:val="left"/>
      <w:pPr>
        <w:ind w:left="720" w:hanging="360"/>
      </w:pPr>
      <w:rPr>
        <w:rFonts w:ascii="Times New Roman" w:hAnsi="Times New Roman"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BF081C"/>
    <w:multiLevelType w:val="hybridMultilevel"/>
    <w:tmpl w:val="8A5205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171130"/>
    <w:multiLevelType w:val="hybridMultilevel"/>
    <w:tmpl w:val="00924D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063EC1"/>
    <w:multiLevelType w:val="hybridMultilevel"/>
    <w:tmpl w:val="8C6ECA34"/>
    <w:lvl w:ilvl="0" w:tplc="403210B8">
      <w:numFmt w:val="bullet"/>
      <w:lvlText w:val="-"/>
      <w:lvlJc w:val="left"/>
      <w:pPr>
        <w:ind w:left="720" w:hanging="360"/>
      </w:pPr>
      <w:rPr>
        <w:rFonts w:ascii="Calibri" w:eastAsia="Times New Roman"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6E713C4"/>
    <w:multiLevelType w:val="hybridMultilevel"/>
    <w:tmpl w:val="0510A2DA"/>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5C224248"/>
    <w:multiLevelType w:val="hybridMultilevel"/>
    <w:tmpl w:val="554232DE"/>
    <w:lvl w:ilvl="0" w:tplc="F55A112A">
      <w:start w:val="1"/>
      <w:numFmt w:val="decimal"/>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DAB3A52"/>
    <w:multiLevelType w:val="hybridMultilevel"/>
    <w:tmpl w:val="550049E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EA40AF1"/>
    <w:multiLevelType w:val="hybridMultilevel"/>
    <w:tmpl w:val="7E364D66"/>
    <w:lvl w:ilvl="0" w:tplc="3828A1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B7818"/>
    <w:multiLevelType w:val="hybridMultilevel"/>
    <w:tmpl w:val="F40039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81388D"/>
    <w:multiLevelType w:val="hybridMultilevel"/>
    <w:tmpl w:val="8AD6997C"/>
    <w:lvl w:ilvl="0" w:tplc="D10C4BCC">
      <w:start w:val="1"/>
      <w:numFmt w:val="decimal"/>
      <w:lvlText w:val="%1)"/>
      <w:lvlJc w:val="left"/>
      <w:pPr>
        <w:ind w:left="720" w:hanging="360"/>
      </w:pPr>
      <w:rPr>
        <w:rFonts w:ascii="Times New Roman" w:hAnsi="Times New Roman"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90BAA"/>
    <w:multiLevelType w:val="hybridMultilevel"/>
    <w:tmpl w:val="763EB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7C7228"/>
    <w:multiLevelType w:val="hybridMultilevel"/>
    <w:tmpl w:val="91420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9A11BC"/>
    <w:multiLevelType w:val="hybridMultilevel"/>
    <w:tmpl w:val="04FCB330"/>
    <w:lvl w:ilvl="0" w:tplc="403210B8">
      <w:numFmt w:val="bullet"/>
      <w:lvlText w:val="-"/>
      <w:lvlJc w:val="left"/>
      <w:pPr>
        <w:ind w:left="720" w:hanging="360"/>
      </w:pPr>
      <w:rPr>
        <w:rFonts w:ascii="Calibri" w:eastAsia="Times New Roman"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8939B7"/>
    <w:multiLevelType w:val="hybridMultilevel"/>
    <w:tmpl w:val="2D6031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776DED"/>
    <w:multiLevelType w:val="hybridMultilevel"/>
    <w:tmpl w:val="D7A8DD6E"/>
    <w:lvl w:ilvl="0" w:tplc="D2F6E3C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9"/>
  </w:num>
  <w:num w:numId="4">
    <w:abstractNumId w:val="7"/>
  </w:num>
  <w:num w:numId="5">
    <w:abstractNumId w:val="12"/>
  </w:num>
  <w:num w:numId="6">
    <w:abstractNumId w:val="14"/>
  </w:num>
  <w:num w:numId="7">
    <w:abstractNumId w:val="20"/>
  </w:num>
  <w:num w:numId="8">
    <w:abstractNumId w:val="1"/>
  </w:num>
  <w:num w:numId="9">
    <w:abstractNumId w:val="11"/>
  </w:num>
  <w:num w:numId="10">
    <w:abstractNumId w:val="2"/>
  </w:num>
  <w:num w:numId="11">
    <w:abstractNumId w:val="17"/>
  </w:num>
  <w:num w:numId="12">
    <w:abstractNumId w:val="0"/>
  </w:num>
  <w:num w:numId="13">
    <w:abstractNumId w:val="15"/>
  </w:num>
  <w:num w:numId="14">
    <w:abstractNumId w:val="16"/>
  </w:num>
  <w:num w:numId="15">
    <w:abstractNumId w:val="3"/>
  </w:num>
  <w:num w:numId="16">
    <w:abstractNumId w:val="22"/>
  </w:num>
  <w:num w:numId="17">
    <w:abstractNumId w:val="8"/>
  </w:num>
  <w:num w:numId="18">
    <w:abstractNumId w:val="6"/>
  </w:num>
  <w:num w:numId="19">
    <w:abstractNumId w:val="13"/>
  </w:num>
  <w:num w:numId="20">
    <w:abstractNumId w:val="10"/>
  </w:num>
  <w:num w:numId="21">
    <w:abstractNumId w:val="21"/>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trackRevisions/>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1261D"/>
    <w:rsid w:val="00002F70"/>
    <w:rsid w:val="000109F4"/>
    <w:rsid w:val="00011669"/>
    <w:rsid w:val="000250CB"/>
    <w:rsid w:val="00030788"/>
    <w:rsid w:val="000316F8"/>
    <w:rsid w:val="000324FF"/>
    <w:rsid w:val="00051FBB"/>
    <w:rsid w:val="00070278"/>
    <w:rsid w:val="00073EC6"/>
    <w:rsid w:val="00073FD3"/>
    <w:rsid w:val="0008329F"/>
    <w:rsid w:val="000912A4"/>
    <w:rsid w:val="00093529"/>
    <w:rsid w:val="000A1403"/>
    <w:rsid w:val="000C021E"/>
    <w:rsid w:val="000C2AAA"/>
    <w:rsid w:val="000C6921"/>
    <w:rsid w:val="000D0070"/>
    <w:rsid w:val="000D2C25"/>
    <w:rsid w:val="000E18D7"/>
    <w:rsid w:val="000F162E"/>
    <w:rsid w:val="000F1CB8"/>
    <w:rsid w:val="00106A7B"/>
    <w:rsid w:val="00116C61"/>
    <w:rsid w:val="0011768D"/>
    <w:rsid w:val="001271B9"/>
    <w:rsid w:val="00131495"/>
    <w:rsid w:val="00142306"/>
    <w:rsid w:val="001428EB"/>
    <w:rsid w:val="0014453F"/>
    <w:rsid w:val="00151539"/>
    <w:rsid w:val="00152174"/>
    <w:rsid w:val="001839EB"/>
    <w:rsid w:val="00185E4A"/>
    <w:rsid w:val="00187ABD"/>
    <w:rsid w:val="001905E5"/>
    <w:rsid w:val="00192578"/>
    <w:rsid w:val="001938BB"/>
    <w:rsid w:val="001958CF"/>
    <w:rsid w:val="001A04A3"/>
    <w:rsid w:val="001B1B09"/>
    <w:rsid w:val="001B6F92"/>
    <w:rsid w:val="001B781F"/>
    <w:rsid w:val="001C7896"/>
    <w:rsid w:val="001D3A47"/>
    <w:rsid w:val="001D42C2"/>
    <w:rsid w:val="001D44F7"/>
    <w:rsid w:val="001E285D"/>
    <w:rsid w:val="001F494C"/>
    <w:rsid w:val="001F5BF9"/>
    <w:rsid w:val="001F5FE7"/>
    <w:rsid w:val="00202896"/>
    <w:rsid w:val="002074D7"/>
    <w:rsid w:val="00207809"/>
    <w:rsid w:val="0021261D"/>
    <w:rsid w:val="00212726"/>
    <w:rsid w:val="00212D75"/>
    <w:rsid w:val="00230E1D"/>
    <w:rsid w:val="00232E93"/>
    <w:rsid w:val="002356E8"/>
    <w:rsid w:val="002451AB"/>
    <w:rsid w:val="00252FA6"/>
    <w:rsid w:val="0025789D"/>
    <w:rsid w:val="002616A2"/>
    <w:rsid w:val="002713A2"/>
    <w:rsid w:val="00283028"/>
    <w:rsid w:val="0029332D"/>
    <w:rsid w:val="0029654A"/>
    <w:rsid w:val="002A3C32"/>
    <w:rsid w:val="002A3F34"/>
    <w:rsid w:val="002A5289"/>
    <w:rsid w:val="002B2FC2"/>
    <w:rsid w:val="002C1B00"/>
    <w:rsid w:val="002C276F"/>
    <w:rsid w:val="002C4DAE"/>
    <w:rsid w:val="002E4E65"/>
    <w:rsid w:val="002F4026"/>
    <w:rsid w:val="00302209"/>
    <w:rsid w:val="00310F5A"/>
    <w:rsid w:val="003327D0"/>
    <w:rsid w:val="0033526F"/>
    <w:rsid w:val="00342E3A"/>
    <w:rsid w:val="003443DE"/>
    <w:rsid w:val="00350711"/>
    <w:rsid w:val="00353ECA"/>
    <w:rsid w:val="0036362B"/>
    <w:rsid w:val="00365283"/>
    <w:rsid w:val="00365C3A"/>
    <w:rsid w:val="00365EEC"/>
    <w:rsid w:val="003721B5"/>
    <w:rsid w:val="0037339E"/>
    <w:rsid w:val="00373571"/>
    <w:rsid w:val="003756FB"/>
    <w:rsid w:val="00384D02"/>
    <w:rsid w:val="003A6603"/>
    <w:rsid w:val="003B41EC"/>
    <w:rsid w:val="003D0112"/>
    <w:rsid w:val="003E46CC"/>
    <w:rsid w:val="003F18FE"/>
    <w:rsid w:val="003F7D05"/>
    <w:rsid w:val="00400C71"/>
    <w:rsid w:val="00401414"/>
    <w:rsid w:val="00401FF4"/>
    <w:rsid w:val="00404C17"/>
    <w:rsid w:val="00413F77"/>
    <w:rsid w:val="00417C1E"/>
    <w:rsid w:val="004211B0"/>
    <w:rsid w:val="00425422"/>
    <w:rsid w:val="0043016D"/>
    <w:rsid w:val="00430271"/>
    <w:rsid w:val="00433171"/>
    <w:rsid w:val="004523C6"/>
    <w:rsid w:val="00457061"/>
    <w:rsid w:val="00457F85"/>
    <w:rsid w:val="004849C7"/>
    <w:rsid w:val="00491CD2"/>
    <w:rsid w:val="00494F54"/>
    <w:rsid w:val="0049534E"/>
    <w:rsid w:val="004A115B"/>
    <w:rsid w:val="004A7C85"/>
    <w:rsid w:val="004B480C"/>
    <w:rsid w:val="004C2CB7"/>
    <w:rsid w:val="004D7748"/>
    <w:rsid w:val="00513E8A"/>
    <w:rsid w:val="00521FFA"/>
    <w:rsid w:val="00522C3D"/>
    <w:rsid w:val="005310C3"/>
    <w:rsid w:val="0053214B"/>
    <w:rsid w:val="00542860"/>
    <w:rsid w:val="00545375"/>
    <w:rsid w:val="00545F30"/>
    <w:rsid w:val="00546A21"/>
    <w:rsid w:val="00562D09"/>
    <w:rsid w:val="00581EAE"/>
    <w:rsid w:val="00586B2E"/>
    <w:rsid w:val="00591F52"/>
    <w:rsid w:val="005926E5"/>
    <w:rsid w:val="005A6841"/>
    <w:rsid w:val="005B3F5D"/>
    <w:rsid w:val="005C609E"/>
    <w:rsid w:val="005E279C"/>
    <w:rsid w:val="005E4F88"/>
    <w:rsid w:val="005E5538"/>
    <w:rsid w:val="005F49AC"/>
    <w:rsid w:val="005F621B"/>
    <w:rsid w:val="006109AF"/>
    <w:rsid w:val="00617DD6"/>
    <w:rsid w:val="00623EBC"/>
    <w:rsid w:val="0063436A"/>
    <w:rsid w:val="00665A3C"/>
    <w:rsid w:val="00681D5B"/>
    <w:rsid w:val="006820C5"/>
    <w:rsid w:val="00684EC5"/>
    <w:rsid w:val="0068606D"/>
    <w:rsid w:val="006B7123"/>
    <w:rsid w:val="006C3C5E"/>
    <w:rsid w:val="006D4D00"/>
    <w:rsid w:val="006F07BE"/>
    <w:rsid w:val="007123D0"/>
    <w:rsid w:val="00734BC1"/>
    <w:rsid w:val="00775319"/>
    <w:rsid w:val="00775FD2"/>
    <w:rsid w:val="007808C7"/>
    <w:rsid w:val="00785D54"/>
    <w:rsid w:val="00796AC6"/>
    <w:rsid w:val="007A178B"/>
    <w:rsid w:val="007B588C"/>
    <w:rsid w:val="007D0524"/>
    <w:rsid w:val="007E3E4D"/>
    <w:rsid w:val="008164D6"/>
    <w:rsid w:val="008257CB"/>
    <w:rsid w:val="008260ED"/>
    <w:rsid w:val="0082648C"/>
    <w:rsid w:val="00835AD5"/>
    <w:rsid w:val="00841A05"/>
    <w:rsid w:val="008510F4"/>
    <w:rsid w:val="008528A4"/>
    <w:rsid w:val="0086353B"/>
    <w:rsid w:val="00870EDD"/>
    <w:rsid w:val="00871DA3"/>
    <w:rsid w:val="00871E73"/>
    <w:rsid w:val="00886EA2"/>
    <w:rsid w:val="0089256D"/>
    <w:rsid w:val="008A032A"/>
    <w:rsid w:val="008A7F21"/>
    <w:rsid w:val="008B24DA"/>
    <w:rsid w:val="008C04BE"/>
    <w:rsid w:val="008C1E2D"/>
    <w:rsid w:val="008C751F"/>
    <w:rsid w:val="008D03A4"/>
    <w:rsid w:val="008D50CB"/>
    <w:rsid w:val="008E0022"/>
    <w:rsid w:val="008E1206"/>
    <w:rsid w:val="008E15CB"/>
    <w:rsid w:val="008E6756"/>
    <w:rsid w:val="008E6757"/>
    <w:rsid w:val="0090128A"/>
    <w:rsid w:val="00916648"/>
    <w:rsid w:val="00916D97"/>
    <w:rsid w:val="00921410"/>
    <w:rsid w:val="00932DBC"/>
    <w:rsid w:val="0094290E"/>
    <w:rsid w:val="009536E6"/>
    <w:rsid w:val="00953730"/>
    <w:rsid w:val="0096423A"/>
    <w:rsid w:val="00966237"/>
    <w:rsid w:val="00966857"/>
    <w:rsid w:val="00971BE6"/>
    <w:rsid w:val="00973636"/>
    <w:rsid w:val="00973E95"/>
    <w:rsid w:val="00985040"/>
    <w:rsid w:val="009919AC"/>
    <w:rsid w:val="00995CAA"/>
    <w:rsid w:val="009B4569"/>
    <w:rsid w:val="009B79CD"/>
    <w:rsid w:val="009C2287"/>
    <w:rsid w:val="009C53C1"/>
    <w:rsid w:val="009C6FD6"/>
    <w:rsid w:val="009D37D8"/>
    <w:rsid w:val="009D6C1E"/>
    <w:rsid w:val="009F39D5"/>
    <w:rsid w:val="00A05358"/>
    <w:rsid w:val="00A05819"/>
    <w:rsid w:val="00A06AFA"/>
    <w:rsid w:val="00A24D70"/>
    <w:rsid w:val="00A42985"/>
    <w:rsid w:val="00A51149"/>
    <w:rsid w:val="00A53B34"/>
    <w:rsid w:val="00A559CC"/>
    <w:rsid w:val="00A57A95"/>
    <w:rsid w:val="00A71D12"/>
    <w:rsid w:val="00A80E5A"/>
    <w:rsid w:val="00A843DE"/>
    <w:rsid w:val="00AA119E"/>
    <w:rsid w:val="00AA56D6"/>
    <w:rsid w:val="00AA6258"/>
    <w:rsid w:val="00AC0026"/>
    <w:rsid w:val="00AC1D05"/>
    <w:rsid w:val="00AC4F03"/>
    <w:rsid w:val="00AC6A07"/>
    <w:rsid w:val="00AC6B47"/>
    <w:rsid w:val="00AE287A"/>
    <w:rsid w:val="00AE6E45"/>
    <w:rsid w:val="00AF672D"/>
    <w:rsid w:val="00B06B10"/>
    <w:rsid w:val="00B10633"/>
    <w:rsid w:val="00B14B56"/>
    <w:rsid w:val="00B22D39"/>
    <w:rsid w:val="00B26C9A"/>
    <w:rsid w:val="00B30798"/>
    <w:rsid w:val="00B337CB"/>
    <w:rsid w:val="00B33E59"/>
    <w:rsid w:val="00B512D1"/>
    <w:rsid w:val="00B61FA4"/>
    <w:rsid w:val="00B737E8"/>
    <w:rsid w:val="00B765D3"/>
    <w:rsid w:val="00B90A5B"/>
    <w:rsid w:val="00B93894"/>
    <w:rsid w:val="00BA1373"/>
    <w:rsid w:val="00BB06FA"/>
    <w:rsid w:val="00BB2ACC"/>
    <w:rsid w:val="00BB5191"/>
    <w:rsid w:val="00BC2148"/>
    <w:rsid w:val="00BE1EFB"/>
    <w:rsid w:val="00BE333E"/>
    <w:rsid w:val="00BF0EE5"/>
    <w:rsid w:val="00BF2FAD"/>
    <w:rsid w:val="00C127B9"/>
    <w:rsid w:val="00C5720C"/>
    <w:rsid w:val="00C8366B"/>
    <w:rsid w:val="00C836EF"/>
    <w:rsid w:val="00C86CF2"/>
    <w:rsid w:val="00C97836"/>
    <w:rsid w:val="00CA4084"/>
    <w:rsid w:val="00CA6ABE"/>
    <w:rsid w:val="00CD4954"/>
    <w:rsid w:val="00CE7902"/>
    <w:rsid w:val="00CF088E"/>
    <w:rsid w:val="00CF0929"/>
    <w:rsid w:val="00CF37EA"/>
    <w:rsid w:val="00D010ED"/>
    <w:rsid w:val="00D02BB4"/>
    <w:rsid w:val="00D147B4"/>
    <w:rsid w:val="00D24C74"/>
    <w:rsid w:val="00D30979"/>
    <w:rsid w:val="00D34E04"/>
    <w:rsid w:val="00D370F8"/>
    <w:rsid w:val="00D56FD2"/>
    <w:rsid w:val="00D6234E"/>
    <w:rsid w:val="00D71774"/>
    <w:rsid w:val="00D80D2A"/>
    <w:rsid w:val="00D85376"/>
    <w:rsid w:val="00D87BF1"/>
    <w:rsid w:val="00D929F3"/>
    <w:rsid w:val="00DA626D"/>
    <w:rsid w:val="00DB1D66"/>
    <w:rsid w:val="00DB57F8"/>
    <w:rsid w:val="00DC4BC1"/>
    <w:rsid w:val="00DD0EC6"/>
    <w:rsid w:val="00DE012E"/>
    <w:rsid w:val="00DE0144"/>
    <w:rsid w:val="00DE167D"/>
    <w:rsid w:val="00E139FE"/>
    <w:rsid w:val="00E1712C"/>
    <w:rsid w:val="00E172A5"/>
    <w:rsid w:val="00E337AB"/>
    <w:rsid w:val="00E4012D"/>
    <w:rsid w:val="00E41575"/>
    <w:rsid w:val="00E41EE7"/>
    <w:rsid w:val="00E45808"/>
    <w:rsid w:val="00E57630"/>
    <w:rsid w:val="00E73F4A"/>
    <w:rsid w:val="00E74F3E"/>
    <w:rsid w:val="00E8421D"/>
    <w:rsid w:val="00E90C31"/>
    <w:rsid w:val="00E9331F"/>
    <w:rsid w:val="00E952E9"/>
    <w:rsid w:val="00E96550"/>
    <w:rsid w:val="00EA0BC6"/>
    <w:rsid w:val="00EB5D6F"/>
    <w:rsid w:val="00ED1350"/>
    <w:rsid w:val="00EF5A0F"/>
    <w:rsid w:val="00F05B6A"/>
    <w:rsid w:val="00F12CE6"/>
    <w:rsid w:val="00F167EF"/>
    <w:rsid w:val="00F16BD4"/>
    <w:rsid w:val="00F25457"/>
    <w:rsid w:val="00F310FA"/>
    <w:rsid w:val="00F3261D"/>
    <w:rsid w:val="00F351BF"/>
    <w:rsid w:val="00F3695A"/>
    <w:rsid w:val="00F4249D"/>
    <w:rsid w:val="00F512DE"/>
    <w:rsid w:val="00F724B7"/>
    <w:rsid w:val="00F86F69"/>
    <w:rsid w:val="00F96313"/>
    <w:rsid w:val="00FB0107"/>
    <w:rsid w:val="00FB5EBE"/>
    <w:rsid w:val="00FC0C58"/>
    <w:rsid w:val="00FC3D3C"/>
    <w:rsid w:val="00FC6AA1"/>
    <w:rsid w:val="00FE1929"/>
    <w:rsid w:val="00FF0B4D"/>
    <w:rsid w:val="00FF38BF"/>
    <w:rsid w:val="00FF6D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BA9B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5A3C"/>
    <w:pPr>
      <w:spacing w:after="200" w:line="276" w:lineRule="auto"/>
    </w:pPr>
    <w:rPr>
      <w:lang w:val="en-GB"/>
    </w:rPr>
  </w:style>
  <w:style w:type="paragraph" w:styleId="Nagwek1">
    <w:name w:val="heading 1"/>
    <w:basedOn w:val="Normalny"/>
    <w:next w:val="Normalny"/>
    <w:link w:val="Nagwek1Znak"/>
    <w:qFormat/>
    <w:rsid w:val="005E4F88"/>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Nagwek2">
    <w:name w:val="heading 2"/>
    <w:basedOn w:val="Normalny"/>
    <w:next w:val="Text2"/>
    <w:link w:val="Nagwek2Znak"/>
    <w:qFormat/>
    <w:rsid w:val="005E4F88"/>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Nagwek3">
    <w:name w:val="heading 3"/>
    <w:basedOn w:val="Normalny"/>
    <w:next w:val="Normalny"/>
    <w:link w:val="Nagwek3Znak"/>
    <w:qFormat/>
    <w:rsid w:val="005E4F88"/>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Nagwek4">
    <w:name w:val="heading 4"/>
    <w:basedOn w:val="Normalny"/>
    <w:next w:val="Normalny"/>
    <w:link w:val="Nagwek4Znak"/>
    <w:qFormat/>
    <w:rsid w:val="005E4F88"/>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5E4F88"/>
    <w:rPr>
      <w:sz w:val="16"/>
      <w:szCs w:val="16"/>
    </w:rPr>
  </w:style>
  <w:style w:type="paragraph" w:styleId="Tekstkomentarza">
    <w:name w:val="annotation text"/>
    <w:basedOn w:val="Normalny"/>
    <w:link w:val="TekstkomentarzaZnak"/>
    <w:uiPriority w:val="99"/>
    <w:unhideWhenUsed/>
    <w:rsid w:val="005E4F88"/>
    <w:pPr>
      <w:spacing w:line="240" w:lineRule="auto"/>
    </w:pPr>
    <w:rPr>
      <w:sz w:val="20"/>
      <w:szCs w:val="20"/>
    </w:rPr>
  </w:style>
  <w:style w:type="character" w:customStyle="1" w:styleId="TekstkomentarzaZnak">
    <w:name w:val="Tekst komentarza Znak"/>
    <w:basedOn w:val="Domylnaczcionkaakapitu"/>
    <w:link w:val="Tekstkomentarza"/>
    <w:uiPriority w:val="99"/>
    <w:rsid w:val="005E4F88"/>
    <w:rPr>
      <w:sz w:val="20"/>
      <w:szCs w:val="20"/>
      <w:lang w:val="en-GB"/>
    </w:rPr>
  </w:style>
  <w:style w:type="paragraph" w:styleId="Tekstdymka">
    <w:name w:val="Balloon Text"/>
    <w:basedOn w:val="Normalny"/>
    <w:link w:val="TekstdymkaZnak"/>
    <w:uiPriority w:val="99"/>
    <w:semiHidden/>
    <w:unhideWhenUsed/>
    <w:rsid w:val="005E4F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4F88"/>
    <w:rPr>
      <w:rFonts w:ascii="Segoe UI" w:hAnsi="Segoe UI" w:cs="Segoe UI"/>
      <w:sz w:val="18"/>
      <w:szCs w:val="18"/>
      <w:lang w:val="en-GB"/>
    </w:rPr>
  </w:style>
  <w:style w:type="character" w:customStyle="1" w:styleId="Nagwek1Znak">
    <w:name w:val="Nagłówek 1 Znak"/>
    <w:basedOn w:val="Domylnaczcionkaakapitu"/>
    <w:link w:val="Nagwek1"/>
    <w:rsid w:val="005E4F88"/>
    <w:rPr>
      <w:rFonts w:ascii="Times New Roman" w:eastAsia="Times New Roman" w:hAnsi="Times New Roman" w:cs="Times New Roman"/>
      <w:b/>
      <w:smallCaps/>
      <w:sz w:val="24"/>
      <w:szCs w:val="20"/>
      <w:lang w:val="en-GB"/>
    </w:rPr>
  </w:style>
  <w:style w:type="character" w:customStyle="1" w:styleId="Nagwek2Znak">
    <w:name w:val="Nagłówek 2 Znak"/>
    <w:basedOn w:val="Domylnaczcionkaakapitu"/>
    <w:link w:val="Nagwek2"/>
    <w:rsid w:val="005E4F88"/>
    <w:rPr>
      <w:rFonts w:ascii="Times New Roman" w:eastAsia="Times New Roman" w:hAnsi="Times New Roman" w:cs="Times New Roman"/>
      <w:b/>
      <w:sz w:val="24"/>
      <w:szCs w:val="20"/>
      <w:lang w:val="en-GB"/>
    </w:rPr>
  </w:style>
  <w:style w:type="character" w:customStyle="1" w:styleId="Nagwek3Znak">
    <w:name w:val="Nagłówek 3 Znak"/>
    <w:basedOn w:val="Domylnaczcionkaakapitu"/>
    <w:link w:val="Nagwek3"/>
    <w:rsid w:val="005E4F88"/>
    <w:rPr>
      <w:rFonts w:ascii="Times New Roman" w:eastAsia="Times New Roman" w:hAnsi="Times New Roman" w:cs="Times New Roman"/>
      <w:i/>
      <w:sz w:val="24"/>
      <w:szCs w:val="20"/>
      <w:lang w:val="en-GB"/>
    </w:rPr>
  </w:style>
  <w:style w:type="character" w:customStyle="1" w:styleId="Nagwek4Znak">
    <w:name w:val="Nagłówek 4 Znak"/>
    <w:basedOn w:val="Domylnaczcionkaakapitu"/>
    <w:link w:val="Nagwek4"/>
    <w:rsid w:val="005E4F88"/>
    <w:rPr>
      <w:rFonts w:ascii="Times New Roman" w:eastAsia="Times New Roman" w:hAnsi="Times New Roman" w:cs="Times New Roman"/>
      <w:sz w:val="24"/>
      <w:szCs w:val="20"/>
      <w:lang w:val="en-GB"/>
    </w:rPr>
  </w:style>
  <w:style w:type="paragraph" w:customStyle="1" w:styleId="Text2">
    <w:name w:val="Text 2"/>
    <w:basedOn w:val="Normalny"/>
    <w:rsid w:val="005E4F88"/>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5E4F88"/>
    <w:pPr>
      <w:ind w:left="720"/>
      <w:contextualSpacing/>
    </w:pPr>
  </w:style>
  <w:style w:type="paragraph" w:styleId="Tematkomentarza">
    <w:name w:val="annotation subject"/>
    <w:basedOn w:val="Tekstkomentarza"/>
    <w:next w:val="Tekstkomentarza"/>
    <w:link w:val="TematkomentarzaZnak"/>
    <w:uiPriority w:val="99"/>
    <w:semiHidden/>
    <w:unhideWhenUsed/>
    <w:rsid w:val="005E4F88"/>
    <w:rPr>
      <w:b/>
      <w:bCs/>
    </w:rPr>
  </w:style>
  <w:style w:type="character" w:customStyle="1" w:styleId="TematkomentarzaZnak">
    <w:name w:val="Temat komentarza Znak"/>
    <w:basedOn w:val="TekstkomentarzaZnak"/>
    <w:link w:val="Tematkomentarza"/>
    <w:uiPriority w:val="99"/>
    <w:semiHidden/>
    <w:rsid w:val="005E4F88"/>
    <w:rPr>
      <w:b/>
      <w:bCs/>
      <w:sz w:val="20"/>
      <w:szCs w:val="20"/>
      <w:lang w:val="en-GB"/>
    </w:rPr>
  </w:style>
  <w:style w:type="paragraph" w:styleId="Tekstprzypisudolnego">
    <w:name w:val="footnote text"/>
    <w:aliases w:val="Footnote Text Char Char,Fußnote,FSR footnote,lábléc,Verdana 8p Regular Foot,C26 Footnote body,text,Voetnoottekst Char,Voetnoottekst Char1 Char,Voetnoottekst Char Char Char,Footnote Char Char Char,fn,f"/>
    <w:basedOn w:val="Normalny"/>
    <w:link w:val="TekstprzypisudolnegoZnak"/>
    <w:uiPriority w:val="99"/>
    <w:unhideWhenUsed/>
    <w:qFormat/>
    <w:rsid w:val="003721B5"/>
    <w:pPr>
      <w:spacing w:after="0" w:line="240" w:lineRule="auto"/>
    </w:pPr>
    <w:rPr>
      <w:sz w:val="20"/>
      <w:szCs w:val="20"/>
    </w:rPr>
  </w:style>
  <w:style w:type="character" w:customStyle="1" w:styleId="TekstprzypisudolnegoZnak">
    <w:name w:val="Tekst przypisu dolnego Znak"/>
    <w:aliases w:val="Footnote Text Char Char Znak,Fußnote Znak,FSR footnote Znak,lábléc Znak,Verdana 8p Regular Foot Znak,C26 Footnote body Znak,text Znak,Voetnoottekst Char Znak,Voetnoottekst Char1 Char Znak,Voetnoottekst Char Char Char Znak"/>
    <w:basedOn w:val="Domylnaczcionkaakapitu"/>
    <w:link w:val="Tekstprzypisudolnego"/>
    <w:uiPriority w:val="99"/>
    <w:rsid w:val="003721B5"/>
    <w:rPr>
      <w:sz w:val="20"/>
      <w:szCs w:val="20"/>
      <w:lang w:val="en-GB"/>
    </w:rPr>
  </w:style>
  <w:style w:type="character" w:styleId="Odwoanieprzypisudolnego">
    <w:name w:val="footnote reference"/>
    <w:aliases w:val="Char1,Ref,de nota al pie,Footnote,Footnote Reference Number,Footnote Reference_LVL6,Footnote Reference_LVL61,Footnote Reference_LVL62,Footnote Reference_LVL63,Footnote Reference_LVL64,Footnote symbol,Fußnotenzeichen3,Char,Ch,C"/>
    <w:basedOn w:val="Domylnaczcionkaakapitu"/>
    <w:uiPriority w:val="99"/>
    <w:semiHidden/>
    <w:unhideWhenUsed/>
    <w:qFormat/>
    <w:rsid w:val="003721B5"/>
    <w:rPr>
      <w:vertAlign w:val="superscript"/>
    </w:rPr>
  </w:style>
  <w:style w:type="character" w:styleId="Hipercze">
    <w:name w:val="Hyperlink"/>
    <w:basedOn w:val="Domylnaczcionkaakapitu"/>
    <w:uiPriority w:val="99"/>
    <w:unhideWhenUsed/>
    <w:rsid w:val="00546A21"/>
    <w:rPr>
      <w:color w:val="0563C1" w:themeColor="hyperlink"/>
      <w:u w:val="single"/>
    </w:rPr>
  </w:style>
  <w:style w:type="paragraph" w:styleId="Nagwek">
    <w:name w:val="header"/>
    <w:basedOn w:val="Normalny"/>
    <w:link w:val="NagwekZnak"/>
    <w:uiPriority w:val="99"/>
    <w:unhideWhenUsed/>
    <w:rsid w:val="00FC3D3C"/>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FC3D3C"/>
    <w:rPr>
      <w:lang w:val="en-GB"/>
    </w:rPr>
  </w:style>
  <w:style w:type="paragraph" w:styleId="Stopka">
    <w:name w:val="footer"/>
    <w:basedOn w:val="Normalny"/>
    <w:link w:val="StopkaZnak"/>
    <w:uiPriority w:val="99"/>
    <w:unhideWhenUsed/>
    <w:rsid w:val="00FC3D3C"/>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FC3D3C"/>
    <w:rPr>
      <w:lang w:val="en-GB"/>
    </w:rPr>
  </w:style>
  <w:style w:type="character" w:styleId="UyteHipercze">
    <w:name w:val="FollowedHyperlink"/>
    <w:basedOn w:val="Domylnaczcionkaakapitu"/>
    <w:uiPriority w:val="99"/>
    <w:semiHidden/>
    <w:unhideWhenUsed/>
    <w:rsid w:val="00AE6E45"/>
    <w:rPr>
      <w:color w:val="954F72" w:themeColor="followedHyperlink"/>
      <w:u w:val="single"/>
    </w:rPr>
  </w:style>
  <w:style w:type="paragraph" w:styleId="Poprawka">
    <w:name w:val="Revision"/>
    <w:hidden/>
    <w:uiPriority w:val="99"/>
    <w:semiHidden/>
    <w:rsid w:val="006F07BE"/>
    <w:pPr>
      <w:spacing w:after="0" w:line="240" w:lineRule="auto"/>
    </w:pPr>
    <w:rPr>
      <w:lang w:val="en-GB"/>
    </w:rPr>
  </w:style>
  <w:style w:type="paragraph" w:styleId="NormalnyWeb">
    <w:name w:val="Normal (Web)"/>
    <w:basedOn w:val="Normalny"/>
    <w:uiPriority w:val="99"/>
    <w:semiHidden/>
    <w:unhideWhenUsed/>
    <w:rsid w:val="00841A0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Tabela-Siatka">
    <w:name w:val="Table Grid"/>
    <w:basedOn w:val="Standardowy"/>
    <w:uiPriority w:val="39"/>
    <w:rsid w:val="0096423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BF9"/>
    <w:pPr>
      <w:autoSpaceDE w:val="0"/>
      <w:autoSpaceDN w:val="0"/>
      <w:adjustRightInd w:val="0"/>
      <w:spacing w:after="0" w:line="240" w:lineRule="auto"/>
    </w:pPr>
    <w:rPr>
      <w:rFonts w:ascii="Verdana" w:hAnsi="Verdana" w:cs="Verdana"/>
      <w:color w:val="000000"/>
      <w:sz w:val="24"/>
      <w:szCs w:val="24"/>
      <w:lang w:val="fr-FR"/>
    </w:rPr>
  </w:style>
  <w:style w:type="paragraph" w:styleId="Tekstprzypisukocowego">
    <w:name w:val="endnote text"/>
    <w:basedOn w:val="Normalny"/>
    <w:link w:val="TekstprzypisukocowegoZnak"/>
    <w:uiPriority w:val="99"/>
    <w:semiHidden/>
    <w:unhideWhenUsed/>
    <w:rsid w:val="004953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9534E"/>
    <w:rPr>
      <w:sz w:val="20"/>
      <w:szCs w:val="20"/>
      <w:lang w:val="en-GB"/>
    </w:rPr>
  </w:style>
  <w:style w:type="character" w:styleId="Odwoanieprzypisukocowego">
    <w:name w:val="endnote reference"/>
    <w:basedOn w:val="Domylnaczcionkaakapitu"/>
    <w:uiPriority w:val="99"/>
    <w:semiHidden/>
    <w:unhideWhenUsed/>
    <w:rsid w:val="004953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883">
      <w:bodyDiv w:val="1"/>
      <w:marLeft w:val="0"/>
      <w:marRight w:val="0"/>
      <w:marTop w:val="0"/>
      <w:marBottom w:val="0"/>
      <w:divBdr>
        <w:top w:val="none" w:sz="0" w:space="0" w:color="auto"/>
        <w:left w:val="none" w:sz="0" w:space="0" w:color="auto"/>
        <w:bottom w:val="none" w:sz="0" w:space="0" w:color="auto"/>
        <w:right w:val="none" w:sz="0" w:space="0" w:color="auto"/>
      </w:divBdr>
    </w:div>
    <w:div w:id="982613115">
      <w:bodyDiv w:val="1"/>
      <w:marLeft w:val="0"/>
      <w:marRight w:val="0"/>
      <w:marTop w:val="0"/>
      <w:marBottom w:val="0"/>
      <w:divBdr>
        <w:top w:val="none" w:sz="0" w:space="0" w:color="auto"/>
        <w:left w:val="none" w:sz="0" w:space="0" w:color="auto"/>
        <w:bottom w:val="none" w:sz="0" w:space="0" w:color="auto"/>
        <w:right w:val="none" w:sz="0" w:space="0" w:color="auto"/>
      </w:divBdr>
    </w:div>
    <w:div w:id="1008168764">
      <w:bodyDiv w:val="1"/>
      <w:marLeft w:val="0"/>
      <w:marRight w:val="0"/>
      <w:marTop w:val="0"/>
      <w:marBottom w:val="0"/>
      <w:divBdr>
        <w:top w:val="none" w:sz="0" w:space="0" w:color="auto"/>
        <w:left w:val="none" w:sz="0" w:space="0" w:color="auto"/>
        <w:bottom w:val="none" w:sz="0" w:space="0" w:color="auto"/>
        <w:right w:val="none" w:sz="0" w:space="0" w:color="auto"/>
      </w:divBdr>
    </w:div>
    <w:div w:id="1201816574">
      <w:bodyDiv w:val="1"/>
      <w:marLeft w:val="0"/>
      <w:marRight w:val="0"/>
      <w:marTop w:val="0"/>
      <w:marBottom w:val="0"/>
      <w:divBdr>
        <w:top w:val="none" w:sz="0" w:space="0" w:color="auto"/>
        <w:left w:val="none" w:sz="0" w:space="0" w:color="auto"/>
        <w:bottom w:val="none" w:sz="0" w:space="0" w:color="auto"/>
        <w:right w:val="none" w:sz="0" w:space="0" w:color="auto"/>
      </w:divBdr>
    </w:div>
    <w:div w:id="208950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c.europa.eu/info/sites/info/files/business_economy_euro/banking_and_finance/documents/190211-request-eiopa-technical-advice-review-solvency-2.pdf" TargetMode="External"/><Relationship Id="rId18" Type="http://schemas.openxmlformats.org/officeDocument/2006/relationships/hyperlink" Target="https://www.eiopa.europa.eu/content/eiopa-issues-opinion-sustainability-within-solvency-ii_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srb.europa.eu/pub/pdf/other/esrb.letter201016_on_response_to_Solvency_II_review_consultation~8898c97469.en.pdf?acea8da5f1337e2ccd5eeff788656a1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rb.europa.eu/pub/pdf/reports/esrb.200226_enhancingmacroprudentialdimensionsolvency2~1264e30795.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eiopa.europa.eu/content/eiopa-issues-opinion-sustainability-within-solvency-ii_en"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iopa.europa.eu/browse/solvency-ii/2020-review-of-solvency-ii_e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ERIS_AdditionalMarkings xmlns="0bee1c46-bdab-411b-a655-5401df9df4b3" xsi:nil="true"/>
    <ERIS_SupersededObsolete xmlns="0bee1c46-bdab-411b-a655-5401df9df4b3">false</ERIS_SupersededObsolete>
    <TaxCatchAll xmlns="0bee1c46-bdab-411b-a655-5401df9df4b3">
      <Value>34</Value>
      <Value>15</Value>
      <Value>116</Value>
      <Value>8</Value>
      <Value>1</Value>
    </TaxCatchAll>
    <IconOverlay xmlns="http://schemas.microsoft.com/sharepoint/v4" xsi:nil="true"/>
    <beffc630dace41328897f0481472454d xmlns="0bee1c46-bdab-411b-a655-5401df9df4b3">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d2c68be8-58e4-4467-97a9-75f824d1c556</TermId>
        </TermInfo>
      </Terms>
    </beffc630dace41328897f0481472454d>
    <pe97fe9bea554a78a23a225d37adbc35 xmlns="0bee1c46-bdab-411b-a655-5401df9df4b3">
      <Terms xmlns="http://schemas.microsoft.com/office/infopath/2007/PartnerControls">
        <TermInfo xmlns="http://schemas.microsoft.com/office/infopath/2007/PartnerControls">
          <TermName xmlns="http://schemas.microsoft.com/office/infopath/2007/PartnerControls">Briefing</TermName>
          <TermId xmlns="http://schemas.microsoft.com/office/infopath/2007/PartnerControls">4cc19fc1-2a2f-4dda-b8e3-06bb783eae12</TermId>
        </TermInfo>
        <TermInfo xmlns="http://schemas.microsoft.com/office/infopath/2007/PartnerControls">
          <TermName xmlns="http://schemas.microsoft.com/office/infopath/2007/PartnerControls">Prudential Policy</TermName>
          <TermId xmlns="http://schemas.microsoft.com/office/infopath/2007/PartnerControls">43245a93-b13b-4262-9edd-8f7887118150</TermId>
        </TermInfo>
      </Terms>
    </pe97fe9bea554a78a23a225d37adbc35>
    <ERIS_OtherReference xmlns="0bee1c46-bdab-411b-a655-5401df9df4b3" xsi:nil="true"/>
    <gf48ed4469924c22b2ce31866c2df0cf xmlns="0bee1c46-bdab-411b-a655-5401df9df4b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gf48ed4469924c22b2ce31866c2df0cf>
    <ERIS_AssignedTo xmlns="0bee1c46-bdab-411b-a655-5401df9df4b3">
      <UserInfo>
        <DisplayName/>
        <AccountId xsi:nil="true"/>
        <AccountType/>
      </UserInfo>
    </ERIS_AssignedTo>
    <FormData xmlns="http://schemas.microsoft.com/sharepoint/v3">&lt;?xml version="1.0" encoding="utf-8"?&gt;&lt;FormVariables&gt;&lt;Version /&gt;&lt;/FormVariables&gt;</FormData>
    <l1910f2a75d44c5d93401f0d5ce6b040 xmlns="0bee1c46-bdab-411b-a655-5401df9df4b3">
      <Terms xmlns="http://schemas.microsoft.com/office/infopath/2007/PartnerControls">
        <TermInfo xmlns="http://schemas.microsoft.com/office/infopath/2007/PartnerControls">
          <TermName xmlns="http://schemas.microsoft.com/office/infopath/2007/PartnerControls">Policy Department</TermName>
          <TermId xmlns="http://schemas.microsoft.com/office/infopath/2007/PartnerControls">b4dfa58b-e139-4fed-98cd-912416c70ce5</TermId>
        </TermInfo>
      </Terms>
    </l1910f2a75d44c5d93401f0d5ce6b040>
    <ERIS_ApprovalStatus xmlns="0bee1c46-bdab-411b-a655-5401df9df4b3">DRAFT</ERIS_ApprovalStatus>
    <ERIS_Relation xmlns="0bee1c46-bdab-411b-a655-5401df9df4b3">, </ERIS_Relation>
    <ERIS_RecordNumber xmlns="0bee1c46-bdab-411b-a655-5401df9df4b3">EIOPA(2021)0003343</ERIS_RecordNumber>
    <ERIS_ConfidentialityLevel xmlns="0bee1c46-bdab-411b-a655-5401df9df4b3">EIOPA Restricted Use</ERIS_ConfidentialityLevel>
  </documentManagement>
</p:properties>
</file>

<file path=customXml/item5.xml><?xml version="1.0" encoding="utf-8"?>
<ct:contentTypeSchema xmlns:ct="http://schemas.microsoft.com/office/2006/metadata/contentType" xmlns:ma="http://schemas.microsoft.com/office/2006/metadata/properties/metaAttributes" ct:_="" ma:_="" ma:contentTypeName="ERIS Document" ma:contentTypeID="0x01010091A46842D15FE545943476792E046C310010220E3FC69F1C4A99F61E744563C467" ma:contentTypeVersion="71" ma:contentTypeDescription="" ma:contentTypeScope="" ma:versionID="edb7c0bd3fa714dc529bc121cd227a66">
  <xsd:schema xmlns:xsd="http://www.w3.org/2001/XMLSchema" xmlns:xs="http://www.w3.org/2001/XMLSchema" xmlns:p="http://schemas.microsoft.com/office/2006/metadata/properties" xmlns:ns1="http://schemas.microsoft.com/sharepoint/v3" xmlns:ns2="0bee1c46-bdab-411b-a655-5401df9df4b3" xmlns:ns4="http://schemas.microsoft.com/sharepoint/v4" xmlns:ns5="b0e527cc-d4ba-40a0-847b-2d2cb9d17dc9" targetNamespace="http://schemas.microsoft.com/office/2006/metadata/properties" ma:root="true" ma:fieldsID="aaee0175842584a9ba65b6cb64f612e8" ns1:_="" ns2:_="" ns4:_="" ns5:_="">
    <xsd:import namespace="http://schemas.microsoft.com/sharepoint/v3"/>
    <xsd:import namespace="0bee1c46-bdab-411b-a655-5401df9df4b3"/>
    <xsd:import namespace="http://schemas.microsoft.com/sharepoint/v4"/>
    <xsd:import namespace="b0e527cc-d4ba-40a0-847b-2d2cb9d17dc9"/>
    <xsd:element name="properties">
      <xsd:complexType>
        <xsd:sequence>
          <xsd:element name="documentManagement">
            <xsd:complexType>
              <xsd:all>
                <xsd:element ref="ns2:beffc630dace41328897f0481472454d" minOccurs="0"/>
                <xsd:element ref="ns2:TaxCatchAll" minOccurs="0"/>
                <xsd:element ref="ns2:TaxCatchAllLabel" minOccurs="0"/>
                <xsd:element ref="ns2:pe97fe9bea554a78a23a225d37adbc35" minOccurs="0"/>
                <xsd:element ref="ns2:ERIS_ConfidentialityLevel"/>
                <xsd:element ref="ns2:ERIS_AdditionalMarkings" minOccurs="0"/>
                <xsd:element ref="ns2:ERIS_ApprovalStatus" minOccurs="0"/>
                <xsd:element ref="ns2:l1910f2a75d44c5d93401f0d5ce6b040" minOccurs="0"/>
                <xsd:element ref="ns2:gf48ed4469924c22b2ce31866c2df0cf" minOccurs="0"/>
                <xsd:element ref="ns2:ERIS_OtherReference" minOccurs="0"/>
                <xsd:element ref="ns2:ERIS_Relation" minOccurs="0"/>
                <xsd:element ref="ns2:ERIS_AssignedTo" minOccurs="0"/>
                <xsd:element ref="ns2:ERIS_RecordNumber" minOccurs="0"/>
                <xsd:element ref="ns1:FormData" minOccurs="0"/>
                <xsd:element ref="ns4:IconOverlay" minOccurs="0"/>
                <xsd:element ref="ns2:ERIS_SupersededObsolet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7"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e1c46-bdab-411b-a655-5401df9df4b3" elementFormDefault="qualified">
    <xsd:import namespace="http://schemas.microsoft.com/office/2006/documentManagement/types"/>
    <xsd:import namespace="http://schemas.microsoft.com/office/infopath/2007/PartnerControls"/>
    <xsd:element name="beffc630dace41328897f0481472454d" ma:index="8" ma:taxonomy="true" ma:internalName="beffc630dace41328897f0481472454d" ma:taxonomyFieldName="ERIS_DocumentType" ma:displayName="Document Type" ma:readOnly="false" ma:fieldId="{beffc630-dace-4132-8897-f0481472454d}"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4fe29d0-2475-45e7-8cf4-99b27d41925a}" ma:internalName="TaxCatchAll" ma:showField="CatchAllData" ma:web="0bee1c46-bdab-411b-a655-5401df9df4b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4fe29d0-2475-45e7-8cf4-99b27d41925a}" ma:internalName="TaxCatchAllLabel" ma:readOnly="true" ma:showField="CatchAllDataLabel" ma:web="0bee1c46-bdab-411b-a655-5401df9df4b3">
      <xsd:complexType>
        <xsd:complexContent>
          <xsd:extension base="dms:MultiChoiceLookup">
            <xsd:sequence>
              <xsd:element name="Value" type="dms:Lookup" maxOccurs="unbounded" minOccurs="0" nillable="true"/>
            </xsd:sequence>
          </xsd:extension>
        </xsd:complexContent>
      </xsd:complexType>
    </xsd:element>
    <xsd:element name="pe97fe9bea554a78a23a225d37adbc35" ma:index="12" ma:taxonomy="true" ma:internalName="pe97fe9bea554a78a23a225d37adbc35" ma:taxonomyFieldName="ERIS_Keywords" ma:displayName="Keywords" ma:readOnly="false" ma:fieldId="{9e97fe9b-ea55-4a78-a23a-225d37adbc35}" ma:taxonomyMulti="true" ma:sspId="2b1776d1-ae3b-49f8-a97b-1474fa7fa346" ma:termSetId="041e8d27-50b6-44df-be8e-d4aba88ea6ef" ma:anchorId="00000000-0000-0000-0000-000000000000" ma:open="true" ma:isKeyword="false">
      <xsd:complexType>
        <xsd:sequence>
          <xsd:element ref="pc:Terms" minOccurs="0" maxOccurs="1"/>
        </xsd:sequence>
      </xsd:complexType>
    </xsd:element>
    <xsd:element name="ERIS_ConfidentialityLevel" ma:index="14"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5" nillable="true" ma:displayName="Additional Markings" ma:format="Dropdown" ma:internalName="ERIS_AdditionalMarkings">
      <xsd:simpleType>
        <xsd:union memberTypes="dms:Text">
          <xsd:simpleType>
            <xsd:restriction base="dms:Choice">
              <xsd:enumeration value="Limited"/>
              <xsd:enumeration value="Internal Use Only"/>
              <xsd:enumeration value="Personal Data"/>
              <xsd:enumeration value="Staff Matter"/>
              <xsd:enumeration value="Management Only"/>
            </xsd:restriction>
          </xsd:simpleType>
        </xsd:union>
      </xsd:simpleType>
    </xsd:element>
    <xsd:element name="ERIS_ApprovalStatus" ma:index="16"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l1910f2a75d44c5d93401f0d5ce6b040" ma:index="17" nillable="true" ma:taxonomy="true" ma:internalName="l1910f2a75d44c5d93401f0d5ce6b040" ma:taxonomyFieldName="ERIS_Department" ma:displayName="EIOPA Department" ma:default="" ma:fieldId="{51910f2a-75d4-4c5d-9340-1f0d5ce6b040}"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gf48ed4469924c22b2ce31866c2df0cf" ma:index="19" nillable="true" ma:taxonomy="true" ma:internalName="gf48ed4469924c22b2ce31866c2df0cf" ma:taxonomyFieldName="ERIS_Language" ma:displayName="Language" ma:default="1;#English|2741a941-2920-4ba4-aa70-d8ed6ac1785d" ma:fieldId="{0f48ed44-6992-4c22-b2ce-31866c2df0cf}"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21" nillable="true" ma:displayName="Other Reference" ma:internalName="ERIS_OtherReference">
      <xsd:simpleType>
        <xsd:restriction base="dms:Text"/>
      </xsd:simpleType>
    </xsd:element>
    <xsd:element name="ERIS_Relation" ma:index="22" nillable="true" ma:displayName="Relation" ma:internalName="ERIS_Relation">
      <xsd:simpleType>
        <xsd:restriction base="dms:Text"/>
      </xsd:simpleType>
    </xsd:element>
    <xsd:element name="ERIS_AssignedTo" ma:index="23"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4" nillable="true" ma:displayName="Record Number" ma:internalName="ERIS_RecordNumber">
      <xsd:simpleType>
        <xsd:restriction base="dms:Text"/>
      </xsd:simpleType>
    </xsd:element>
    <xsd:element name="ERIS_SupersededObsolete" ma:index="29" nillable="true" ma:displayName="Superseded/Obsolete?" ma:default="0" ma:internalName="ERIS_SupersededObso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527cc-d4ba-40a0-847b-2d2cb9d17dc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1255E-2516-444F-9325-5D9883C34137}">
  <ds:schemaRefs/>
</ds:datastoreItem>
</file>

<file path=customXml/itemProps2.xml><?xml version="1.0" encoding="utf-8"?>
<ds:datastoreItem xmlns:ds="http://schemas.openxmlformats.org/officeDocument/2006/customXml" ds:itemID="{66EB2F94-815D-45E6-80C0-0115CD482A4C}">
  <ds:schemaRefs>
    <ds:schemaRef ds:uri="http://schemas.microsoft.com/sharepoint/v3/contenttype/forms"/>
  </ds:schemaRefs>
</ds:datastoreItem>
</file>

<file path=customXml/itemProps3.xml><?xml version="1.0" encoding="utf-8"?>
<ds:datastoreItem xmlns:ds="http://schemas.openxmlformats.org/officeDocument/2006/customXml" ds:itemID="{E7767B2F-333E-422B-A894-344E80151CFA}">
  <ds:schemaRefs>
    <ds:schemaRef ds:uri="http://schemas.microsoft.com/sharepoint/v3/contenttype/forms/url"/>
  </ds:schemaRefs>
</ds:datastoreItem>
</file>

<file path=customXml/itemProps4.xml><?xml version="1.0" encoding="utf-8"?>
<ds:datastoreItem xmlns:ds="http://schemas.openxmlformats.org/officeDocument/2006/customXml" ds:itemID="{343F4966-5E09-4ECD-A568-38073D927430}">
  <ds:schemaRefs>
    <ds:schemaRef ds:uri="http://schemas.microsoft.com/office/2006/documentManagement/types"/>
    <ds:schemaRef ds:uri="http://purl.org/dc/elements/1.1/"/>
    <ds:schemaRef ds:uri="http://schemas.microsoft.com/sharepoint/v4"/>
    <ds:schemaRef ds:uri="http://schemas.microsoft.com/sharepoint/v3"/>
    <ds:schemaRef ds:uri="b0e527cc-d4ba-40a0-847b-2d2cb9d17dc9"/>
    <ds:schemaRef ds:uri="http://schemas.microsoft.com/office/infopath/2007/PartnerControls"/>
    <ds:schemaRef ds:uri="http://purl.org/dc/terms/"/>
    <ds:schemaRef ds:uri="http://schemas.openxmlformats.org/package/2006/metadata/core-properties"/>
    <ds:schemaRef ds:uri="0bee1c46-bdab-411b-a655-5401df9df4b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DD458696-F12B-4890-A3BA-3232750B9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ee1c46-bdab-411b-a655-5401df9df4b3"/>
    <ds:schemaRef ds:uri="http://schemas.microsoft.com/sharepoint/v4"/>
    <ds:schemaRef ds:uri="b0e527cc-d4ba-40a0-847b-2d2cb9d17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8B42F0-BF60-4715-9025-EC614506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2716</Words>
  <Characters>16296</Characters>
  <Application>Microsoft Office Word</Application>
  <DocSecurity>4</DocSecurity>
  <Lines>135</Lines>
  <Paragraphs>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2021-01-26T12:58:00Z</dcterms:created>
  <dcterms:modified xsi:type="dcterms:W3CDTF">2021-01-26T12:58:00Z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0x01010091A46842D15FE545943476792E046C310010220E3FC69F1C4A99F61E744563C467</vt:lpwstr>
  </property>
  <property fmtid="{D5CDD505-2E9C-101B-9397-08002B2CF9AE}" pid="3" name="ERIS_Keywords">
    <vt:lpwstr>8;#Briefing|4cc19fc1-2a2f-4dda-b8e3-06bb783eae12;#116;#Prudential Policy|43245a93-b13b-4262-9edd-8f7887118150</vt:lpwstr>
  </property>
  <property fmtid="{D5CDD505-2E9C-101B-9397-08002B2CF9AE}" pid="4" name="ERIS_Department">
    <vt:lpwstr>15;#Policy Department|b4dfa58b-e139-4fed-98cd-912416c70ce5</vt:lpwstr>
  </property>
  <property fmtid="{D5CDD505-2E9C-101B-9397-08002B2CF9AE}" pid="5" name="ERIS_DocumentType">
    <vt:lpwstr>34;#Note|d2c68be8-58e4-4467-97a9-75f824d1c556</vt:lpwstr>
  </property>
  <property fmtid="{D5CDD505-2E9C-101B-9397-08002B2CF9AE}" pid="6" name="ERIS_Language">
    <vt:lpwstr>1;#English|2741a941-2920-4ba4-aa70-d8ed6ac1785d</vt:lpwstr>
  </property>
  <property fmtid="{D5CDD505-2E9C-101B-9397-08002B2CF9AE}" pid="7" name="RecordPoint_WorkflowType">
    <vt:lpwstr>ActiveSubmitStub</vt:lpwstr>
  </property>
  <property fmtid="{D5CDD505-2E9C-101B-9397-08002B2CF9AE}" pid="8" name="RecordPoint_ActiveItemUniqueId">
    <vt:lpwstr>{0f78232e-9a3d-4dd7-8676-7e7163f9ee88}</vt:lpwstr>
  </property>
  <property fmtid="{D5CDD505-2E9C-101B-9397-08002B2CF9AE}" pid="9" name="RecordPoint_ActiveItemWebId">
    <vt:lpwstr>{b0e527cc-d4ba-40a0-847b-2d2cb9d17dc9}</vt:lpwstr>
  </property>
  <property fmtid="{D5CDD505-2E9C-101B-9397-08002B2CF9AE}" pid="10" name="RecordPoint_ActiveItemSiteId">
    <vt:lpwstr>{4e0ecd3f-9063-4e3b-8a23-d89e0484feca}</vt:lpwstr>
  </property>
  <property fmtid="{D5CDD505-2E9C-101B-9397-08002B2CF9AE}" pid="11" name="RecordPoint_ActiveItemListId">
    <vt:lpwstr>{d48a4abb-d88b-48b4-85c7-9ce6ec81e3dd}</vt:lpwstr>
  </property>
  <property fmtid="{D5CDD505-2E9C-101B-9397-08002B2CF9AE}" pid="12" name="RecordPoint_RecordNumberSubmitted">
    <vt:lpwstr>EIOPA(2021)0003343</vt:lpwstr>
  </property>
  <property fmtid="{D5CDD505-2E9C-101B-9397-08002B2CF9AE}" pid="13" name="RecordPoint_SubmissionCompleted">
    <vt:lpwstr>2021-01-19T16:57:05.7538398+00:00</vt:lpwstr>
  </property>
</Properties>
</file>