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D8B3D" w14:textId="0E233194" w:rsidR="0032168C" w:rsidRDefault="006724C8">
      <w:pPr>
        <w:pStyle w:val="Obsah1"/>
        <w:rPr>
          <w:rFonts w:eastAsiaTheme="minorEastAsia"/>
          <w:noProof/>
        </w:rPr>
      </w:pPr>
      <w:r>
        <w:fldChar w:fldCharType="begin"/>
      </w:r>
      <w:r>
        <w:instrText xml:space="preserve"> TOC \o "1-3" \h \z \u </w:instrText>
      </w:r>
      <w:r>
        <w:fldChar w:fldCharType="separate"/>
      </w:r>
      <w:hyperlink w:anchor="_Toc160198702" w:history="1">
        <w:r w:rsidR="0032168C" w:rsidRPr="00E3093E">
          <w:rPr>
            <w:rStyle w:val="Hypertextovprepojenie"/>
            <w:noProof/>
          </w:rPr>
          <w:t xml:space="preserve">Delivering on the agreed ambitions for the Solvency II review: </w:t>
        </w:r>
        <w:r w:rsidR="0032168C" w:rsidRPr="00E3093E">
          <w:rPr>
            <w:rStyle w:val="Hypertextovprepojenie"/>
            <w:bCs/>
            <w:i/>
            <w:iCs/>
            <w:noProof/>
          </w:rPr>
          <w:t>Insurance Europe’s</w:t>
        </w:r>
        <w:r w:rsidR="0032168C" w:rsidRPr="00E3093E">
          <w:rPr>
            <w:rStyle w:val="Hypertextovprepojenie"/>
            <w:i/>
            <w:noProof/>
          </w:rPr>
          <w:t xml:space="preserve"> views on the development of Level 2 and Level 3 texts</w:t>
        </w:r>
        <w:r w:rsidR="0032168C">
          <w:rPr>
            <w:noProof/>
            <w:webHidden/>
          </w:rPr>
          <w:tab/>
        </w:r>
        <w:r w:rsidR="0032168C">
          <w:rPr>
            <w:noProof/>
            <w:webHidden/>
          </w:rPr>
          <w:fldChar w:fldCharType="begin"/>
        </w:r>
        <w:r w:rsidR="0032168C">
          <w:rPr>
            <w:noProof/>
            <w:webHidden/>
          </w:rPr>
          <w:instrText xml:space="preserve"> PAGEREF _Toc160198702 \h </w:instrText>
        </w:r>
        <w:r w:rsidR="0032168C">
          <w:rPr>
            <w:noProof/>
            <w:webHidden/>
          </w:rPr>
        </w:r>
        <w:r w:rsidR="0032168C">
          <w:rPr>
            <w:noProof/>
            <w:webHidden/>
          </w:rPr>
          <w:fldChar w:fldCharType="separate"/>
        </w:r>
        <w:r w:rsidR="0032168C">
          <w:rPr>
            <w:noProof/>
            <w:webHidden/>
          </w:rPr>
          <w:t>1</w:t>
        </w:r>
        <w:r w:rsidR="0032168C">
          <w:rPr>
            <w:noProof/>
            <w:webHidden/>
          </w:rPr>
          <w:fldChar w:fldCharType="end"/>
        </w:r>
      </w:hyperlink>
    </w:p>
    <w:p w14:paraId="73837B6C" w14:textId="33A64B87" w:rsidR="0032168C" w:rsidRDefault="00066AB5">
      <w:pPr>
        <w:pStyle w:val="Obsah2"/>
        <w:tabs>
          <w:tab w:val="right" w:leader="dot" w:pos="9016"/>
        </w:tabs>
        <w:rPr>
          <w:rFonts w:eastAsiaTheme="minorEastAsia"/>
          <w:noProof/>
        </w:rPr>
      </w:pPr>
      <w:hyperlink w:anchor="_Toc160198703" w:history="1">
        <w:r w:rsidR="0032168C" w:rsidRPr="00E3093E">
          <w:rPr>
            <w:rStyle w:val="Hypertextovprepojenie"/>
            <w:noProof/>
          </w:rPr>
          <w:t>Introduction</w:t>
        </w:r>
        <w:r w:rsidR="0032168C">
          <w:rPr>
            <w:noProof/>
            <w:webHidden/>
          </w:rPr>
          <w:tab/>
        </w:r>
        <w:r w:rsidR="0032168C">
          <w:rPr>
            <w:noProof/>
            <w:webHidden/>
          </w:rPr>
          <w:fldChar w:fldCharType="begin"/>
        </w:r>
        <w:r w:rsidR="0032168C">
          <w:rPr>
            <w:noProof/>
            <w:webHidden/>
          </w:rPr>
          <w:instrText xml:space="preserve"> PAGEREF _Toc160198703 \h </w:instrText>
        </w:r>
        <w:r w:rsidR="0032168C">
          <w:rPr>
            <w:noProof/>
            <w:webHidden/>
          </w:rPr>
        </w:r>
        <w:r w:rsidR="0032168C">
          <w:rPr>
            <w:noProof/>
            <w:webHidden/>
          </w:rPr>
          <w:fldChar w:fldCharType="separate"/>
        </w:r>
        <w:r w:rsidR="0032168C">
          <w:rPr>
            <w:noProof/>
            <w:webHidden/>
          </w:rPr>
          <w:t>1</w:t>
        </w:r>
        <w:r w:rsidR="0032168C">
          <w:rPr>
            <w:noProof/>
            <w:webHidden/>
          </w:rPr>
          <w:fldChar w:fldCharType="end"/>
        </w:r>
      </w:hyperlink>
    </w:p>
    <w:p w14:paraId="1622DD64" w14:textId="734C8EFC" w:rsidR="0032168C" w:rsidRDefault="00066AB5">
      <w:pPr>
        <w:pStyle w:val="Obsah2"/>
        <w:tabs>
          <w:tab w:val="right" w:leader="dot" w:pos="9016"/>
        </w:tabs>
        <w:rPr>
          <w:rFonts w:eastAsiaTheme="minorEastAsia"/>
          <w:noProof/>
        </w:rPr>
      </w:pPr>
      <w:hyperlink w:anchor="_Toc160198704" w:history="1">
        <w:r w:rsidR="0032168C" w:rsidRPr="00E3093E">
          <w:rPr>
            <w:rStyle w:val="Hypertextovprepojenie"/>
            <w:noProof/>
          </w:rPr>
          <w:t>Improving the treatment of long-term business</w:t>
        </w:r>
        <w:r w:rsidR="0032168C">
          <w:rPr>
            <w:noProof/>
            <w:webHidden/>
          </w:rPr>
          <w:tab/>
        </w:r>
        <w:r w:rsidR="0032168C">
          <w:rPr>
            <w:noProof/>
            <w:webHidden/>
          </w:rPr>
          <w:fldChar w:fldCharType="begin"/>
        </w:r>
        <w:r w:rsidR="0032168C">
          <w:rPr>
            <w:noProof/>
            <w:webHidden/>
          </w:rPr>
          <w:instrText xml:space="preserve"> PAGEREF _Toc160198704 \h </w:instrText>
        </w:r>
        <w:r w:rsidR="0032168C">
          <w:rPr>
            <w:noProof/>
            <w:webHidden/>
          </w:rPr>
        </w:r>
        <w:r w:rsidR="0032168C">
          <w:rPr>
            <w:noProof/>
            <w:webHidden/>
          </w:rPr>
          <w:fldChar w:fldCharType="separate"/>
        </w:r>
        <w:r w:rsidR="0032168C">
          <w:rPr>
            <w:noProof/>
            <w:webHidden/>
          </w:rPr>
          <w:t>2</w:t>
        </w:r>
        <w:r w:rsidR="0032168C">
          <w:rPr>
            <w:noProof/>
            <w:webHidden/>
          </w:rPr>
          <w:fldChar w:fldCharType="end"/>
        </w:r>
      </w:hyperlink>
    </w:p>
    <w:p w14:paraId="5294023E" w14:textId="1F2FC9CD" w:rsidR="0032168C" w:rsidRDefault="00066AB5">
      <w:pPr>
        <w:pStyle w:val="Obsah3"/>
        <w:tabs>
          <w:tab w:val="right" w:leader="dot" w:pos="9016"/>
        </w:tabs>
        <w:rPr>
          <w:rFonts w:cstheme="minorBidi"/>
          <w:noProof/>
          <w:kern w:val="2"/>
          <w14:ligatures w14:val="standardContextual"/>
        </w:rPr>
      </w:pPr>
      <w:hyperlink w:anchor="_Toc160198705" w:history="1">
        <w:r w:rsidR="0032168C" w:rsidRPr="00E3093E">
          <w:rPr>
            <w:rStyle w:val="Hypertextovprepojenie"/>
            <w:b/>
            <w:bCs/>
            <w:noProof/>
          </w:rPr>
          <w:t>Extrapolation of RFR curves</w:t>
        </w:r>
        <w:r w:rsidR="0032168C">
          <w:rPr>
            <w:noProof/>
            <w:webHidden/>
          </w:rPr>
          <w:tab/>
        </w:r>
        <w:r w:rsidR="0032168C">
          <w:rPr>
            <w:noProof/>
            <w:webHidden/>
          </w:rPr>
          <w:fldChar w:fldCharType="begin"/>
        </w:r>
        <w:r w:rsidR="0032168C">
          <w:rPr>
            <w:noProof/>
            <w:webHidden/>
          </w:rPr>
          <w:instrText xml:space="preserve"> PAGEREF _Toc160198705 \h </w:instrText>
        </w:r>
        <w:r w:rsidR="0032168C">
          <w:rPr>
            <w:noProof/>
            <w:webHidden/>
          </w:rPr>
        </w:r>
        <w:r w:rsidR="0032168C">
          <w:rPr>
            <w:noProof/>
            <w:webHidden/>
          </w:rPr>
          <w:fldChar w:fldCharType="separate"/>
        </w:r>
        <w:r w:rsidR="0032168C">
          <w:rPr>
            <w:noProof/>
            <w:webHidden/>
          </w:rPr>
          <w:t>2</w:t>
        </w:r>
        <w:r w:rsidR="0032168C">
          <w:rPr>
            <w:noProof/>
            <w:webHidden/>
          </w:rPr>
          <w:fldChar w:fldCharType="end"/>
        </w:r>
      </w:hyperlink>
    </w:p>
    <w:p w14:paraId="1326F837" w14:textId="18C21459" w:rsidR="0032168C" w:rsidRDefault="00066AB5">
      <w:pPr>
        <w:pStyle w:val="Obsah3"/>
        <w:tabs>
          <w:tab w:val="right" w:leader="dot" w:pos="9016"/>
        </w:tabs>
        <w:rPr>
          <w:rFonts w:cstheme="minorBidi"/>
          <w:noProof/>
          <w:kern w:val="2"/>
          <w14:ligatures w14:val="standardContextual"/>
        </w:rPr>
      </w:pPr>
      <w:hyperlink w:anchor="_Toc160198706" w:history="1">
        <w:r w:rsidR="0032168C" w:rsidRPr="00E3093E">
          <w:rPr>
            <w:rStyle w:val="Hypertextovprepojenie"/>
            <w:b/>
            <w:bCs/>
            <w:noProof/>
          </w:rPr>
          <w:t>Volatility adjustment</w:t>
        </w:r>
        <w:r w:rsidR="0032168C">
          <w:rPr>
            <w:noProof/>
            <w:webHidden/>
          </w:rPr>
          <w:tab/>
        </w:r>
        <w:r w:rsidR="0032168C">
          <w:rPr>
            <w:noProof/>
            <w:webHidden/>
          </w:rPr>
          <w:fldChar w:fldCharType="begin"/>
        </w:r>
        <w:r w:rsidR="0032168C">
          <w:rPr>
            <w:noProof/>
            <w:webHidden/>
          </w:rPr>
          <w:instrText xml:space="preserve"> PAGEREF _Toc160198706 \h </w:instrText>
        </w:r>
        <w:r w:rsidR="0032168C">
          <w:rPr>
            <w:noProof/>
            <w:webHidden/>
          </w:rPr>
        </w:r>
        <w:r w:rsidR="0032168C">
          <w:rPr>
            <w:noProof/>
            <w:webHidden/>
          </w:rPr>
          <w:fldChar w:fldCharType="separate"/>
        </w:r>
        <w:r w:rsidR="0032168C">
          <w:rPr>
            <w:noProof/>
            <w:webHidden/>
          </w:rPr>
          <w:t>2</w:t>
        </w:r>
        <w:r w:rsidR="0032168C">
          <w:rPr>
            <w:noProof/>
            <w:webHidden/>
          </w:rPr>
          <w:fldChar w:fldCharType="end"/>
        </w:r>
      </w:hyperlink>
    </w:p>
    <w:p w14:paraId="590D1AD7" w14:textId="49D37475" w:rsidR="0032168C" w:rsidRDefault="00066AB5">
      <w:pPr>
        <w:pStyle w:val="Obsah3"/>
        <w:tabs>
          <w:tab w:val="right" w:leader="dot" w:pos="9016"/>
        </w:tabs>
        <w:rPr>
          <w:rFonts w:cstheme="minorBidi"/>
          <w:noProof/>
          <w:kern w:val="2"/>
          <w14:ligatures w14:val="standardContextual"/>
        </w:rPr>
      </w:pPr>
      <w:hyperlink w:anchor="_Toc160198707" w:history="1">
        <w:r w:rsidR="0032168C" w:rsidRPr="00E3093E">
          <w:rPr>
            <w:rStyle w:val="Hypertextovprepojenie"/>
            <w:b/>
            <w:bCs/>
            <w:noProof/>
          </w:rPr>
          <w:t>Risk margin</w:t>
        </w:r>
        <w:r w:rsidR="0032168C">
          <w:rPr>
            <w:noProof/>
            <w:webHidden/>
          </w:rPr>
          <w:tab/>
        </w:r>
        <w:r w:rsidR="0032168C">
          <w:rPr>
            <w:noProof/>
            <w:webHidden/>
          </w:rPr>
          <w:fldChar w:fldCharType="begin"/>
        </w:r>
        <w:r w:rsidR="0032168C">
          <w:rPr>
            <w:noProof/>
            <w:webHidden/>
          </w:rPr>
          <w:instrText xml:space="preserve"> PAGEREF _Toc160198707 \h </w:instrText>
        </w:r>
        <w:r w:rsidR="0032168C">
          <w:rPr>
            <w:noProof/>
            <w:webHidden/>
          </w:rPr>
        </w:r>
        <w:r w:rsidR="0032168C">
          <w:rPr>
            <w:noProof/>
            <w:webHidden/>
          </w:rPr>
          <w:fldChar w:fldCharType="separate"/>
        </w:r>
        <w:r w:rsidR="0032168C">
          <w:rPr>
            <w:noProof/>
            <w:webHidden/>
          </w:rPr>
          <w:t>2</w:t>
        </w:r>
        <w:r w:rsidR="0032168C">
          <w:rPr>
            <w:noProof/>
            <w:webHidden/>
          </w:rPr>
          <w:fldChar w:fldCharType="end"/>
        </w:r>
      </w:hyperlink>
    </w:p>
    <w:p w14:paraId="66CB812C" w14:textId="239B6FA9" w:rsidR="0032168C" w:rsidRDefault="00066AB5">
      <w:pPr>
        <w:pStyle w:val="Obsah3"/>
        <w:tabs>
          <w:tab w:val="right" w:leader="dot" w:pos="9016"/>
        </w:tabs>
        <w:rPr>
          <w:rFonts w:cstheme="minorBidi"/>
          <w:noProof/>
          <w:kern w:val="2"/>
          <w14:ligatures w14:val="standardContextual"/>
        </w:rPr>
      </w:pPr>
      <w:hyperlink w:anchor="_Toc160198708" w:history="1">
        <w:r w:rsidR="0032168C" w:rsidRPr="00E3093E">
          <w:rPr>
            <w:rStyle w:val="Hypertextovprepojenie"/>
            <w:b/>
            <w:bCs/>
            <w:noProof/>
          </w:rPr>
          <w:t>Interest rate risk SCR</w:t>
        </w:r>
        <w:r w:rsidR="0032168C">
          <w:rPr>
            <w:noProof/>
            <w:webHidden/>
          </w:rPr>
          <w:tab/>
        </w:r>
        <w:r w:rsidR="0032168C">
          <w:rPr>
            <w:noProof/>
            <w:webHidden/>
          </w:rPr>
          <w:fldChar w:fldCharType="begin"/>
        </w:r>
        <w:r w:rsidR="0032168C">
          <w:rPr>
            <w:noProof/>
            <w:webHidden/>
          </w:rPr>
          <w:instrText xml:space="preserve"> PAGEREF _Toc160198708 \h </w:instrText>
        </w:r>
        <w:r w:rsidR="0032168C">
          <w:rPr>
            <w:noProof/>
            <w:webHidden/>
          </w:rPr>
        </w:r>
        <w:r w:rsidR="0032168C">
          <w:rPr>
            <w:noProof/>
            <w:webHidden/>
          </w:rPr>
          <w:fldChar w:fldCharType="separate"/>
        </w:r>
        <w:r w:rsidR="0032168C">
          <w:rPr>
            <w:noProof/>
            <w:webHidden/>
          </w:rPr>
          <w:t>3</w:t>
        </w:r>
        <w:r w:rsidR="0032168C">
          <w:rPr>
            <w:noProof/>
            <w:webHidden/>
          </w:rPr>
          <w:fldChar w:fldCharType="end"/>
        </w:r>
      </w:hyperlink>
    </w:p>
    <w:p w14:paraId="2827515F" w14:textId="3EC7D15D" w:rsidR="0032168C" w:rsidRDefault="00066AB5">
      <w:pPr>
        <w:pStyle w:val="Obsah3"/>
        <w:tabs>
          <w:tab w:val="right" w:leader="dot" w:pos="9016"/>
        </w:tabs>
        <w:rPr>
          <w:rFonts w:cstheme="minorBidi"/>
          <w:noProof/>
          <w:kern w:val="2"/>
          <w14:ligatures w14:val="standardContextual"/>
        </w:rPr>
      </w:pPr>
      <w:hyperlink w:anchor="_Toc160198709" w:history="1">
        <w:r w:rsidR="0032168C" w:rsidRPr="00E3093E">
          <w:rPr>
            <w:rStyle w:val="Hypertextovprepojenie"/>
            <w:noProof/>
          </w:rPr>
          <w:t>Equity investment</w:t>
        </w:r>
        <w:r w:rsidR="0032168C">
          <w:rPr>
            <w:noProof/>
            <w:webHidden/>
          </w:rPr>
          <w:tab/>
        </w:r>
        <w:r w:rsidR="0032168C">
          <w:rPr>
            <w:noProof/>
            <w:webHidden/>
          </w:rPr>
          <w:fldChar w:fldCharType="begin"/>
        </w:r>
        <w:r w:rsidR="0032168C">
          <w:rPr>
            <w:noProof/>
            <w:webHidden/>
          </w:rPr>
          <w:instrText xml:space="preserve"> PAGEREF _Toc160198709 \h </w:instrText>
        </w:r>
        <w:r w:rsidR="0032168C">
          <w:rPr>
            <w:noProof/>
            <w:webHidden/>
          </w:rPr>
        </w:r>
        <w:r w:rsidR="0032168C">
          <w:rPr>
            <w:noProof/>
            <w:webHidden/>
          </w:rPr>
          <w:fldChar w:fldCharType="separate"/>
        </w:r>
        <w:r w:rsidR="0032168C">
          <w:rPr>
            <w:noProof/>
            <w:webHidden/>
          </w:rPr>
          <w:t>3</w:t>
        </w:r>
        <w:r w:rsidR="0032168C">
          <w:rPr>
            <w:noProof/>
            <w:webHidden/>
          </w:rPr>
          <w:fldChar w:fldCharType="end"/>
        </w:r>
      </w:hyperlink>
    </w:p>
    <w:p w14:paraId="076981EE" w14:textId="486CBA67" w:rsidR="0032168C" w:rsidRDefault="00066AB5">
      <w:pPr>
        <w:pStyle w:val="Obsah2"/>
        <w:tabs>
          <w:tab w:val="right" w:leader="dot" w:pos="9016"/>
        </w:tabs>
        <w:rPr>
          <w:rFonts w:eastAsiaTheme="minorEastAsia"/>
          <w:noProof/>
        </w:rPr>
      </w:pPr>
      <w:hyperlink w:anchor="_Toc160198710" w:history="1">
        <w:r w:rsidR="0032168C" w:rsidRPr="00E3093E">
          <w:rPr>
            <w:rStyle w:val="Hypertextovprepojenie"/>
            <w:b/>
            <w:bCs/>
            <w:noProof/>
          </w:rPr>
          <w:t>Proportionality</w:t>
        </w:r>
        <w:r w:rsidR="0032168C">
          <w:rPr>
            <w:noProof/>
            <w:webHidden/>
          </w:rPr>
          <w:tab/>
        </w:r>
        <w:r w:rsidR="0032168C">
          <w:rPr>
            <w:noProof/>
            <w:webHidden/>
          </w:rPr>
          <w:fldChar w:fldCharType="begin"/>
        </w:r>
        <w:r w:rsidR="0032168C">
          <w:rPr>
            <w:noProof/>
            <w:webHidden/>
          </w:rPr>
          <w:instrText xml:space="preserve"> PAGEREF _Toc160198710 \h </w:instrText>
        </w:r>
        <w:r w:rsidR="0032168C">
          <w:rPr>
            <w:noProof/>
            <w:webHidden/>
          </w:rPr>
        </w:r>
        <w:r w:rsidR="0032168C">
          <w:rPr>
            <w:noProof/>
            <w:webHidden/>
          </w:rPr>
          <w:fldChar w:fldCharType="separate"/>
        </w:r>
        <w:r w:rsidR="0032168C">
          <w:rPr>
            <w:noProof/>
            <w:webHidden/>
          </w:rPr>
          <w:t>3</w:t>
        </w:r>
        <w:r w:rsidR="0032168C">
          <w:rPr>
            <w:noProof/>
            <w:webHidden/>
          </w:rPr>
          <w:fldChar w:fldCharType="end"/>
        </w:r>
      </w:hyperlink>
    </w:p>
    <w:p w14:paraId="75AA47D2" w14:textId="16BB6A2F" w:rsidR="0032168C" w:rsidRDefault="00066AB5">
      <w:pPr>
        <w:pStyle w:val="Obsah2"/>
        <w:tabs>
          <w:tab w:val="right" w:leader="dot" w:pos="9016"/>
        </w:tabs>
        <w:rPr>
          <w:rFonts w:eastAsiaTheme="minorEastAsia"/>
          <w:noProof/>
        </w:rPr>
      </w:pPr>
      <w:hyperlink w:anchor="_Toc160198711" w:history="1">
        <w:r w:rsidR="0032168C" w:rsidRPr="00E3093E">
          <w:rPr>
            <w:rStyle w:val="Hypertextovprepojenie"/>
            <w:b/>
            <w:bCs/>
            <w:noProof/>
          </w:rPr>
          <w:t>Macroprudential supervision</w:t>
        </w:r>
        <w:r w:rsidR="0032168C">
          <w:rPr>
            <w:noProof/>
            <w:webHidden/>
          </w:rPr>
          <w:tab/>
        </w:r>
        <w:r w:rsidR="0032168C">
          <w:rPr>
            <w:noProof/>
            <w:webHidden/>
          </w:rPr>
          <w:fldChar w:fldCharType="begin"/>
        </w:r>
        <w:r w:rsidR="0032168C">
          <w:rPr>
            <w:noProof/>
            <w:webHidden/>
          </w:rPr>
          <w:instrText xml:space="preserve"> PAGEREF _Toc160198711 \h </w:instrText>
        </w:r>
        <w:r w:rsidR="0032168C">
          <w:rPr>
            <w:noProof/>
            <w:webHidden/>
          </w:rPr>
        </w:r>
        <w:r w:rsidR="0032168C">
          <w:rPr>
            <w:noProof/>
            <w:webHidden/>
          </w:rPr>
          <w:fldChar w:fldCharType="separate"/>
        </w:r>
        <w:r w:rsidR="0032168C">
          <w:rPr>
            <w:noProof/>
            <w:webHidden/>
          </w:rPr>
          <w:t>4</w:t>
        </w:r>
        <w:r w:rsidR="0032168C">
          <w:rPr>
            <w:noProof/>
            <w:webHidden/>
          </w:rPr>
          <w:fldChar w:fldCharType="end"/>
        </w:r>
      </w:hyperlink>
    </w:p>
    <w:p w14:paraId="2092449E" w14:textId="6FB325F7" w:rsidR="0032168C" w:rsidRDefault="00066AB5">
      <w:pPr>
        <w:pStyle w:val="Obsah2"/>
        <w:tabs>
          <w:tab w:val="right" w:leader="dot" w:pos="9016"/>
        </w:tabs>
        <w:rPr>
          <w:rFonts w:eastAsiaTheme="minorEastAsia"/>
          <w:noProof/>
        </w:rPr>
      </w:pPr>
      <w:hyperlink w:anchor="_Toc160198712" w:history="1">
        <w:r w:rsidR="0032168C" w:rsidRPr="00E3093E">
          <w:rPr>
            <w:rStyle w:val="Hypertextovprepojenie"/>
            <w:b/>
            <w:bCs/>
            <w:noProof/>
          </w:rPr>
          <w:t>Sustainability</w:t>
        </w:r>
        <w:r w:rsidR="0032168C">
          <w:rPr>
            <w:noProof/>
            <w:webHidden/>
          </w:rPr>
          <w:tab/>
        </w:r>
        <w:r w:rsidR="0032168C">
          <w:rPr>
            <w:noProof/>
            <w:webHidden/>
          </w:rPr>
          <w:fldChar w:fldCharType="begin"/>
        </w:r>
        <w:r w:rsidR="0032168C">
          <w:rPr>
            <w:noProof/>
            <w:webHidden/>
          </w:rPr>
          <w:instrText xml:space="preserve"> PAGEREF _Toc160198712 \h </w:instrText>
        </w:r>
        <w:r w:rsidR="0032168C">
          <w:rPr>
            <w:noProof/>
            <w:webHidden/>
          </w:rPr>
        </w:r>
        <w:r w:rsidR="0032168C">
          <w:rPr>
            <w:noProof/>
            <w:webHidden/>
          </w:rPr>
          <w:fldChar w:fldCharType="separate"/>
        </w:r>
        <w:r w:rsidR="0032168C">
          <w:rPr>
            <w:noProof/>
            <w:webHidden/>
          </w:rPr>
          <w:t>4</w:t>
        </w:r>
        <w:r w:rsidR="0032168C">
          <w:rPr>
            <w:noProof/>
            <w:webHidden/>
          </w:rPr>
          <w:fldChar w:fldCharType="end"/>
        </w:r>
      </w:hyperlink>
    </w:p>
    <w:p w14:paraId="265F28A8" w14:textId="7FAF7157" w:rsidR="0032168C" w:rsidRDefault="00066AB5">
      <w:pPr>
        <w:pStyle w:val="Obsah2"/>
        <w:tabs>
          <w:tab w:val="right" w:leader="dot" w:pos="9016"/>
        </w:tabs>
        <w:rPr>
          <w:rFonts w:eastAsiaTheme="minorEastAsia"/>
          <w:noProof/>
        </w:rPr>
      </w:pPr>
      <w:hyperlink w:anchor="_Toc160198713" w:history="1">
        <w:r w:rsidR="0032168C" w:rsidRPr="00E3093E">
          <w:rPr>
            <w:rStyle w:val="Hypertextovprepojenie"/>
            <w:b/>
            <w:bCs/>
            <w:noProof/>
          </w:rPr>
          <w:t>Group supervision</w:t>
        </w:r>
        <w:r w:rsidR="0032168C">
          <w:rPr>
            <w:noProof/>
            <w:webHidden/>
          </w:rPr>
          <w:tab/>
        </w:r>
        <w:r w:rsidR="0032168C">
          <w:rPr>
            <w:noProof/>
            <w:webHidden/>
          </w:rPr>
          <w:fldChar w:fldCharType="begin"/>
        </w:r>
        <w:r w:rsidR="0032168C">
          <w:rPr>
            <w:noProof/>
            <w:webHidden/>
          </w:rPr>
          <w:instrText xml:space="preserve"> PAGEREF _Toc160198713 \h </w:instrText>
        </w:r>
        <w:r w:rsidR="0032168C">
          <w:rPr>
            <w:noProof/>
            <w:webHidden/>
          </w:rPr>
        </w:r>
        <w:r w:rsidR="0032168C">
          <w:rPr>
            <w:noProof/>
            <w:webHidden/>
          </w:rPr>
          <w:fldChar w:fldCharType="separate"/>
        </w:r>
        <w:r w:rsidR="0032168C">
          <w:rPr>
            <w:noProof/>
            <w:webHidden/>
          </w:rPr>
          <w:t>4</w:t>
        </w:r>
        <w:r w:rsidR="0032168C">
          <w:rPr>
            <w:noProof/>
            <w:webHidden/>
          </w:rPr>
          <w:fldChar w:fldCharType="end"/>
        </w:r>
      </w:hyperlink>
    </w:p>
    <w:p w14:paraId="2BA784E8" w14:textId="60DF6024" w:rsidR="0032168C" w:rsidRDefault="00066AB5">
      <w:pPr>
        <w:pStyle w:val="Obsah2"/>
        <w:tabs>
          <w:tab w:val="right" w:leader="dot" w:pos="9016"/>
        </w:tabs>
        <w:rPr>
          <w:rFonts w:eastAsiaTheme="minorEastAsia"/>
          <w:noProof/>
        </w:rPr>
      </w:pPr>
      <w:hyperlink w:anchor="_Toc160198714" w:history="1">
        <w:r w:rsidR="0032168C" w:rsidRPr="00E3093E">
          <w:rPr>
            <w:rStyle w:val="Hypertextovprepojenie"/>
            <w:b/>
            <w:bCs/>
            <w:noProof/>
          </w:rPr>
          <w:t>Reporting and disclosure</w:t>
        </w:r>
        <w:r w:rsidR="0032168C">
          <w:rPr>
            <w:noProof/>
            <w:webHidden/>
          </w:rPr>
          <w:tab/>
        </w:r>
        <w:r w:rsidR="0032168C">
          <w:rPr>
            <w:noProof/>
            <w:webHidden/>
          </w:rPr>
          <w:fldChar w:fldCharType="begin"/>
        </w:r>
        <w:r w:rsidR="0032168C">
          <w:rPr>
            <w:noProof/>
            <w:webHidden/>
          </w:rPr>
          <w:instrText xml:space="preserve"> PAGEREF _Toc160198714 \h </w:instrText>
        </w:r>
        <w:r w:rsidR="0032168C">
          <w:rPr>
            <w:noProof/>
            <w:webHidden/>
          </w:rPr>
        </w:r>
        <w:r w:rsidR="0032168C">
          <w:rPr>
            <w:noProof/>
            <w:webHidden/>
          </w:rPr>
          <w:fldChar w:fldCharType="separate"/>
        </w:r>
        <w:r w:rsidR="0032168C">
          <w:rPr>
            <w:noProof/>
            <w:webHidden/>
          </w:rPr>
          <w:t>5</w:t>
        </w:r>
        <w:r w:rsidR="0032168C">
          <w:rPr>
            <w:noProof/>
            <w:webHidden/>
          </w:rPr>
          <w:fldChar w:fldCharType="end"/>
        </w:r>
      </w:hyperlink>
    </w:p>
    <w:p w14:paraId="54A283E2" w14:textId="302D1CBF" w:rsidR="0032168C" w:rsidRDefault="00066AB5">
      <w:pPr>
        <w:pStyle w:val="Obsah3"/>
        <w:tabs>
          <w:tab w:val="right" w:leader="dot" w:pos="9016"/>
        </w:tabs>
        <w:rPr>
          <w:rFonts w:cstheme="minorBidi"/>
          <w:noProof/>
          <w:kern w:val="2"/>
          <w14:ligatures w14:val="standardContextual"/>
        </w:rPr>
      </w:pPr>
      <w:hyperlink w:anchor="_Toc160198715" w:history="1">
        <w:r w:rsidR="0032168C" w:rsidRPr="00E3093E">
          <w:rPr>
            <w:rStyle w:val="Hypertextovprepojenie"/>
            <w:b/>
            <w:bCs/>
            <w:noProof/>
            <w:lang w:val="en-GB"/>
          </w:rPr>
          <w:t>External audit requirement</w:t>
        </w:r>
        <w:r w:rsidR="0032168C">
          <w:rPr>
            <w:noProof/>
            <w:webHidden/>
          </w:rPr>
          <w:tab/>
        </w:r>
        <w:r w:rsidR="0032168C">
          <w:rPr>
            <w:noProof/>
            <w:webHidden/>
          </w:rPr>
          <w:fldChar w:fldCharType="begin"/>
        </w:r>
        <w:r w:rsidR="0032168C">
          <w:rPr>
            <w:noProof/>
            <w:webHidden/>
          </w:rPr>
          <w:instrText xml:space="preserve"> PAGEREF _Toc160198715 \h </w:instrText>
        </w:r>
        <w:r w:rsidR="0032168C">
          <w:rPr>
            <w:noProof/>
            <w:webHidden/>
          </w:rPr>
        </w:r>
        <w:r w:rsidR="0032168C">
          <w:rPr>
            <w:noProof/>
            <w:webHidden/>
          </w:rPr>
          <w:fldChar w:fldCharType="separate"/>
        </w:r>
        <w:r w:rsidR="0032168C">
          <w:rPr>
            <w:noProof/>
            <w:webHidden/>
          </w:rPr>
          <w:t>5</w:t>
        </w:r>
        <w:r w:rsidR="0032168C">
          <w:rPr>
            <w:noProof/>
            <w:webHidden/>
          </w:rPr>
          <w:fldChar w:fldCharType="end"/>
        </w:r>
      </w:hyperlink>
    </w:p>
    <w:p w14:paraId="79AA5981" w14:textId="7B59D016" w:rsidR="0032168C" w:rsidRDefault="00066AB5">
      <w:pPr>
        <w:pStyle w:val="Obsah3"/>
        <w:tabs>
          <w:tab w:val="right" w:leader="dot" w:pos="9016"/>
        </w:tabs>
        <w:rPr>
          <w:rFonts w:cstheme="minorBidi"/>
          <w:noProof/>
          <w:kern w:val="2"/>
          <w14:ligatures w14:val="standardContextual"/>
        </w:rPr>
      </w:pPr>
      <w:hyperlink w:anchor="_Toc160198716" w:history="1">
        <w:r w:rsidR="0032168C" w:rsidRPr="00E3093E">
          <w:rPr>
            <w:rStyle w:val="Hypertextovprepojenie"/>
            <w:b/>
            <w:bCs/>
            <w:noProof/>
            <w:lang w:val="en-GB"/>
          </w:rPr>
          <w:t>Design of the SFCR</w:t>
        </w:r>
        <w:r w:rsidR="0032168C">
          <w:rPr>
            <w:noProof/>
            <w:webHidden/>
          </w:rPr>
          <w:tab/>
        </w:r>
        <w:r w:rsidR="0032168C">
          <w:rPr>
            <w:noProof/>
            <w:webHidden/>
          </w:rPr>
          <w:fldChar w:fldCharType="begin"/>
        </w:r>
        <w:r w:rsidR="0032168C">
          <w:rPr>
            <w:noProof/>
            <w:webHidden/>
          </w:rPr>
          <w:instrText xml:space="preserve"> PAGEREF _Toc160198716 \h </w:instrText>
        </w:r>
        <w:r w:rsidR="0032168C">
          <w:rPr>
            <w:noProof/>
            <w:webHidden/>
          </w:rPr>
        </w:r>
        <w:r w:rsidR="0032168C">
          <w:rPr>
            <w:noProof/>
            <w:webHidden/>
          </w:rPr>
          <w:fldChar w:fldCharType="separate"/>
        </w:r>
        <w:r w:rsidR="0032168C">
          <w:rPr>
            <w:noProof/>
            <w:webHidden/>
          </w:rPr>
          <w:t>5</w:t>
        </w:r>
        <w:r w:rsidR="0032168C">
          <w:rPr>
            <w:noProof/>
            <w:webHidden/>
          </w:rPr>
          <w:fldChar w:fldCharType="end"/>
        </w:r>
      </w:hyperlink>
    </w:p>
    <w:p w14:paraId="173892FE" w14:textId="7121E64D" w:rsidR="0032168C" w:rsidRDefault="00066AB5">
      <w:pPr>
        <w:pStyle w:val="Obsah2"/>
        <w:tabs>
          <w:tab w:val="right" w:leader="dot" w:pos="9016"/>
        </w:tabs>
        <w:rPr>
          <w:rFonts w:eastAsiaTheme="minorEastAsia"/>
          <w:noProof/>
        </w:rPr>
      </w:pPr>
      <w:hyperlink w:anchor="_Toc160198717" w:history="1">
        <w:r w:rsidR="0032168C" w:rsidRPr="00E3093E">
          <w:rPr>
            <w:rStyle w:val="Hypertextovprepojenie"/>
            <w:b/>
            <w:bCs/>
            <w:noProof/>
          </w:rPr>
          <w:t>Other topics</w:t>
        </w:r>
        <w:r w:rsidR="0032168C">
          <w:rPr>
            <w:noProof/>
            <w:webHidden/>
          </w:rPr>
          <w:tab/>
        </w:r>
        <w:r w:rsidR="0032168C">
          <w:rPr>
            <w:noProof/>
            <w:webHidden/>
          </w:rPr>
          <w:fldChar w:fldCharType="begin"/>
        </w:r>
        <w:r w:rsidR="0032168C">
          <w:rPr>
            <w:noProof/>
            <w:webHidden/>
          </w:rPr>
          <w:instrText xml:space="preserve"> PAGEREF _Toc160198717 \h </w:instrText>
        </w:r>
        <w:r w:rsidR="0032168C">
          <w:rPr>
            <w:noProof/>
            <w:webHidden/>
          </w:rPr>
        </w:r>
        <w:r w:rsidR="0032168C">
          <w:rPr>
            <w:noProof/>
            <w:webHidden/>
          </w:rPr>
          <w:fldChar w:fldCharType="separate"/>
        </w:r>
        <w:r w:rsidR="0032168C">
          <w:rPr>
            <w:noProof/>
            <w:webHidden/>
          </w:rPr>
          <w:t>5</w:t>
        </w:r>
        <w:r w:rsidR="0032168C">
          <w:rPr>
            <w:noProof/>
            <w:webHidden/>
          </w:rPr>
          <w:fldChar w:fldCharType="end"/>
        </w:r>
      </w:hyperlink>
    </w:p>
    <w:p w14:paraId="706BC7C1" w14:textId="162D7999" w:rsidR="0032168C" w:rsidRDefault="00066AB5">
      <w:pPr>
        <w:pStyle w:val="Obsah3"/>
        <w:tabs>
          <w:tab w:val="right" w:leader="dot" w:pos="9016"/>
        </w:tabs>
        <w:rPr>
          <w:rFonts w:cstheme="minorBidi"/>
          <w:noProof/>
          <w:kern w:val="2"/>
          <w14:ligatures w14:val="standardContextual"/>
        </w:rPr>
      </w:pPr>
      <w:hyperlink w:anchor="_Toc160198718" w:history="1">
        <w:r w:rsidR="0032168C" w:rsidRPr="00E3093E">
          <w:rPr>
            <w:rStyle w:val="Hypertextovprepojenie"/>
            <w:b/>
            <w:bCs/>
            <w:noProof/>
            <w:lang w:val="en-GB"/>
          </w:rPr>
          <w:t>EPIFP</w:t>
        </w:r>
        <w:r w:rsidR="0032168C">
          <w:rPr>
            <w:noProof/>
            <w:webHidden/>
          </w:rPr>
          <w:tab/>
        </w:r>
        <w:r w:rsidR="0032168C">
          <w:rPr>
            <w:noProof/>
            <w:webHidden/>
          </w:rPr>
          <w:fldChar w:fldCharType="begin"/>
        </w:r>
        <w:r w:rsidR="0032168C">
          <w:rPr>
            <w:noProof/>
            <w:webHidden/>
          </w:rPr>
          <w:instrText xml:space="preserve"> PAGEREF _Toc160198718 \h </w:instrText>
        </w:r>
        <w:r w:rsidR="0032168C">
          <w:rPr>
            <w:noProof/>
            <w:webHidden/>
          </w:rPr>
        </w:r>
        <w:r w:rsidR="0032168C">
          <w:rPr>
            <w:noProof/>
            <w:webHidden/>
          </w:rPr>
          <w:fldChar w:fldCharType="separate"/>
        </w:r>
        <w:r w:rsidR="0032168C">
          <w:rPr>
            <w:noProof/>
            <w:webHidden/>
          </w:rPr>
          <w:t>5</w:t>
        </w:r>
        <w:r w:rsidR="0032168C">
          <w:rPr>
            <w:noProof/>
            <w:webHidden/>
          </w:rPr>
          <w:fldChar w:fldCharType="end"/>
        </w:r>
      </w:hyperlink>
    </w:p>
    <w:p w14:paraId="71DB1AC4" w14:textId="7687EF48" w:rsidR="0032168C" w:rsidRDefault="00066AB5">
      <w:pPr>
        <w:pStyle w:val="Obsah3"/>
        <w:tabs>
          <w:tab w:val="right" w:leader="dot" w:pos="9016"/>
        </w:tabs>
        <w:rPr>
          <w:rFonts w:cstheme="minorBidi"/>
          <w:noProof/>
          <w:kern w:val="2"/>
          <w14:ligatures w14:val="standardContextual"/>
        </w:rPr>
      </w:pPr>
      <w:hyperlink w:anchor="_Toc160198719" w:history="1">
        <w:r w:rsidR="0032168C" w:rsidRPr="00E3093E">
          <w:rPr>
            <w:rStyle w:val="Hypertextovprepojenie"/>
            <w:b/>
            <w:bCs/>
            <w:noProof/>
            <w:lang w:val="en-GB"/>
          </w:rPr>
          <w:t>Treatment of non-proportional reinsurance</w:t>
        </w:r>
        <w:r w:rsidR="0032168C">
          <w:rPr>
            <w:noProof/>
            <w:webHidden/>
          </w:rPr>
          <w:tab/>
        </w:r>
        <w:r w:rsidR="0032168C">
          <w:rPr>
            <w:noProof/>
            <w:webHidden/>
          </w:rPr>
          <w:fldChar w:fldCharType="begin"/>
        </w:r>
        <w:r w:rsidR="0032168C">
          <w:rPr>
            <w:noProof/>
            <w:webHidden/>
          </w:rPr>
          <w:instrText xml:space="preserve"> PAGEREF _Toc160198719 \h </w:instrText>
        </w:r>
        <w:r w:rsidR="0032168C">
          <w:rPr>
            <w:noProof/>
            <w:webHidden/>
          </w:rPr>
        </w:r>
        <w:r w:rsidR="0032168C">
          <w:rPr>
            <w:noProof/>
            <w:webHidden/>
          </w:rPr>
          <w:fldChar w:fldCharType="separate"/>
        </w:r>
        <w:r w:rsidR="0032168C">
          <w:rPr>
            <w:noProof/>
            <w:webHidden/>
          </w:rPr>
          <w:t>5</w:t>
        </w:r>
        <w:r w:rsidR="0032168C">
          <w:rPr>
            <w:noProof/>
            <w:webHidden/>
          </w:rPr>
          <w:fldChar w:fldCharType="end"/>
        </w:r>
      </w:hyperlink>
    </w:p>
    <w:p w14:paraId="7D9EC184" w14:textId="6BADCD2C" w:rsidR="0032168C" w:rsidRDefault="00066AB5">
      <w:pPr>
        <w:pStyle w:val="Obsah3"/>
        <w:tabs>
          <w:tab w:val="right" w:leader="dot" w:pos="9016"/>
        </w:tabs>
        <w:rPr>
          <w:rFonts w:cstheme="minorBidi"/>
          <w:noProof/>
          <w:kern w:val="2"/>
          <w14:ligatures w14:val="standardContextual"/>
        </w:rPr>
      </w:pPr>
      <w:hyperlink w:anchor="_Toc160198720" w:history="1">
        <w:r w:rsidR="0032168C" w:rsidRPr="00E3093E">
          <w:rPr>
            <w:rStyle w:val="Hypertextovprepojenie"/>
            <w:b/>
            <w:bCs/>
            <w:noProof/>
            <w:lang w:val="en-GB"/>
          </w:rPr>
          <w:t>Acquisition expenses</w:t>
        </w:r>
        <w:r w:rsidR="0032168C">
          <w:rPr>
            <w:noProof/>
            <w:webHidden/>
          </w:rPr>
          <w:tab/>
        </w:r>
        <w:r w:rsidR="0032168C">
          <w:rPr>
            <w:noProof/>
            <w:webHidden/>
          </w:rPr>
          <w:fldChar w:fldCharType="begin"/>
        </w:r>
        <w:r w:rsidR="0032168C">
          <w:rPr>
            <w:noProof/>
            <w:webHidden/>
          </w:rPr>
          <w:instrText xml:space="preserve"> PAGEREF _Toc160198720 \h </w:instrText>
        </w:r>
        <w:r w:rsidR="0032168C">
          <w:rPr>
            <w:noProof/>
            <w:webHidden/>
          </w:rPr>
        </w:r>
        <w:r w:rsidR="0032168C">
          <w:rPr>
            <w:noProof/>
            <w:webHidden/>
          </w:rPr>
          <w:fldChar w:fldCharType="separate"/>
        </w:r>
        <w:r w:rsidR="0032168C">
          <w:rPr>
            <w:noProof/>
            <w:webHidden/>
          </w:rPr>
          <w:t>6</w:t>
        </w:r>
        <w:r w:rsidR="0032168C">
          <w:rPr>
            <w:noProof/>
            <w:webHidden/>
          </w:rPr>
          <w:fldChar w:fldCharType="end"/>
        </w:r>
      </w:hyperlink>
    </w:p>
    <w:p w14:paraId="396AAC30" w14:textId="4E72EFF2" w:rsidR="006724C8" w:rsidRDefault="006724C8">
      <w:r>
        <w:rPr>
          <w:b/>
          <w:bCs/>
          <w:noProof/>
        </w:rPr>
        <w:fldChar w:fldCharType="end"/>
      </w:r>
    </w:p>
    <w:p w14:paraId="3FCC63DB" w14:textId="7D7C629A" w:rsidR="005A0B75" w:rsidRPr="009A466C" w:rsidRDefault="005A0B75" w:rsidP="005F1700">
      <w:pPr>
        <w:pStyle w:val="Nadpis1"/>
        <w:rPr>
          <w:b/>
          <w:i/>
          <w:iCs/>
        </w:rPr>
      </w:pPr>
      <w:bookmarkStart w:id="0" w:name="_Toc160198702"/>
      <w:r w:rsidRPr="009A466C">
        <w:t>Delivering on the agreed ambitions for the Solvency II review</w:t>
      </w:r>
      <w:r w:rsidR="001005E1">
        <w:t xml:space="preserve">: </w:t>
      </w:r>
      <w:r w:rsidRPr="005F1700">
        <w:rPr>
          <w:bCs/>
          <w:i/>
          <w:iCs/>
          <w:sz w:val="28"/>
          <w:szCs w:val="28"/>
        </w:rPr>
        <w:t>Insurance Europe’s</w:t>
      </w:r>
      <w:r w:rsidRPr="005F1700">
        <w:rPr>
          <w:i/>
          <w:sz w:val="28"/>
          <w:szCs w:val="28"/>
        </w:rPr>
        <w:t xml:space="preserve"> views on the development of Level 2 and Level 3 texts</w:t>
      </w:r>
      <w:bookmarkEnd w:id="0"/>
    </w:p>
    <w:p w14:paraId="4651047D" w14:textId="77777777" w:rsidR="001005E1" w:rsidRDefault="001005E1" w:rsidP="005F1700">
      <w:pPr>
        <w:pStyle w:val="Nadpis2"/>
      </w:pPr>
    </w:p>
    <w:p w14:paraId="7E90E8F7" w14:textId="392B1F00" w:rsidR="005F1700" w:rsidRDefault="005F1700" w:rsidP="005F1700">
      <w:pPr>
        <w:pStyle w:val="Nadpis2"/>
      </w:pPr>
      <w:bookmarkStart w:id="1" w:name="_Toc160198703"/>
      <w:r>
        <w:t>Introduction</w:t>
      </w:r>
      <w:bookmarkEnd w:id="1"/>
    </w:p>
    <w:p w14:paraId="52F693D2" w14:textId="2F488F31" w:rsidR="00694189" w:rsidRPr="0070474E" w:rsidRDefault="00F24492" w:rsidP="0070474E">
      <w:pPr>
        <w:jc w:val="both"/>
        <w:rPr>
          <w:rFonts w:ascii="Verdana" w:hAnsi="Verdana"/>
          <w:sz w:val="17"/>
          <w:szCs w:val="17"/>
        </w:rPr>
      </w:pPr>
      <w:r>
        <w:t xml:space="preserve">Insurance Europe welcomes the </w:t>
      </w:r>
      <w:r w:rsidR="00CD7854">
        <w:t xml:space="preserve">Solvency II Directive review </w:t>
      </w:r>
      <w:r w:rsidR="00733DB4">
        <w:t xml:space="preserve">agreed in </w:t>
      </w:r>
      <w:r w:rsidR="00031E6E">
        <w:t xml:space="preserve">December 2022. </w:t>
      </w:r>
      <w:r w:rsidR="00DF58BE">
        <w:t xml:space="preserve">In particular, the </w:t>
      </w:r>
      <w:r w:rsidR="003E25B9">
        <w:t xml:space="preserve">insurance </w:t>
      </w:r>
      <w:r w:rsidR="00DF58BE">
        <w:t>industry welcomes the</w:t>
      </w:r>
      <w:r w:rsidR="00120BAB" w:rsidRPr="00120BAB">
        <w:t xml:space="preserve"> improvements made by the EU co-legislators in the </w:t>
      </w:r>
      <w:r w:rsidR="00120BAB" w:rsidRPr="00F64D0D">
        <w:rPr>
          <w:rFonts w:cstheme="minorHAnsi"/>
        </w:rPr>
        <w:t>areas of capital, volatility and proportionality. These changes help insurers better serve customers, unlock more investment for the green and digital transitions, and support progress towards completing the EU’s Capital Markets Union</w:t>
      </w:r>
      <w:r w:rsidR="007A6559" w:rsidRPr="00F64D0D">
        <w:rPr>
          <w:rFonts w:cstheme="minorHAnsi"/>
        </w:rPr>
        <w:t xml:space="preserve">, </w:t>
      </w:r>
      <w:r w:rsidR="00D22C0A" w:rsidRPr="00F64D0D">
        <w:rPr>
          <w:rFonts w:cstheme="minorHAnsi"/>
        </w:rPr>
        <w:t xml:space="preserve">while maintaining </w:t>
      </w:r>
      <w:r w:rsidR="004235AB" w:rsidRPr="00F64D0D">
        <w:rPr>
          <w:rFonts w:cstheme="minorHAnsi"/>
        </w:rPr>
        <w:t>the high level of policyholder protection of the framework.</w:t>
      </w:r>
    </w:p>
    <w:p w14:paraId="2F554A7E" w14:textId="68D056BF" w:rsidR="00772D50" w:rsidRDefault="007230EC" w:rsidP="00FE1AE9">
      <w:pPr>
        <w:pBdr>
          <w:bottom w:val="single" w:sz="6" w:space="1" w:color="auto"/>
        </w:pBdr>
        <w:jc w:val="both"/>
      </w:pPr>
      <w:r w:rsidRPr="007230EC">
        <w:t xml:space="preserve">However, in order to </w:t>
      </w:r>
      <w:proofErr w:type="spellStart"/>
      <w:r w:rsidRPr="007230EC">
        <w:t>realise</w:t>
      </w:r>
      <w:proofErr w:type="spellEnd"/>
      <w:r w:rsidRPr="007230EC">
        <w:t xml:space="preserve"> the potential benefits, the technical details in Level 2 and 3 implementing regulation need to be fully aligned with the high political ambition resulting from the Level 1 Directive review.</w:t>
      </w:r>
      <w:r w:rsidR="007D6081">
        <w:t xml:space="preserve"> </w:t>
      </w:r>
      <w:r w:rsidR="00E10B41">
        <w:t>While t</w:t>
      </w:r>
      <w:r w:rsidR="00C917F8">
        <w:t xml:space="preserve">he </w:t>
      </w:r>
      <w:r w:rsidR="00757C3C">
        <w:t xml:space="preserve">upcoming Level 2 </w:t>
      </w:r>
      <w:r w:rsidR="00177C11">
        <w:t xml:space="preserve">empowerments </w:t>
      </w:r>
      <w:r w:rsidR="004F60A3">
        <w:t xml:space="preserve">cover </w:t>
      </w:r>
      <w:r w:rsidR="008010F2">
        <w:t>very technical</w:t>
      </w:r>
      <w:r w:rsidR="005D1DCC">
        <w:t xml:space="preserve"> details</w:t>
      </w:r>
      <w:r w:rsidR="00E10B41">
        <w:t xml:space="preserve">, </w:t>
      </w:r>
      <w:r w:rsidR="0046351A">
        <w:t xml:space="preserve">getting them right </w:t>
      </w:r>
      <w:r w:rsidR="00B3582B">
        <w:t xml:space="preserve">is essential </w:t>
      </w:r>
      <w:r w:rsidR="00F54295">
        <w:t>for</w:t>
      </w:r>
      <w:r w:rsidR="00B3582B">
        <w:t xml:space="preserve"> the </w:t>
      </w:r>
      <w:r w:rsidR="00F54295">
        <w:t xml:space="preserve">overall </w:t>
      </w:r>
      <w:r w:rsidR="00D77D76">
        <w:t>outcome of the review. It is there</w:t>
      </w:r>
      <w:r w:rsidR="00F54295">
        <w:t xml:space="preserve">fore </w:t>
      </w:r>
      <w:r w:rsidR="00861889">
        <w:t>key</w:t>
      </w:r>
      <w:r w:rsidR="006A22EE">
        <w:t xml:space="preserve"> to ensure that the</w:t>
      </w:r>
      <w:r w:rsidR="00B667F3">
        <w:t>se technical details are appropriate</w:t>
      </w:r>
      <w:r w:rsidR="00D77D76">
        <w:t xml:space="preserve"> </w:t>
      </w:r>
      <w:r w:rsidR="00983822">
        <w:t xml:space="preserve">and aligned with the high political ambition </w:t>
      </w:r>
      <w:r w:rsidR="00B01AAC">
        <w:t>of the Level 1 Directive review</w:t>
      </w:r>
      <w:r w:rsidR="005B6A7E">
        <w:t>.</w:t>
      </w:r>
      <w:r w:rsidR="00D77D76">
        <w:t xml:space="preserve"> </w:t>
      </w:r>
      <w:r w:rsidR="0070333B">
        <w:t xml:space="preserve"> </w:t>
      </w:r>
    </w:p>
    <w:p w14:paraId="5AB1462B" w14:textId="0E062D98" w:rsidR="00F70091" w:rsidRDefault="00F70091" w:rsidP="00FE1AE9">
      <w:pPr>
        <w:pBdr>
          <w:bottom w:val="single" w:sz="6" w:space="1" w:color="auto"/>
        </w:pBdr>
        <w:jc w:val="both"/>
      </w:pPr>
      <w:r>
        <w:t xml:space="preserve">In the following paper Insurance Europe </w:t>
      </w:r>
      <w:r w:rsidR="006F2E8F">
        <w:t>outlines</w:t>
      </w:r>
      <w:r>
        <w:t xml:space="preserve"> </w:t>
      </w:r>
      <w:r w:rsidR="006F2E8F">
        <w:t>the</w:t>
      </w:r>
      <w:r w:rsidR="00567928">
        <w:t xml:space="preserve"> key priorities for development of Level 2 and Level 3</w:t>
      </w:r>
      <w:r w:rsidR="006F2E8F">
        <w:t xml:space="preserve"> regulations</w:t>
      </w:r>
      <w:r w:rsidR="00567928">
        <w:t>, and the</w:t>
      </w:r>
      <w:r w:rsidR="007702E2">
        <w:t xml:space="preserve"> necessary steps to </w:t>
      </w:r>
      <w:r w:rsidR="006413E8">
        <w:t>ensure</w:t>
      </w:r>
      <w:r w:rsidR="006413E8" w:rsidRPr="006413E8">
        <w:t xml:space="preserve"> alignment with the overarching goals of the Solvency II Directive review.</w:t>
      </w:r>
    </w:p>
    <w:p w14:paraId="2EBE0221" w14:textId="77777777" w:rsidR="00FA0BA3" w:rsidRDefault="00FA0BA3" w:rsidP="00FE1AE9">
      <w:pPr>
        <w:pBdr>
          <w:bottom w:val="single" w:sz="6" w:space="1" w:color="auto"/>
        </w:pBdr>
        <w:jc w:val="both"/>
      </w:pPr>
    </w:p>
    <w:p w14:paraId="36CA72BC" w14:textId="77777777" w:rsidR="004D15A3" w:rsidRDefault="004D15A3" w:rsidP="004D15A3">
      <w:pPr>
        <w:pStyle w:val="Nadpis2"/>
      </w:pPr>
      <w:bookmarkStart w:id="2" w:name="_Toc160198704"/>
      <w:r w:rsidRPr="005A0B75">
        <w:t>Improving the treatment of long-term business</w:t>
      </w:r>
      <w:bookmarkEnd w:id="2"/>
    </w:p>
    <w:p w14:paraId="12418DB3" w14:textId="77777777" w:rsidR="0084550D" w:rsidRDefault="0084550D" w:rsidP="004D15A3">
      <w:pPr>
        <w:pStyle w:val="Nadpis3"/>
      </w:pPr>
    </w:p>
    <w:p w14:paraId="71B0D1C9" w14:textId="1AFDB626" w:rsidR="004D15A3" w:rsidRPr="0084550D" w:rsidRDefault="004D15A3" w:rsidP="004D15A3">
      <w:pPr>
        <w:pStyle w:val="Nadpis3"/>
        <w:rPr>
          <w:b/>
          <w:bCs/>
        </w:rPr>
      </w:pPr>
      <w:bookmarkStart w:id="3" w:name="_Toc160198705"/>
      <w:r w:rsidRPr="0084550D">
        <w:rPr>
          <w:b/>
          <w:bCs/>
        </w:rPr>
        <w:t>Extrapolation of RFR curves</w:t>
      </w:r>
      <w:bookmarkEnd w:id="3"/>
    </w:p>
    <w:p w14:paraId="3217149F" w14:textId="16C96F88" w:rsidR="003927C0" w:rsidRDefault="004D72BC" w:rsidP="00FE1AE9">
      <w:pPr>
        <w:pBdr>
          <w:bottom w:val="single" w:sz="6" w:space="1" w:color="auto"/>
        </w:pBdr>
        <w:jc w:val="both"/>
      </w:pPr>
      <w:r>
        <w:t xml:space="preserve">Stability of the </w:t>
      </w:r>
      <w:r w:rsidR="00AE4A13">
        <w:t xml:space="preserve">illiquid part of the RFR curves </w:t>
      </w:r>
      <w:r>
        <w:t>is paramount to avoid introducing</w:t>
      </w:r>
      <w:r w:rsidR="00A52543">
        <w:t xml:space="preserve"> even more artificial volatility. </w:t>
      </w:r>
    </w:p>
    <w:p w14:paraId="6CF41887" w14:textId="69FB9C95" w:rsidR="00FA0BA3" w:rsidRDefault="00A52543" w:rsidP="00FE1AE9">
      <w:pPr>
        <w:pBdr>
          <w:bottom w:val="single" w:sz="6" w:space="1" w:color="auto"/>
        </w:pBdr>
        <w:jc w:val="both"/>
      </w:pPr>
      <w:r w:rsidRPr="00664EE2">
        <w:t xml:space="preserve">The technical parameters </w:t>
      </w:r>
      <w:r w:rsidR="00557320" w:rsidRPr="00664EE2">
        <w:t xml:space="preserve">of the </w:t>
      </w:r>
      <w:r w:rsidR="00557320">
        <w:t xml:space="preserve">new </w:t>
      </w:r>
      <w:r w:rsidR="00557320" w:rsidRPr="00664EE2">
        <w:t xml:space="preserve">extrapolation </w:t>
      </w:r>
      <w:r w:rsidR="00557320">
        <w:t xml:space="preserve">methodology </w:t>
      </w:r>
      <w:r w:rsidRPr="00664EE2">
        <w:t xml:space="preserve">which determine the starting point (the FSP) and the convergence to the </w:t>
      </w:r>
      <w:r w:rsidR="003927C0" w:rsidRPr="00664EE2">
        <w:t xml:space="preserve">UFR (the speed of convergence) should be chosen to minimize artificial balance sheet </w:t>
      </w:r>
      <w:r w:rsidR="003927C0" w:rsidRPr="00402247">
        <w:t xml:space="preserve">volatility, avoid incentives for procyclical </w:t>
      </w:r>
      <w:proofErr w:type="spellStart"/>
      <w:r w:rsidR="003927C0" w:rsidRPr="00402247">
        <w:t>behaviour</w:t>
      </w:r>
      <w:proofErr w:type="spellEnd"/>
      <w:r w:rsidR="003927C0" w:rsidRPr="00402247">
        <w:t xml:space="preserve">, and </w:t>
      </w:r>
      <w:r w:rsidR="00664EE2" w:rsidRPr="00402247">
        <w:t xml:space="preserve">avoid </w:t>
      </w:r>
      <w:r w:rsidR="003927C0" w:rsidRPr="00402247">
        <w:t>push</w:t>
      </w:r>
      <w:r w:rsidR="00664EE2" w:rsidRPr="00402247">
        <w:t>ing</w:t>
      </w:r>
      <w:r w:rsidR="003927C0" w:rsidRPr="00402247">
        <w:t xml:space="preserve"> insurers towards extensive derivative usage</w:t>
      </w:r>
      <w:r w:rsidR="00664EE2" w:rsidRPr="00664EE2">
        <w:t>.</w:t>
      </w:r>
    </w:p>
    <w:p w14:paraId="11D594F5" w14:textId="2F899E86" w:rsidR="00FA0BA3" w:rsidRPr="00402247" w:rsidRDefault="00664EE2" w:rsidP="00FE1AE9">
      <w:pPr>
        <w:pBdr>
          <w:bottom w:val="single" w:sz="6" w:space="1" w:color="auto"/>
        </w:pBdr>
        <w:jc w:val="both"/>
        <w:rPr>
          <w:b/>
          <w:bCs/>
          <w:color w:val="00B050"/>
        </w:rPr>
      </w:pPr>
      <w:r w:rsidRPr="00402247">
        <w:rPr>
          <w:b/>
          <w:bCs/>
          <w:color w:val="00B050"/>
        </w:rPr>
        <w:t xml:space="preserve">DO: </w:t>
      </w:r>
      <w:r w:rsidR="00557320" w:rsidRPr="00402247">
        <w:rPr>
          <w:b/>
          <w:bCs/>
          <w:color w:val="00B050"/>
        </w:rPr>
        <w:t>Set the speed of convergence parameter at 15% for the Euro and 40% for the SEK.</w:t>
      </w:r>
    </w:p>
    <w:p w14:paraId="114E0539" w14:textId="7F17A788" w:rsidR="00664EE2" w:rsidRDefault="00557320" w:rsidP="00FE1AE9">
      <w:pPr>
        <w:pBdr>
          <w:bottom w:val="single" w:sz="6" w:space="1" w:color="auto"/>
        </w:pBdr>
        <w:jc w:val="both"/>
      </w:pPr>
      <w:r>
        <w:t>The Directive sets a minimum value for this parameter at 11.5% but a higher parameter is needed to ensure stability of the framework.</w:t>
      </w:r>
    </w:p>
    <w:p w14:paraId="1FE23E3E" w14:textId="396337B0" w:rsidR="00557320" w:rsidRPr="00402247" w:rsidRDefault="00557320" w:rsidP="00FE1AE9">
      <w:pPr>
        <w:pBdr>
          <w:bottom w:val="single" w:sz="6" w:space="1" w:color="auto"/>
        </w:pBdr>
        <w:jc w:val="both"/>
        <w:rPr>
          <w:b/>
          <w:bCs/>
          <w:color w:val="00B050"/>
        </w:rPr>
      </w:pPr>
      <w:r w:rsidRPr="00402247">
        <w:rPr>
          <w:b/>
          <w:bCs/>
          <w:color w:val="00B050"/>
        </w:rPr>
        <w:t>DO: Set the outstanding bond criterion at 8%</w:t>
      </w:r>
    </w:p>
    <w:p w14:paraId="480A41E0" w14:textId="379A3047" w:rsidR="00664EE2" w:rsidRDefault="00557320" w:rsidP="00FE1AE9">
      <w:pPr>
        <w:pBdr>
          <w:bottom w:val="single" w:sz="6" w:space="1" w:color="auto"/>
        </w:pBdr>
        <w:jc w:val="both"/>
      </w:pPr>
      <w:commentRangeStart w:id="4"/>
      <w:r>
        <w:t xml:space="preserve">This </w:t>
      </w:r>
      <w:commentRangeEnd w:id="4"/>
      <w:r w:rsidR="00A13982">
        <w:rPr>
          <w:rStyle w:val="Odkaznakomentr"/>
        </w:rPr>
        <w:commentReference w:id="4"/>
      </w:r>
      <w:r>
        <w:t>criterion is one of the two criteria which determine the first smoothing point (FSP) of the extrapolation and is set as the percentage of outstanding bonds of that or a longer maturity among all outstanding bonds in that currency (Art 77 para 1b) which are of a greater maturity than deemed to be sufficiently high.</w:t>
      </w:r>
    </w:p>
    <w:p w14:paraId="0479990F" w14:textId="77777777" w:rsidR="00557320" w:rsidRDefault="00557320" w:rsidP="00FE1AE9">
      <w:pPr>
        <w:pBdr>
          <w:bottom w:val="single" w:sz="6" w:space="1" w:color="auto"/>
        </w:pBdr>
        <w:jc w:val="both"/>
      </w:pPr>
    </w:p>
    <w:p w14:paraId="12C6E6E7" w14:textId="7056A22D" w:rsidR="00557320" w:rsidRPr="0084550D" w:rsidRDefault="00557320" w:rsidP="00557320">
      <w:pPr>
        <w:pStyle w:val="Nadpis3"/>
        <w:rPr>
          <w:b/>
          <w:bCs/>
        </w:rPr>
      </w:pPr>
      <w:bookmarkStart w:id="5" w:name="_Toc160198706"/>
      <w:r w:rsidRPr="0084550D">
        <w:rPr>
          <w:b/>
          <w:bCs/>
        </w:rPr>
        <w:t>Volatility adjustment</w:t>
      </w:r>
      <w:bookmarkEnd w:id="5"/>
    </w:p>
    <w:p w14:paraId="54456B11" w14:textId="5907B48F" w:rsidR="00664EE2" w:rsidRDefault="00BF52A1" w:rsidP="00FE1AE9">
      <w:pPr>
        <w:pBdr>
          <w:bottom w:val="single" w:sz="6" w:space="1" w:color="auto"/>
        </w:pBdr>
        <w:jc w:val="both"/>
      </w:pPr>
      <w:r>
        <w:t>The co-legislators agreed to several improvements to the design and functioning of the volatility adjustment including improved</w:t>
      </w:r>
      <w:r w:rsidRPr="00FC7C7B">
        <w:t xml:space="preserve"> reference portfolio</w:t>
      </w:r>
      <w:r>
        <w:t>s</w:t>
      </w:r>
      <w:r w:rsidRPr="00FC7C7B">
        <w:t xml:space="preserve">, the </w:t>
      </w:r>
      <w:proofErr w:type="gramStart"/>
      <w:r w:rsidRPr="00FC7C7B">
        <w:t>macro VA</w:t>
      </w:r>
      <w:proofErr w:type="gramEnd"/>
      <w:r>
        <w:t xml:space="preserve">, an </w:t>
      </w:r>
      <w:r w:rsidRPr="00FC7C7B">
        <w:t>increased general application ratio (GAR)</w:t>
      </w:r>
      <w:r>
        <w:t xml:space="preserve"> and </w:t>
      </w:r>
      <w:r w:rsidRPr="00FC7C7B">
        <w:t>the credit spread sensitivity ratio</w:t>
      </w:r>
      <w:r>
        <w:t xml:space="preserve">. </w:t>
      </w:r>
    </w:p>
    <w:p w14:paraId="43C3BFBB" w14:textId="0C542894" w:rsidR="00BF52A1" w:rsidRDefault="00BF52A1" w:rsidP="00FE1AE9">
      <w:pPr>
        <w:pBdr>
          <w:bottom w:val="single" w:sz="6" w:space="1" w:color="auto"/>
        </w:pBdr>
        <w:jc w:val="both"/>
      </w:pPr>
      <w:r>
        <w:t xml:space="preserve">However, these improvements will be undermined by a poor design </w:t>
      </w:r>
      <w:r w:rsidR="002C4A92">
        <w:t xml:space="preserve">and calibration </w:t>
      </w:r>
      <w:r>
        <w:t>of the risk correction</w:t>
      </w:r>
      <w:r w:rsidR="002C4A92">
        <w:t xml:space="preserve"> parameter, particularly in a crisis period when the efficient functioning of the VA is most critical.</w:t>
      </w:r>
    </w:p>
    <w:p w14:paraId="5A17A60A" w14:textId="289357C9" w:rsidR="002C4A92" w:rsidRPr="00402247" w:rsidRDefault="002C4A92" w:rsidP="002C4A92">
      <w:pPr>
        <w:pBdr>
          <w:bottom w:val="single" w:sz="6" w:space="1" w:color="auto"/>
        </w:pBdr>
        <w:jc w:val="both"/>
        <w:rPr>
          <w:b/>
          <w:bCs/>
          <w:color w:val="00B050"/>
        </w:rPr>
      </w:pPr>
      <w:r w:rsidRPr="00402247">
        <w:rPr>
          <w:b/>
          <w:bCs/>
          <w:color w:val="00B050"/>
        </w:rPr>
        <w:t xml:space="preserve">DO: Design and calibrate the risk correction </w:t>
      </w:r>
      <w:r w:rsidR="006901EA" w:rsidRPr="00402247">
        <w:rPr>
          <w:b/>
          <w:bCs/>
          <w:color w:val="00B050"/>
        </w:rPr>
        <w:t>parameter</w:t>
      </w:r>
      <w:r w:rsidR="00BA075B" w:rsidRPr="00402247">
        <w:rPr>
          <w:b/>
          <w:bCs/>
          <w:color w:val="00B050"/>
        </w:rPr>
        <w:t>s</w:t>
      </w:r>
      <w:r w:rsidR="006901EA" w:rsidRPr="00402247">
        <w:rPr>
          <w:b/>
          <w:bCs/>
          <w:color w:val="00B050"/>
        </w:rPr>
        <w:t xml:space="preserve"> </w:t>
      </w:r>
      <w:r w:rsidR="00BB7C8E" w:rsidRPr="00402247">
        <w:rPr>
          <w:b/>
          <w:bCs/>
          <w:color w:val="00B050"/>
        </w:rPr>
        <w:t>whic</w:t>
      </w:r>
      <w:r w:rsidR="00397412" w:rsidRPr="00402247">
        <w:rPr>
          <w:b/>
          <w:bCs/>
          <w:color w:val="00B050"/>
        </w:rPr>
        <w:t>h</w:t>
      </w:r>
      <w:r w:rsidR="00BC3F62" w:rsidRPr="00402247">
        <w:rPr>
          <w:b/>
          <w:bCs/>
          <w:color w:val="00B050"/>
        </w:rPr>
        <w:t xml:space="preserve"> provide a realistic assessment of </w:t>
      </w:r>
      <w:r w:rsidR="00BA075B" w:rsidRPr="00402247">
        <w:rPr>
          <w:b/>
          <w:bCs/>
          <w:color w:val="00B050"/>
        </w:rPr>
        <w:t>the default and downgrade risk</w:t>
      </w:r>
      <w:r w:rsidR="006901EA" w:rsidRPr="00402247">
        <w:rPr>
          <w:b/>
          <w:bCs/>
          <w:color w:val="00B050"/>
        </w:rPr>
        <w:t xml:space="preserve"> </w:t>
      </w:r>
      <w:r w:rsidR="00BA075B" w:rsidRPr="00402247">
        <w:rPr>
          <w:b/>
          <w:bCs/>
          <w:color w:val="00B050"/>
        </w:rPr>
        <w:t>associated with the reference portfolio</w:t>
      </w:r>
      <w:r w:rsidR="00D16816" w:rsidRPr="00402247">
        <w:rPr>
          <w:b/>
          <w:bCs/>
          <w:color w:val="00B050"/>
        </w:rPr>
        <w:t>.</w:t>
      </w:r>
    </w:p>
    <w:p w14:paraId="3812DAA4" w14:textId="77777777" w:rsidR="00D16816" w:rsidRDefault="00D16816" w:rsidP="002C4A92">
      <w:pPr>
        <w:pBdr>
          <w:bottom w:val="single" w:sz="6" w:space="1" w:color="auto"/>
        </w:pBdr>
        <w:jc w:val="both"/>
        <w:rPr>
          <w:b/>
          <w:bCs/>
          <w:color w:val="44546A" w:themeColor="text2"/>
        </w:rPr>
      </w:pPr>
    </w:p>
    <w:p w14:paraId="6FDB6E16" w14:textId="77777777" w:rsidR="00D16816" w:rsidRPr="0084550D" w:rsidRDefault="00D16816" w:rsidP="00D16816">
      <w:pPr>
        <w:pStyle w:val="Nadpis3"/>
        <w:rPr>
          <w:b/>
          <w:bCs/>
        </w:rPr>
      </w:pPr>
      <w:bookmarkStart w:id="6" w:name="_Toc160198707"/>
      <w:r w:rsidRPr="0084550D">
        <w:rPr>
          <w:b/>
          <w:bCs/>
        </w:rPr>
        <w:t>Risk margin</w:t>
      </w:r>
      <w:bookmarkEnd w:id="6"/>
    </w:p>
    <w:p w14:paraId="517F7DF9" w14:textId="3DAC03C4" w:rsidR="00D16816" w:rsidRDefault="008D7343" w:rsidP="002C4A92">
      <w:pPr>
        <w:pBdr>
          <w:bottom w:val="single" w:sz="6" w:space="1" w:color="auto"/>
        </w:pBdr>
        <w:jc w:val="both"/>
      </w:pPr>
      <w:r w:rsidRPr="00326C70">
        <w:t>The co-legislators have set the C</w:t>
      </w:r>
      <w:r>
        <w:t xml:space="preserve">ost of Capital </w:t>
      </w:r>
      <w:r w:rsidRPr="00326C70">
        <w:t>rate at 4.75% in the Directive which is welcomed as a key change that reduces excessive capital requirements for all the undertakings.</w:t>
      </w:r>
    </w:p>
    <w:p w14:paraId="6343496F" w14:textId="05565B05" w:rsidR="008D7343" w:rsidRDefault="008D7343" w:rsidP="002C4A92">
      <w:pPr>
        <w:pBdr>
          <w:bottom w:val="single" w:sz="6" w:space="1" w:color="auto"/>
        </w:pBdr>
        <w:jc w:val="both"/>
      </w:pPr>
      <w:r>
        <w:t xml:space="preserve">This should be complemented with a lambda parameter which further mitigates excessive </w:t>
      </w:r>
      <w:r w:rsidR="00483074">
        <w:t xml:space="preserve">and volatile </w:t>
      </w:r>
      <w:r>
        <w:t xml:space="preserve">capital </w:t>
      </w:r>
      <w:r w:rsidR="00483074">
        <w:t xml:space="preserve">requirements for long-term products. </w:t>
      </w:r>
    </w:p>
    <w:p w14:paraId="2B631F26" w14:textId="4BE91C7F" w:rsidR="00483074" w:rsidRPr="00402247" w:rsidRDefault="00483074" w:rsidP="002C4A92">
      <w:pPr>
        <w:pBdr>
          <w:bottom w:val="single" w:sz="6" w:space="1" w:color="auto"/>
        </w:pBdr>
        <w:jc w:val="both"/>
        <w:rPr>
          <w:b/>
          <w:bCs/>
          <w:color w:val="00B050"/>
        </w:rPr>
      </w:pPr>
      <w:r w:rsidRPr="00402247">
        <w:rPr>
          <w:b/>
          <w:bCs/>
          <w:color w:val="00B050"/>
        </w:rPr>
        <w:t>DO: Set the lambda parameter at a maximum of 0.975</w:t>
      </w:r>
      <w:r w:rsidR="007B34E7">
        <w:rPr>
          <w:b/>
          <w:bCs/>
          <w:color w:val="00B050"/>
        </w:rPr>
        <w:t>,</w:t>
      </w:r>
      <w:r w:rsidRPr="00402247">
        <w:rPr>
          <w:b/>
          <w:bCs/>
          <w:color w:val="00B050"/>
        </w:rPr>
        <w:t xml:space="preserve"> without a floor.</w:t>
      </w:r>
    </w:p>
    <w:p w14:paraId="0BBC4E24" w14:textId="2B43AEC3" w:rsidR="00483074" w:rsidRDefault="002137F7" w:rsidP="002137F7">
      <w:pPr>
        <w:pBdr>
          <w:bottom w:val="single" w:sz="6" w:space="1" w:color="auto"/>
        </w:pBdr>
        <w:jc w:val="both"/>
      </w:pPr>
      <w:r>
        <w:t xml:space="preserve">This calibration was supported by the outlined in its </w:t>
      </w:r>
      <w:r w:rsidRPr="00402247">
        <w:rPr>
          <w:i/>
          <w:iCs/>
        </w:rPr>
        <w:t>Communication on the review of the EU prudential framework for insurers and reinsurers in the context of the EU’s post pandemic recovery.</w:t>
      </w:r>
      <w:r>
        <w:rPr>
          <w:i/>
          <w:iCs/>
        </w:rPr>
        <w:t xml:space="preserve"> </w:t>
      </w:r>
      <w:r>
        <w:t>A similar calibration was supported by EIOPA’s analysis and included in its advice.</w:t>
      </w:r>
    </w:p>
    <w:p w14:paraId="3BDF028A" w14:textId="77777777" w:rsidR="007A71CE" w:rsidRDefault="007A71CE" w:rsidP="002137F7">
      <w:pPr>
        <w:pBdr>
          <w:bottom w:val="single" w:sz="6" w:space="1" w:color="auto"/>
        </w:pBdr>
        <w:jc w:val="both"/>
      </w:pPr>
    </w:p>
    <w:p w14:paraId="1AC9AEE0" w14:textId="77777777" w:rsidR="007A71CE" w:rsidRPr="0084550D" w:rsidRDefault="007A71CE" w:rsidP="007A71CE">
      <w:pPr>
        <w:pStyle w:val="Nadpis3"/>
        <w:rPr>
          <w:b/>
          <w:bCs/>
        </w:rPr>
      </w:pPr>
      <w:bookmarkStart w:id="7" w:name="_Toc160198708"/>
      <w:commentRangeStart w:id="8"/>
      <w:r w:rsidRPr="0084550D">
        <w:rPr>
          <w:b/>
          <w:bCs/>
        </w:rPr>
        <w:t>Interest rate risk SCR</w:t>
      </w:r>
      <w:commentRangeEnd w:id="8"/>
      <w:r w:rsidR="00D21D03">
        <w:rPr>
          <w:rStyle w:val="Odkaznakomentr"/>
          <w:rFonts w:asciiTheme="minorHAnsi" w:eastAsiaTheme="minorHAnsi" w:hAnsiTheme="minorHAnsi" w:cstheme="minorBidi"/>
          <w:color w:val="auto"/>
        </w:rPr>
        <w:commentReference w:id="8"/>
      </w:r>
      <w:bookmarkEnd w:id="7"/>
    </w:p>
    <w:p w14:paraId="76535046" w14:textId="1B595845" w:rsidR="002137F7" w:rsidRDefault="004F232C" w:rsidP="002C4A92">
      <w:pPr>
        <w:pBdr>
          <w:bottom w:val="single" w:sz="6" w:space="1" w:color="auto"/>
        </w:pBdr>
        <w:jc w:val="both"/>
      </w:pPr>
      <w:r>
        <w:t>Insurance Europe welcomes the co-</w:t>
      </w:r>
      <w:proofErr w:type="spellStart"/>
      <w:r>
        <w:t>legilsators</w:t>
      </w:r>
      <w:proofErr w:type="spellEnd"/>
      <w:r>
        <w:t xml:space="preserve">’ proposal to introduce a </w:t>
      </w:r>
      <w:r w:rsidR="001A5094">
        <w:t xml:space="preserve">term-dependent </w:t>
      </w:r>
      <w:r>
        <w:t xml:space="preserve">floor to the </w:t>
      </w:r>
      <w:r w:rsidR="001A5094">
        <w:t>interest rate risk scenarios. This is ne</w:t>
      </w:r>
      <w:r w:rsidR="00C60F1F">
        <w:t xml:space="preserve">cessary </w:t>
      </w:r>
      <w:r w:rsidR="001A5094">
        <w:t xml:space="preserve">to reflect the economic reality of </w:t>
      </w:r>
      <w:r w:rsidR="00687B2D">
        <w:t>an effective lower bound to the interest rate curve</w:t>
      </w:r>
      <w:r w:rsidR="00C60F1F">
        <w:t xml:space="preserve"> and to avoid excessive </w:t>
      </w:r>
      <w:r w:rsidR="001A09C6">
        <w:t xml:space="preserve">capital requirements, particularly in stressed environments which could result in procyclical </w:t>
      </w:r>
      <w:proofErr w:type="spellStart"/>
      <w:r w:rsidR="001A09C6">
        <w:t>behaviours</w:t>
      </w:r>
      <w:proofErr w:type="spellEnd"/>
      <w:r w:rsidR="00687B2D">
        <w:t>.</w:t>
      </w:r>
    </w:p>
    <w:p w14:paraId="0B584451" w14:textId="74AE1625" w:rsidR="000F57C3" w:rsidRPr="00402247" w:rsidRDefault="00687B2D" w:rsidP="002C4A92">
      <w:pPr>
        <w:pBdr>
          <w:bottom w:val="single" w:sz="6" w:space="1" w:color="auto"/>
        </w:pBdr>
        <w:jc w:val="both"/>
        <w:rPr>
          <w:b/>
          <w:bCs/>
          <w:color w:val="00B050"/>
        </w:rPr>
      </w:pPr>
      <w:r w:rsidRPr="00402247">
        <w:rPr>
          <w:b/>
          <w:bCs/>
          <w:color w:val="00B050"/>
        </w:rPr>
        <w:t xml:space="preserve">DO: </w:t>
      </w:r>
      <w:r w:rsidR="0030765D" w:rsidRPr="00402247">
        <w:rPr>
          <w:b/>
          <w:bCs/>
          <w:color w:val="00B050"/>
        </w:rPr>
        <w:t xml:space="preserve">Calibrate </w:t>
      </w:r>
      <w:r w:rsidR="000F57C3" w:rsidRPr="00402247">
        <w:rPr>
          <w:b/>
          <w:bCs/>
          <w:color w:val="00B050"/>
        </w:rPr>
        <w:t xml:space="preserve">a realistic </w:t>
      </w:r>
      <w:r w:rsidR="0030765D" w:rsidRPr="00402247">
        <w:rPr>
          <w:b/>
          <w:bCs/>
          <w:color w:val="00B050"/>
        </w:rPr>
        <w:t xml:space="preserve">floor to the interest rate risk </w:t>
      </w:r>
      <w:r w:rsidR="00B178E4" w:rsidRPr="00402247">
        <w:rPr>
          <w:b/>
          <w:bCs/>
          <w:color w:val="00B050"/>
        </w:rPr>
        <w:t xml:space="preserve">SCR </w:t>
      </w:r>
      <w:r w:rsidR="0030765D" w:rsidRPr="00402247">
        <w:rPr>
          <w:b/>
          <w:bCs/>
          <w:color w:val="00B050"/>
        </w:rPr>
        <w:t>scenario</w:t>
      </w:r>
      <w:r w:rsidR="00B178E4" w:rsidRPr="00402247">
        <w:rPr>
          <w:b/>
          <w:bCs/>
          <w:color w:val="00B050"/>
        </w:rPr>
        <w:t>s</w:t>
      </w:r>
      <w:r w:rsidR="004A36A9" w:rsidRPr="00402247">
        <w:rPr>
          <w:b/>
          <w:bCs/>
          <w:color w:val="00B050"/>
        </w:rPr>
        <w:t>.</w:t>
      </w:r>
    </w:p>
    <w:p w14:paraId="11297648" w14:textId="6AF9A35A" w:rsidR="00693013" w:rsidRDefault="000F57C3" w:rsidP="00693013">
      <w:pPr>
        <w:pBdr>
          <w:bottom w:val="single" w:sz="6" w:space="1" w:color="auto"/>
        </w:pBdr>
        <w:jc w:val="both"/>
        <w:rPr>
          <w:b/>
          <w:bCs/>
          <w:color w:val="44546A" w:themeColor="text2"/>
        </w:rPr>
      </w:pPr>
      <w:r w:rsidRPr="00402247">
        <w:rPr>
          <w:b/>
          <w:bCs/>
          <w:color w:val="00B050"/>
        </w:rPr>
        <w:t>DO: Update the correlation between interest rate risk</w:t>
      </w:r>
      <w:r w:rsidR="004A36A9" w:rsidRPr="00402247">
        <w:rPr>
          <w:b/>
          <w:bCs/>
          <w:color w:val="00B050"/>
        </w:rPr>
        <w:t xml:space="preserve"> down</w:t>
      </w:r>
      <w:r w:rsidRPr="00402247">
        <w:rPr>
          <w:b/>
          <w:bCs/>
          <w:color w:val="00B050"/>
        </w:rPr>
        <w:t xml:space="preserve"> and spread risk to be 0.25</w:t>
      </w:r>
      <w:r w:rsidR="004A36A9" w:rsidRPr="00402247">
        <w:rPr>
          <w:b/>
          <w:bCs/>
          <w:color w:val="00B050"/>
        </w:rPr>
        <w:t>, as per EIOPA’s advice.</w:t>
      </w:r>
    </w:p>
    <w:p w14:paraId="2CC15362" w14:textId="57B28528" w:rsidR="00693013" w:rsidRPr="00402247" w:rsidRDefault="00693013" w:rsidP="00693013">
      <w:pPr>
        <w:pBdr>
          <w:bottom w:val="single" w:sz="6" w:space="1" w:color="auto"/>
        </w:pBdr>
        <w:jc w:val="both"/>
        <w:rPr>
          <w:color w:val="FF0000"/>
        </w:rPr>
      </w:pPr>
      <w:r w:rsidRPr="00402247">
        <w:rPr>
          <w:b/>
          <w:bCs/>
          <w:color w:val="FF0000"/>
        </w:rPr>
        <w:t>DON’T: Introduce mandatory phasing</w:t>
      </w:r>
      <w:r w:rsidR="00652BDE" w:rsidRPr="00402247">
        <w:rPr>
          <w:b/>
          <w:bCs/>
          <w:color w:val="FF0000"/>
        </w:rPr>
        <w:t>-</w:t>
      </w:r>
      <w:r w:rsidRPr="00402247">
        <w:rPr>
          <w:b/>
          <w:bCs/>
          <w:color w:val="FF0000"/>
        </w:rPr>
        <w:t xml:space="preserve">in </w:t>
      </w:r>
      <w:r w:rsidR="00652BDE" w:rsidRPr="00402247">
        <w:rPr>
          <w:b/>
          <w:bCs/>
          <w:color w:val="FF0000"/>
        </w:rPr>
        <w:t>of the updated interest rate risk</w:t>
      </w:r>
      <w:r w:rsidR="002D4BAA" w:rsidRPr="00402247">
        <w:rPr>
          <w:b/>
          <w:bCs/>
          <w:color w:val="FF0000"/>
        </w:rPr>
        <w:t xml:space="preserve"> scenarios.</w:t>
      </w:r>
      <w:r w:rsidR="00652BDE" w:rsidRPr="00402247">
        <w:rPr>
          <w:b/>
          <w:bCs/>
          <w:color w:val="FF0000"/>
        </w:rPr>
        <w:t xml:space="preserve"> </w:t>
      </w:r>
    </w:p>
    <w:p w14:paraId="3BCAAED5" w14:textId="4DA40BC6" w:rsidR="00C954A6" w:rsidRPr="009E45E4" w:rsidRDefault="00C954A6" w:rsidP="00402247">
      <w:pPr>
        <w:pBdr>
          <w:bottom w:val="single" w:sz="6" w:space="1" w:color="auto"/>
        </w:pBdr>
        <w:jc w:val="both"/>
      </w:pPr>
    </w:p>
    <w:p w14:paraId="3A4FB905" w14:textId="4F068FCB" w:rsidR="00481AEA" w:rsidRPr="00481AEA" w:rsidRDefault="00481AEA" w:rsidP="00F713A2">
      <w:pPr>
        <w:pStyle w:val="Nadpis3"/>
      </w:pPr>
      <w:bookmarkStart w:id="9" w:name="_Toc160198709"/>
      <w:r w:rsidRPr="00961557">
        <w:t>Equity investment</w:t>
      </w:r>
      <w:bookmarkEnd w:id="9"/>
    </w:p>
    <w:p w14:paraId="28DA40A6" w14:textId="77777777" w:rsidR="00F713A2" w:rsidRDefault="00F713A2" w:rsidP="00F713A2">
      <w:pPr>
        <w:pStyle w:val="Nadpis4"/>
      </w:pPr>
    </w:p>
    <w:p w14:paraId="5B7E8330" w14:textId="4820AEAF" w:rsidR="00894C14" w:rsidRPr="0084550D" w:rsidRDefault="00894C14" w:rsidP="00F713A2">
      <w:pPr>
        <w:pStyle w:val="Nadpis4"/>
        <w:rPr>
          <w:b/>
          <w:bCs/>
        </w:rPr>
      </w:pPr>
      <w:r w:rsidRPr="0084550D">
        <w:rPr>
          <w:b/>
          <w:bCs/>
        </w:rPr>
        <w:t>Long-term equity</w:t>
      </w:r>
    </w:p>
    <w:p w14:paraId="39B2A415" w14:textId="4F4F28C1" w:rsidR="004153D9" w:rsidRDefault="00A934D5" w:rsidP="00D81DC3">
      <w:pPr>
        <w:jc w:val="both"/>
        <w:rPr>
          <w:iCs/>
        </w:rPr>
      </w:pPr>
      <w:r w:rsidRPr="00BF366B">
        <w:t xml:space="preserve">The </w:t>
      </w:r>
      <w:r w:rsidRPr="00BF366B">
        <w:rPr>
          <w:iCs/>
        </w:rPr>
        <w:t>industry welcomes the inclusion of</w:t>
      </w:r>
      <w:r w:rsidRPr="00BF366B">
        <w:t xml:space="preserve"> workable and simplified criteria for Long-term equities</w:t>
      </w:r>
      <w:r w:rsidRPr="00BF366B">
        <w:rPr>
          <w:iCs/>
        </w:rPr>
        <w:t xml:space="preserve"> in </w:t>
      </w:r>
      <w:r>
        <w:rPr>
          <w:iCs/>
        </w:rPr>
        <w:t xml:space="preserve">the Directive. These should be complemented with </w:t>
      </w:r>
      <w:r w:rsidRPr="00A934D5">
        <w:rPr>
          <w:iCs/>
        </w:rPr>
        <w:t xml:space="preserve">Level 2 provisions </w:t>
      </w:r>
      <w:r>
        <w:rPr>
          <w:iCs/>
        </w:rPr>
        <w:t xml:space="preserve">that </w:t>
      </w:r>
      <w:r w:rsidRPr="00A934D5">
        <w:rPr>
          <w:iCs/>
        </w:rPr>
        <w:t xml:space="preserve">mirror </w:t>
      </w:r>
      <w:r>
        <w:rPr>
          <w:iCs/>
        </w:rPr>
        <w:t>the co-legislators</w:t>
      </w:r>
      <w:r w:rsidR="00F10EB9">
        <w:rPr>
          <w:iCs/>
        </w:rPr>
        <w:t>’</w:t>
      </w:r>
      <w:r>
        <w:rPr>
          <w:iCs/>
        </w:rPr>
        <w:t xml:space="preserve"> ambition and </w:t>
      </w:r>
      <w:r w:rsidRPr="00A934D5">
        <w:rPr>
          <w:iCs/>
        </w:rPr>
        <w:t>ensur</w:t>
      </w:r>
      <w:r>
        <w:rPr>
          <w:iCs/>
        </w:rPr>
        <w:t xml:space="preserve">e a </w:t>
      </w:r>
      <w:r w:rsidRPr="00A934D5">
        <w:rPr>
          <w:iCs/>
        </w:rPr>
        <w:t xml:space="preserve">smooth </w:t>
      </w:r>
      <w:r>
        <w:rPr>
          <w:iCs/>
        </w:rPr>
        <w:t xml:space="preserve">and extensive </w:t>
      </w:r>
      <w:r w:rsidRPr="00A934D5">
        <w:rPr>
          <w:iCs/>
        </w:rPr>
        <w:t>usage of the LTE classification</w:t>
      </w:r>
      <w:r w:rsidR="00967256">
        <w:rPr>
          <w:iCs/>
        </w:rPr>
        <w:t xml:space="preserve">. </w:t>
      </w:r>
    </w:p>
    <w:p w14:paraId="2059739B" w14:textId="0CA8CD58" w:rsidR="00967256" w:rsidRPr="00402247" w:rsidRDefault="00967256" w:rsidP="004153D9">
      <w:pPr>
        <w:rPr>
          <w:b/>
          <w:bCs/>
          <w:color w:val="FF0000"/>
        </w:rPr>
      </w:pPr>
      <w:r w:rsidRPr="00402247">
        <w:rPr>
          <w:b/>
          <w:bCs/>
          <w:color w:val="FF0000"/>
        </w:rPr>
        <w:t>D</w:t>
      </w:r>
      <w:r w:rsidR="0046475C" w:rsidRPr="00402247">
        <w:rPr>
          <w:b/>
          <w:bCs/>
          <w:color w:val="FF0000"/>
        </w:rPr>
        <w:t>O</w:t>
      </w:r>
      <w:r w:rsidR="00E04498" w:rsidRPr="00402247">
        <w:rPr>
          <w:b/>
          <w:bCs/>
          <w:color w:val="FF0000"/>
        </w:rPr>
        <w:t>N’T</w:t>
      </w:r>
      <w:r w:rsidRPr="00402247">
        <w:rPr>
          <w:b/>
          <w:bCs/>
          <w:color w:val="FF0000"/>
        </w:rPr>
        <w:t>:</w:t>
      </w:r>
      <w:r w:rsidR="0046475C" w:rsidRPr="00402247">
        <w:rPr>
          <w:b/>
          <w:bCs/>
          <w:color w:val="FF0000"/>
        </w:rPr>
        <w:t xml:space="preserve"> Introduce </w:t>
      </w:r>
      <w:r w:rsidR="00A00CAE" w:rsidRPr="00402247">
        <w:rPr>
          <w:b/>
          <w:bCs/>
          <w:color w:val="FF0000"/>
        </w:rPr>
        <w:t>overly-</w:t>
      </w:r>
      <w:r w:rsidR="0046475C" w:rsidRPr="00402247">
        <w:rPr>
          <w:b/>
          <w:bCs/>
          <w:color w:val="FF0000"/>
        </w:rPr>
        <w:t xml:space="preserve">complicated or </w:t>
      </w:r>
      <w:r w:rsidR="00E04498" w:rsidRPr="00402247">
        <w:rPr>
          <w:b/>
          <w:bCs/>
          <w:color w:val="FF0000"/>
        </w:rPr>
        <w:t xml:space="preserve">excessive conditions in the Delegated Acts which would restrict </w:t>
      </w:r>
      <w:proofErr w:type="gramStart"/>
      <w:r w:rsidR="00E04498" w:rsidRPr="00402247">
        <w:rPr>
          <w:b/>
          <w:bCs/>
          <w:color w:val="FF0000"/>
        </w:rPr>
        <w:t>supervisors</w:t>
      </w:r>
      <w:proofErr w:type="gramEnd"/>
      <w:r w:rsidR="00E04498" w:rsidRPr="00402247">
        <w:rPr>
          <w:b/>
          <w:bCs/>
          <w:color w:val="FF0000"/>
        </w:rPr>
        <w:t xml:space="preserve"> ability to </w:t>
      </w:r>
      <w:proofErr w:type="spellStart"/>
      <w:r w:rsidR="00E04498" w:rsidRPr="00402247">
        <w:rPr>
          <w:b/>
          <w:bCs/>
          <w:color w:val="FF0000"/>
        </w:rPr>
        <w:t>recognise</w:t>
      </w:r>
      <w:proofErr w:type="spellEnd"/>
      <w:r w:rsidR="00E04498" w:rsidRPr="00402247">
        <w:rPr>
          <w:b/>
          <w:bCs/>
          <w:color w:val="FF0000"/>
        </w:rPr>
        <w:t xml:space="preserve"> </w:t>
      </w:r>
      <w:r w:rsidR="00A00CAE" w:rsidRPr="00402247">
        <w:rPr>
          <w:b/>
          <w:bCs/>
          <w:color w:val="FF0000"/>
        </w:rPr>
        <w:t>equities as long-term.</w:t>
      </w:r>
    </w:p>
    <w:p w14:paraId="0DB42E3C" w14:textId="677E38FA" w:rsidR="00A00CAE" w:rsidRPr="00402247" w:rsidRDefault="00A00CAE" w:rsidP="004153D9">
      <w:pPr>
        <w:rPr>
          <w:b/>
          <w:bCs/>
          <w:color w:val="00B050"/>
        </w:rPr>
      </w:pPr>
      <w:r w:rsidRPr="00402247">
        <w:rPr>
          <w:b/>
          <w:bCs/>
          <w:color w:val="00B050"/>
        </w:rPr>
        <w:t>DO: Clarify that</w:t>
      </w:r>
      <w:r w:rsidR="002F0615" w:rsidRPr="00402247">
        <w:rPr>
          <w:b/>
          <w:bCs/>
          <w:color w:val="00B050"/>
        </w:rPr>
        <w:t xml:space="preserve"> all</w:t>
      </w:r>
      <w:r w:rsidRPr="00402247">
        <w:rPr>
          <w:b/>
          <w:bCs/>
          <w:color w:val="00B050"/>
        </w:rPr>
        <w:t xml:space="preserve"> </w:t>
      </w:r>
      <w:r w:rsidR="00622E66" w:rsidRPr="00402247">
        <w:rPr>
          <w:b/>
          <w:bCs/>
          <w:color w:val="00B050"/>
        </w:rPr>
        <w:t xml:space="preserve">collective investment undertakings can be </w:t>
      </w:r>
      <w:r w:rsidR="002F0615" w:rsidRPr="00402247">
        <w:rPr>
          <w:b/>
          <w:bCs/>
          <w:color w:val="00B050"/>
        </w:rPr>
        <w:t xml:space="preserve">assessed at the level of the fund and not at the individual security level. </w:t>
      </w:r>
    </w:p>
    <w:p w14:paraId="623C71C7" w14:textId="30335C85" w:rsidR="00481AEA" w:rsidRDefault="002F0615" w:rsidP="004153D9">
      <w:r>
        <w:t xml:space="preserve">This is consistent with the portfolio-level approach </w:t>
      </w:r>
      <w:r w:rsidR="005F1CBE">
        <w:t>foreseen in the LTE criteria (</w:t>
      </w:r>
      <w:proofErr w:type="spellStart"/>
      <w:r w:rsidR="005F1CBE">
        <w:t>ie</w:t>
      </w:r>
      <w:proofErr w:type="spellEnd"/>
      <w:r w:rsidR="005F1CBE">
        <w:t xml:space="preserve">. (b), (d), and (f). </w:t>
      </w:r>
    </w:p>
    <w:p w14:paraId="0784E2B0" w14:textId="77777777" w:rsidR="000F72E3" w:rsidRDefault="000F72E3" w:rsidP="00F713A2">
      <w:pPr>
        <w:pStyle w:val="Nadpis4"/>
        <w:rPr>
          <w:b/>
          <w:bCs/>
        </w:rPr>
      </w:pPr>
    </w:p>
    <w:p w14:paraId="386F1FA7" w14:textId="5F6D849A" w:rsidR="004153D9" w:rsidRPr="0084550D" w:rsidRDefault="005F1CBE" w:rsidP="00F713A2">
      <w:pPr>
        <w:pStyle w:val="Nadpis4"/>
        <w:rPr>
          <w:b/>
          <w:bCs/>
        </w:rPr>
      </w:pPr>
      <w:r w:rsidRPr="0084550D">
        <w:rPr>
          <w:b/>
          <w:bCs/>
        </w:rPr>
        <w:t>Symmetric equity adjustment</w:t>
      </w:r>
    </w:p>
    <w:p w14:paraId="49ACF7BA" w14:textId="1DAADA81" w:rsidR="00481AEA" w:rsidRDefault="001B5649" w:rsidP="00E74C84">
      <w:r>
        <w:t>The current design of the symmetric equity adjustment</w:t>
      </w:r>
      <w:r w:rsidR="00322644">
        <w:t xml:space="preserve"> creates basis risk for a number of countries, due to differences in currencies and equity portfolio composition. This is particularly the case of </w:t>
      </w:r>
      <w:r w:rsidR="00C452E5">
        <w:t>some insurers who have large unit-linked portfolios</w:t>
      </w:r>
      <w:r w:rsidR="00341496">
        <w:t xml:space="preserve"> for whom the application of the symmetric equity adjustment creates, not mitigates, solvency volatility.</w:t>
      </w:r>
      <w:r w:rsidR="00C452E5">
        <w:t xml:space="preserve"> </w:t>
      </w:r>
    </w:p>
    <w:p w14:paraId="19F06805" w14:textId="77777777" w:rsidR="00C452E5" w:rsidRPr="00402247" w:rsidRDefault="00C452E5" w:rsidP="00960B7E">
      <w:pPr>
        <w:rPr>
          <w:b/>
          <w:bCs/>
          <w:color w:val="00B050"/>
        </w:rPr>
      </w:pPr>
      <w:r w:rsidRPr="00402247">
        <w:rPr>
          <w:b/>
          <w:bCs/>
          <w:color w:val="00B050"/>
        </w:rPr>
        <w:t>DO: Make it optional to apply the symmetric adjustment</w:t>
      </w:r>
    </w:p>
    <w:p w14:paraId="2E722B06" w14:textId="77777777" w:rsidR="00481AEA" w:rsidRDefault="00481AEA" w:rsidP="00481AEA">
      <w:pPr>
        <w:pBdr>
          <w:bottom w:val="single" w:sz="6" w:space="1" w:color="auto"/>
        </w:pBdr>
      </w:pPr>
    </w:p>
    <w:p w14:paraId="2D0478DD" w14:textId="77777777" w:rsidR="0051671B" w:rsidRPr="0084550D" w:rsidRDefault="0051671B" w:rsidP="0051671B">
      <w:pPr>
        <w:pStyle w:val="Nadpis2"/>
        <w:rPr>
          <w:b/>
          <w:bCs/>
        </w:rPr>
      </w:pPr>
      <w:bookmarkStart w:id="10" w:name="_Toc160198710"/>
      <w:r w:rsidRPr="0084550D">
        <w:rPr>
          <w:b/>
          <w:bCs/>
        </w:rPr>
        <w:t>Proportionality</w:t>
      </w:r>
      <w:bookmarkEnd w:id="10"/>
    </w:p>
    <w:p w14:paraId="76312106" w14:textId="60FDAC5B" w:rsidR="0051671B" w:rsidRDefault="0051671B" w:rsidP="00534858">
      <w:pPr>
        <w:jc w:val="both"/>
      </w:pPr>
      <w:r>
        <w:t>Improving</w:t>
      </w:r>
      <w:r w:rsidRPr="00395B20">
        <w:t xml:space="preserve"> proportionality was one of the core aims of the review</w:t>
      </w:r>
      <w:r>
        <w:t xml:space="preserve">, by allowing small insurers – </w:t>
      </w:r>
      <w:proofErr w:type="gramStart"/>
      <w:r>
        <w:t>fulfilling  a</w:t>
      </w:r>
      <w:proofErr w:type="gramEnd"/>
      <w:r>
        <w:t xml:space="preserve"> set of predefined criteria – to be automatically exempted from specific Solvency II rules and as such creating a more suitable framework for insurers identified as ‘small and non-complex’ (SNCU)</w:t>
      </w:r>
      <w:r w:rsidR="00633C02">
        <w:t>.</w:t>
      </w:r>
    </w:p>
    <w:p w14:paraId="2E8B1027" w14:textId="77777777" w:rsidR="009870D3" w:rsidRDefault="0051671B" w:rsidP="00534858">
      <w:pPr>
        <w:jc w:val="both"/>
      </w:pPr>
      <w:r>
        <w:t>While the industry welcomes the introduction of automated proportionality, based on SNCU criteria, also proportionality for non-SNCUs should be addressed</w:t>
      </w:r>
      <w:r w:rsidR="009870D3">
        <w:t xml:space="preserve">. </w:t>
      </w:r>
    </w:p>
    <w:p w14:paraId="50117BAC" w14:textId="31AF466D" w:rsidR="0051671B" w:rsidRPr="00402247" w:rsidRDefault="009870D3" w:rsidP="009870D3">
      <w:pPr>
        <w:rPr>
          <w:b/>
          <w:bCs/>
          <w:color w:val="00B050"/>
        </w:rPr>
      </w:pPr>
      <w:commentRangeStart w:id="11"/>
      <w:r w:rsidRPr="00402247">
        <w:rPr>
          <w:b/>
          <w:bCs/>
          <w:color w:val="00B050"/>
        </w:rPr>
        <w:t xml:space="preserve">DO: Create </w:t>
      </w:r>
      <w:r w:rsidR="0051671B" w:rsidRPr="00402247">
        <w:rPr>
          <w:b/>
          <w:bCs/>
          <w:color w:val="00B050"/>
        </w:rPr>
        <w:t xml:space="preserve">clear </w:t>
      </w:r>
      <w:commentRangeEnd w:id="11"/>
      <w:r w:rsidR="00534858">
        <w:rPr>
          <w:rStyle w:val="Odkaznakomentr"/>
        </w:rPr>
        <w:commentReference w:id="11"/>
      </w:r>
      <w:r w:rsidR="0051671B" w:rsidRPr="00402247">
        <w:rPr>
          <w:b/>
          <w:bCs/>
          <w:color w:val="00B050"/>
        </w:rPr>
        <w:t>criteria for non-SNCUs to get admission to proportionality measures</w:t>
      </w:r>
      <w:r w:rsidRPr="00402247">
        <w:rPr>
          <w:b/>
          <w:bCs/>
          <w:color w:val="00B050"/>
        </w:rPr>
        <w:t xml:space="preserve">. </w:t>
      </w:r>
    </w:p>
    <w:p w14:paraId="76AAFB3C" w14:textId="5BD8C59F" w:rsidR="0051671B" w:rsidRDefault="00961557" w:rsidP="00481AEA">
      <w:r>
        <w:t xml:space="preserve">This includes the use of </w:t>
      </w:r>
      <w:r w:rsidRPr="00133F0B">
        <w:rPr>
          <w:iCs/>
        </w:rPr>
        <w:t xml:space="preserve">prudent deterministic valuation of best estimate of </w:t>
      </w:r>
      <w:r w:rsidR="00534858">
        <w:rPr>
          <w:iCs/>
        </w:rPr>
        <w:t>technical provisions</w:t>
      </w:r>
      <w:r>
        <w:rPr>
          <w:iCs/>
        </w:rPr>
        <w:t>.</w:t>
      </w:r>
    </w:p>
    <w:p w14:paraId="33A18A66" w14:textId="77777777" w:rsidR="00844486" w:rsidRDefault="00844486" w:rsidP="00844486">
      <w:pPr>
        <w:pBdr>
          <w:bottom w:val="single" w:sz="6" w:space="1" w:color="auto"/>
        </w:pBdr>
      </w:pPr>
    </w:p>
    <w:p w14:paraId="57473C80" w14:textId="4884E477" w:rsidR="00844486" w:rsidRPr="0084550D" w:rsidRDefault="00676568" w:rsidP="00844486">
      <w:pPr>
        <w:pStyle w:val="Nadpis2"/>
        <w:rPr>
          <w:b/>
          <w:bCs/>
        </w:rPr>
      </w:pPr>
      <w:bookmarkStart w:id="12" w:name="_Toc160198711"/>
      <w:commentRangeStart w:id="13"/>
      <w:r w:rsidRPr="0084550D">
        <w:rPr>
          <w:b/>
          <w:bCs/>
        </w:rPr>
        <w:t>Macroprudential supervision</w:t>
      </w:r>
      <w:commentRangeEnd w:id="13"/>
      <w:r w:rsidR="00534858">
        <w:rPr>
          <w:rStyle w:val="Odkaznakomentr"/>
          <w:rFonts w:asciiTheme="minorHAnsi" w:eastAsiaTheme="minorHAnsi" w:hAnsiTheme="minorHAnsi" w:cstheme="minorBidi"/>
          <w:color w:val="auto"/>
        </w:rPr>
        <w:commentReference w:id="13"/>
      </w:r>
      <w:bookmarkEnd w:id="12"/>
    </w:p>
    <w:p w14:paraId="746392DA" w14:textId="0A329EF7" w:rsidR="000C2809" w:rsidRDefault="00D26906" w:rsidP="00554D22">
      <w:pPr>
        <w:jc w:val="both"/>
      </w:pPr>
      <w:r>
        <w:t>Several new a</w:t>
      </w:r>
      <w:r w:rsidR="000E2B26">
        <w:t xml:space="preserve">dditional requirements </w:t>
      </w:r>
      <w:r>
        <w:t xml:space="preserve">and NSA powers were agreed by the </w:t>
      </w:r>
      <w:r w:rsidR="000C2809">
        <w:t xml:space="preserve">co-legislators </w:t>
      </w:r>
      <w:r w:rsidR="000E2B26">
        <w:t>related to macroprudential</w:t>
      </w:r>
      <w:r w:rsidR="003801B0">
        <w:t xml:space="preserve"> </w:t>
      </w:r>
      <w:r w:rsidR="000E2B26">
        <w:t>supervision</w:t>
      </w:r>
      <w:r w:rsidR="00554D22">
        <w:t xml:space="preserve">. </w:t>
      </w:r>
    </w:p>
    <w:p w14:paraId="67F2C6D1" w14:textId="53091723" w:rsidR="00E31104" w:rsidRDefault="000C2809" w:rsidP="00554D22">
      <w:pPr>
        <w:jc w:val="both"/>
      </w:pPr>
      <w:r>
        <w:t xml:space="preserve">While </w:t>
      </w:r>
      <w:proofErr w:type="spellStart"/>
      <w:r>
        <w:t>recognising</w:t>
      </w:r>
      <w:proofErr w:type="spellEnd"/>
      <w:r>
        <w:t xml:space="preserve"> the </w:t>
      </w:r>
      <w:r w:rsidR="00D023BB">
        <w:t>poten</w:t>
      </w:r>
      <w:r w:rsidR="00E31104">
        <w:t>ti</w:t>
      </w:r>
      <w:r w:rsidR="00D023BB">
        <w:t xml:space="preserve">al </w:t>
      </w:r>
      <w:r>
        <w:t xml:space="preserve">benefits </w:t>
      </w:r>
      <w:r w:rsidR="00D023BB">
        <w:t xml:space="preserve">of </w:t>
      </w:r>
      <w:r w:rsidR="00E31104">
        <w:t xml:space="preserve">some of </w:t>
      </w:r>
      <w:r w:rsidR="00D023BB">
        <w:t xml:space="preserve">these new </w:t>
      </w:r>
      <w:r w:rsidR="00554D22">
        <w:t xml:space="preserve">requirements </w:t>
      </w:r>
      <w:r w:rsidR="00D023BB">
        <w:t xml:space="preserve">in monitoring systemic risk, </w:t>
      </w:r>
      <w:r w:rsidR="00964580">
        <w:t xml:space="preserve">the industry is concerned that many of the additional requirements are excessive given the limited systemic risk </w:t>
      </w:r>
      <w:r w:rsidR="00E31104">
        <w:t>in the insurance sector</w:t>
      </w:r>
      <w:r w:rsidR="00762DED">
        <w:t xml:space="preserve"> and existing supervisory tools (</w:t>
      </w:r>
      <w:proofErr w:type="spellStart"/>
      <w:r w:rsidR="00762DED">
        <w:t>ie</w:t>
      </w:r>
      <w:proofErr w:type="spellEnd"/>
      <w:r w:rsidR="00762DED">
        <w:t xml:space="preserve"> the IAIS Holistic Framework).</w:t>
      </w:r>
    </w:p>
    <w:p w14:paraId="34448118" w14:textId="61A85CEA" w:rsidR="00E31104" w:rsidRPr="00402247" w:rsidRDefault="00E31104" w:rsidP="00554D22">
      <w:pPr>
        <w:jc w:val="both"/>
        <w:rPr>
          <w:b/>
          <w:bCs/>
          <w:color w:val="00B050"/>
        </w:rPr>
      </w:pPr>
      <w:r w:rsidRPr="00402247">
        <w:rPr>
          <w:b/>
          <w:bCs/>
          <w:color w:val="00B050"/>
        </w:rPr>
        <w:t xml:space="preserve">DO: Avoid overly prescriptive requirements for </w:t>
      </w:r>
      <w:r w:rsidR="00B81E4A" w:rsidRPr="00402247">
        <w:rPr>
          <w:b/>
          <w:bCs/>
          <w:color w:val="00B050"/>
        </w:rPr>
        <w:t>liquidity risk management plans.</w:t>
      </w:r>
    </w:p>
    <w:p w14:paraId="69E6B640" w14:textId="77777777" w:rsidR="00E826E5" w:rsidRPr="00402247" w:rsidRDefault="00E31104" w:rsidP="00554D22">
      <w:pPr>
        <w:jc w:val="both"/>
        <w:rPr>
          <w:b/>
          <w:bCs/>
          <w:color w:val="00B050"/>
        </w:rPr>
      </w:pPr>
      <w:r w:rsidRPr="00402247">
        <w:rPr>
          <w:b/>
          <w:bCs/>
          <w:color w:val="00B050"/>
        </w:rPr>
        <w:t xml:space="preserve">DO: Limit the </w:t>
      </w:r>
      <w:r w:rsidR="009D5C30" w:rsidRPr="00402247">
        <w:rPr>
          <w:b/>
          <w:bCs/>
          <w:color w:val="00B050"/>
        </w:rPr>
        <w:t>scope of undertaking</w:t>
      </w:r>
      <w:r w:rsidR="00CD1D4E" w:rsidRPr="00402247">
        <w:rPr>
          <w:b/>
          <w:bCs/>
          <w:color w:val="00B050"/>
        </w:rPr>
        <w:t>s</w:t>
      </w:r>
      <w:r w:rsidR="009D5C30" w:rsidRPr="00402247">
        <w:rPr>
          <w:b/>
          <w:bCs/>
          <w:color w:val="00B050"/>
        </w:rPr>
        <w:t xml:space="preserve"> which will have to provide additional macroprudential analyses</w:t>
      </w:r>
      <w:r w:rsidR="00CD1D4E" w:rsidRPr="00402247">
        <w:rPr>
          <w:b/>
          <w:bCs/>
          <w:color w:val="00B050"/>
        </w:rPr>
        <w:t xml:space="preserve"> </w:t>
      </w:r>
      <w:r w:rsidR="00B53F56" w:rsidRPr="00402247">
        <w:rPr>
          <w:b/>
          <w:bCs/>
          <w:color w:val="00B050"/>
        </w:rPr>
        <w:t>under the ORSA or PPP</w:t>
      </w:r>
      <w:r w:rsidR="002F63F1" w:rsidRPr="00402247">
        <w:rPr>
          <w:b/>
          <w:bCs/>
          <w:color w:val="00B050"/>
        </w:rPr>
        <w:t xml:space="preserve"> </w:t>
      </w:r>
      <w:r w:rsidR="00BF5203" w:rsidRPr="00402247">
        <w:rPr>
          <w:b/>
          <w:bCs/>
          <w:color w:val="00B050"/>
        </w:rPr>
        <w:t>(Art</w:t>
      </w:r>
      <w:r w:rsidR="002F63F1" w:rsidRPr="00402247">
        <w:rPr>
          <w:b/>
          <w:bCs/>
          <w:color w:val="00B050"/>
        </w:rPr>
        <w:t xml:space="preserve"> 45</w:t>
      </w:r>
      <w:r w:rsidR="007C5FB9" w:rsidRPr="00402247">
        <w:rPr>
          <w:b/>
          <w:bCs/>
          <w:color w:val="00B050"/>
        </w:rPr>
        <w:t xml:space="preserve"> (e) and Art. 132 (</w:t>
      </w:r>
      <w:r w:rsidR="00E826E5" w:rsidRPr="00402247">
        <w:rPr>
          <w:b/>
          <w:bCs/>
          <w:color w:val="00B050"/>
        </w:rPr>
        <w:t>6)).</w:t>
      </w:r>
    </w:p>
    <w:p w14:paraId="434496DF" w14:textId="53D39401" w:rsidR="00170339" w:rsidRDefault="00170339" w:rsidP="005A0B75">
      <w:pPr>
        <w:pBdr>
          <w:bottom w:val="single" w:sz="6" w:space="1" w:color="auto"/>
        </w:pBdr>
        <w:rPr>
          <w:b/>
        </w:rPr>
      </w:pPr>
    </w:p>
    <w:p w14:paraId="596969F1" w14:textId="0BC4C5B9" w:rsidR="00170339" w:rsidRPr="0084550D" w:rsidRDefault="000B450A" w:rsidP="001005E1">
      <w:pPr>
        <w:pStyle w:val="Nadpis2"/>
        <w:rPr>
          <w:b/>
          <w:bCs/>
        </w:rPr>
      </w:pPr>
      <w:bookmarkStart w:id="14" w:name="_Toc160198712"/>
      <w:r w:rsidRPr="0084550D">
        <w:rPr>
          <w:b/>
          <w:bCs/>
        </w:rPr>
        <w:t>Sustainability</w:t>
      </w:r>
      <w:bookmarkEnd w:id="14"/>
    </w:p>
    <w:p w14:paraId="202AFDDC" w14:textId="05A64906" w:rsidR="00FD2070" w:rsidRDefault="00C85DBB" w:rsidP="009E5E97">
      <w:r w:rsidRPr="00402247">
        <w:t>European insurers strongly support the drive towards sustainability and are ready to build on their current actions to contribute further to the transition to a more sustainable society and to play their role in achieving the targets of the EU Green Deal.</w:t>
      </w:r>
      <w:r w:rsidRPr="00402247" w:rsidDel="00C85DBB">
        <w:t xml:space="preserve"> </w:t>
      </w:r>
    </w:p>
    <w:p w14:paraId="5A2A4FA6" w14:textId="65896133" w:rsidR="00FD2070" w:rsidRPr="00402247" w:rsidRDefault="00FD2070" w:rsidP="00402247">
      <w:r w:rsidRPr="00FD2070">
        <w:t>The industry supports the development of prudential transition plans, which would be part of the risk-management system. The plans focus on risk-management aspects of the transition, including the strategic risks associated with not implementing transition strategies.</w:t>
      </w:r>
    </w:p>
    <w:p w14:paraId="459B3CE3" w14:textId="77777777" w:rsidR="00FD2070" w:rsidRPr="003A78AC" w:rsidRDefault="00FD2070" w:rsidP="00FD2070">
      <w:pPr>
        <w:rPr>
          <w:b/>
          <w:bCs/>
          <w:color w:val="FF0000"/>
          <w:u w:val="single"/>
        </w:rPr>
      </w:pPr>
      <w:r w:rsidRPr="003A78AC">
        <w:rPr>
          <w:b/>
          <w:bCs/>
          <w:color w:val="FF0000"/>
        </w:rPr>
        <w:t>DON’T: Do not introduce changes to capital requirements that are not risk- and evidence-based.</w:t>
      </w:r>
    </w:p>
    <w:p w14:paraId="1B3B41D9" w14:textId="68803773" w:rsidR="001B4C1A" w:rsidRPr="00960B7E" w:rsidRDefault="00534171" w:rsidP="00534171">
      <w:pPr>
        <w:rPr>
          <w:b/>
          <w:bCs/>
          <w:color w:val="00B050"/>
        </w:rPr>
      </w:pPr>
      <w:r w:rsidRPr="00960B7E">
        <w:rPr>
          <w:b/>
          <w:bCs/>
          <w:color w:val="00B050"/>
        </w:rPr>
        <w:t xml:space="preserve">DO: </w:t>
      </w:r>
      <w:r w:rsidR="008C3519" w:rsidRPr="00960B7E">
        <w:rPr>
          <w:b/>
          <w:bCs/>
          <w:color w:val="00B050"/>
        </w:rPr>
        <w:t>For prudential transition plans, a</w:t>
      </w:r>
      <w:r w:rsidRPr="00960B7E">
        <w:rPr>
          <w:b/>
          <w:bCs/>
          <w:color w:val="00B050"/>
        </w:rPr>
        <w:t>void creating overlaps and inconsistencies with other cross-sectoral regulation that can create confusion and unnecessary costs and operation burdens.</w:t>
      </w:r>
    </w:p>
    <w:p w14:paraId="6E111BE5" w14:textId="77777777" w:rsidR="008C3519" w:rsidRPr="00402247" w:rsidRDefault="008C3519" w:rsidP="008C3519">
      <w:pPr>
        <w:pStyle w:val="Odsekzoznamu"/>
        <w:numPr>
          <w:ilvl w:val="0"/>
          <w:numId w:val="9"/>
        </w:numPr>
        <w:rPr>
          <w:b/>
          <w:bCs/>
          <w:color w:val="70AD47" w:themeColor="accent6"/>
        </w:rPr>
      </w:pPr>
      <w:r>
        <w:t xml:space="preserve">While distinct from transition plans under CSDDD, in terms of </w:t>
      </w:r>
      <w:r w:rsidRPr="008C3519">
        <w:rPr>
          <w:b/>
          <w:bCs/>
        </w:rPr>
        <w:t>content</w:t>
      </w:r>
      <w:r>
        <w:t xml:space="preserve"> it is important to </w:t>
      </w:r>
      <w:r w:rsidRPr="00285B2C">
        <w:t xml:space="preserve">avoid duplications, inconsistencies, unnecessary reporting burden and legal risks. </w:t>
      </w:r>
    </w:p>
    <w:p w14:paraId="33C2CF3C" w14:textId="77777777" w:rsidR="008C3519" w:rsidRPr="00402247" w:rsidRDefault="008C3519" w:rsidP="008C3519">
      <w:pPr>
        <w:pStyle w:val="Odsekzoznamu"/>
        <w:numPr>
          <w:ilvl w:val="0"/>
          <w:numId w:val="9"/>
        </w:numPr>
        <w:rPr>
          <w:b/>
          <w:bCs/>
          <w:color w:val="70AD47" w:themeColor="accent6"/>
        </w:rPr>
      </w:pPr>
      <w:r>
        <w:t xml:space="preserve">In terms of </w:t>
      </w:r>
      <w:r w:rsidRPr="008C3519">
        <w:rPr>
          <w:b/>
          <w:bCs/>
        </w:rPr>
        <w:t>timelines</w:t>
      </w:r>
      <w:r>
        <w:t xml:space="preserve"> these should mirror the timeframes established for the CSDDD. </w:t>
      </w:r>
    </w:p>
    <w:p w14:paraId="15A75331" w14:textId="77777777" w:rsidR="009F1E9E" w:rsidRPr="00402247" w:rsidRDefault="00EA4823" w:rsidP="008C3519">
      <w:pPr>
        <w:pStyle w:val="Odsekzoznamu"/>
        <w:numPr>
          <w:ilvl w:val="0"/>
          <w:numId w:val="9"/>
        </w:numPr>
        <w:rPr>
          <w:b/>
          <w:bCs/>
          <w:color w:val="70AD47" w:themeColor="accent6"/>
        </w:rPr>
      </w:pPr>
      <w:r>
        <w:t xml:space="preserve">Ensure that group-level plans can be used to satisfy any </w:t>
      </w:r>
      <w:r w:rsidR="008C3519" w:rsidRPr="005C04CA">
        <w:t>subsidiar</w:t>
      </w:r>
      <w:r>
        <w:t xml:space="preserve">y-level requirements. </w:t>
      </w:r>
    </w:p>
    <w:p w14:paraId="1E9A52E3" w14:textId="43D5BD41" w:rsidR="00FD2070" w:rsidRPr="00402247" w:rsidRDefault="009F1E9E" w:rsidP="00402247">
      <w:pPr>
        <w:pStyle w:val="Odsekzoznamu"/>
        <w:numPr>
          <w:ilvl w:val="0"/>
          <w:numId w:val="9"/>
        </w:numPr>
        <w:rPr>
          <w:b/>
          <w:bCs/>
          <w:color w:val="70AD47" w:themeColor="accent6"/>
        </w:rPr>
      </w:pPr>
      <w:commentRangeStart w:id="15"/>
      <w:r>
        <w:t xml:space="preserve">Ensure that </w:t>
      </w:r>
      <w:r w:rsidR="008C3519">
        <w:t xml:space="preserve">groups </w:t>
      </w:r>
      <w:r>
        <w:t xml:space="preserve">can </w:t>
      </w:r>
      <w:r w:rsidR="008C3519">
        <w:t xml:space="preserve">have a </w:t>
      </w:r>
      <w:r w:rsidR="008C3519" w:rsidRPr="008C3519">
        <w:rPr>
          <w:b/>
          <w:bCs/>
        </w:rPr>
        <w:t>single transition plan option</w:t>
      </w:r>
      <w:r w:rsidR="008C3519">
        <w:t xml:space="preserve"> </w:t>
      </w:r>
      <w:commentRangeEnd w:id="15"/>
      <w:r w:rsidR="00534858">
        <w:rPr>
          <w:rStyle w:val="Odkaznakomentr"/>
        </w:rPr>
        <w:commentReference w:id="15"/>
      </w:r>
      <w:r w:rsidR="008C3519">
        <w:t>to fulfil all transition plan related requirements both under CSDDD and SII regulation.</w:t>
      </w:r>
    </w:p>
    <w:p w14:paraId="5B3F2C08" w14:textId="39041607" w:rsidR="00E05D8F" w:rsidRPr="00584523" w:rsidRDefault="00E05D8F" w:rsidP="002A0CE5">
      <w:pPr>
        <w:pBdr>
          <w:bottom w:val="single" w:sz="6" w:space="1" w:color="auto"/>
        </w:pBdr>
        <w:jc w:val="both"/>
        <w:rPr>
          <w:bCs/>
        </w:rPr>
      </w:pPr>
    </w:p>
    <w:p w14:paraId="49C3E330" w14:textId="14CECE67" w:rsidR="000B450A" w:rsidRPr="0084550D" w:rsidRDefault="00AB70ED" w:rsidP="00D60CCD">
      <w:pPr>
        <w:pStyle w:val="Nadpis2"/>
        <w:rPr>
          <w:b/>
          <w:bCs/>
        </w:rPr>
      </w:pPr>
      <w:bookmarkStart w:id="16" w:name="_Toc160198713"/>
      <w:r w:rsidRPr="0084550D">
        <w:rPr>
          <w:b/>
          <w:bCs/>
        </w:rPr>
        <w:t>Group supervision</w:t>
      </w:r>
      <w:bookmarkEnd w:id="16"/>
    </w:p>
    <w:p w14:paraId="61027F13" w14:textId="77777777" w:rsidR="007C5FFC" w:rsidRDefault="003B497A" w:rsidP="00D23290">
      <w:pPr>
        <w:jc w:val="both"/>
      </w:pPr>
      <w:r>
        <w:t xml:space="preserve">Numerous changes were made to the group supervision requirements and extensive additional powers </w:t>
      </w:r>
      <w:r w:rsidR="00E2779F">
        <w:t xml:space="preserve">were granted </w:t>
      </w:r>
      <w:r>
        <w:t>to the group supervisor</w:t>
      </w:r>
      <w:r w:rsidR="00E2779F">
        <w:t xml:space="preserve">. </w:t>
      </w:r>
      <w:r w:rsidR="007C5FFC">
        <w:t>In particular a solution was implemented to address the</w:t>
      </w:r>
      <w:r>
        <w:t xml:space="preserve"> issues regarding the scope and the calculation method of the minimum consolidated group SCR, which lead to trigger inversion and double counting. </w:t>
      </w:r>
    </w:p>
    <w:p w14:paraId="2E7E38C2" w14:textId="7233A854" w:rsidR="009A7837" w:rsidRDefault="00BE5A9E" w:rsidP="009608E5">
      <w:pPr>
        <w:jc w:val="both"/>
        <w:rPr>
          <w:bCs/>
        </w:rPr>
      </w:pPr>
      <w:r>
        <w:rPr>
          <w:bCs/>
        </w:rPr>
        <w:t xml:space="preserve">However, despite the </w:t>
      </w:r>
      <w:r w:rsidR="00E00841">
        <w:rPr>
          <w:bCs/>
        </w:rPr>
        <w:t xml:space="preserve">changes </w:t>
      </w:r>
      <w:r w:rsidR="009A7837">
        <w:rPr>
          <w:bCs/>
        </w:rPr>
        <w:t>double counting will remain an issue</w:t>
      </w:r>
      <w:r w:rsidR="00FA08C6">
        <w:rPr>
          <w:bCs/>
        </w:rPr>
        <w:t xml:space="preserve"> due to the </w:t>
      </w:r>
      <w:r w:rsidR="00FA08C6" w:rsidRPr="009608E5">
        <w:rPr>
          <w:bCs/>
        </w:rPr>
        <w:t>extension of the group floor to non-EEA subsidiarie</w:t>
      </w:r>
      <w:r w:rsidR="00FA08C6">
        <w:rPr>
          <w:bCs/>
        </w:rPr>
        <w:t>s</w:t>
      </w:r>
      <w:r w:rsidR="009A7837">
        <w:rPr>
          <w:bCs/>
        </w:rPr>
        <w:t>.</w:t>
      </w:r>
    </w:p>
    <w:p w14:paraId="7A1D6E3E" w14:textId="5005BCBB" w:rsidR="00C25009" w:rsidRPr="00960B7E" w:rsidRDefault="00E00841" w:rsidP="00402247">
      <w:pPr>
        <w:rPr>
          <w:b/>
          <w:bCs/>
          <w:color w:val="00B050"/>
        </w:rPr>
      </w:pPr>
      <w:r w:rsidRPr="00960B7E">
        <w:rPr>
          <w:b/>
          <w:bCs/>
          <w:color w:val="00B050"/>
        </w:rPr>
        <w:t>DO: Update EIOPA’s Guidelines on Group Solvency to clarify that local requirements of third country undertakings do not have to be factored in if the related risks are already part of the balance sheets of European companies, to the satisfaction of supervisory authorities.</w:t>
      </w:r>
    </w:p>
    <w:p w14:paraId="2BCD3C64" w14:textId="77777777" w:rsidR="00DE2EAC" w:rsidRPr="00DE2EAC" w:rsidRDefault="00DE2EAC" w:rsidP="00DE2EAC">
      <w:pPr>
        <w:pBdr>
          <w:bottom w:val="single" w:sz="6" w:space="1" w:color="auto"/>
        </w:pBdr>
        <w:jc w:val="both"/>
        <w:rPr>
          <w:bCs/>
        </w:rPr>
      </w:pPr>
    </w:p>
    <w:p w14:paraId="4CE510BC" w14:textId="0FADC7A6" w:rsidR="00C25009" w:rsidRPr="0084550D" w:rsidRDefault="00C25009" w:rsidP="001005E1">
      <w:pPr>
        <w:pStyle w:val="Nadpis2"/>
        <w:rPr>
          <w:b/>
          <w:bCs/>
        </w:rPr>
      </w:pPr>
      <w:bookmarkStart w:id="17" w:name="_Toc160198714"/>
      <w:r w:rsidRPr="0084550D">
        <w:rPr>
          <w:b/>
          <w:bCs/>
        </w:rPr>
        <w:t>Reporting and disclosure</w:t>
      </w:r>
      <w:bookmarkEnd w:id="17"/>
    </w:p>
    <w:p w14:paraId="6FC79C94" w14:textId="77777777" w:rsidR="009618D4" w:rsidRPr="0084550D" w:rsidRDefault="009618D4" w:rsidP="001005E1">
      <w:pPr>
        <w:pStyle w:val="Nadpis3"/>
        <w:rPr>
          <w:b/>
          <w:bCs/>
          <w:lang w:val="en-GB"/>
        </w:rPr>
      </w:pPr>
      <w:bookmarkStart w:id="18" w:name="_Toc160198715"/>
      <w:r w:rsidRPr="0084550D">
        <w:rPr>
          <w:b/>
          <w:bCs/>
          <w:lang w:val="en-GB"/>
        </w:rPr>
        <w:t>External audit requirement</w:t>
      </w:r>
      <w:bookmarkEnd w:id="18"/>
    </w:p>
    <w:p w14:paraId="151FF959" w14:textId="08CC01D5" w:rsidR="003B0EE2" w:rsidRDefault="008C11F1" w:rsidP="006435D7">
      <w:pPr>
        <w:jc w:val="both"/>
        <w:rPr>
          <w:lang w:val="en-GB"/>
        </w:rPr>
      </w:pPr>
      <w:r>
        <w:rPr>
          <w:lang w:val="en-GB"/>
        </w:rPr>
        <w:t xml:space="preserve">The SII proposals </w:t>
      </w:r>
      <w:r w:rsidR="00C5172A">
        <w:rPr>
          <w:lang w:val="en-GB"/>
        </w:rPr>
        <w:t>include</w:t>
      </w:r>
      <w:r>
        <w:rPr>
          <w:lang w:val="en-GB"/>
        </w:rPr>
        <w:t xml:space="preserve"> </w:t>
      </w:r>
      <w:proofErr w:type="gramStart"/>
      <w:r>
        <w:rPr>
          <w:lang w:val="en-GB"/>
        </w:rPr>
        <w:t>a  minimum</w:t>
      </w:r>
      <w:proofErr w:type="gramEnd"/>
      <w:r>
        <w:rPr>
          <w:lang w:val="en-GB"/>
        </w:rPr>
        <w:t xml:space="preserve"> external audit requirement of </w:t>
      </w:r>
      <w:r w:rsidR="00722074">
        <w:rPr>
          <w:lang w:val="en-GB"/>
        </w:rPr>
        <w:t>the balance sheet disclosed as part of the SFCR.</w:t>
      </w:r>
      <w:r w:rsidR="004F52EA">
        <w:rPr>
          <w:lang w:val="en-GB"/>
        </w:rPr>
        <w:t xml:space="preserve"> These e</w:t>
      </w:r>
      <w:r w:rsidR="007B1BF3" w:rsidRPr="007B1BF3">
        <w:rPr>
          <w:lang w:val="en-GB"/>
        </w:rPr>
        <w:t>xternal audit requirements will be very resource-intensive and entail significant</w:t>
      </w:r>
      <w:r w:rsidR="007B1BF3">
        <w:rPr>
          <w:lang w:val="en-GB"/>
        </w:rPr>
        <w:t xml:space="preserve"> </w:t>
      </w:r>
      <w:r w:rsidR="007B1BF3" w:rsidRPr="007B1BF3">
        <w:rPr>
          <w:lang w:val="en-GB"/>
        </w:rPr>
        <w:t>costs for insurance companies</w:t>
      </w:r>
      <w:r w:rsidR="004F52EA">
        <w:rPr>
          <w:lang w:val="en-GB"/>
        </w:rPr>
        <w:t>.</w:t>
      </w:r>
      <w:r w:rsidR="007B1BF3" w:rsidRPr="007B1BF3">
        <w:rPr>
          <w:lang w:val="en-GB"/>
        </w:rPr>
        <w:t xml:space="preserve"> </w:t>
      </w:r>
    </w:p>
    <w:p w14:paraId="249D2E6F" w14:textId="5D031AC4" w:rsidR="00C44FB3" w:rsidRPr="00402247" w:rsidRDefault="003B0EE2" w:rsidP="005A0B75">
      <w:pPr>
        <w:rPr>
          <w:b/>
          <w:bCs/>
          <w:color w:val="FF0000"/>
          <w:lang w:val="en-GB"/>
        </w:rPr>
      </w:pPr>
      <w:r w:rsidRPr="00402247">
        <w:rPr>
          <w:b/>
          <w:bCs/>
          <w:color w:val="FF0000"/>
          <w:lang w:val="en-GB"/>
        </w:rPr>
        <w:t xml:space="preserve">DON’T: </w:t>
      </w:r>
      <w:r w:rsidR="005454EF" w:rsidRPr="00402247">
        <w:rPr>
          <w:b/>
          <w:bCs/>
          <w:color w:val="FF0000"/>
          <w:lang w:val="en-GB"/>
        </w:rPr>
        <w:t>Extend audit requirements to SNCUs</w:t>
      </w:r>
      <w:r w:rsidR="00E51D9D">
        <w:rPr>
          <w:b/>
          <w:bCs/>
          <w:color w:val="FF0000"/>
          <w:lang w:val="en-GB"/>
        </w:rPr>
        <w:t xml:space="preserve"> or other sections of the SFCR</w:t>
      </w:r>
      <w:r w:rsidR="00C44FB3" w:rsidRPr="00402247">
        <w:rPr>
          <w:b/>
          <w:bCs/>
          <w:color w:val="FF0000"/>
          <w:lang w:val="en-GB"/>
        </w:rPr>
        <w:t xml:space="preserve">. </w:t>
      </w:r>
    </w:p>
    <w:p w14:paraId="14C4499C" w14:textId="558CB300" w:rsidR="008E4234" w:rsidRPr="00EF5726" w:rsidRDefault="00C5172A" w:rsidP="005A0B75">
      <w:pPr>
        <w:rPr>
          <w:b/>
          <w:bCs/>
          <w:lang w:val="en-GB"/>
        </w:rPr>
      </w:pPr>
      <w:r w:rsidRPr="00C5172A">
        <w:rPr>
          <w:lang w:val="en-GB"/>
        </w:rPr>
        <w:t xml:space="preserve">Although the industry appreciates the exemption for SNCUs, </w:t>
      </w:r>
      <w:r>
        <w:rPr>
          <w:lang w:val="en-GB"/>
        </w:rPr>
        <w:t xml:space="preserve">there are </w:t>
      </w:r>
      <w:r w:rsidRPr="00C5172A">
        <w:rPr>
          <w:lang w:val="en-GB"/>
        </w:rPr>
        <w:t>concern</w:t>
      </w:r>
      <w:r>
        <w:rPr>
          <w:lang w:val="en-GB"/>
        </w:rPr>
        <w:t>s</w:t>
      </w:r>
      <w:r w:rsidRPr="00C5172A">
        <w:rPr>
          <w:lang w:val="en-GB"/>
        </w:rPr>
        <w:t xml:space="preserve"> about NSAs having discretion to extend this requirement. </w:t>
      </w:r>
    </w:p>
    <w:p w14:paraId="5321A79C" w14:textId="707F5756" w:rsidR="00A46182" w:rsidRPr="00960B7E" w:rsidRDefault="00C44FB3" w:rsidP="007B1BF3">
      <w:pPr>
        <w:rPr>
          <w:b/>
          <w:bCs/>
          <w:color w:val="00B050"/>
        </w:rPr>
      </w:pPr>
      <w:r w:rsidRPr="00960B7E">
        <w:rPr>
          <w:b/>
          <w:bCs/>
          <w:color w:val="00B050"/>
        </w:rPr>
        <w:t xml:space="preserve">DO: Accept a </w:t>
      </w:r>
      <w:proofErr w:type="spellStart"/>
      <w:r w:rsidRPr="00960B7E">
        <w:rPr>
          <w:b/>
          <w:bCs/>
          <w:color w:val="00B050"/>
        </w:rPr>
        <w:t>a</w:t>
      </w:r>
      <w:proofErr w:type="spellEnd"/>
      <w:r w:rsidRPr="00960B7E">
        <w:rPr>
          <w:b/>
          <w:bCs/>
          <w:color w:val="00B050"/>
        </w:rPr>
        <w:t xml:space="preserve"> </w:t>
      </w:r>
      <w:r w:rsidR="009618D4" w:rsidRPr="00960B7E">
        <w:rPr>
          <w:b/>
          <w:bCs/>
          <w:color w:val="00B050"/>
        </w:rPr>
        <w:t xml:space="preserve">limited level of assurance </w:t>
      </w:r>
      <w:r w:rsidRPr="00960B7E">
        <w:rPr>
          <w:b/>
          <w:bCs/>
          <w:color w:val="00B050"/>
        </w:rPr>
        <w:t xml:space="preserve">in the audit. </w:t>
      </w:r>
    </w:p>
    <w:p w14:paraId="31EF6AEF" w14:textId="2B378E38" w:rsidR="009618D4" w:rsidRDefault="00A46182" w:rsidP="006435D7">
      <w:pPr>
        <w:jc w:val="both"/>
        <w:rPr>
          <w:lang w:val="en-GB"/>
        </w:rPr>
      </w:pPr>
      <w:r w:rsidRPr="00402247">
        <w:rPr>
          <w:lang w:val="en-GB"/>
        </w:rPr>
        <w:t>T</w:t>
      </w:r>
      <w:r w:rsidR="00980248" w:rsidRPr="00980248">
        <w:rPr>
          <w:lang w:val="en-GB"/>
        </w:rPr>
        <w:t>he data to be audited is already subject to a significant safeguard mechanism through the</w:t>
      </w:r>
      <w:r w:rsidR="009618D4">
        <w:rPr>
          <w:lang w:val="en-GB"/>
        </w:rPr>
        <w:t xml:space="preserve"> </w:t>
      </w:r>
      <w:r w:rsidR="00980248" w:rsidRPr="00980248">
        <w:rPr>
          <w:lang w:val="en-GB"/>
        </w:rPr>
        <w:t xml:space="preserve">supervisory process of regulatory authorities (see, inter alia, Article 36 of the Solvency II Directive). </w:t>
      </w:r>
    </w:p>
    <w:p w14:paraId="3EA02636" w14:textId="2943C066" w:rsidR="009618D4" w:rsidRPr="0084550D" w:rsidRDefault="009618D4" w:rsidP="001005E1">
      <w:pPr>
        <w:pStyle w:val="Nadpis3"/>
        <w:rPr>
          <w:b/>
          <w:bCs/>
          <w:lang w:val="en-GB"/>
        </w:rPr>
      </w:pPr>
      <w:bookmarkStart w:id="19" w:name="_Toc160198716"/>
      <w:r w:rsidRPr="0084550D">
        <w:rPr>
          <w:b/>
          <w:bCs/>
          <w:lang w:val="en-GB"/>
        </w:rPr>
        <w:t>Design of the SFCR</w:t>
      </w:r>
      <w:bookmarkEnd w:id="19"/>
    </w:p>
    <w:p w14:paraId="163C3E4B" w14:textId="44246866" w:rsidR="00894C14" w:rsidRDefault="003A645D" w:rsidP="006435D7">
      <w:pPr>
        <w:jc w:val="both"/>
      </w:pPr>
      <w:r>
        <w:t>Improved transparency was aimed for by t</w:t>
      </w:r>
      <w:r w:rsidR="00C4382A">
        <w:t>he review of</w:t>
      </w:r>
      <w:r w:rsidR="00375FB2">
        <w:t xml:space="preserve"> the format </w:t>
      </w:r>
      <w:r w:rsidR="00C4382A">
        <w:t xml:space="preserve">and content </w:t>
      </w:r>
      <w:r w:rsidR="00375FB2">
        <w:t>of the SFCR</w:t>
      </w:r>
      <w:r w:rsidR="00C4382A">
        <w:t xml:space="preserve">, by adapting </w:t>
      </w:r>
      <w:r w:rsidR="00F41116">
        <w:t>disclosures required from insurers to the information needed by recipients, differentiating between the information for policyholders</w:t>
      </w:r>
      <w:r w:rsidR="009C1F19">
        <w:t>/beneficiaries</w:t>
      </w:r>
      <w:r w:rsidR="00F41116">
        <w:t xml:space="preserve"> and </w:t>
      </w:r>
      <w:r w:rsidR="009C1F19">
        <w:t>professionals</w:t>
      </w:r>
      <w:r>
        <w:t>.</w:t>
      </w:r>
      <w:r w:rsidR="00AB589C">
        <w:t xml:space="preserve"> </w:t>
      </w:r>
    </w:p>
    <w:p w14:paraId="346E00F5" w14:textId="77777777" w:rsidR="00E51D9D" w:rsidRDefault="006F40E8" w:rsidP="006435D7">
      <w:pPr>
        <w:jc w:val="both"/>
      </w:pPr>
      <w:r>
        <w:t>In practice, t</w:t>
      </w:r>
      <w:r w:rsidR="00CE5F21">
        <w:t xml:space="preserve">he current proposal will mean that insurance companies must have two separate SFCRs, one for </w:t>
      </w:r>
      <w:r w:rsidR="009C1F19">
        <w:t>policyholders/beneficiaries and professionals</w:t>
      </w:r>
      <w:r>
        <w:t xml:space="preserve">, </w:t>
      </w:r>
      <w:r w:rsidR="003156E6">
        <w:t>which</w:t>
      </w:r>
      <w:r w:rsidR="003156E6" w:rsidRPr="003156E6">
        <w:t xml:space="preserve"> is a missed opportunity as it will not lead to a more streamlined reporting for u</w:t>
      </w:r>
      <w:r w:rsidR="003156E6">
        <w:t>ndertakings, and it will even increase</w:t>
      </w:r>
      <w:r>
        <w:t xml:space="preserve"> the operational burden. </w:t>
      </w:r>
    </w:p>
    <w:p w14:paraId="03F88710" w14:textId="629BC599" w:rsidR="001E719A" w:rsidRPr="007A675C" w:rsidRDefault="00E51D9D" w:rsidP="007A675C">
      <w:pPr>
        <w:rPr>
          <w:b/>
          <w:bCs/>
          <w:color w:val="00B050"/>
        </w:rPr>
      </w:pPr>
      <w:r w:rsidRPr="00960B7E">
        <w:rPr>
          <w:b/>
          <w:bCs/>
          <w:color w:val="00B050"/>
        </w:rPr>
        <w:t xml:space="preserve">DO: </w:t>
      </w:r>
      <w:proofErr w:type="spellStart"/>
      <w:r w:rsidRPr="00960B7E">
        <w:rPr>
          <w:b/>
          <w:bCs/>
          <w:color w:val="00B050"/>
        </w:rPr>
        <w:t>Minimise</w:t>
      </w:r>
      <w:proofErr w:type="spellEnd"/>
      <w:r w:rsidRPr="00960B7E">
        <w:rPr>
          <w:b/>
          <w:bCs/>
          <w:color w:val="00B050"/>
        </w:rPr>
        <w:t xml:space="preserve"> the SFCR reporting burden by streamlining requirements in the Level 2</w:t>
      </w:r>
      <w:r w:rsidR="000D2986" w:rsidRPr="00960B7E">
        <w:rPr>
          <w:b/>
          <w:bCs/>
          <w:color w:val="00B050"/>
        </w:rPr>
        <w:t xml:space="preserve">. </w:t>
      </w:r>
      <w:r w:rsidR="003156E6" w:rsidRPr="00960B7E">
        <w:rPr>
          <w:b/>
          <w:bCs/>
          <w:color w:val="00B050"/>
        </w:rPr>
        <w:t xml:space="preserve"> </w:t>
      </w:r>
    </w:p>
    <w:p w14:paraId="417E2456" w14:textId="77777777" w:rsidR="007A675C" w:rsidRDefault="007A675C" w:rsidP="001E719A">
      <w:pPr>
        <w:pBdr>
          <w:bottom w:val="single" w:sz="6" w:space="1" w:color="auto"/>
        </w:pBdr>
        <w:rPr>
          <w:b/>
        </w:rPr>
      </w:pPr>
    </w:p>
    <w:p w14:paraId="70622E07" w14:textId="123F62FF" w:rsidR="001E719A" w:rsidRPr="0084550D" w:rsidRDefault="001E719A" w:rsidP="001005E1">
      <w:pPr>
        <w:pStyle w:val="Nadpis2"/>
        <w:rPr>
          <w:b/>
          <w:bCs/>
        </w:rPr>
      </w:pPr>
      <w:bookmarkStart w:id="20" w:name="_Toc160198717"/>
      <w:r w:rsidRPr="0084550D">
        <w:rPr>
          <w:b/>
          <w:bCs/>
        </w:rPr>
        <w:t>Other topics</w:t>
      </w:r>
      <w:bookmarkEnd w:id="20"/>
    </w:p>
    <w:p w14:paraId="018CABBF" w14:textId="0CB4C9A7" w:rsidR="001E719A" w:rsidRPr="0084550D" w:rsidRDefault="001E719A" w:rsidP="001005E1">
      <w:pPr>
        <w:pStyle w:val="Nadpis3"/>
        <w:rPr>
          <w:b/>
          <w:bCs/>
          <w:lang w:val="en-GB"/>
        </w:rPr>
      </w:pPr>
      <w:bookmarkStart w:id="21" w:name="_Toc160198718"/>
      <w:r w:rsidRPr="0084550D">
        <w:rPr>
          <w:b/>
          <w:bCs/>
          <w:lang w:val="en-GB"/>
        </w:rPr>
        <w:t>EPIFP</w:t>
      </w:r>
      <w:bookmarkEnd w:id="21"/>
    </w:p>
    <w:p w14:paraId="7DC42691" w14:textId="0916DC28" w:rsidR="00581BC1" w:rsidRDefault="00581BC1" w:rsidP="00E04FD8">
      <w:pPr>
        <w:jc w:val="both"/>
      </w:pPr>
      <w:r>
        <w:t>EPIFPs are an important part of the Solvency II framework allowing the reflection of economic reality, with respect to the principle of going concern. As such, they are a useful element, notably to encourage the offer of long-term guarantees</w:t>
      </w:r>
      <w:r w:rsidRPr="00BB0DED">
        <w:t xml:space="preserve">. </w:t>
      </w:r>
    </w:p>
    <w:p w14:paraId="155A04C5" w14:textId="7BEC6AE0" w:rsidR="00581BC1" w:rsidRPr="00402247" w:rsidRDefault="00581BC1" w:rsidP="00E04FD8">
      <w:pPr>
        <w:jc w:val="both"/>
        <w:rPr>
          <w:b/>
          <w:bCs/>
          <w:color w:val="FF0000"/>
        </w:rPr>
      </w:pPr>
      <w:r w:rsidRPr="00402247">
        <w:rPr>
          <w:b/>
          <w:bCs/>
          <w:color w:val="FF0000"/>
        </w:rPr>
        <w:t>DON’T: Change the treatment of EP</w:t>
      </w:r>
      <w:r w:rsidR="009C571E" w:rsidRPr="00402247">
        <w:rPr>
          <w:b/>
          <w:bCs/>
          <w:color w:val="FF0000"/>
        </w:rPr>
        <w:t>IFP in the Level 2</w:t>
      </w:r>
    </w:p>
    <w:p w14:paraId="2B6EABD5" w14:textId="77777777" w:rsidR="007A675C" w:rsidRPr="009C571E" w:rsidRDefault="009C571E" w:rsidP="009C571E">
      <w:pPr>
        <w:jc w:val="both"/>
      </w:pPr>
      <w:r w:rsidRPr="00F52D62">
        <w:t>T</w:t>
      </w:r>
      <w:r w:rsidRPr="009C571E">
        <w:t>he current framework already allows for sufficient supervisory powers to achieve that purpose, and therefore no changes are needed.</w:t>
      </w:r>
    </w:p>
    <w:p w14:paraId="556A7ADF" w14:textId="600BE32E" w:rsidR="001E719A" w:rsidRPr="00D84CC8" w:rsidRDefault="009C571E" w:rsidP="00D84CC8">
      <w:pPr>
        <w:pStyle w:val="Nadpis3"/>
        <w:rPr>
          <w:b/>
          <w:bCs/>
          <w:lang w:val="en-GB"/>
        </w:rPr>
      </w:pPr>
      <w:bookmarkStart w:id="22" w:name="_Toc160198719"/>
      <w:r w:rsidRPr="00D84CC8">
        <w:rPr>
          <w:b/>
          <w:bCs/>
          <w:lang w:val="en-GB"/>
        </w:rPr>
        <w:t>Treatment of non-proportional reinsurance</w:t>
      </w:r>
      <w:bookmarkEnd w:id="22"/>
    </w:p>
    <w:p w14:paraId="696F3C20" w14:textId="77777777" w:rsidR="00131AAD" w:rsidRDefault="00131AAD" w:rsidP="00F46BBC">
      <w:pPr>
        <w:jc w:val="both"/>
      </w:pPr>
      <w:r>
        <w:t>Non-proportional (NP) reinsurance is an important risk mitigation instrument for the non-life sector and a crucial tool for smaller and medium sized companies to manage peak risk.</w:t>
      </w:r>
    </w:p>
    <w:p w14:paraId="5C70F2E5" w14:textId="3DE66E87" w:rsidR="00C70ED1" w:rsidRDefault="00131AAD" w:rsidP="00F46BBC">
      <w:pPr>
        <w:jc w:val="both"/>
      </w:pPr>
      <w:r>
        <w:t>The current standard formula approach provides for a flat 20% reduction on the volatility of premium risk for three lines of business. This reduction does not depend on the actual existence of reinsurance and is not available for other lines of business, nor for reserving risk. This is clearly not risk sensitive.</w:t>
      </w:r>
    </w:p>
    <w:p w14:paraId="64A3402B" w14:textId="77777777" w:rsidR="004E6566" w:rsidRPr="00F615C8" w:rsidRDefault="004E6566" w:rsidP="004E6566">
      <w:pPr>
        <w:rPr>
          <w:b/>
          <w:bCs/>
          <w:color w:val="00B050"/>
        </w:rPr>
      </w:pPr>
      <w:r w:rsidRPr="00F615C8">
        <w:rPr>
          <w:b/>
          <w:bCs/>
          <w:color w:val="00B050"/>
        </w:rPr>
        <w:t>DO: Introduce dedicated treatment for Adverse Development Covers, based on an improved version of EIOPA’s proposal which applies to multiple lines of business.</w:t>
      </w:r>
    </w:p>
    <w:p w14:paraId="3440B707" w14:textId="77777777" w:rsidR="00C70ED1" w:rsidRDefault="00C70ED1" w:rsidP="00CE5F21"/>
    <w:p w14:paraId="1532F818" w14:textId="6301B748" w:rsidR="00E04FD8" w:rsidRPr="00621399" w:rsidRDefault="00E04FD8" w:rsidP="001005E1">
      <w:pPr>
        <w:pStyle w:val="Nadpis3"/>
        <w:rPr>
          <w:b/>
          <w:bCs/>
        </w:rPr>
      </w:pPr>
      <w:bookmarkStart w:id="23" w:name="_Toc160198720"/>
      <w:r w:rsidRPr="00621399">
        <w:rPr>
          <w:b/>
          <w:bCs/>
          <w:lang w:val="en-GB"/>
        </w:rPr>
        <w:lastRenderedPageBreak/>
        <w:t>Acquisition expenses</w:t>
      </w:r>
      <w:bookmarkEnd w:id="23"/>
    </w:p>
    <w:p w14:paraId="03455539" w14:textId="6D72D602" w:rsidR="00947F32" w:rsidRDefault="00425AEC" w:rsidP="00B6440D">
      <w:pPr>
        <w:jc w:val="both"/>
      </w:pPr>
      <w:r w:rsidRPr="00425AEC">
        <w:t xml:space="preserve">Article 140 of the DA </w:t>
      </w:r>
      <w:r w:rsidR="007F2DF3">
        <w:t>specifies that</w:t>
      </w:r>
      <w:r w:rsidRPr="00425AEC">
        <w:t xml:space="preserve"> expenses taken into account in the calculation of the </w:t>
      </w:r>
      <w:r>
        <w:t>technical provisions</w:t>
      </w:r>
      <w:r w:rsidRPr="00425AEC">
        <w:t xml:space="preserve"> should be shocked to determine the SCR for life-expense risk. </w:t>
      </w:r>
      <w:r w:rsidR="00B56C0A">
        <w:t>However, there are</w:t>
      </w:r>
      <w:r w:rsidRPr="00425AEC">
        <w:t xml:space="preserve"> no exception</w:t>
      </w:r>
      <w:r w:rsidR="00B56C0A">
        <w:t>s</w:t>
      </w:r>
      <w:r w:rsidRPr="00425AEC">
        <w:t xml:space="preserve"> for acquisition expenses or other </w:t>
      </w:r>
      <w:r>
        <w:t>f</w:t>
      </w:r>
      <w:r w:rsidR="00F511A8">
        <w:t xml:space="preserve">ixed </w:t>
      </w:r>
      <w:r w:rsidRPr="00425AEC">
        <w:t>expenses</w:t>
      </w:r>
      <w:r w:rsidR="00B56C0A">
        <w:t xml:space="preserve">. </w:t>
      </w:r>
      <w:r w:rsidR="00DD6BA7">
        <w:t xml:space="preserve">This departure from a </w:t>
      </w:r>
      <w:proofErr w:type="gramStart"/>
      <w:r w:rsidR="00DD6BA7">
        <w:t>risk  based</w:t>
      </w:r>
      <w:proofErr w:type="gramEnd"/>
      <w:r w:rsidR="00DD6BA7">
        <w:t xml:space="preserve"> approach in Art 140 </w:t>
      </w:r>
      <w:r w:rsidR="00825707">
        <w:t xml:space="preserve">results in insurers being compelled to include expenses that cannot vary, such as </w:t>
      </w:r>
      <w:r w:rsidR="00552B33">
        <w:t>acquisition expenses leading</w:t>
      </w:r>
      <w:r w:rsidR="00947F32">
        <w:t xml:space="preserve"> to unnecessary and excessive capital</w:t>
      </w:r>
      <w:r w:rsidR="00552B33">
        <w:t xml:space="preserve"> requirements</w:t>
      </w:r>
      <w:r w:rsidR="008224ED">
        <w:t>. A similar issue applies to Art 157.</w:t>
      </w:r>
      <w:r w:rsidR="00947F32">
        <w:t xml:space="preserve">  </w:t>
      </w:r>
    </w:p>
    <w:p w14:paraId="764911A2" w14:textId="391CFF0E" w:rsidR="00947F32" w:rsidRDefault="00203936" w:rsidP="00B6440D">
      <w:pPr>
        <w:jc w:val="both"/>
      </w:pPr>
      <w:r>
        <w:t>Therefore, there is t</w:t>
      </w:r>
      <w:r w:rsidR="00947F32">
        <w:t xml:space="preserve">he need for modification for the Delegated Regulation to address the issue of expense risk in the standard formula.   </w:t>
      </w:r>
    </w:p>
    <w:p w14:paraId="07B4426B" w14:textId="0DF155D0" w:rsidR="00755539" w:rsidRPr="00220D48" w:rsidRDefault="00203936" w:rsidP="00947F32">
      <w:pPr>
        <w:rPr>
          <w:b/>
          <w:bCs/>
          <w:color w:val="00B050"/>
        </w:rPr>
      </w:pPr>
      <w:r w:rsidRPr="00220D48">
        <w:rPr>
          <w:b/>
          <w:bCs/>
          <w:color w:val="00B050"/>
        </w:rPr>
        <w:t xml:space="preserve">Do: modify </w:t>
      </w:r>
      <w:proofErr w:type="spellStart"/>
      <w:r w:rsidRPr="00220D48">
        <w:rPr>
          <w:b/>
          <w:bCs/>
          <w:color w:val="00B050"/>
        </w:rPr>
        <w:t>toe</w:t>
      </w:r>
      <w:proofErr w:type="spellEnd"/>
      <w:r w:rsidRPr="00220D48">
        <w:rPr>
          <w:b/>
          <w:bCs/>
          <w:color w:val="00B050"/>
        </w:rPr>
        <w:t xml:space="preserve"> wording in Art 140 and Art 157 of the DA </w:t>
      </w:r>
      <w:r w:rsidR="00755539" w:rsidRPr="00220D48">
        <w:rPr>
          <w:b/>
          <w:bCs/>
          <w:color w:val="00B050"/>
        </w:rPr>
        <w:t>on the Life-expense risk sub-module</w:t>
      </w:r>
      <w:r w:rsidR="00220D48" w:rsidRPr="00220D48">
        <w:rPr>
          <w:b/>
          <w:bCs/>
          <w:color w:val="00B050"/>
        </w:rPr>
        <w:t xml:space="preserve"> and the health-expense risk sub-module respectively</w:t>
      </w:r>
    </w:p>
    <w:p w14:paraId="56280DF0" w14:textId="77777777" w:rsidR="00220D48" w:rsidRPr="00220D48" w:rsidRDefault="00220D48" w:rsidP="00B6440D">
      <w:pPr>
        <w:pStyle w:val="Normlnywebov"/>
        <w:jc w:val="both"/>
        <w:rPr>
          <w:rFonts w:asciiTheme="minorHAnsi" w:hAnsiTheme="minorHAnsi" w:cstheme="minorHAnsi"/>
          <w:lang w:val="en-GB"/>
        </w:rPr>
      </w:pPr>
      <w:r w:rsidRPr="00220D48">
        <w:rPr>
          <w:rFonts w:asciiTheme="minorHAnsi" w:hAnsiTheme="minorHAnsi" w:cstheme="minorHAnsi"/>
          <w:lang w:val="en-GB"/>
        </w:rPr>
        <w:t>The issue can be solved by adding text along the lines the wording shown in red below to the existing article:</w:t>
      </w:r>
    </w:p>
    <w:p w14:paraId="59AB926B" w14:textId="77777777" w:rsidR="00220D48" w:rsidRPr="00220D48" w:rsidRDefault="00220D48" w:rsidP="00220D48">
      <w:pPr>
        <w:pStyle w:val="Normlnywebov"/>
        <w:ind w:left="720"/>
        <w:rPr>
          <w:rFonts w:asciiTheme="minorHAnsi" w:hAnsiTheme="minorHAnsi" w:cstheme="minorHAnsi"/>
          <w:lang w:val="en-GB"/>
        </w:rPr>
      </w:pPr>
      <w:r w:rsidRPr="00220D48">
        <w:rPr>
          <w:rStyle w:val="Zvraznenie"/>
          <w:rFonts w:asciiTheme="minorHAnsi" w:hAnsiTheme="minorHAnsi" w:cstheme="minorHAnsi"/>
          <w:lang w:val="en-GB"/>
        </w:rPr>
        <w:t xml:space="preserve">The capital requirement for life-expense risk referred to in Article 105(3)(d) of Directive 2009/138/EC shall be equal to the loss in basic own funds of insurance and reinsurance undertakings that would result from the combination of the following instantaneous permanent changes: </w:t>
      </w:r>
    </w:p>
    <w:p w14:paraId="261CF1BB" w14:textId="77777777" w:rsidR="00220D48" w:rsidRPr="00220D48" w:rsidRDefault="00220D48" w:rsidP="00220D48">
      <w:pPr>
        <w:pStyle w:val="Normlnywebov"/>
        <w:ind w:left="720"/>
        <w:rPr>
          <w:rFonts w:asciiTheme="minorHAnsi" w:hAnsiTheme="minorHAnsi" w:cstheme="minorHAnsi"/>
          <w:color w:val="FF0000"/>
          <w:lang w:val="en-GB"/>
        </w:rPr>
      </w:pPr>
      <w:r w:rsidRPr="00220D48">
        <w:rPr>
          <w:rStyle w:val="Zvraznenie"/>
          <w:rFonts w:asciiTheme="minorHAnsi" w:hAnsiTheme="minorHAnsi" w:cstheme="minorHAnsi"/>
          <w:lang w:val="en-GB"/>
        </w:rPr>
        <w:t xml:space="preserve">(a) an increase of 10 % in the amount of expenses taken into account in the calculation of technical provisions; </w:t>
      </w:r>
      <w:r w:rsidRPr="00220D48">
        <w:rPr>
          <w:rStyle w:val="Zvraznenie"/>
          <w:rFonts w:asciiTheme="minorHAnsi" w:hAnsiTheme="minorHAnsi" w:cstheme="minorHAnsi"/>
          <w:color w:val="FF0000"/>
          <w:lang w:val="en-GB"/>
        </w:rPr>
        <w:t>Expenses which cannot vary materially or give rise to material adverse solvency development can be excluded (</w:t>
      </w:r>
      <w:proofErr w:type="spellStart"/>
      <w:r w:rsidRPr="00220D48">
        <w:rPr>
          <w:rStyle w:val="Zvraznenie"/>
          <w:rFonts w:asciiTheme="minorHAnsi" w:hAnsiTheme="minorHAnsi" w:cstheme="minorHAnsi"/>
          <w:color w:val="FF0000"/>
          <w:lang w:val="en-GB"/>
        </w:rPr>
        <w:t>eg</w:t>
      </w:r>
      <w:proofErr w:type="spellEnd"/>
      <w:r w:rsidRPr="00220D48">
        <w:rPr>
          <w:rStyle w:val="Zvraznenie"/>
          <w:rFonts w:asciiTheme="minorHAnsi" w:hAnsiTheme="minorHAnsi" w:cstheme="minorHAnsi"/>
          <w:color w:val="FF0000"/>
          <w:lang w:val="en-GB"/>
        </w:rPr>
        <w:t xml:space="preserve"> commission or investment management expenses which are contractually agreed and so cannot be unilaterally changed).</w:t>
      </w:r>
    </w:p>
    <w:p w14:paraId="3F726B20" w14:textId="77777777" w:rsidR="00220D48" w:rsidRPr="00220D48" w:rsidRDefault="00220D48" w:rsidP="00220D48">
      <w:pPr>
        <w:pStyle w:val="Normlnywebov"/>
        <w:ind w:left="720"/>
        <w:rPr>
          <w:rStyle w:val="Zvraznenie"/>
          <w:rFonts w:asciiTheme="minorHAnsi" w:hAnsiTheme="minorHAnsi" w:cstheme="minorHAnsi"/>
          <w:lang w:val="en-GB"/>
        </w:rPr>
      </w:pPr>
      <w:r w:rsidRPr="00220D48">
        <w:rPr>
          <w:rStyle w:val="Zvraznenie"/>
          <w:rFonts w:asciiTheme="minorHAnsi" w:hAnsiTheme="minorHAnsi" w:cstheme="minorHAnsi"/>
          <w:lang w:val="en-GB"/>
        </w:rPr>
        <w:t>(b) … </w:t>
      </w:r>
    </w:p>
    <w:p w14:paraId="71C4B568" w14:textId="7D7225F8" w:rsidR="00CE5F21" w:rsidRPr="005A0B75" w:rsidRDefault="00CE5F21" w:rsidP="00947F32"/>
    <w:sectPr w:rsidR="00CE5F21" w:rsidRPr="005A0B7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Insurance Europe" w:date="2024-03-01T15:05:00Z" w:initials="IE">
    <w:p w14:paraId="7E9E475B" w14:textId="18D83DED" w:rsidR="00A13982" w:rsidRDefault="00A13982">
      <w:pPr>
        <w:pStyle w:val="Textkomentra"/>
      </w:pPr>
      <w:r>
        <w:rPr>
          <w:rStyle w:val="Odkaznakomentr"/>
        </w:rPr>
        <w:annotationRef/>
      </w:r>
      <w:r w:rsidRPr="00AE4210">
        <w:rPr>
          <w:highlight w:val="yellow"/>
        </w:rPr>
        <w:t>Members are invited to provide justification</w:t>
      </w:r>
    </w:p>
  </w:comment>
  <w:comment w:id="8" w:author="Insurance Europe" w:date="2024-03-01T15:07:00Z" w:initials="IE">
    <w:p w14:paraId="6E348FFA" w14:textId="2FD283E9" w:rsidR="00D21D03" w:rsidRDefault="00D21D03">
      <w:pPr>
        <w:pStyle w:val="Textkomentra"/>
      </w:pPr>
      <w:r>
        <w:rPr>
          <w:rStyle w:val="Odkaznakomentr"/>
        </w:rPr>
        <w:annotationRef/>
      </w:r>
      <w:r>
        <w:rPr>
          <w:highlight w:val="yellow"/>
        </w:rPr>
        <w:t>Members requested to provide feedback on the new phasing in proposal from co-legisltors? Ie should we support or oppose a mandatory phasing in?</w:t>
      </w:r>
    </w:p>
  </w:comment>
  <w:comment w:id="11" w:author="Insurance Europe" w:date="2024-03-01T15:13:00Z" w:initials="IE">
    <w:p w14:paraId="2902BDC2" w14:textId="77777777" w:rsidR="00534858" w:rsidRDefault="00534858" w:rsidP="00534858">
      <w:pPr>
        <w:pStyle w:val="Textkomentra"/>
      </w:pPr>
      <w:r>
        <w:rPr>
          <w:rStyle w:val="Odkaznakomentr"/>
        </w:rPr>
        <w:annotationRef/>
      </w:r>
      <w:r>
        <w:rPr>
          <w:rStyle w:val="Odkaznakomentr"/>
        </w:rPr>
        <w:annotationRef/>
      </w:r>
      <w:r w:rsidRPr="00534858">
        <w:rPr>
          <w:highlight w:val="yellow"/>
        </w:rPr>
        <w:t>Members requested to provide detailed criteria.</w:t>
      </w:r>
    </w:p>
    <w:p w14:paraId="4E069458" w14:textId="69367163" w:rsidR="00534858" w:rsidRDefault="00534858">
      <w:pPr>
        <w:pStyle w:val="Textkomentra"/>
      </w:pPr>
    </w:p>
  </w:comment>
  <w:comment w:id="13" w:author="Insurance Europe" w:date="2024-03-01T15:13:00Z" w:initials="IE">
    <w:p w14:paraId="5014CB63" w14:textId="77777777" w:rsidR="005E28CF" w:rsidRDefault="00534858" w:rsidP="005E28CF">
      <w:pPr>
        <w:pStyle w:val="Textkomentra"/>
      </w:pPr>
      <w:r>
        <w:rPr>
          <w:rStyle w:val="Odkaznakomentr"/>
        </w:rPr>
        <w:annotationRef/>
      </w:r>
      <w:r w:rsidR="005E28CF">
        <w:rPr>
          <w:highlight w:val="yellow"/>
        </w:rPr>
        <w:t>Members are requested to provide feedback on whether we should retain this in the document</w:t>
      </w:r>
    </w:p>
  </w:comment>
  <w:comment w:id="15" w:author="Insurance Europe" w:date="2024-03-01T15:14:00Z" w:initials="IE">
    <w:p w14:paraId="42AFC2C7" w14:textId="0B518969" w:rsidR="00534858" w:rsidRDefault="00534858">
      <w:pPr>
        <w:pStyle w:val="Textkomentra"/>
      </w:pPr>
      <w:r>
        <w:rPr>
          <w:rStyle w:val="Odkaznakomentr"/>
        </w:rPr>
        <w:annotationRef/>
      </w:r>
      <w:r>
        <w:t>TBC - depending on CSDDD discussions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E9E475B" w15:done="0"/>
  <w15:commentEx w15:paraId="6E348FFA" w15:done="0"/>
  <w15:commentEx w15:paraId="4E069458" w15:done="0"/>
  <w15:commentEx w15:paraId="5014CB63" w15:done="0"/>
  <w15:commentEx w15:paraId="42AFC2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C8BDDD9" w16cex:dateUtc="2024-03-01T14:05:00Z"/>
  <w16cex:commentExtensible w16cex:durableId="23375FA3" w16cex:dateUtc="2024-03-01T14:07:00Z"/>
  <w16cex:commentExtensible w16cex:durableId="4DADFCAE" w16cex:dateUtc="2024-03-01T14:13:00Z"/>
  <w16cex:commentExtensible w16cex:durableId="7BBE835A" w16cex:dateUtc="2024-03-01T14:13:00Z"/>
  <w16cex:commentExtensible w16cex:durableId="0BBA5AEC" w16cex:dateUtc="2024-03-01T14: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9E475B" w16cid:durableId="0C8BDDD9"/>
  <w16cid:commentId w16cid:paraId="6E348FFA" w16cid:durableId="23375FA3"/>
  <w16cid:commentId w16cid:paraId="4E069458" w16cid:durableId="4DADFCAE"/>
  <w16cid:commentId w16cid:paraId="5014CB63" w16cid:durableId="7BBE835A"/>
  <w16cid:commentId w16cid:paraId="42AFC2C7" w16cid:durableId="0BBA5A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E0D0F" w14:textId="77777777" w:rsidR="003F1F2A" w:rsidRDefault="003F1F2A" w:rsidP="003832FD">
      <w:pPr>
        <w:spacing w:after="0" w:line="240" w:lineRule="auto"/>
      </w:pPr>
      <w:r>
        <w:separator/>
      </w:r>
    </w:p>
  </w:endnote>
  <w:endnote w:type="continuationSeparator" w:id="0">
    <w:p w14:paraId="49EA5AE7" w14:textId="77777777" w:rsidR="003F1F2A" w:rsidRDefault="003F1F2A" w:rsidP="003832FD">
      <w:pPr>
        <w:spacing w:after="0" w:line="240" w:lineRule="auto"/>
      </w:pPr>
      <w:r>
        <w:continuationSeparator/>
      </w:r>
    </w:p>
  </w:endnote>
  <w:endnote w:type="continuationNotice" w:id="1">
    <w:p w14:paraId="3D6A67C8" w14:textId="77777777" w:rsidR="003F1F2A" w:rsidRDefault="003F1F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D795C" w14:textId="77777777" w:rsidR="00066AB5" w:rsidRDefault="00066AB5">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957513"/>
      <w:docPartObj>
        <w:docPartGallery w:val="Page Numbers (Bottom of Page)"/>
        <w:docPartUnique/>
      </w:docPartObj>
    </w:sdtPr>
    <w:sdtEndPr>
      <w:rPr>
        <w:noProof/>
      </w:rPr>
    </w:sdtEndPr>
    <w:sdtContent>
      <w:p w14:paraId="1C473BBD" w14:textId="71F51C8D" w:rsidR="007D366A" w:rsidRDefault="007D366A">
        <w:pPr>
          <w:pStyle w:val="Pta"/>
          <w:jc w:val="right"/>
        </w:pPr>
        <w:r>
          <w:fldChar w:fldCharType="begin"/>
        </w:r>
        <w:r>
          <w:instrText xml:space="preserve"> PAGE   \* MERGEFORMAT </w:instrText>
        </w:r>
        <w:r>
          <w:fldChar w:fldCharType="separate"/>
        </w:r>
        <w:r>
          <w:rPr>
            <w:noProof/>
          </w:rPr>
          <w:t>2</w:t>
        </w:r>
        <w:r>
          <w:rPr>
            <w:noProof/>
          </w:rPr>
          <w:fldChar w:fldCharType="end"/>
        </w:r>
      </w:p>
    </w:sdtContent>
  </w:sdt>
  <w:p w14:paraId="15BB0307" w14:textId="77777777" w:rsidR="003832FD" w:rsidRDefault="003832FD">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39F9F" w14:textId="77777777" w:rsidR="00066AB5" w:rsidRDefault="00066AB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33428" w14:textId="77777777" w:rsidR="003F1F2A" w:rsidRDefault="003F1F2A" w:rsidP="003832FD">
      <w:pPr>
        <w:spacing w:after="0" w:line="240" w:lineRule="auto"/>
      </w:pPr>
      <w:r>
        <w:separator/>
      </w:r>
    </w:p>
  </w:footnote>
  <w:footnote w:type="continuationSeparator" w:id="0">
    <w:p w14:paraId="0239942F" w14:textId="77777777" w:rsidR="003F1F2A" w:rsidRDefault="003F1F2A" w:rsidP="003832FD">
      <w:pPr>
        <w:spacing w:after="0" w:line="240" w:lineRule="auto"/>
      </w:pPr>
      <w:r>
        <w:continuationSeparator/>
      </w:r>
    </w:p>
  </w:footnote>
  <w:footnote w:type="continuationNotice" w:id="1">
    <w:p w14:paraId="0A9128B5" w14:textId="77777777" w:rsidR="003F1F2A" w:rsidRDefault="003F1F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44E41" w14:textId="77777777" w:rsidR="00066AB5" w:rsidRDefault="00066AB5">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8130E" w14:textId="7FC65AF0" w:rsidR="0036017A" w:rsidRPr="0036017A" w:rsidRDefault="00066AB5" w:rsidP="0036017A">
    <w:pPr>
      <w:pStyle w:val="Hlavika"/>
      <w:jc w:val="right"/>
      <w:rPr>
        <w:b/>
        <w:bCs/>
        <w:color w:val="FF0000"/>
      </w:rPr>
    </w:pPr>
    <w:sdt>
      <w:sdtPr>
        <w:rPr>
          <w:b/>
          <w:bCs/>
          <w:color w:val="FF0000"/>
        </w:rPr>
        <w:id w:val="2040472363"/>
        <w:docPartObj>
          <w:docPartGallery w:val="Watermarks"/>
          <w:docPartUnique/>
        </w:docPartObj>
      </w:sdtPr>
      <w:sdtEndPr/>
      <w:sdtContent>
        <w:r>
          <w:rPr>
            <w:b/>
            <w:bCs/>
            <w:noProof/>
            <w:color w:val="FF0000"/>
          </w:rPr>
          <w:pict w14:anchorId="45A100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6017A" w:rsidRPr="0036017A">
      <w:rPr>
        <w:b/>
        <w:bCs/>
        <w:color w:val="FF0000"/>
      </w:rPr>
      <w:t xml:space="preserve">Draft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81B32" w14:textId="77777777" w:rsidR="00066AB5" w:rsidRDefault="00066AB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5D5C"/>
    <w:multiLevelType w:val="hybridMultilevel"/>
    <w:tmpl w:val="D9AE878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056F243F"/>
    <w:multiLevelType w:val="hybridMultilevel"/>
    <w:tmpl w:val="73BC7E3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6B0295"/>
    <w:multiLevelType w:val="hybridMultilevel"/>
    <w:tmpl w:val="5F7A4C6C"/>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DB27CC4"/>
    <w:multiLevelType w:val="hybridMultilevel"/>
    <w:tmpl w:val="7DD6F8F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A91DE5"/>
    <w:multiLevelType w:val="hybridMultilevel"/>
    <w:tmpl w:val="05FCDB2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4FEB32F0"/>
    <w:multiLevelType w:val="hybridMultilevel"/>
    <w:tmpl w:val="CF74204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64305D27"/>
    <w:multiLevelType w:val="hybridMultilevel"/>
    <w:tmpl w:val="C400D9C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6488105D"/>
    <w:multiLevelType w:val="hybridMultilevel"/>
    <w:tmpl w:val="D270B17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D4F3A6E"/>
    <w:multiLevelType w:val="hybridMultilevel"/>
    <w:tmpl w:val="D270B170"/>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575780208">
    <w:abstractNumId w:val="4"/>
  </w:num>
  <w:num w:numId="2" w16cid:durableId="1138767925">
    <w:abstractNumId w:val="0"/>
  </w:num>
  <w:num w:numId="3" w16cid:durableId="1891845393">
    <w:abstractNumId w:val="8"/>
  </w:num>
  <w:num w:numId="4" w16cid:durableId="1332680410">
    <w:abstractNumId w:val="1"/>
  </w:num>
  <w:num w:numId="5" w16cid:durableId="1788965387">
    <w:abstractNumId w:val="7"/>
  </w:num>
  <w:num w:numId="6" w16cid:durableId="1053623706">
    <w:abstractNumId w:val="2"/>
  </w:num>
  <w:num w:numId="7" w16cid:durableId="1128086132">
    <w:abstractNumId w:val="3"/>
  </w:num>
  <w:num w:numId="8" w16cid:durableId="2087875540">
    <w:abstractNumId w:val="6"/>
  </w:num>
  <w:num w:numId="9" w16cid:durableId="164030634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nsurance Europe">
    <w15:presenceInfo w15:providerId="None" w15:userId="Insurance Europ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KwNDKxMDA1srQ0MzJU0lEKTi0uzszPAykwqwUAIoplqSwAAAA="/>
  </w:docVars>
  <w:rsids>
    <w:rsidRoot w:val="005A0B75"/>
    <w:rsid w:val="00001E7B"/>
    <w:rsid w:val="0000283B"/>
    <w:rsid w:val="000102B0"/>
    <w:rsid w:val="00012ECE"/>
    <w:rsid w:val="00013085"/>
    <w:rsid w:val="00016803"/>
    <w:rsid w:val="000206A3"/>
    <w:rsid w:val="0002504F"/>
    <w:rsid w:val="00031DE9"/>
    <w:rsid w:val="00031E6E"/>
    <w:rsid w:val="00032F1D"/>
    <w:rsid w:val="0003409A"/>
    <w:rsid w:val="000379B1"/>
    <w:rsid w:val="00056956"/>
    <w:rsid w:val="00056F43"/>
    <w:rsid w:val="00064A3E"/>
    <w:rsid w:val="00065746"/>
    <w:rsid w:val="00066AB5"/>
    <w:rsid w:val="000768E0"/>
    <w:rsid w:val="00076A65"/>
    <w:rsid w:val="00077FD6"/>
    <w:rsid w:val="0009054B"/>
    <w:rsid w:val="00091BF2"/>
    <w:rsid w:val="0009427E"/>
    <w:rsid w:val="00097EF0"/>
    <w:rsid w:val="000A2D03"/>
    <w:rsid w:val="000A35B1"/>
    <w:rsid w:val="000A58A3"/>
    <w:rsid w:val="000B010B"/>
    <w:rsid w:val="000B0132"/>
    <w:rsid w:val="000B3143"/>
    <w:rsid w:val="000B3C78"/>
    <w:rsid w:val="000B450A"/>
    <w:rsid w:val="000B7629"/>
    <w:rsid w:val="000C2809"/>
    <w:rsid w:val="000C5B1F"/>
    <w:rsid w:val="000C7B4D"/>
    <w:rsid w:val="000D2986"/>
    <w:rsid w:val="000D3D1F"/>
    <w:rsid w:val="000D58A6"/>
    <w:rsid w:val="000D68A8"/>
    <w:rsid w:val="000D71D7"/>
    <w:rsid w:val="000E0265"/>
    <w:rsid w:val="000E1645"/>
    <w:rsid w:val="000E2B26"/>
    <w:rsid w:val="000E773E"/>
    <w:rsid w:val="000E7C68"/>
    <w:rsid w:val="000F06CF"/>
    <w:rsid w:val="000F0C7B"/>
    <w:rsid w:val="000F57C3"/>
    <w:rsid w:val="000F72E3"/>
    <w:rsid w:val="001005E1"/>
    <w:rsid w:val="00105850"/>
    <w:rsid w:val="00112887"/>
    <w:rsid w:val="00120BAB"/>
    <w:rsid w:val="001224C1"/>
    <w:rsid w:val="00124CF3"/>
    <w:rsid w:val="00125A65"/>
    <w:rsid w:val="00127C21"/>
    <w:rsid w:val="0013144A"/>
    <w:rsid w:val="00131AAD"/>
    <w:rsid w:val="00133F0B"/>
    <w:rsid w:val="001406AB"/>
    <w:rsid w:val="001420BC"/>
    <w:rsid w:val="00145DA7"/>
    <w:rsid w:val="00150770"/>
    <w:rsid w:val="001551D4"/>
    <w:rsid w:val="001572F7"/>
    <w:rsid w:val="00164539"/>
    <w:rsid w:val="00167CED"/>
    <w:rsid w:val="00170339"/>
    <w:rsid w:val="00173A0B"/>
    <w:rsid w:val="00177C11"/>
    <w:rsid w:val="00180BEA"/>
    <w:rsid w:val="00181E41"/>
    <w:rsid w:val="00184F38"/>
    <w:rsid w:val="00195BAF"/>
    <w:rsid w:val="001967E6"/>
    <w:rsid w:val="001973C2"/>
    <w:rsid w:val="001A09C6"/>
    <w:rsid w:val="001A2FFA"/>
    <w:rsid w:val="001A32EC"/>
    <w:rsid w:val="001A5094"/>
    <w:rsid w:val="001A5596"/>
    <w:rsid w:val="001A717D"/>
    <w:rsid w:val="001B4C1A"/>
    <w:rsid w:val="001B5649"/>
    <w:rsid w:val="001B68B9"/>
    <w:rsid w:val="001C01C3"/>
    <w:rsid w:val="001C077C"/>
    <w:rsid w:val="001C787D"/>
    <w:rsid w:val="001C7BC0"/>
    <w:rsid w:val="001D2F90"/>
    <w:rsid w:val="001D6812"/>
    <w:rsid w:val="001E35A6"/>
    <w:rsid w:val="001E398D"/>
    <w:rsid w:val="001E6D90"/>
    <w:rsid w:val="001E719A"/>
    <w:rsid w:val="001F0430"/>
    <w:rsid w:val="001F5B80"/>
    <w:rsid w:val="00201648"/>
    <w:rsid w:val="00203936"/>
    <w:rsid w:val="00204D3D"/>
    <w:rsid w:val="002137F7"/>
    <w:rsid w:val="00216A4B"/>
    <w:rsid w:val="0021752A"/>
    <w:rsid w:val="00220D48"/>
    <w:rsid w:val="002304F8"/>
    <w:rsid w:val="00244229"/>
    <w:rsid w:val="0024600D"/>
    <w:rsid w:val="002465D1"/>
    <w:rsid w:val="00252902"/>
    <w:rsid w:val="00254279"/>
    <w:rsid w:val="00254964"/>
    <w:rsid w:val="002560EA"/>
    <w:rsid w:val="00256ABD"/>
    <w:rsid w:val="00256EB5"/>
    <w:rsid w:val="002578A2"/>
    <w:rsid w:val="00262538"/>
    <w:rsid w:val="00263E5E"/>
    <w:rsid w:val="0026427C"/>
    <w:rsid w:val="00265641"/>
    <w:rsid w:val="00270C29"/>
    <w:rsid w:val="00272626"/>
    <w:rsid w:val="002818B1"/>
    <w:rsid w:val="00285B2C"/>
    <w:rsid w:val="00290E55"/>
    <w:rsid w:val="00294655"/>
    <w:rsid w:val="002956FA"/>
    <w:rsid w:val="002A0CE5"/>
    <w:rsid w:val="002A335A"/>
    <w:rsid w:val="002A380C"/>
    <w:rsid w:val="002C0E29"/>
    <w:rsid w:val="002C1240"/>
    <w:rsid w:val="002C1B69"/>
    <w:rsid w:val="002C1F16"/>
    <w:rsid w:val="002C4A92"/>
    <w:rsid w:val="002C55E3"/>
    <w:rsid w:val="002D1534"/>
    <w:rsid w:val="002D3716"/>
    <w:rsid w:val="002D4BAA"/>
    <w:rsid w:val="002E1C09"/>
    <w:rsid w:val="002E2256"/>
    <w:rsid w:val="002E5F3A"/>
    <w:rsid w:val="002F04AA"/>
    <w:rsid w:val="002F0615"/>
    <w:rsid w:val="002F5255"/>
    <w:rsid w:val="002F63F1"/>
    <w:rsid w:val="0030299F"/>
    <w:rsid w:val="0030765D"/>
    <w:rsid w:val="00312A2C"/>
    <w:rsid w:val="003154D6"/>
    <w:rsid w:val="003156E6"/>
    <w:rsid w:val="0032168C"/>
    <w:rsid w:val="00322644"/>
    <w:rsid w:val="00323632"/>
    <w:rsid w:val="00323C0B"/>
    <w:rsid w:val="003247AC"/>
    <w:rsid w:val="00325537"/>
    <w:rsid w:val="00326C70"/>
    <w:rsid w:val="003317F8"/>
    <w:rsid w:val="00331AB9"/>
    <w:rsid w:val="00341496"/>
    <w:rsid w:val="00354FED"/>
    <w:rsid w:val="003554A2"/>
    <w:rsid w:val="003558F2"/>
    <w:rsid w:val="00356431"/>
    <w:rsid w:val="00356BFF"/>
    <w:rsid w:val="0036017A"/>
    <w:rsid w:val="0036161D"/>
    <w:rsid w:val="00375FB2"/>
    <w:rsid w:val="003801B0"/>
    <w:rsid w:val="0038255B"/>
    <w:rsid w:val="003832FD"/>
    <w:rsid w:val="00391A3B"/>
    <w:rsid w:val="003927C0"/>
    <w:rsid w:val="00394725"/>
    <w:rsid w:val="00395B20"/>
    <w:rsid w:val="0039626E"/>
    <w:rsid w:val="00397412"/>
    <w:rsid w:val="00397CEF"/>
    <w:rsid w:val="003A1DF0"/>
    <w:rsid w:val="003A4AC9"/>
    <w:rsid w:val="003A645D"/>
    <w:rsid w:val="003B062C"/>
    <w:rsid w:val="003B0EE2"/>
    <w:rsid w:val="003B27EB"/>
    <w:rsid w:val="003B497A"/>
    <w:rsid w:val="003B7259"/>
    <w:rsid w:val="003B7ACF"/>
    <w:rsid w:val="003C1009"/>
    <w:rsid w:val="003D20A4"/>
    <w:rsid w:val="003D31F1"/>
    <w:rsid w:val="003D6A46"/>
    <w:rsid w:val="003E25B9"/>
    <w:rsid w:val="003E7096"/>
    <w:rsid w:val="003E70EC"/>
    <w:rsid w:val="003F1F2A"/>
    <w:rsid w:val="003F26D3"/>
    <w:rsid w:val="003F651B"/>
    <w:rsid w:val="00402247"/>
    <w:rsid w:val="00403C94"/>
    <w:rsid w:val="0040783A"/>
    <w:rsid w:val="004132F1"/>
    <w:rsid w:val="004153D9"/>
    <w:rsid w:val="0041630C"/>
    <w:rsid w:val="004164B8"/>
    <w:rsid w:val="00422950"/>
    <w:rsid w:val="004235AB"/>
    <w:rsid w:val="004258B7"/>
    <w:rsid w:val="00425AEC"/>
    <w:rsid w:val="00426868"/>
    <w:rsid w:val="00426E29"/>
    <w:rsid w:val="004302CB"/>
    <w:rsid w:val="00434D20"/>
    <w:rsid w:val="00436FC8"/>
    <w:rsid w:val="00437FE7"/>
    <w:rsid w:val="0044101A"/>
    <w:rsid w:val="0044437B"/>
    <w:rsid w:val="0044466C"/>
    <w:rsid w:val="00446D68"/>
    <w:rsid w:val="00450A93"/>
    <w:rsid w:val="00461598"/>
    <w:rsid w:val="00461605"/>
    <w:rsid w:val="004624F5"/>
    <w:rsid w:val="00462A34"/>
    <w:rsid w:val="0046351A"/>
    <w:rsid w:val="0046475C"/>
    <w:rsid w:val="004655B9"/>
    <w:rsid w:val="004671C1"/>
    <w:rsid w:val="0047063C"/>
    <w:rsid w:val="00471FB5"/>
    <w:rsid w:val="00473734"/>
    <w:rsid w:val="004760C9"/>
    <w:rsid w:val="00476516"/>
    <w:rsid w:val="00477C76"/>
    <w:rsid w:val="00477DD3"/>
    <w:rsid w:val="00477E34"/>
    <w:rsid w:val="00481AEA"/>
    <w:rsid w:val="00483074"/>
    <w:rsid w:val="00484391"/>
    <w:rsid w:val="00484454"/>
    <w:rsid w:val="00492FF8"/>
    <w:rsid w:val="00495C14"/>
    <w:rsid w:val="004A0D2A"/>
    <w:rsid w:val="004A36A9"/>
    <w:rsid w:val="004A4534"/>
    <w:rsid w:val="004A6D0D"/>
    <w:rsid w:val="004B0FB8"/>
    <w:rsid w:val="004B3E8D"/>
    <w:rsid w:val="004C022F"/>
    <w:rsid w:val="004C3A2F"/>
    <w:rsid w:val="004C470B"/>
    <w:rsid w:val="004C512D"/>
    <w:rsid w:val="004C51E8"/>
    <w:rsid w:val="004C67A1"/>
    <w:rsid w:val="004D023C"/>
    <w:rsid w:val="004D15A3"/>
    <w:rsid w:val="004D6AD7"/>
    <w:rsid w:val="004D72BC"/>
    <w:rsid w:val="004E6421"/>
    <w:rsid w:val="004E6566"/>
    <w:rsid w:val="004F232C"/>
    <w:rsid w:val="004F52EA"/>
    <w:rsid w:val="004F60A3"/>
    <w:rsid w:val="004F7990"/>
    <w:rsid w:val="00505832"/>
    <w:rsid w:val="00505E0F"/>
    <w:rsid w:val="005060A5"/>
    <w:rsid w:val="00511809"/>
    <w:rsid w:val="00512160"/>
    <w:rsid w:val="0051671B"/>
    <w:rsid w:val="00516F7C"/>
    <w:rsid w:val="00517399"/>
    <w:rsid w:val="00517DA6"/>
    <w:rsid w:val="005202A8"/>
    <w:rsid w:val="005204BA"/>
    <w:rsid w:val="00520A20"/>
    <w:rsid w:val="005228E3"/>
    <w:rsid w:val="00522D0D"/>
    <w:rsid w:val="00522EE1"/>
    <w:rsid w:val="00525776"/>
    <w:rsid w:val="005306A8"/>
    <w:rsid w:val="00534171"/>
    <w:rsid w:val="00534858"/>
    <w:rsid w:val="00540C72"/>
    <w:rsid w:val="0054272A"/>
    <w:rsid w:val="005454EF"/>
    <w:rsid w:val="005462ED"/>
    <w:rsid w:val="00547173"/>
    <w:rsid w:val="00547E53"/>
    <w:rsid w:val="00551F6F"/>
    <w:rsid w:val="0055228D"/>
    <w:rsid w:val="00552B33"/>
    <w:rsid w:val="00554D22"/>
    <w:rsid w:val="00557320"/>
    <w:rsid w:val="00557A44"/>
    <w:rsid w:val="005618C4"/>
    <w:rsid w:val="00563FE6"/>
    <w:rsid w:val="0056610A"/>
    <w:rsid w:val="005662C6"/>
    <w:rsid w:val="00567928"/>
    <w:rsid w:val="005729E8"/>
    <w:rsid w:val="00574DE6"/>
    <w:rsid w:val="0057533E"/>
    <w:rsid w:val="0057735B"/>
    <w:rsid w:val="00581BC1"/>
    <w:rsid w:val="0058424A"/>
    <w:rsid w:val="00584523"/>
    <w:rsid w:val="0058577B"/>
    <w:rsid w:val="00594E01"/>
    <w:rsid w:val="0059536E"/>
    <w:rsid w:val="005A0B75"/>
    <w:rsid w:val="005A18D0"/>
    <w:rsid w:val="005A31B5"/>
    <w:rsid w:val="005A43AE"/>
    <w:rsid w:val="005A6DE4"/>
    <w:rsid w:val="005B06DC"/>
    <w:rsid w:val="005B15DF"/>
    <w:rsid w:val="005B2642"/>
    <w:rsid w:val="005B4ABF"/>
    <w:rsid w:val="005B65C8"/>
    <w:rsid w:val="005B6A7E"/>
    <w:rsid w:val="005C04CA"/>
    <w:rsid w:val="005C09DB"/>
    <w:rsid w:val="005C6C9D"/>
    <w:rsid w:val="005C7CEB"/>
    <w:rsid w:val="005D09F5"/>
    <w:rsid w:val="005D10C7"/>
    <w:rsid w:val="005D1DCC"/>
    <w:rsid w:val="005D2B2C"/>
    <w:rsid w:val="005D4CA9"/>
    <w:rsid w:val="005E0643"/>
    <w:rsid w:val="005E10F2"/>
    <w:rsid w:val="005E28CF"/>
    <w:rsid w:val="005E6FA2"/>
    <w:rsid w:val="005F1199"/>
    <w:rsid w:val="005F1700"/>
    <w:rsid w:val="005F1CBE"/>
    <w:rsid w:val="005F3537"/>
    <w:rsid w:val="00605AEB"/>
    <w:rsid w:val="00607A80"/>
    <w:rsid w:val="00617069"/>
    <w:rsid w:val="00621399"/>
    <w:rsid w:val="00622E66"/>
    <w:rsid w:val="00624C9E"/>
    <w:rsid w:val="00624EE6"/>
    <w:rsid w:val="0062543B"/>
    <w:rsid w:val="00626F22"/>
    <w:rsid w:val="006324FD"/>
    <w:rsid w:val="00633C02"/>
    <w:rsid w:val="0063784B"/>
    <w:rsid w:val="00640684"/>
    <w:rsid w:val="006413E8"/>
    <w:rsid w:val="006435D7"/>
    <w:rsid w:val="00645019"/>
    <w:rsid w:val="00652BDE"/>
    <w:rsid w:val="00661A7B"/>
    <w:rsid w:val="00664EE2"/>
    <w:rsid w:val="006652F6"/>
    <w:rsid w:val="006665CD"/>
    <w:rsid w:val="00667AD5"/>
    <w:rsid w:val="00671971"/>
    <w:rsid w:val="0067201D"/>
    <w:rsid w:val="006724C8"/>
    <w:rsid w:val="00676568"/>
    <w:rsid w:val="006851AD"/>
    <w:rsid w:val="00687B2D"/>
    <w:rsid w:val="006901EA"/>
    <w:rsid w:val="00693013"/>
    <w:rsid w:val="00694189"/>
    <w:rsid w:val="006A22EE"/>
    <w:rsid w:val="006A33EE"/>
    <w:rsid w:val="006B0E33"/>
    <w:rsid w:val="006C34EF"/>
    <w:rsid w:val="006C50D3"/>
    <w:rsid w:val="006C63D9"/>
    <w:rsid w:val="006C65E3"/>
    <w:rsid w:val="006D0909"/>
    <w:rsid w:val="006D1800"/>
    <w:rsid w:val="006D29ED"/>
    <w:rsid w:val="006D2DFD"/>
    <w:rsid w:val="006D7DEF"/>
    <w:rsid w:val="006E2FFC"/>
    <w:rsid w:val="006E4E63"/>
    <w:rsid w:val="006E59E9"/>
    <w:rsid w:val="006E5C7E"/>
    <w:rsid w:val="006F0345"/>
    <w:rsid w:val="006F0F7D"/>
    <w:rsid w:val="006F2E8F"/>
    <w:rsid w:val="006F40E8"/>
    <w:rsid w:val="006F4D27"/>
    <w:rsid w:val="0070333B"/>
    <w:rsid w:val="007042CE"/>
    <w:rsid w:val="0070474E"/>
    <w:rsid w:val="00711607"/>
    <w:rsid w:val="00712ACF"/>
    <w:rsid w:val="00722074"/>
    <w:rsid w:val="007230EC"/>
    <w:rsid w:val="00727F1F"/>
    <w:rsid w:val="00730E80"/>
    <w:rsid w:val="00731F5F"/>
    <w:rsid w:val="00733DB4"/>
    <w:rsid w:val="007352C5"/>
    <w:rsid w:val="0074097A"/>
    <w:rsid w:val="00741ABC"/>
    <w:rsid w:val="00743751"/>
    <w:rsid w:val="007458F8"/>
    <w:rsid w:val="00751FD7"/>
    <w:rsid w:val="00755539"/>
    <w:rsid w:val="00757C3C"/>
    <w:rsid w:val="00762DED"/>
    <w:rsid w:val="00763E78"/>
    <w:rsid w:val="00767017"/>
    <w:rsid w:val="007702E2"/>
    <w:rsid w:val="00772D50"/>
    <w:rsid w:val="00773F1F"/>
    <w:rsid w:val="00783976"/>
    <w:rsid w:val="00786E16"/>
    <w:rsid w:val="00786F7D"/>
    <w:rsid w:val="00787930"/>
    <w:rsid w:val="00790F9F"/>
    <w:rsid w:val="00792A6E"/>
    <w:rsid w:val="007A1964"/>
    <w:rsid w:val="007A345B"/>
    <w:rsid w:val="007A6559"/>
    <w:rsid w:val="007A6584"/>
    <w:rsid w:val="007A675C"/>
    <w:rsid w:val="007A71CE"/>
    <w:rsid w:val="007B1BF3"/>
    <w:rsid w:val="007B2617"/>
    <w:rsid w:val="007B34E7"/>
    <w:rsid w:val="007B61D4"/>
    <w:rsid w:val="007B6CA6"/>
    <w:rsid w:val="007B7A73"/>
    <w:rsid w:val="007C15D1"/>
    <w:rsid w:val="007C527D"/>
    <w:rsid w:val="007C5FB9"/>
    <w:rsid w:val="007C5FFC"/>
    <w:rsid w:val="007D0A34"/>
    <w:rsid w:val="007D366A"/>
    <w:rsid w:val="007D432E"/>
    <w:rsid w:val="007D479C"/>
    <w:rsid w:val="007D52C1"/>
    <w:rsid w:val="007D6081"/>
    <w:rsid w:val="007D7E41"/>
    <w:rsid w:val="007E1429"/>
    <w:rsid w:val="007E7261"/>
    <w:rsid w:val="007E75A4"/>
    <w:rsid w:val="007F1B4D"/>
    <w:rsid w:val="007F24DE"/>
    <w:rsid w:val="007F2DF3"/>
    <w:rsid w:val="007F6A88"/>
    <w:rsid w:val="007F7440"/>
    <w:rsid w:val="008010F2"/>
    <w:rsid w:val="00801395"/>
    <w:rsid w:val="00801738"/>
    <w:rsid w:val="008022BA"/>
    <w:rsid w:val="008022FC"/>
    <w:rsid w:val="00803425"/>
    <w:rsid w:val="00805267"/>
    <w:rsid w:val="00806240"/>
    <w:rsid w:val="00806972"/>
    <w:rsid w:val="00807110"/>
    <w:rsid w:val="00810DDC"/>
    <w:rsid w:val="008118A8"/>
    <w:rsid w:val="00815923"/>
    <w:rsid w:val="0082049F"/>
    <w:rsid w:val="00822403"/>
    <w:rsid w:val="008224ED"/>
    <w:rsid w:val="00823E41"/>
    <w:rsid w:val="00825707"/>
    <w:rsid w:val="00831827"/>
    <w:rsid w:val="0083228E"/>
    <w:rsid w:val="00834AFA"/>
    <w:rsid w:val="0083609B"/>
    <w:rsid w:val="00837392"/>
    <w:rsid w:val="008413A9"/>
    <w:rsid w:val="00841C04"/>
    <w:rsid w:val="00841D46"/>
    <w:rsid w:val="00844486"/>
    <w:rsid w:val="0084550D"/>
    <w:rsid w:val="0084609E"/>
    <w:rsid w:val="00851207"/>
    <w:rsid w:val="008526E4"/>
    <w:rsid w:val="00860947"/>
    <w:rsid w:val="00861889"/>
    <w:rsid w:val="00861D67"/>
    <w:rsid w:val="00875FD4"/>
    <w:rsid w:val="00880FC1"/>
    <w:rsid w:val="00881516"/>
    <w:rsid w:val="00886A1E"/>
    <w:rsid w:val="00886CC4"/>
    <w:rsid w:val="00887873"/>
    <w:rsid w:val="00887910"/>
    <w:rsid w:val="00892B69"/>
    <w:rsid w:val="00892DB6"/>
    <w:rsid w:val="00894C14"/>
    <w:rsid w:val="008A6EB1"/>
    <w:rsid w:val="008B2E2B"/>
    <w:rsid w:val="008B3072"/>
    <w:rsid w:val="008C11F1"/>
    <w:rsid w:val="008C3519"/>
    <w:rsid w:val="008D1B71"/>
    <w:rsid w:val="008D3E4B"/>
    <w:rsid w:val="008D6797"/>
    <w:rsid w:val="008D7288"/>
    <w:rsid w:val="008D7343"/>
    <w:rsid w:val="008E0445"/>
    <w:rsid w:val="008E4234"/>
    <w:rsid w:val="008E61FB"/>
    <w:rsid w:val="008E69EE"/>
    <w:rsid w:val="008E759D"/>
    <w:rsid w:val="008F0F9F"/>
    <w:rsid w:val="008F3F03"/>
    <w:rsid w:val="008F7033"/>
    <w:rsid w:val="00902DFA"/>
    <w:rsid w:val="009067D9"/>
    <w:rsid w:val="00911AE5"/>
    <w:rsid w:val="00916587"/>
    <w:rsid w:val="0092330B"/>
    <w:rsid w:val="00923D36"/>
    <w:rsid w:val="00925353"/>
    <w:rsid w:val="00926D74"/>
    <w:rsid w:val="00937710"/>
    <w:rsid w:val="00943031"/>
    <w:rsid w:val="009448D1"/>
    <w:rsid w:val="00946445"/>
    <w:rsid w:val="00947F32"/>
    <w:rsid w:val="00955819"/>
    <w:rsid w:val="009608E5"/>
    <w:rsid w:val="00960B7E"/>
    <w:rsid w:val="00961557"/>
    <w:rsid w:val="009618D4"/>
    <w:rsid w:val="0096191B"/>
    <w:rsid w:val="00961C69"/>
    <w:rsid w:val="00962770"/>
    <w:rsid w:val="0096331B"/>
    <w:rsid w:val="00963EC8"/>
    <w:rsid w:val="00964580"/>
    <w:rsid w:val="00965FAF"/>
    <w:rsid w:val="00966438"/>
    <w:rsid w:val="00967256"/>
    <w:rsid w:val="00971E16"/>
    <w:rsid w:val="00973FD9"/>
    <w:rsid w:val="0097430E"/>
    <w:rsid w:val="00980248"/>
    <w:rsid w:val="0098039A"/>
    <w:rsid w:val="00980AB2"/>
    <w:rsid w:val="00982ABA"/>
    <w:rsid w:val="00983822"/>
    <w:rsid w:val="00985A57"/>
    <w:rsid w:val="009870D3"/>
    <w:rsid w:val="009921EF"/>
    <w:rsid w:val="00992D29"/>
    <w:rsid w:val="00993CF9"/>
    <w:rsid w:val="00995745"/>
    <w:rsid w:val="00997427"/>
    <w:rsid w:val="009A076E"/>
    <w:rsid w:val="009A466C"/>
    <w:rsid w:val="009A57C8"/>
    <w:rsid w:val="009A7837"/>
    <w:rsid w:val="009B2D05"/>
    <w:rsid w:val="009B59CF"/>
    <w:rsid w:val="009C01B4"/>
    <w:rsid w:val="009C1B4A"/>
    <w:rsid w:val="009C1F19"/>
    <w:rsid w:val="009C571E"/>
    <w:rsid w:val="009D1D13"/>
    <w:rsid w:val="009D4465"/>
    <w:rsid w:val="009D5C30"/>
    <w:rsid w:val="009D6EC6"/>
    <w:rsid w:val="009E083B"/>
    <w:rsid w:val="009E276A"/>
    <w:rsid w:val="009E45E4"/>
    <w:rsid w:val="009E59F0"/>
    <w:rsid w:val="009E5E97"/>
    <w:rsid w:val="009F0B4A"/>
    <w:rsid w:val="009F1E9E"/>
    <w:rsid w:val="009F553F"/>
    <w:rsid w:val="00A00CAE"/>
    <w:rsid w:val="00A04775"/>
    <w:rsid w:val="00A10228"/>
    <w:rsid w:val="00A10D1D"/>
    <w:rsid w:val="00A11E8D"/>
    <w:rsid w:val="00A12F27"/>
    <w:rsid w:val="00A13982"/>
    <w:rsid w:val="00A17704"/>
    <w:rsid w:val="00A219D9"/>
    <w:rsid w:val="00A22422"/>
    <w:rsid w:val="00A270F7"/>
    <w:rsid w:val="00A30768"/>
    <w:rsid w:val="00A3518E"/>
    <w:rsid w:val="00A407A3"/>
    <w:rsid w:val="00A40D92"/>
    <w:rsid w:val="00A43226"/>
    <w:rsid w:val="00A46180"/>
    <w:rsid w:val="00A46182"/>
    <w:rsid w:val="00A50916"/>
    <w:rsid w:val="00A52543"/>
    <w:rsid w:val="00A53C9E"/>
    <w:rsid w:val="00A669DC"/>
    <w:rsid w:val="00A66E3E"/>
    <w:rsid w:val="00A7625D"/>
    <w:rsid w:val="00A83C1D"/>
    <w:rsid w:val="00A85D26"/>
    <w:rsid w:val="00A934D5"/>
    <w:rsid w:val="00A947C9"/>
    <w:rsid w:val="00A95B80"/>
    <w:rsid w:val="00AA74AC"/>
    <w:rsid w:val="00AB0CA1"/>
    <w:rsid w:val="00AB1314"/>
    <w:rsid w:val="00AB41FD"/>
    <w:rsid w:val="00AB589C"/>
    <w:rsid w:val="00AB5D9C"/>
    <w:rsid w:val="00AB5E76"/>
    <w:rsid w:val="00AB70ED"/>
    <w:rsid w:val="00AC7F85"/>
    <w:rsid w:val="00AD62AB"/>
    <w:rsid w:val="00AD6D95"/>
    <w:rsid w:val="00AE419A"/>
    <w:rsid w:val="00AE4210"/>
    <w:rsid w:val="00AE44C7"/>
    <w:rsid w:val="00AE47B8"/>
    <w:rsid w:val="00AE4A13"/>
    <w:rsid w:val="00AF23CA"/>
    <w:rsid w:val="00AF3A9D"/>
    <w:rsid w:val="00AF5FBC"/>
    <w:rsid w:val="00B01AAC"/>
    <w:rsid w:val="00B03D93"/>
    <w:rsid w:val="00B0565B"/>
    <w:rsid w:val="00B05B4B"/>
    <w:rsid w:val="00B07A16"/>
    <w:rsid w:val="00B12386"/>
    <w:rsid w:val="00B145F2"/>
    <w:rsid w:val="00B178E4"/>
    <w:rsid w:val="00B30ECF"/>
    <w:rsid w:val="00B31CD2"/>
    <w:rsid w:val="00B337A1"/>
    <w:rsid w:val="00B3582B"/>
    <w:rsid w:val="00B37412"/>
    <w:rsid w:val="00B47D8C"/>
    <w:rsid w:val="00B53F56"/>
    <w:rsid w:val="00B560A0"/>
    <w:rsid w:val="00B56C0A"/>
    <w:rsid w:val="00B616C8"/>
    <w:rsid w:val="00B6440D"/>
    <w:rsid w:val="00B667F3"/>
    <w:rsid w:val="00B73CA4"/>
    <w:rsid w:val="00B746B3"/>
    <w:rsid w:val="00B75C4C"/>
    <w:rsid w:val="00B81E4A"/>
    <w:rsid w:val="00B856D9"/>
    <w:rsid w:val="00B907E4"/>
    <w:rsid w:val="00B92D57"/>
    <w:rsid w:val="00BA075B"/>
    <w:rsid w:val="00BA46CE"/>
    <w:rsid w:val="00BB19E1"/>
    <w:rsid w:val="00BB60DA"/>
    <w:rsid w:val="00BB6443"/>
    <w:rsid w:val="00BB79A3"/>
    <w:rsid w:val="00BB7C8E"/>
    <w:rsid w:val="00BC3F62"/>
    <w:rsid w:val="00BC5264"/>
    <w:rsid w:val="00BC5E94"/>
    <w:rsid w:val="00BD1846"/>
    <w:rsid w:val="00BD44E7"/>
    <w:rsid w:val="00BD46A9"/>
    <w:rsid w:val="00BD5337"/>
    <w:rsid w:val="00BD5A49"/>
    <w:rsid w:val="00BE5A9E"/>
    <w:rsid w:val="00BF0319"/>
    <w:rsid w:val="00BF366B"/>
    <w:rsid w:val="00BF5203"/>
    <w:rsid w:val="00BF52A1"/>
    <w:rsid w:val="00BF73F5"/>
    <w:rsid w:val="00C02D7A"/>
    <w:rsid w:val="00C044D2"/>
    <w:rsid w:val="00C074E5"/>
    <w:rsid w:val="00C11FAB"/>
    <w:rsid w:val="00C170EE"/>
    <w:rsid w:val="00C176E1"/>
    <w:rsid w:val="00C22301"/>
    <w:rsid w:val="00C246C6"/>
    <w:rsid w:val="00C24E2D"/>
    <w:rsid w:val="00C25009"/>
    <w:rsid w:val="00C25640"/>
    <w:rsid w:val="00C26B6E"/>
    <w:rsid w:val="00C270B2"/>
    <w:rsid w:val="00C424DC"/>
    <w:rsid w:val="00C4382A"/>
    <w:rsid w:val="00C44FB3"/>
    <w:rsid w:val="00C452E5"/>
    <w:rsid w:val="00C470AE"/>
    <w:rsid w:val="00C5172A"/>
    <w:rsid w:val="00C53BC2"/>
    <w:rsid w:val="00C56081"/>
    <w:rsid w:val="00C57811"/>
    <w:rsid w:val="00C60F1F"/>
    <w:rsid w:val="00C66204"/>
    <w:rsid w:val="00C67DBB"/>
    <w:rsid w:val="00C70ED1"/>
    <w:rsid w:val="00C779C0"/>
    <w:rsid w:val="00C80D44"/>
    <w:rsid w:val="00C82454"/>
    <w:rsid w:val="00C855D0"/>
    <w:rsid w:val="00C85A08"/>
    <w:rsid w:val="00C85DBB"/>
    <w:rsid w:val="00C869F8"/>
    <w:rsid w:val="00C917F8"/>
    <w:rsid w:val="00C94AD8"/>
    <w:rsid w:val="00C954A6"/>
    <w:rsid w:val="00C9617D"/>
    <w:rsid w:val="00CA0380"/>
    <w:rsid w:val="00CA6838"/>
    <w:rsid w:val="00CB00F2"/>
    <w:rsid w:val="00CB6BFF"/>
    <w:rsid w:val="00CB6E59"/>
    <w:rsid w:val="00CC4448"/>
    <w:rsid w:val="00CD009D"/>
    <w:rsid w:val="00CD03EF"/>
    <w:rsid w:val="00CD1D4E"/>
    <w:rsid w:val="00CD4107"/>
    <w:rsid w:val="00CD7854"/>
    <w:rsid w:val="00CE5F21"/>
    <w:rsid w:val="00CF0B11"/>
    <w:rsid w:val="00CF303D"/>
    <w:rsid w:val="00CF3137"/>
    <w:rsid w:val="00CF68AF"/>
    <w:rsid w:val="00D00616"/>
    <w:rsid w:val="00D023BB"/>
    <w:rsid w:val="00D038B4"/>
    <w:rsid w:val="00D03BF1"/>
    <w:rsid w:val="00D0786D"/>
    <w:rsid w:val="00D101BC"/>
    <w:rsid w:val="00D1110B"/>
    <w:rsid w:val="00D11501"/>
    <w:rsid w:val="00D13334"/>
    <w:rsid w:val="00D13D60"/>
    <w:rsid w:val="00D14DDF"/>
    <w:rsid w:val="00D15BB4"/>
    <w:rsid w:val="00D16816"/>
    <w:rsid w:val="00D21D03"/>
    <w:rsid w:val="00D22C0A"/>
    <w:rsid w:val="00D23290"/>
    <w:rsid w:val="00D25871"/>
    <w:rsid w:val="00D26906"/>
    <w:rsid w:val="00D30A32"/>
    <w:rsid w:val="00D32CD6"/>
    <w:rsid w:val="00D32FD8"/>
    <w:rsid w:val="00D3574B"/>
    <w:rsid w:val="00D36B5C"/>
    <w:rsid w:val="00D36C7B"/>
    <w:rsid w:val="00D43798"/>
    <w:rsid w:val="00D4527D"/>
    <w:rsid w:val="00D5144F"/>
    <w:rsid w:val="00D52BA6"/>
    <w:rsid w:val="00D56FF5"/>
    <w:rsid w:val="00D60028"/>
    <w:rsid w:val="00D60A9E"/>
    <w:rsid w:val="00D60CCD"/>
    <w:rsid w:val="00D61057"/>
    <w:rsid w:val="00D63074"/>
    <w:rsid w:val="00D639A1"/>
    <w:rsid w:val="00D6452D"/>
    <w:rsid w:val="00D7429B"/>
    <w:rsid w:val="00D77D76"/>
    <w:rsid w:val="00D81DC3"/>
    <w:rsid w:val="00D84CC8"/>
    <w:rsid w:val="00D879B4"/>
    <w:rsid w:val="00D92A97"/>
    <w:rsid w:val="00D95612"/>
    <w:rsid w:val="00DA7BCC"/>
    <w:rsid w:val="00DB0DFE"/>
    <w:rsid w:val="00DB3332"/>
    <w:rsid w:val="00DB3675"/>
    <w:rsid w:val="00DC12A3"/>
    <w:rsid w:val="00DC1795"/>
    <w:rsid w:val="00DC42E0"/>
    <w:rsid w:val="00DC6783"/>
    <w:rsid w:val="00DC796D"/>
    <w:rsid w:val="00DD0664"/>
    <w:rsid w:val="00DD2414"/>
    <w:rsid w:val="00DD5320"/>
    <w:rsid w:val="00DD6BA7"/>
    <w:rsid w:val="00DE2EAC"/>
    <w:rsid w:val="00DE4CE2"/>
    <w:rsid w:val="00DE5F8A"/>
    <w:rsid w:val="00DF2003"/>
    <w:rsid w:val="00DF202D"/>
    <w:rsid w:val="00DF58BE"/>
    <w:rsid w:val="00DF7AF4"/>
    <w:rsid w:val="00E00593"/>
    <w:rsid w:val="00E00841"/>
    <w:rsid w:val="00E02234"/>
    <w:rsid w:val="00E04498"/>
    <w:rsid w:val="00E04FD8"/>
    <w:rsid w:val="00E05D8F"/>
    <w:rsid w:val="00E1029D"/>
    <w:rsid w:val="00E10B41"/>
    <w:rsid w:val="00E216CF"/>
    <w:rsid w:val="00E2359F"/>
    <w:rsid w:val="00E2779F"/>
    <w:rsid w:val="00E2781F"/>
    <w:rsid w:val="00E31104"/>
    <w:rsid w:val="00E3218C"/>
    <w:rsid w:val="00E352A7"/>
    <w:rsid w:val="00E411F4"/>
    <w:rsid w:val="00E42FB5"/>
    <w:rsid w:val="00E46A70"/>
    <w:rsid w:val="00E5013B"/>
    <w:rsid w:val="00E51D9D"/>
    <w:rsid w:val="00E56C4C"/>
    <w:rsid w:val="00E57A6E"/>
    <w:rsid w:val="00E60BA5"/>
    <w:rsid w:val="00E62DA1"/>
    <w:rsid w:val="00E673E5"/>
    <w:rsid w:val="00E730A5"/>
    <w:rsid w:val="00E73E01"/>
    <w:rsid w:val="00E73FBC"/>
    <w:rsid w:val="00E74C84"/>
    <w:rsid w:val="00E826E5"/>
    <w:rsid w:val="00E95C37"/>
    <w:rsid w:val="00E9714E"/>
    <w:rsid w:val="00EA079A"/>
    <w:rsid w:val="00EA2A99"/>
    <w:rsid w:val="00EA4823"/>
    <w:rsid w:val="00EB48E8"/>
    <w:rsid w:val="00EB6722"/>
    <w:rsid w:val="00EC4053"/>
    <w:rsid w:val="00ED5C7E"/>
    <w:rsid w:val="00EE08B5"/>
    <w:rsid w:val="00EE3C1D"/>
    <w:rsid w:val="00EE3C44"/>
    <w:rsid w:val="00EF06D9"/>
    <w:rsid w:val="00EF2368"/>
    <w:rsid w:val="00EF278C"/>
    <w:rsid w:val="00EF3F07"/>
    <w:rsid w:val="00EF5726"/>
    <w:rsid w:val="00F0386F"/>
    <w:rsid w:val="00F0619A"/>
    <w:rsid w:val="00F061D0"/>
    <w:rsid w:val="00F10EB9"/>
    <w:rsid w:val="00F11BD7"/>
    <w:rsid w:val="00F24492"/>
    <w:rsid w:val="00F304D9"/>
    <w:rsid w:val="00F30D79"/>
    <w:rsid w:val="00F35720"/>
    <w:rsid w:val="00F41116"/>
    <w:rsid w:val="00F43183"/>
    <w:rsid w:val="00F43555"/>
    <w:rsid w:val="00F44177"/>
    <w:rsid w:val="00F45565"/>
    <w:rsid w:val="00F46BBC"/>
    <w:rsid w:val="00F511A8"/>
    <w:rsid w:val="00F51366"/>
    <w:rsid w:val="00F51919"/>
    <w:rsid w:val="00F533BC"/>
    <w:rsid w:val="00F54142"/>
    <w:rsid w:val="00F54295"/>
    <w:rsid w:val="00F569F1"/>
    <w:rsid w:val="00F64558"/>
    <w:rsid w:val="00F64D0D"/>
    <w:rsid w:val="00F66797"/>
    <w:rsid w:val="00F70091"/>
    <w:rsid w:val="00F70A54"/>
    <w:rsid w:val="00F713A2"/>
    <w:rsid w:val="00F72FC4"/>
    <w:rsid w:val="00F73EBB"/>
    <w:rsid w:val="00F760A3"/>
    <w:rsid w:val="00F80ACF"/>
    <w:rsid w:val="00F84C9A"/>
    <w:rsid w:val="00F87F6C"/>
    <w:rsid w:val="00F93C50"/>
    <w:rsid w:val="00F94F77"/>
    <w:rsid w:val="00FA08C6"/>
    <w:rsid w:val="00FA0BA3"/>
    <w:rsid w:val="00FA2BD7"/>
    <w:rsid w:val="00FA3E08"/>
    <w:rsid w:val="00FA5053"/>
    <w:rsid w:val="00FA551A"/>
    <w:rsid w:val="00FA5866"/>
    <w:rsid w:val="00FA6E2F"/>
    <w:rsid w:val="00FB7802"/>
    <w:rsid w:val="00FC0DC5"/>
    <w:rsid w:val="00FC4BA6"/>
    <w:rsid w:val="00FC7C7B"/>
    <w:rsid w:val="00FD2070"/>
    <w:rsid w:val="00FD3BB1"/>
    <w:rsid w:val="00FD52AF"/>
    <w:rsid w:val="00FD6DD9"/>
    <w:rsid w:val="00FE1AE9"/>
    <w:rsid w:val="00FE67BD"/>
    <w:rsid w:val="00FE69F1"/>
    <w:rsid w:val="00FF1FC3"/>
    <w:rsid w:val="00FF334A"/>
    <w:rsid w:val="13550CED"/>
    <w:rsid w:val="22385A79"/>
    <w:rsid w:val="408FDCB4"/>
    <w:rsid w:val="5AA09E48"/>
    <w:rsid w:val="6E386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6BFC6F"/>
  <w15:chartTrackingRefBased/>
  <w15:docId w15:val="{50054032-8B28-4BDF-9853-71DBBFB19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3832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unhideWhenUsed/>
    <w:qFormat/>
    <w:rsid w:val="003832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unhideWhenUsed/>
    <w:qFormat/>
    <w:rsid w:val="003832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y"/>
    <w:next w:val="Normlny"/>
    <w:link w:val="Nadpis4Char"/>
    <w:uiPriority w:val="9"/>
    <w:unhideWhenUsed/>
    <w:qFormat/>
    <w:rsid w:val="00F713A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A0B75"/>
    <w:pPr>
      <w:ind w:left="720"/>
      <w:contextualSpacing/>
    </w:pPr>
  </w:style>
  <w:style w:type="character" w:styleId="Odkaznakomentr">
    <w:name w:val="annotation reference"/>
    <w:basedOn w:val="Predvolenpsmoodseku"/>
    <w:uiPriority w:val="99"/>
    <w:semiHidden/>
    <w:unhideWhenUsed/>
    <w:rsid w:val="0058424A"/>
    <w:rPr>
      <w:sz w:val="16"/>
      <w:szCs w:val="16"/>
    </w:rPr>
  </w:style>
  <w:style w:type="paragraph" w:styleId="Textkomentra">
    <w:name w:val="annotation text"/>
    <w:basedOn w:val="Normlny"/>
    <w:link w:val="TextkomentraChar"/>
    <w:uiPriority w:val="99"/>
    <w:unhideWhenUsed/>
    <w:rsid w:val="0058424A"/>
    <w:pPr>
      <w:spacing w:line="240" w:lineRule="auto"/>
    </w:pPr>
    <w:rPr>
      <w:sz w:val="20"/>
      <w:szCs w:val="20"/>
    </w:rPr>
  </w:style>
  <w:style w:type="character" w:customStyle="1" w:styleId="TextkomentraChar">
    <w:name w:val="Text komentára Char"/>
    <w:basedOn w:val="Predvolenpsmoodseku"/>
    <w:link w:val="Textkomentra"/>
    <w:uiPriority w:val="99"/>
    <w:rsid w:val="0058424A"/>
    <w:rPr>
      <w:sz w:val="20"/>
      <w:szCs w:val="20"/>
    </w:rPr>
  </w:style>
  <w:style w:type="paragraph" w:styleId="Predmetkomentra">
    <w:name w:val="annotation subject"/>
    <w:basedOn w:val="Textkomentra"/>
    <w:next w:val="Textkomentra"/>
    <w:link w:val="PredmetkomentraChar"/>
    <w:uiPriority w:val="99"/>
    <w:semiHidden/>
    <w:unhideWhenUsed/>
    <w:rsid w:val="0058424A"/>
    <w:rPr>
      <w:b/>
      <w:bCs/>
    </w:rPr>
  </w:style>
  <w:style w:type="character" w:customStyle="1" w:styleId="PredmetkomentraChar">
    <w:name w:val="Predmet komentára Char"/>
    <w:basedOn w:val="TextkomentraChar"/>
    <w:link w:val="Predmetkomentra"/>
    <w:uiPriority w:val="99"/>
    <w:semiHidden/>
    <w:rsid w:val="0058424A"/>
    <w:rPr>
      <w:b/>
      <w:bCs/>
      <w:sz w:val="20"/>
      <w:szCs w:val="20"/>
    </w:rPr>
  </w:style>
  <w:style w:type="paragraph" w:styleId="Hlavika">
    <w:name w:val="header"/>
    <w:basedOn w:val="Normlny"/>
    <w:link w:val="HlavikaChar"/>
    <w:uiPriority w:val="99"/>
    <w:unhideWhenUsed/>
    <w:rsid w:val="003832FD"/>
    <w:pPr>
      <w:tabs>
        <w:tab w:val="center" w:pos="4513"/>
        <w:tab w:val="right" w:pos="9026"/>
      </w:tabs>
      <w:spacing w:after="0" w:line="240" w:lineRule="auto"/>
    </w:pPr>
  </w:style>
  <w:style w:type="character" w:customStyle="1" w:styleId="HlavikaChar">
    <w:name w:val="Hlavička Char"/>
    <w:basedOn w:val="Predvolenpsmoodseku"/>
    <w:link w:val="Hlavika"/>
    <w:uiPriority w:val="99"/>
    <w:rsid w:val="003832FD"/>
  </w:style>
  <w:style w:type="paragraph" w:styleId="Pta">
    <w:name w:val="footer"/>
    <w:basedOn w:val="Normlny"/>
    <w:link w:val="PtaChar"/>
    <w:uiPriority w:val="99"/>
    <w:unhideWhenUsed/>
    <w:rsid w:val="003832FD"/>
    <w:pPr>
      <w:tabs>
        <w:tab w:val="center" w:pos="4513"/>
        <w:tab w:val="right" w:pos="9026"/>
      </w:tabs>
      <w:spacing w:after="0" w:line="240" w:lineRule="auto"/>
    </w:pPr>
  </w:style>
  <w:style w:type="character" w:customStyle="1" w:styleId="PtaChar">
    <w:name w:val="Päta Char"/>
    <w:basedOn w:val="Predvolenpsmoodseku"/>
    <w:link w:val="Pta"/>
    <w:uiPriority w:val="99"/>
    <w:rsid w:val="003832FD"/>
  </w:style>
  <w:style w:type="character" w:customStyle="1" w:styleId="Nadpis1Char">
    <w:name w:val="Nadpis 1 Char"/>
    <w:basedOn w:val="Predvolenpsmoodseku"/>
    <w:link w:val="Nadpis1"/>
    <w:uiPriority w:val="9"/>
    <w:rsid w:val="003832FD"/>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Predvolenpsmoodseku"/>
    <w:link w:val="Nadpis2"/>
    <w:uiPriority w:val="9"/>
    <w:rsid w:val="003832FD"/>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Predvolenpsmoodseku"/>
    <w:link w:val="Nadpis3"/>
    <w:uiPriority w:val="9"/>
    <w:rsid w:val="003832FD"/>
    <w:rPr>
      <w:rFonts w:asciiTheme="majorHAnsi" w:eastAsiaTheme="majorEastAsia" w:hAnsiTheme="majorHAnsi" w:cstheme="majorBidi"/>
      <w:color w:val="1F3763" w:themeColor="accent1" w:themeShade="7F"/>
      <w:sz w:val="24"/>
      <w:szCs w:val="24"/>
    </w:rPr>
  </w:style>
  <w:style w:type="paragraph" w:styleId="Hlavikaobsahu">
    <w:name w:val="TOC Heading"/>
    <w:basedOn w:val="Nadpis1"/>
    <w:next w:val="Normlny"/>
    <w:uiPriority w:val="39"/>
    <w:unhideWhenUsed/>
    <w:qFormat/>
    <w:rsid w:val="003832FD"/>
    <w:pPr>
      <w:outlineLvl w:val="9"/>
    </w:pPr>
    <w:rPr>
      <w:kern w:val="0"/>
      <w14:ligatures w14:val="none"/>
    </w:rPr>
  </w:style>
  <w:style w:type="paragraph" w:styleId="Obsah1">
    <w:name w:val="toc 1"/>
    <w:basedOn w:val="Normlny"/>
    <w:next w:val="Normlny"/>
    <w:autoRedefine/>
    <w:uiPriority w:val="39"/>
    <w:unhideWhenUsed/>
    <w:rsid w:val="00402247"/>
    <w:pPr>
      <w:tabs>
        <w:tab w:val="right" w:leader="dot" w:pos="9016"/>
      </w:tabs>
      <w:spacing w:after="100"/>
    </w:pPr>
  </w:style>
  <w:style w:type="paragraph" w:styleId="Obsah2">
    <w:name w:val="toc 2"/>
    <w:basedOn w:val="Normlny"/>
    <w:next w:val="Normlny"/>
    <w:autoRedefine/>
    <w:uiPriority w:val="39"/>
    <w:unhideWhenUsed/>
    <w:rsid w:val="003832FD"/>
    <w:pPr>
      <w:spacing w:after="100"/>
      <w:ind w:left="220"/>
    </w:pPr>
  </w:style>
  <w:style w:type="character" w:styleId="Hypertextovprepojenie">
    <w:name w:val="Hyperlink"/>
    <w:basedOn w:val="Predvolenpsmoodseku"/>
    <w:uiPriority w:val="99"/>
    <w:unhideWhenUsed/>
    <w:rsid w:val="003832FD"/>
    <w:rPr>
      <w:color w:val="0563C1" w:themeColor="hyperlink"/>
      <w:u w:val="single"/>
    </w:rPr>
  </w:style>
  <w:style w:type="paragraph" w:styleId="Obsah3">
    <w:name w:val="toc 3"/>
    <w:basedOn w:val="Normlny"/>
    <w:next w:val="Normlny"/>
    <w:autoRedefine/>
    <w:uiPriority w:val="39"/>
    <w:unhideWhenUsed/>
    <w:rsid w:val="003832FD"/>
    <w:pPr>
      <w:spacing w:after="100"/>
      <w:ind w:left="440"/>
    </w:pPr>
    <w:rPr>
      <w:rFonts w:eastAsiaTheme="minorEastAsia" w:cs="Times New Roman"/>
      <w:kern w:val="0"/>
      <w14:ligatures w14:val="none"/>
    </w:rPr>
  </w:style>
  <w:style w:type="paragraph" w:styleId="Revzia">
    <w:name w:val="Revision"/>
    <w:hidden/>
    <w:uiPriority w:val="99"/>
    <w:semiHidden/>
    <w:rsid w:val="00A7625D"/>
    <w:pPr>
      <w:spacing w:after="0" w:line="240" w:lineRule="auto"/>
    </w:pPr>
  </w:style>
  <w:style w:type="character" w:customStyle="1" w:styleId="Nadpis4Char">
    <w:name w:val="Nadpis 4 Char"/>
    <w:basedOn w:val="Predvolenpsmoodseku"/>
    <w:link w:val="Nadpis4"/>
    <w:uiPriority w:val="9"/>
    <w:rsid w:val="00F713A2"/>
    <w:rPr>
      <w:rFonts w:asciiTheme="majorHAnsi" w:eastAsiaTheme="majorEastAsia" w:hAnsiTheme="majorHAnsi" w:cstheme="majorBidi"/>
      <w:i/>
      <w:iCs/>
      <w:color w:val="2F5496" w:themeColor="accent1" w:themeShade="BF"/>
    </w:rPr>
  </w:style>
  <w:style w:type="paragraph" w:styleId="Normlnywebov">
    <w:name w:val="Normal (Web)"/>
    <w:basedOn w:val="Normlny"/>
    <w:uiPriority w:val="99"/>
    <w:semiHidden/>
    <w:unhideWhenUsed/>
    <w:rsid w:val="00220D48"/>
    <w:pPr>
      <w:spacing w:before="100" w:beforeAutospacing="1" w:after="100" w:afterAutospacing="1" w:line="240" w:lineRule="auto"/>
    </w:pPr>
    <w:rPr>
      <w:rFonts w:ascii="Calibri" w:hAnsi="Calibri" w:cs="Calibri"/>
      <w:kern w:val="0"/>
      <w14:ligatures w14:val="none"/>
    </w:rPr>
  </w:style>
  <w:style w:type="character" w:styleId="Zvraznenie">
    <w:name w:val="Emphasis"/>
    <w:basedOn w:val="Predvolenpsmoodseku"/>
    <w:uiPriority w:val="20"/>
    <w:qFormat/>
    <w:rsid w:val="00220D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59865">
      <w:bodyDiv w:val="1"/>
      <w:marLeft w:val="0"/>
      <w:marRight w:val="0"/>
      <w:marTop w:val="0"/>
      <w:marBottom w:val="0"/>
      <w:divBdr>
        <w:top w:val="none" w:sz="0" w:space="0" w:color="auto"/>
        <w:left w:val="none" w:sz="0" w:space="0" w:color="auto"/>
        <w:bottom w:val="none" w:sz="0" w:space="0" w:color="auto"/>
        <w:right w:val="none" w:sz="0" w:space="0" w:color="auto"/>
      </w:divBdr>
    </w:div>
    <w:div w:id="963314182">
      <w:bodyDiv w:val="1"/>
      <w:marLeft w:val="0"/>
      <w:marRight w:val="0"/>
      <w:marTop w:val="0"/>
      <w:marBottom w:val="0"/>
      <w:divBdr>
        <w:top w:val="none" w:sz="0" w:space="0" w:color="auto"/>
        <w:left w:val="none" w:sz="0" w:space="0" w:color="auto"/>
        <w:bottom w:val="none" w:sz="0" w:space="0" w:color="auto"/>
        <w:right w:val="none" w:sz="0" w:space="0" w:color="auto"/>
      </w:divBdr>
    </w:div>
    <w:div w:id="1240825346">
      <w:bodyDiv w:val="1"/>
      <w:marLeft w:val="0"/>
      <w:marRight w:val="0"/>
      <w:marTop w:val="0"/>
      <w:marBottom w:val="0"/>
      <w:divBdr>
        <w:top w:val="none" w:sz="0" w:space="0" w:color="auto"/>
        <w:left w:val="none" w:sz="0" w:space="0" w:color="auto"/>
        <w:bottom w:val="none" w:sz="0" w:space="0" w:color="auto"/>
        <w:right w:val="none" w:sz="0" w:space="0" w:color="auto"/>
      </w:divBdr>
    </w:div>
    <w:div w:id="180835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ublished Documents" ma:contentTypeID="0x0101007A2A1B97D27D6A4C90B6022E1624614C" ma:contentTypeVersion="25" ma:contentTypeDescription="Published Documents Content types for Insurance Europe" ma:contentTypeScope="" ma:versionID="8a2d4692b2818bc39a2ce63c0804f6e5">
  <xsd:schema xmlns:xsd="http://www.w3.org/2001/XMLSchema" xmlns:xs="http://www.w3.org/2001/XMLSchema" xmlns:p="http://schemas.microsoft.com/office/2006/metadata/properties" xmlns:ns2="d352728d-c7aa-455d-bd83-40fe44122be8" targetNamespace="http://schemas.microsoft.com/office/2006/metadata/properties" ma:root="true" ma:fieldsID="8b95e88459e8d978ad07ee6f97c580c8" ns2:_="">
    <xsd:import namespace="d352728d-c7aa-455d-bd83-40fe44122be8"/>
    <xsd:element name="properties">
      <xsd:complexType>
        <xsd:sequence>
          <xsd:element name="documentManagement">
            <xsd:complexType>
              <xsd:all>
                <xsd:element ref="ns2:AllowComments" minOccurs="0"/>
                <xsd:element ref="ns2:Validated" minOccurs="0"/>
                <xsd:element ref="ns2:ValidationComment" minOccurs="0"/>
                <xsd:element ref="ns2:Can_x0020_be_x0020_edited" minOccurs="0"/>
                <xsd:element ref="ns2:Type_x0020_of_x0020_document" minOccurs="0"/>
                <xsd:element ref="ns2:Deadline" minOccurs="0"/>
                <xsd:element ref="ns2:Type_x0020_of_x0020_memo" minOccurs="0"/>
                <xsd:element ref="ns2:Display_x0020_validated_x0020_documents_x0020_library_x0020_button" minOccurs="0"/>
                <xsd:element ref="ns2:isAnnex" minOccurs="0"/>
                <xsd:element ref="ns2:Uploads" minOccurs="0"/>
                <xsd:element ref="ns2:Allow_x0020_uploads" minOccurs="0"/>
                <xsd:element ref="ns2:Allow_x0020_comments" minOccurs="0"/>
                <xsd:element ref="ns2:Feedback_x0020_type" minOccurs="0"/>
                <xsd:element ref="ns2:Leading_x0020_document" minOccurs="0"/>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2728d-c7aa-455d-bd83-40fe44122be8" elementFormDefault="qualified">
    <xsd:import namespace="http://schemas.microsoft.com/office/2006/documentManagement/types"/>
    <xsd:import namespace="http://schemas.microsoft.com/office/infopath/2007/PartnerControls"/>
    <xsd:element name="AllowComments" ma:index="8" nillable="true" ma:displayName="AllowComments" ma:default="1" ma:internalName="AllowComments" ma:readOnly="false">
      <xsd:simpleType>
        <xsd:restriction base="dms:Boolean"/>
      </xsd:simpleType>
    </xsd:element>
    <xsd:element name="Validated" ma:index="9" nillable="true" ma:displayName="Validated" ma:default="0" ma:internalName="Validated" ma:readOnly="false">
      <xsd:simpleType>
        <xsd:restriction base="dms:Boolean"/>
      </xsd:simpleType>
    </xsd:element>
    <xsd:element name="ValidationComment" ma:index="10" nillable="true" ma:displayName="ValidationComment" ma:internalName="ValidationComment" ma:readOnly="false">
      <xsd:simpleType>
        <xsd:restriction base="dms:Note">
          <xsd:maxLength value="255"/>
        </xsd:restriction>
      </xsd:simpleType>
    </xsd:element>
    <xsd:element name="Can_x0020_be_x0020_edited" ma:index="11" nillable="true" ma:displayName="Can be edited" ma:default="0" ma:internalName="Can_x0020_be_x0020_edited" ma:readOnly="false">
      <xsd:simpleType>
        <xsd:restriction base="dms:Boolean"/>
      </xsd:simpleType>
    </xsd:element>
    <xsd:element name="Type_x0020_of_x0020_document" ma:index="12" nillable="true" ma:displayName="Type of document" ma:format="Dropdown" ma:internalName="Type_x0020_of_x0020_document" ma:readOnly="false">
      <xsd:simpleType>
        <xsd:restriction base="dms:Choice">
          <xsd:enumeration value="Memo"/>
          <xsd:enumeration value="Blank document"/>
          <xsd:enumeration value="Agenda"/>
          <xsd:enumeration value="News Flash"/>
          <xsd:enumeration value="Participants List"/>
          <xsd:enumeration value="Press Release"/>
          <xsd:enumeration value="Fax Cover"/>
          <xsd:enumeration value="Letter"/>
          <xsd:enumeration value="Background note"/>
          <xsd:enumeration value="Meeting Conclusions"/>
          <xsd:enumeration value="Position Paper"/>
          <xsd:enumeration value="PowerPoint template"/>
        </xsd:restriction>
      </xsd:simpleType>
    </xsd:element>
    <xsd:element name="Deadline" ma:index="13" nillable="true" ma:displayName="Deadline" ma:format="DateTime" ma:internalName="Deadline" ma:readOnly="false">
      <xsd:simpleType>
        <xsd:restriction base="dms:DateTime"/>
      </xsd:simpleType>
    </xsd:element>
    <xsd:element name="Type_x0020_of_x0020_memo" ma:index="14" nillable="true" ma:displayName="Type of memo" ma:format="Dropdown" ma:internalName="Type_x0020_of_x0020_memo" ma:readOnly="false">
      <xsd:simpleType>
        <xsd:restriction base="dms:Choice">
          <xsd:enumeration value="information"/>
          <xsd:enumeration value="action"/>
        </xsd:restriction>
      </xsd:simpleType>
    </xsd:element>
    <xsd:element name="Display_x0020_validated_x0020_documents_x0020_library_x0020_button" ma:index="15" nillable="true" ma:displayName="Display validated documents library button" ma:default="0" ma:internalName="Display_x0020_validated_x0020_documents_x0020_library_x0020_button" ma:readOnly="false">
      <xsd:simpleType>
        <xsd:restriction base="dms:Boolean"/>
      </xsd:simpleType>
    </xsd:element>
    <xsd:element name="isAnnex" ma:index="16" nillable="true" ma:displayName="isAnnex" ma:internalName="isAnnex" ma:readOnly="false">
      <xsd:simpleType>
        <xsd:restriction base="dms:Text"/>
      </xsd:simpleType>
    </xsd:element>
    <xsd:element name="Uploads" ma:index="17" nillable="true" ma:displayName="Uploads" ma:internalName="Uploads" ma:readOnly="false">
      <xsd:simpleType>
        <xsd:restriction base="dms:Boolean"/>
      </xsd:simpleType>
    </xsd:element>
    <xsd:element name="Allow_x0020_uploads" ma:index="18" nillable="true" ma:displayName="Allow uploads" ma:internalName="Allow_x0020_uploads">
      <xsd:simpleType>
        <xsd:restriction base="dms:Boolean"/>
      </xsd:simpleType>
    </xsd:element>
    <xsd:element name="Allow_x0020_comments" ma:index="19" nillable="true" ma:displayName="Allow comments" ma:internalName="Allow_x0020_comments">
      <xsd:simpleType>
        <xsd:restriction base="dms:Boolean"/>
      </xsd:simpleType>
    </xsd:element>
    <xsd:element name="Feedback_x0020_type" ma:index="20" nillable="true" ma:displayName="Feedback type" ma:internalName="Feedback_x0020_type">
      <xsd:simpleType>
        <xsd:restriction base="dms:Text"/>
      </xsd:simpleType>
    </xsd:element>
    <xsd:element name="Leading_x0020_document" ma:index="21" nillable="true" ma:displayName="Leading document" ma:internalName="Leading_x0020_document">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6"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adline xmlns="d352728d-c7aa-455d-bd83-40fe44122be8" xsi:nil="true"/>
    <Type_x0020_of_x0020_document xmlns="d352728d-c7aa-455d-bd83-40fe44122be8" xsi:nil="true"/>
    <Type_x0020_of_x0020_memo xmlns="d352728d-c7aa-455d-bd83-40fe44122be8" xsi:nil="true"/>
    <Uploads xmlns="d352728d-c7aa-455d-bd83-40fe44122be8" xsi:nil="true"/>
    <Leading_x0020_document xmlns="d352728d-c7aa-455d-bd83-40fe44122be8" xsi:nil="true"/>
    <Can_x0020_be_x0020_edited xmlns="d352728d-c7aa-455d-bd83-40fe44122be8">false</Can_x0020_be_x0020_edited>
    <AllowComments xmlns="d352728d-c7aa-455d-bd83-40fe44122be8">true</AllowComments>
    <Allow_x0020_uploads xmlns="d352728d-c7aa-455d-bd83-40fe44122be8" xsi:nil="true"/>
    <Display_x0020_validated_x0020_documents_x0020_library_x0020_button xmlns="d352728d-c7aa-455d-bd83-40fe44122be8">false</Display_x0020_validated_x0020_documents_x0020_library_x0020_button>
    <Validated xmlns="d352728d-c7aa-455d-bd83-40fe44122be8">false</Validated>
    <Feedback_x0020_type xmlns="d352728d-c7aa-455d-bd83-40fe44122be8" xsi:nil="true"/>
    <isAnnex xmlns="d352728d-c7aa-455d-bd83-40fe44122be8" xsi:nil="true"/>
    <ValidationComment xmlns="d352728d-c7aa-455d-bd83-40fe44122be8" xsi:nil="true"/>
    <Allow_x0020_comments xmlns="d352728d-c7aa-455d-bd83-40fe44122be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AA9DF-A1F5-404A-B732-A5E9F2B93BF1}">
  <ds:schemaRefs>
    <ds:schemaRef ds:uri="http://schemas.microsoft.com/sharepoint/v3/contenttype/forms"/>
  </ds:schemaRefs>
</ds:datastoreItem>
</file>

<file path=customXml/itemProps2.xml><?xml version="1.0" encoding="utf-8"?>
<ds:datastoreItem xmlns:ds="http://schemas.openxmlformats.org/officeDocument/2006/customXml" ds:itemID="{B1FD1155-B8C3-4F97-9695-DFC7C2D32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52728d-c7aa-455d-bd83-40fe44122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D4A736-7856-413D-86F8-842C1EFF0F2D}">
  <ds:schemaRefs>
    <ds:schemaRef ds:uri="http://purl.org/dc/dcmitype/"/>
    <ds:schemaRef ds:uri="http://purl.org/dc/elements/1.1/"/>
    <ds:schemaRef ds:uri="http://schemas.openxmlformats.org/package/2006/metadata/core-properties"/>
    <ds:schemaRef ds:uri="http://purl.org/dc/terms/"/>
    <ds:schemaRef ds:uri="http://schemas.microsoft.com/office/2006/documentManagement/types"/>
    <ds:schemaRef ds:uri="http://www.w3.org/XML/1998/namespace"/>
    <ds:schemaRef ds:uri="http://schemas.microsoft.com/office/infopath/2007/PartnerControls"/>
    <ds:schemaRef ds:uri="d352728d-c7aa-455d-bd83-40fe44122be8"/>
    <ds:schemaRef ds:uri="http://schemas.microsoft.com/office/2006/metadata/properties"/>
  </ds:schemaRefs>
</ds:datastoreItem>
</file>

<file path=customXml/itemProps4.xml><?xml version="1.0" encoding="utf-8"?>
<ds:datastoreItem xmlns:ds="http://schemas.openxmlformats.org/officeDocument/2006/customXml" ds:itemID="{D81DF521-D7DA-46F5-9D4F-2442929DC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2240</Words>
  <Characters>12768</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14979</CharactersWithSpaces>
  <SharedDoc>false</SharedDoc>
  <HLinks>
    <vt:vector size="114" baseType="variant">
      <vt:variant>
        <vt:i4>1703999</vt:i4>
      </vt:variant>
      <vt:variant>
        <vt:i4>110</vt:i4>
      </vt:variant>
      <vt:variant>
        <vt:i4>0</vt:i4>
      </vt:variant>
      <vt:variant>
        <vt:i4>5</vt:i4>
      </vt:variant>
      <vt:variant>
        <vt:lpwstr/>
      </vt:variant>
      <vt:variant>
        <vt:lpwstr>_Toc160198720</vt:lpwstr>
      </vt:variant>
      <vt:variant>
        <vt:i4>1638463</vt:i4>
      </vt:variant>
      <vt:variant>
        <vt:i4>104</vt:i4>
      </vt:variant>
      <vt:variant>
        <vt:i4>0</vt:i4>
      </vt:variant>
      <vt:variant>
        <vt:i4>5</vt:i4>
      </vt:variant>
      <vt:variant>
        <vt:lpwstr/>
      </vt:variant>
      <vt:variant>
        <vt:lpwstr>_Toc160198719</vt:lpwstr>
      </vt:variant>
      <vt:variant>
        <vt:i4>1638463</vt:i4>
      </vt:variant>
      <vt:variant>
        <vt:i4>98</vt:i4>
      </vt:variant>
      <vt:variant>
        <vt:i4>0</vt:i4>
      </vt:variant>
      <vt:variant>
        <vt:i4>5</vt:i4>
      </vt:variant>
      <vt:variant>
        <vt:lpwstr/>
      </vt:variant>
      <vt:variant>
        <vt:lpwstr>_Toc160198718</vt:lpwstr>
      </vt:variant>
      <vt:variant>
        <vt:i4>1638463</vt:i4>
      </vt:variant>
      <vt:variant>
        <vt:i4>92</vt:i4>
      </vt:variant>
      <vt:variant>
        <vt:i4>0</vt:i4>
      </vt:variant>
      <vt:variant>
        <vt:i4>5</vt:i4>
      </vt:variant>
      <vt:variant>
        <vt:lpwstr/>
      </vt:variant>
      <vt:variant>
        <vt:lpwstr>_Toc160198717</vt:lpwstr>
      </vt:variant>
      <vt:variant>
        <vt:i4>1638463</vt:i4>
      </vt:variant>
      <vt:variant>
        <vt:i4>86</vt:i4>
      </vt:variant>
      <vt:variant>
        <vt:i4>0</vt:i4>
      </vt:variant>
      <vt:variant>
        <vt:i4>5</vt:i4>
      </vt:variant>
      <vt:variant>
        <vt:lpwstr/>
      </vt:variant>
      <vt:variant>
        <vt:lpwstr>_Toc160198716</vt:lpwstr>
      </vt:variant>
      <vt:variant>
        <vt:i4>1638463</vt:i4>
      </vt:variant>
      <vt:variant>
        <vt:i4>80</vt:i4>
      </vt:variant>
      <vt:variant>
        <vt:i4>0</vt:i4>
      </vt:variant>
      <vt:variant>
        <vt:i4>5</vt:i4>
      </vt:variant>
      <vt:variant>
        <vt:lpwstr/>
      </vt:variant>
      <vt:variant>
        <vt:lpwstr>_Toc160198715</vt:lpwstr>
      </vt:variant>
      <vt:variant>
        <vt:i4>1638463</vt:i4>
      </vt:variant>
      <vt:variant>
        <vt:i4>74</vt:i4>
      </vt:variant>
      <vt:variant>
        <vt:i4>0</vt:i4>
      </vt:variant>
      <vt:variant>
        <vt:i4>5</vt:i4>
      </vt:variant>
      <vt:variant>
        <vt:lpwstr/>
      </vt:variant>
      <vt:variant>
        <vt:lpwstr>_Toc160198714</vt:lpwstr>
      </vt:variant>
      <vt:variant>
        <vt:i4>1638463</vt:i4>
      </vt:variant>
      <vt:variant>
        <vt:i4>68</vt:i4>
      </vt:variant>
      <vt:variant>
        <vt:i4>0</vt:i4>
      </vt:variant>
      <vt:variant>
        <vt:i4>5</vt:i4>
      </vt:variant>
      <vt:variant>
        <vt:lpwstr/>
      </vt:variant>
      <vt:variant>
        <vt:lpwstr>_Toc160198713</vt:lpwstr>
      </vt:variant>
      <vt:variant>
        <vt:i4>1638463</vt:i4>
      </vt:variant>
      <vt:variant>
        <vt:i4>62</vt:i4>
      </vt:variant>
      <vt:variant>
        <vt:i4>0</vt:i4>
      </vt:variant>
      <vt:variant>
        <vt:i4>5</vt:i4>
      </vt:variant>
      <vt:variant>
        <vt:lpwstr/>
      </vt:variant>
      <vt:variant>
        <vt:lpwstr>_Toc160198712</vt:lpwstr>
      </vt:variant>
      <vt:variant>
        <vt:i4>1638463</vt:i4>
      </vt:variant>
      <vt:variant>
        <vt:i4>56</vt:i4>
      </vt:variant>
      <vt:variant>
        <vt:i4>0</vt:i4>
      </vt:variant>
      <vt:variant>
        <vt:i4>5</vt:i4>
      </vt:variant>
      <vt:variant>
        <vt:lpwstr/>
      </vt:variant>
      <vt:variant>
        <vt:lpwstr>_Toc160198711</vt:lpwstr>
      </vt:variant>
      <vt:variant>
        <vt:i4>1638463</vt:i4>
      </vt:variant>
      <vt:variant>
        <vt:i4>50</vt:i4>
      </vt:variant>
      <vt:variant>
        <vt:i4>0</vt:i4>
      </vt:variant>
      <vt:variant>
        <vt:i4>5</vt:i4>
      </vt:variant>
      <vt:variant>
        <vt:lpwstr/>
      </vt:variant>
      <vt:variant>
        <vt:lpwstr>_Toc160198710</vt:lpwstr>
      </vt:variant>
      <vt:variant>
        <vt:i4>1572927</vt:i4>
      </vt:variant>
      <vt:variant>
        <vt:i4>44</vt:i4>
      </vt:variant>
      <vt:variant>
        <vt:i4>0</vt:i4>
      </vt:variant>
      <vt:variant>
        <vt:i4>5</vt:i4>
      </vt:variant>
      <vt:variant>
        <vt:lpwstr/>
      </vt:variant>
      <vt:variant>
        <vt:lpwstr>_Toc160198709</vt:lpwstr>
      </vt:variant>
      <vt:variant>
        <vt:i4>1572927</vt:i4>
      </vt:variant>
      <vt:variant>
        <vt:i4>38</vt:i4>
      </vt:variant>
      <vt:variant>
        <vt:i4>0</vt:i4>
      </vt:variant>
      <vt:variant>
        <vt:i4>5</vt:i4>
      </vt:variant>
      <vt:variant>
        <vt:lpwstr/>
      </vt:variant>
      <vt:variant>
        <vt:lpwstr>_Toc160198708</vt:lpwstr>
      </vt:variant>
      <vt:variant>
        <vt:i4>1572927</vt:i4>
      </vt:variant>
      <vt:variant>
        <vt:i4>32</vt:i4>
      </vt:variant>
      <vt:variant>
        <vt:i4>0</vt:i4>
      </vt:variant>
      <vt:variant>
        <vt:i4>5</vt:i4>
      </vt:variant>
      <vt:variant>
        <vt:lpwstr/>
      </vt:variant>
      <vt:variant>
        <vt:lpwstr>_Toc160198707</vt:lpwstr>
      </vt:variant>
      <vt:variant>
        <vt:i4>1572927</vt:i4>
      </vt:variant>
      <vt:variant>
        <vt:i4>26</vt:i4>
      </vt:variant>
      <vt:variant>
        <vt:i4>0</vt:i4>
      </vt:variant>
      <vt:variant>
        <vt:i4>5</vt:i4>
      </vt:variant>
      <vt:variant>
        <vt:lpwstr/>
      </vt:variant>
      <vt:variant>
        <vt:lpwstr>_Toc160198706</vt:lpwstr>
      </vt:variant>
      <vt:variant>
        <vt:i4>1572927</vt:i4>
      </vt:variant>
      <vt:variant>
        <vt:i4>20</vt:i4>
      </vt:variant>
      <vt:variant>
        <vt:i4>0</vt:i4>
      </vt:variant>
      <vt:variant>
        <vt:i4>5</vt:i4>
      </vt:variant>
      <vt:variant>
        <vt:lpwstr/>
      </vt:variant>
      <vt:variant>
        <vt:lpwstr>_Toc160198705</vt:lpwstr>
      </vt:variant>
      <vt:variant>
        <vt:i4>1572927</vt:i4>
      </vt:variant>
      <vt:variant>
        <vt:i4>14</vt:i4>
      </vt:variant>
      <vt:variant>
        <vt:i4>0</vt:i4>
      </vt:variant>
      <vt:variant>
        <vt:i4>5</vt:i4>
      </vt:variant>
      <vt:variant>
        <vt:lpwstr/>
      </vt:variant>
      <vt:variant>
        <vt:lpwstr>_Toc160198704</vt:lpwstr>
      </vt:variant>
      <vt:variant>
        <vt:i4>1572927</vt:i4>
      </vt:variant>
      <vt:variant>
        <vt:i4>8</vt:i4>
      </vt:variant>
      <vt:variant>
        <vt:i4>0</vt:i4>
      </vt:variant>
      <vt:variant>
        <vt:i4>5</vt:i4>
      </vt:variant>
      <vt:variant>
        <vt:lpwstr/>
      </vt:variant>
      <vt:variant>
        <vt:lpwstr>_Toc160198703</vt:lpwstr>
      </vt:variant>
      <vt:variant>
        <vt:i4>1572927</vt:i4>
      </vt:variant>
      <vt:variant>
        <vt:i4>2</vt:i4>
      </vt:variant>
      <vt:variant>
        <vt:i4>0</vt:i4>
      </vt:variant>
      <vt:variant>
        <vt:i4>5</vt:i4>
      </vt:variant>
      <vt:variant>
        <vt:lpwstr/>
      </vt:variant>
      <vt:variant>
        <vt:lpwstr>_Toc160198702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Delivering on the agreed ambitions for the Solvency II review_do_dont</dc:title>
  <dc:subject/>
  <dc:creator>Insurance Europe</dc:creator>
  <cp:keywords/>
  <dc:description/>
  <cp:lastModifiedBy>jozef.bachnicek</cp:lastModifiedBy>
  <cp:revision>2</cp:revision>
  <dcterms:created xsi:type="dcterms:W3CDTF">2024-03-13T09:13:00Z</dcterms:created>
  <dcterms:modified xsi:type="dcterms:W3CDTF">2024-03-13T09:13:00Z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0x0101007A2A1B97D27D6A4C90B6022E1624614C</vt:lpwstr>
  </property>
  <property fmtid="{D5CDD505-2E9C-101B-9397-08002B2CF9AE}" pid="3" name="GrammarlyDocumentId">
    <vt:lpwstr>6770c6b08e1cfec8d0e19c222e8cafdc3f86731adad666e4c5b098164b4e4801</vt:lpwstr>
  </property>
  <property fmtid="{D5CDD505-2E9C-101B-9397-08002B2CF9AE}" pid="4" name="MediaServiceImageTags">
    <vt:lpwstr/>
  </property>
</Properties>
</file>