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169D2" w14:textId="186E517C" w:rsidR="00D03BAE" w:rsidRDefault="00F772B3" w:rsidP="00B24091">
      <w:pPr>
        <w:pStyle w:val="Nzov"/>
      </w:pPr>
      <w:r>
        <w:t>Risk margin</w:t>
      </w:r>
      <w:r w:rsidR="000E2305">
        <w:t xml:space="preserve"> –</w:t>
      </w:r>
      <w:r w:rsidR="0035657D">
        <w:t xml:space="preserve"> developing a rounded proposal</w:t>
      </w:r>
    </w:p>
    <w:p w14:paraId="4157A571" w14:textId="6D6FA8FF" w:rsidR="00B24091" w:rsidRDefault="00B24091" w:rsidP="0059536B">
      <w:pPr>
        <w:pStyle w:val="Nadpis1"/>
        <w:numPr>
          <w:ilvl w:val="0"/>
          <w:numId w:val="12"/>
        </w:numPr>
      </w:pPr>
      <w:r>
        <w:t>Background</w:t>
      </w:r>
    </w:p>
    <w:p w14:paraId="0CD4D6E3" w14:textId="17EF0FE6" w:rsidR="004554ED" w:rsidRDefault="00E60002" w:rsidP="009837C4">
      <w:r>
        <w:t xml:space="preserve">EIOPA </w:t>
      </w:r>
      <w:r w:rsidR="00617CA3">
        <w:t xml:space="preserve">have proposed the </w:t>
      </w:r>
      <w:r>
        <w:t>following variation of the CROF proposal above in the March 2020 holistic impact assessment:</w:t>
      </w:r>
    </w:p>
    <w:p w14:paraId="198E9DA2" w14:textId="3F376832" w:rsidR="00E60002" w:rsidRDefault="00E60002" w:rsidP="00AE13EF">
      <w:pPr>
        <w:jc w:val="center"/>
        <w:rPr>
          <w:rFonts w:eastAsiaTheme="minorEastAsia"/>
        </w:rPr>
      </w:pPr>
      <m:oMath>
        <m:r>
          <w:rPr>
            <w:rFonts w:ascii="Cambria Math" w:hAnsi="Cambria Math"/>
          </w:rPr>
          <m:t>RM=CoC∙</m:t>
        </m:r>
        <m:nary>
          <m:naryPr>
            <m:chr m:val="∑"/>
            <m:limLoc m:val="undOvr"/>
            <m:supHide m:val="1"/>
            <m:ctrlPr>
              <w:rPr>
                <w:rFonts w:ascii="Cambria Math" w:hAnsi="Cambria Math"/>
                <w:i/>
              </w:rPr>
            </m:ctrlPr>
          </m:naryPr>
          <m:sub>
            <m:r>
              <w:rPr>
                <w:rFonts w:ascii="Cambria Math" w:hAnsi="Cambria Math"/>
              </w:rPr>
              <m:t>t≥0</m:t>
            </m:r>
          </m:sub>
          <m:sup/>
          <m:e>
            <m:f>
              <m:fPr>
                <m:ctrlPr>
                  <w:rPr>
                    <w:rFonts w:ascii="Cambria Math" w:hAnsi="Cambria Math"/>
                    <w:i/>
                  </w:rPr>
                </m:ctrlPr>
              </m:fPr>
              <m:num>
                <m:r>
                  <w:rPr>
                    <w:rFonts w:ascii="Cambria Math" w:hAnsi="Cambria Math"/>
                  </w:rPr>
                  <m:t>SCR</m:t>
                </m:r>
                <m:d>
                  <m:dPr>
                    <m:ctrlPr>
                      <w:rPr>
                        <w:rFonts w:ascii="Cambria Math" w:hAnsi="Cambria Math"/>
                        <w:i/>
                      </w:rPr>
                    </m:ctrlPr>
                  </m:dPr>
                  <m:e>
                    <m:r>
                      <w:rPr>
                        <w:rFonts w:ascii="Cambria Math" w:hAnsi="Cambria Math"/>
                      </w:rPr>
                      <m:t>t</m:t>
                    </m:r>
                  </m:e>
                </m:d>
                <m:r>
                  <w:rPr>
                    <w:rFonts w:ascii="Cambria Math" w:hAnsi="Cambria Math"/>
                  </w:rPr>
                  <m:t>∙max</m:t>
                </m:r>
                <m:d>
                  <m:dPr>
                    <m:ctrlPr>
                      <w:rPr>
                        <w:rFonts w:ascii="Cambria Math" w:hAnsi="Cambria Math"/>
                        <w:i/>
                      </w:rPr>
                    </m:ctrlPr>
                  </m:dPr>
                  <m:e>
                    <m:sSup>
                      <m:sSupPr>
                        <m:ctrlPr>
                          <w:rPr>
                            <w:rFonts w:ascii="Cambria Math" w:hAnsi="Cambria Math"/>
                            <w:i/>
                          </w:rPr>
                        </m:ctrlPr>
                      </m:sSupPr>
                      <m:e>
                        <m:r>
                          <w:rPr>
                            <w:rFonts w:ascii="Cambria Math" w:hAnsi="Cambria Math"/>
                          </w:rPr>
                          <m:t>λ</m:t>
                        </m:r>
                      </m:e>
                      <m:sup>
                        <m:r>
                          <w:rPr>
                            <w:rFonts w:ascii="Cambria Math" w:hAnsi="Cambria Math"/>
                          </w:rPr>
                          <m:t>t</m:t>
                        </m:r>
                      </m:sup>
                    </m:sSup>
                    <m:r>
                      <w:rPr>
                        <w:rFonts w:ascii="Cambria Math" w:hAnsi="Cambria Math"/>
                      </w:rPr>
                      <m:t>,0.5</m:t>
                    </m:r>
                  </m:e>
                </m:d>
              </m:num>
              <m:den>
                <m:sSup>
                  <m:sSupPr>
                    <m:ctrlPr>
                      <w:rPr>
                        <w:rFonts w:ascii="Cambria Math" w:hAnsi="Cambria Math"/>
                        <w:i/>
                      </w:rPr>
                    </m:ctrlPr>
                  </m:sSupPr>
                  <m:e>
                    <m:d>
                      <m:dPr>
                        <m:ctrlPr>
                          <w:rPr>
                            <w:rFonts w:ascii="Cambria Math" w:hAnsi="Cambria Math"/>
                            <w:i/>
                          </w:rPr>
                        </m:ctrlPr>
                      </m:dPr>
                      <m:e>
                        <m:r>
                          <w:rPr>
                            <w:rFonts w:ascii="Cambria Math" w:hAnsi="Cambria Math"/>
                          </w:rPr>
                          <m:t>1+r</m:t>
                        </m:r>
                        <m:d>
                          <m:dPr>
                            <m:ctrlPr>
                              <w:rPr>
                                <w:rFonts w:ascii="Cambria Math" w:hAnsi="Cambria Math"/>
                                <w:i/>
                              </w:rPr>
                            </m:ctrlPr>
                          </m:dPr>
                          <m:e>
                            <m:r>
                              <w:rPr>
                                <w:rFonts w:ascii="Cambria Math" w:hAnsi="Cambria Math"/>
                              </w:rPr>
                              <m:t>t+1</m:t>
                            </m:r>
                          </m:e>
                        </m:d>
                      </m:e>
                    </m:d>
                  </m:e>
                  <m:sup>
                    <m:r>
                      <w:rPr>
                        <w:rFonts w:ascii="Cambria Math" w:hAnsi="Cambria Math"/>
                      </w:rPr>
                      <m:t>t+1</m:t>
                    </m:r>
                  </m:sup>
                </m:sSup>
              </m:den>
            </m:f>
          </m:e>
        </m:nary>
      </m:oMath>
      <w:r w:rsidR="00AE13EF">
        <w:t xml:space="preserve">, where </w:t>
      </w:r>
      <m:oMath>
        <m:r>
          <w:rPr>
            <w:rFonts w:ascii="Cambria Math" w:hAnsi="Cambria Math"/>
          </w:rPr>
          <m:t>λ=0.975</m:t>
        </m:r>
      </m:oMath>
      <w:r w:rsidR="00AE13EF">
        <w:rPr>
          <w:rFonts w:eastAsiaTheme="minorEastAsia"/>
        </w:rPr>
        <w:t>.</w:t>
      </w:r>
    </w:p>
    <w:p w14:paraId="34C37B2F" w14:textId="5D97466D" w:rsidR="002E532E" w:rsidRDefault="00AE13EF" w:rsidP="00AE13EF">
      <w:r>
        <w:t>While this is a positive development</w:t>
      </w:r>
      <w:r w:rsidR="00617CA3">
        <w:t xml:space="preserve">, EIOPA have not proposed any changes to the 6% </w:t>
      </w:r>
      <w:proofErr w:type="spellStart"/>
      <w:r w:rsidR="00617CA3">
        <w:t>CoC</w:t>
      </w:r>
      <w:proofErr w:type="spellEnd"/>
      <w:r w:rsidR="00617CA3">
        <w:t xml:space="preserve"> rate or to allow for group diversification.</w:t>
      </w:r>
      <w:r>
        <w:t xml:space="preserve"> </w:t>
      </w:r>
      <w:r w:rsidR="00617CA3">
        <w:t>In addition</w:t>
      </w:r>
      <w:r w:rsidR="00BA37F9">
        <w:t xml:space="preserve">, the value of 0.975 for lambda </w:t>
      </w:r>
      <w:r w:rsidR="00617CA3">
        <w:t xml:space="preserve">is </w:t>
      </w:r>
      <w:r w:rsidR="00BA37F9">
        <w:t xml:space="preserve">too high, and </w:t>
      </w:r>
      <w:r w:rsidR="00617CA3">
        <w:t xml:space="preserve">no justification for </w:t>
      </w:r>
      <w:r w:rsidR="00BA37F9">
        <w:t xml:space="preserve">the </w:t>
      </w:r>
      <w:r w:rsidR="001E5887">
        <w:t>imposition of a</w:t>
      </w:r>
      <w:r w:rsidR="006A12B2">
        <w:t>n</w:t>
      </w:r>
      <w:r w:rsidR="001E5887">
        <w:t xml:space="preserve"> arbitrary </w:t>
      </w:r>
      <w:r w:rsidR="006A12B2">
        <w:t xml:space="preserve">floor </w:t>
      </w:r>
      <w:r w:rsidR="001E5887">
        <w:t xml:space="preserve">of 0.5 has </w:t>
      </w:r>
      <w:r w:rsidR="00617CA3">
        <w:t>been provided</w:t>
      </w:r>
      <w:r w:rsidR="001E5887">
        <w:t>.</w:t>
      </w:r>
    </w:p>
    <w:p w14:paraId="6750CC4C" w14:textId="107D617C" w:rsidR="00D96A79" w:rsidRDefault="008A4054" w:rsidP="00AE13EF">
      <w:r>
        <w:t>The purpose of t</w:t>
      </w:r>
      <w:r w:rsidR="00617CA3">
        <w:t xml:space="preserve">his </w:t>
      </w:r>
      <w:r w:rsidR="00737251">
        <w:t xml:space="preserve">note </w:t>
      </w:r>
      <w:r>
        <w:t xml:space="preserve">is to </w:t>
      </w:r>
      <w:r w:rsidR="00617CA3">
        <w:t xml:space="preserve">set out </w:t>
      </w:r>
      <w:r w:rsidR="0035657D">
        <w:t xml:space="preserve">different </w:t>
      </w:r>
      <w:r w:rsidR="006A12B2">
        <w:t xml:space="preserve">combinations of </w:t>
      </w:r>
      <w:r>
        <w:t>existing CRO forum proposals on the risk margin</w:t>
      </w:r>
      <w:r w:rsidR="001C4433">
        <w:t>, based on plausible ranges of cost-of-capital rates, EIOPA’s lambda parameter, and EIOPA’s floor parameter</w:t>
      </w:r>
      <w:r w:rsidR="001D1CB0">
        <w:t>, and to propose a single unified approach</w:t>
      </w:r>
      <w:r>
        <w:t xml:space="preserve">. This includes an analysis of </w:t>
      </w:r>
      <w:r w:rsidR="00617CA3">
        <w:t xml:space="preserve">cost of capital rates and </w:t>
      </w:r>
      <w:r w:rsidR="006A12B2">
        <w:t>lambda values</w:t>
      </w:r>
      <w:r w:rsidR="00617CA3">
        <w:t xml:space="preserve"> </w:t>
      </w:r>
      <w:r w:rsidR="006D1927">
        <w:t xml:space="preserve">(with no arbitrary floor) </w:t>
      </w:r>
      <w:r w:rsidR="00617CA3">
        <w:t>and the corresponding</w:t>
      </w:r>
      <w:r w:rsidR="00737251">
        <w:t>:</w:t>
      </w:r>
      <w:r w:rsidR="006A12B2">
        <w:t xml:space="preserve"> (</w:t>
      </w:r>
      <w:proofErr w:type="spellStart"/>
      <w:r w:rsidR="006A12B2">
        <w:t>i</w:t>
      </w:r>
      <w:proofErr w:type="spellEnd"/>
      <w:r w:rsidR="006A12B2">
        <w:t xml:space="preserve">) </w:t>
      </w:r>
      <w:r w:rsidR="00492987">
        <w:t xml:space="preserve">the overall level of the risk margin across industry; (ii) </w:t>
      </w:r>
      <w:r w:rsidR="001C4433">
        <w:t xml:space="preserve">the </w:t>
      </w:r>
      <w:r w:rsidR="00617CA3">
        <w:t xml:space="preserve">maximum possible value </w:t>
      </w:r>
      <w:r w:rsidR="006A12B2">
        <w:t>of the risk margin</w:t>
      </w:r>
      <w:r w:rsidR="00F52E18">
        <w:t xml:space="preserve"> </w:t>
      </w:r>
      <w:r w:rsidR="00617CA3">
        <w:t>as a percentage of SCR</w:t>
      </w:r>
      <w:r w:rsidR="006A12B2">
        <w:t xml:space="preserve">; </w:t>
      </w:r>
      <w:r w:rsidR="00F52E18">
        <w:t xml:space="preserve">and </w:t>
      </w:r>
      <w:r w:rsidR="006A12B2">
        <w:t xml:space="preserve">(ii) </w:t>
      </w:r>
      <w:r w:rsidR="00F52E18">
        <w:t>the volatility of the risk margin with respect to interest rates</w:t>
      </w:r>
      <w:r w:rsidR="00617CA3">
        <w:t xml:space="preserve"> as a percentage of SCR</w:t>
      </w:r>
      <w:r w:rsidR="00F52E18">
        <w:t>.</w:t>
      </w:r>
    </w:p>
    <w:p w14:paraId="4C90D8DA" w14:textId="77777777" w:rsidR="00DA2ACE" w:rsidRDefault="00845074" w:rsidP="00DA2ACE">
      <w:pPr>
        <w:spacing w:before="200" w:after="0"/>
      </w:pPr>
      <w:r>
        <w:t>Our paper continues as follows.</w:t>
      </w:r>
      <w:r w:rsidR="00A11870">
        <w:t xml:space="preserve"> In Section II, we discuss implications of different cost-of-capital rates and lambda values for the maximum possible value and maximum possible volatility of the risk margin with respect to different product lines. In Section III, we present analysis supporting a lower calibration for the cost-of-capital rate. In Section IV, we present arguments for allowing diversification at group level and between product lines. In Section V, we consider the calibration of the lambda parameter</w:t>
      </w:r>
      <w:r w:rsidR="00A72D5D">
        <w:t xml:space="preserve"> </w:t>
      </w:r>
      <w:r w:rsidR="004A4D84">
        <w:t xml:space="preserve">and </w:t>
      </w:r>
      <w:r w:rsidR="0008113D">
        <w:t>discuss the floor</w:t>
      </w:r>
      <w:r w:rsidR="0047632B">
        <w:t>.</w:t>
      </w:r>
    </w:p>
    <w:p w14:paraId="4BEC0AFB" w14:textId="3ED3E998" w:rsidR="00DA2ACE" w:rsidRDefault="00A11870" w:rsidP="00DA2ACE">
      <w:pPr>
        <w:spacing w:before="200" w:after="0"/>
      </w:pPr>
      <w:r>
        <w:t>Finally, we conclude in Section VI with an amalgamated proposal</w:t>
      </w:r>
      <w:r w:rsidR="0008113D">
        <w:t xml:space="preserve"> for discussion</w:t>
      </w:r>
      <w:r>
        <w:t>.</w:t>
      </w:r>
      <w:r w:rsidR="00DA2ACE" w:rsidRPr="00DA2ACE">
        <w:t xml:space="preserve"> </w:t>
      </w:r>
      <w:r w:rsidR="00DA2ACE">
        <w:t>Taken together with allowance for diversification at group level and across business lines, assuming EIOPA would want to set a prudent floor for the forward cost-of-capital rate of 1%, this combination would result in a reduction in the risk margin level of 58%-78% depending on product duration, with a corresponding reduction in volatility, and remains consistent with previous CROF feedback to EIOPA.</w:t>
      </w:r>
    </w:p>
    <w:p w14:paraId="62B546A8" w14:textId="77777777" w:rsidR="00DA2ACE" w:rsidRPr="00461C4A" w:rsidRDefault="00DA2ACE" w:rsidP="00DA2ACE">
      <w:pPr>
        <w:spacing w:before="200" w:after="0"/>
      </w:pPr>
    </w:p>
    <w:p w14:paraId="396E2B4E" w14:textId="77777777" w:rsidR="00DA2ACE" w:rsidRDefault="00DA2ACE" w:rsidP="00DA2ACE">
      <w:pPr>
        <w:rPr>
          <w:u w:val="single"/>
        </w:rPr>
      </w:pPr>
      <w:r>
        <w:rPr>
          <w:u w:val="single"/>
        </w:rPr>
        <w:t xml:space="preserve">Impact of amalgamated proposal – </w:t>
      </w:r>
      <w:proofErr w:type="spellStart"/>
      <w:r>
        <w:rPr>
          <w:u w:val="single"/>
        </w:rPr>
        <w:t>CoC</w:t>
      </w:r>
      <w:proofErr w:type="spellEnd"/>
      <w:r>
        <w:rPr>
          <w:u w:val="single"/>
        </w:rPr>
        <w:t xml:space="preserve"> rate 3%, lambda 0.85 and 1% floor with diversification (15% estimate)</w:t>
      </w:r>
    </w:p>
    <w:tbl>
      <w:tblPr>
        <w:tblW w:w="0" w:type="auto"/>
        <w:tblCellMar>
          <w:left w:w="0" w:type="dxa"/>
          <w:right w:w="0" w:type="dxa"/>
        </w:tblCellMar>
        <w:tblLook w:val="04A0" w:firstRow="1" w:lastRow="0" w:firstColumn="1" w:lastColumn="0" w:noHBand="0" w:noVBand="1"/>
      </w:tblPr>
      <w:tblGrid>
        <w:gridCol w:w="2252"/>
        <w:gridCol w:w="2251"/>
        <w:gridCol w:w="2252"/>
        <w:gridCol w:w="2251"/>
      </w:tblGrid>
      <w:tr w:rsidR="00DA2ACE" w14:paraId="6C354CBA" w14:textId="77777777" w:rsidTr="000844CA">
        <w:tc>
          <w:tcPr>
            <w:tcW w:w="22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802D4C" w14:textId="77777777" w:rsidR="00DA2ACE" w:rsidRDefault="00DA2ACE" w:rsidP="000844CA"/>
        </w:tc>
        <w:tc>
          <w:tcPr>
            <w:tcW w:w="2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568DE9" w14:textId="77777777" w:rsidR="00DA2ACE" w:rsidRDefault="00DA2ACE" w:rsidP="000844CA">
            <w:pPr>
              <w:jc w:val="center"/>
            </w:pPr>
            <w:r>
              <w:t>One-year product</w:t>
            </w:r>
          </w:p>
        </w:tc>
        <w:tc>
          <w:tcPr>
            <w:tcW w:w="2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8EDA32" w14:textId="77777777" w:rsidR="00DA2ACE" w:rsidRDefault="00DA2ACE" w:rsidP="000844CA">
            <w:pPr>
              <w:jc w:val="center"/>
            </w:pPr>
            <w:r>
              <w:t>Medium-term product</w:t>
            </w:r>
          </w:p>
        </w:tc>
        <w:tc>
          <w:tcPr>
            <w:tcW w:w="2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556CA1" w14:textId="77777777" w:rsidR="00DA2ACE" w:rsidRDefault="00DA2ACE" w:rsidP="000844CA">
            <w:pPr>
              <w:jc w:val="center"/>
            </w:pPr>
            <w:r>
              <w:t>Long-term product</w:t>
            </w:r>
          </w:p>
        </w:tc>
      </w:tr>
      <w:tr w:rsidR="00DA2ACE" w14:paraId="725965FF" w14:textId="77777777" w:rsidTr="000844CA">
        <w:trPr>
          <w:trHeight w:val="537"/>
        </w:trPr>
        <w:tc>
          <w:tcPr>
            <w:tcW w:w="2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D7F85" w14:textId="77777777" w:rsidR="00DA2ACE" w:rsidRDefault="00DA2ACE" w:rsidP="000844CA">
            <w:r>
              <w:t>Impact on level</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0DA1E637" w14:textId="77777777" w:rsidR="00DA2ACE" w:rsidRDefault="00DA2ACE" w:rsidP="000844CA">
            <w:pPr>
              <w:jc w:val="center"/>
            </w:pPr>
            <w:r>
              <w:t>-58%</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170977BE" w14:textId="77777777" w:rsidR="00DA2ACE" w:rsidRDefault="00DA2ACE" w:rsidP="000844CA">
            <w:pPr>
              <w:jc w:val="center"/>
            </w:pPr>
            <w:r>
              <w:t>-72%</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61436A7F" w14:textId="77777777" w:rsidR="00DA2ACE" w:rsidRDefault="00DA2ACE" w:rsidP="000844CA">
            <w:pPr>
              <w:jc w:val="center"/>
            </w:pPr>
            <w:r>
              <w:t>-78%</w:t>
            </w:r>
          </w:p>
        </w:tc>
      </w:tr>
      <w:tr w:rsidR="00DA2ACE" w14:paraId="738A7A20" w14:textId="77777777" w:rsidTr="000844CA">
        <w:trPr>
          <w:trHeight w:val="537"/>
        </w:trPr>
        <w:tc>
          <w:tcPr>
            <w:tcW w:w="2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ADC00" w14:textId="77777777" w:rsidR="00DA2ACE" w:rsidRDefault="00DA2ACE" w:rsidP="000844CA">
            <w:r>
              <w:t>Impact on interest rate sensitivity</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37C6C949" w14:textId="77777777" w:rsidR="00DA2ACE" w:rsidRDefault="00DA2ACE" w:rsidP="000844CA">
            <w:pPr>
              <w:jc w:val="center"/>
            </w:pPr>
            <w:r>
              <w:t>-58%</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6024D4D4" w14:textId="77777777" w:rsidR="00DA2ACE" w:rsidRDefault="00DA2ACE" w:rsidP="000844CA">
            <w:pPr>
              <w:jc w:val="center"/>
            </w:pPr>
            <w:r>
              <w:t>-80%</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0005A4A8" w14:textId="77777777" w:rsidR="00DA2ACE" w:rsidRDefault="00DA2ACE" w:rsidP="000844CA">
            <w:pPr>
              <w:jc w:val="center"/>
            </w:pPr>
            <w:r>
              <w:t>-84%</w:t>
            </w:r>
          </w:p>
        </w:tc>
      </w:tr>
    </w:tbl>
    <w:p w14:paraId="31CCE98E" w14:textId="136F01FB" w:rsidR="00845074" w:rsidRDefault="00845074" w:rsidP="0059536B">
      <w:pPr>
        <w:spacing w:before="200" w:after="0"/>
      </w:pPr>
    </w:p>
    <w:p w14:paraId="32859A1B" w14:textId="00758C65" w:rsidR="002F6260" w:rsidRDefault="002F6260" w:rsidP="0059536B">
      <w:pPr>
        <w:pStyle w:val="Nadpis1"/>
        <w:numPr>
          <w:ilvl w:val="0"/>
          <w:numId w:val="12"/>
        </w:numPr>
      </w:pPr>
      <w:r>
        <w:lastRenderedPageBreak/>
        <w:t xml:space="preserve">Implications of </w:t>
      </w:r>
      <w:r w:rsidR="006D1927">
        <w:t xml:space="preserve">different </w:t>
      </w:r>
      <w:r w:rsidR="00A11870">
        <w:t>cost-of-</w:t>
      </w:r>
      <w:r w:rsidR="006D1927">
        <w:t xml:space="preserve">capital rates and </w:t>
      </w:r>
      <w:r>
        <w:t xml:space="preserve">lambda </w:t>
      </w:r>
      <w:r w:rsidR="006D1927">
        <w:t>values</w:t>
      </w:r>
    </w:p>
    <w:p w14:paraId="407E9FCC" w14:textId="5B7DB4D6" w:rsidR="000C327C" w:rsidRPr="000C327C" w:rsidRDefault="000C327C" w:rsidP="00E10CFE">
      <w:r w:rsidRPr="0048288A">
        <w:t xml:space="preserve">The </w:t>
      </w:r>
      <w:r w:rsidRPr="009A55D3">
        <w:t xml:space="preserve">excessive </w:t>
      </w:r>
      <w:r>
        <w:t xml:space="preserve">size and </w:t>
      </w:r>
      <w:r w:rsidRPr="009A55D3">
        <w:t xml:space="preserve">volatility </w:t>
      </w:r>
      <w:r w:rsidRPr="00785E73">
        <w:t xml:space="preserve">of the risk margin represents </w:t>
      </w:r>
      <w:r w:rsidRPr="009A55D3">
        <w:t>a pan-European issue</w:t>
      </w:r>
      <w:r w:rsidRPr="00785E73">
        <w:t>, of importance to (re)insurance undertakings across EEA jurisdictions.</w:t>
      </w:r>
      <w:bookmarkStart w:id="0" w:name="_Toc492906720"/>
      <w:bookmarkStart w:id="1" w:name="_Toc492910479"/>
      <w:bookmarkEnd w:id="0"/>
      <w:bookmarkEnd w:id="1"/>
      <w:r w:rsidRPr="00785E73">
        <w:t xml:space="preserve"> For the entire industry, according to EIOPA figures, the total risk margin was €</w:t>
      </w:r>
      <w:r>
        <w:t>179</w:t>
      </w:r>
      <w:r w:rsidRPr="00785E73">
        <w:t>bn in Q</w:t>
      </w:r>
      <w:r>
        <w:t>1</w:t>
      </w:r>
      <w:r w:rsidRPr="00785E73">
        <w:t xml:space="preserve"> 201</w:t>
      </w:r>
      <w:r>
        <w:t>9</w:t>
      </w:r>
      <w:r w:rsidRPr="00785E73">
        <w:t>.</w:t>
      </w:r>
      <w:r w:rsidR="00492987">
        <w:t xml:space="preserve"> Given this</w:t>
      </w:r>
      <w:r>
        <w:t>, the key aim of this workstream is to develop, as input into the Solvency II 2020 review consultation process, an all-round technically robust solution which addresses both the excessive level and the excessive volatility of the risk margin</w:t>
      </w:r>
      <w:r w:rsidR="00713D2B">
        <w:t xml:space="preserve"> – and</w:t>
      </w:r>
      <w:r w:rsidR="009A2787">
        <w:t>,</w:t>
      </w:r>
      <w:r w:rsidR="00713D2B">
        <w:t xml:space="preserve"> by extension</w:t>
      </w:r>
      <w:r w:rsidR="009A2787">
        <w:t>,</w:t>
      </w:r>
      <w:r w:rsidR="00713D2B">
        <w:t xml:space="preserve"> the high degree of procyclicality inherent in the current design</w:t>
      </w:r>
      <w:r w:rsidR="009A2787">
        <w:t>,</w:t>
      </w:r>
      <w:r w:rsidR="009A2787" w:rsidRPr="009A2787">
        <w:t xml:space="preserve"> the wrong management incentives that can stem</w:t>
      </w:r>
      <w:r w:rsidR="009A2787">
        <w:t xml:space="preserve"> from this, and the resulting macroprudential negative impacts for financial stability</w:t>
      </w:r>
      <w:r>
        <w:t>.</w:t>
      </w:r>
    </w:p>
    <w:p w14:paraId="15BE61CA" w14:textId="2A92BC1A" w:rsidR="00076874" w:rsidRDefault="00492987" w:rsidP="002F6260">
      <w:r>
        <w:t>Under this context, tables 1, 2 and 3 below provide, for different levels of the cost-of-capital</w:t>
      </w:r>
      <w:r w:rsidR="00076874">
        <w:t xml:space="preserve"> </w:t>
      </w:r>
      <w:r>
        <w:t>rate and different calibrations of EIOPA’s lambda parameter (assuming no arbitrary floor): (</w:t>
      </w:r>
      <w:proofErr w:type="spellStart"/>
      <w:r>
        <w:t>i</w:t>
      </w:r>
      <w:proofErr w:type="spellEnd"/>
      <w:r>
        <w:t xml:space="preserve">) reductions in the level of the risk margin held across industry; (ii) the maximum possible value of the risk margin </w:t>
      </w:r>
      <w:r w:rsidR="00076874">
        <w:t>(</w:t>
      </w:r>
      <w:r>
        <w:t>as a percentage of SCR</w:t>
      </w:r>
      <w:r w:rsidR="00076874">
        <w:t>)</w:t>
      </w:r>
      <w:r>
        <w:t>; and (iii) the maximum sensitivity of the risk margin to a 1% fall in interest rates (as a percentage of SCR).</w:t>
      </w:r>
      <w:r w:rsidR="00076874">
        <w:t xml:space="preserve"> Under table 1 we also provide an indication of the impact of allowing for group diversification.</w:t>
      </w:r>
    </w:p>
    <w:p w14:paraId="4F46D651" w14:textId="2AC64220" w:rsidR="003F7494" w:rsidRDefault="003F7494" w:rsidP="002F6260">
      <w:r>
        <w:t xml:space="preserve">We can see from </w:t>
      </w:r>
      <w:r w:rsidR="00076874">
        <w:t xml:space="preserve">the </w:t>
      </w:r>
      <w:r w:rsidR="006D1927">
        <w:t xml:space="preserve">tables below </w:t>
      </w:r>
      <w:r>
        <w:t xml:space="preserve">that, while reductions in the cost of capital and the lambda parameter are both effective in reducing the level of the risk margin, the lambda parameter is more effective at reducing volatility of the risk margin with respect to interest rates. Corresponding tables for 10-year, 20-year and 30-year products with a constant SCR are also provided in Appendix </w:t>
      </w:r>
      <w:r w:rsidR="00CC5A6E">
        <w:t>2</w:t>
      </w:r>
      <w:r>
        <w:t>.</w:t>
      </w:r>
    </w:p>
    <w:p w14:paraId="6FE936FA" w14:textId="59C40CBD" w:rsidR="00076874" w:rsidRDefault="00076874" w:rsidP="00076874">
      <w:pPr>
        <w:pStyle w:val="Nadpis2"/>
      </w:pPr>
      <w:r>
        <w:t>Level of the risk margin held across industry</w:t>
      </w:r>
    </w:p>
    <w:p w14:paraId="51298786" w14:textId="707AB8DB" w:rsidR="00076874" w:rsidRDefault="00076874" w:rsidP="00076874">
      <w:r>
        <w:t>The table below provides an estimate of the resulting level of the risk margin held across industry at Q1 2019 – with the figures in brackets representing the change in percentage terms</w:t>
      </w:r>
      <w:r w:rsidR="00AE3CF7">
        <w:t xml:space="preserve"> in the level of the risk margin</w:t>
      </w:r>
      <w:r>
        <w:t xml:space="preserve"> under each combination. The calculations are high-level </w:t>
      </w:r>
      <w:r w:rsidR="007041E6">
        <w:t xml:space="preserve">estimates </w:t>
      </w:r>
      <w:r>
        <w:t>and assume an average product (and risk margin) duration of 7 years.</w:t>
      </w:r>
      <w:r w:rsidR="009A2787">
        <w:t xml:space="preserve"> </w:t>
      </w:r>
      <w:r w:rsidR="007041E6">
        <w:t>In practice, the impacts will depend on the characteristics of the liabilities</w:t>
      </w:r>
      <w:r w:rsidR="00CE0FEE">
        <w:t>, and in particular the duration of these</w:t>
      </w:r>
      <w:r w:rsidR="007041E6">
        <w:t>. W</w:t>
      </w:r>
      <w:r w:rsidR="009A2787">
        <w:t xml:space="preserve">e </w:t>
      </w:r>
      <w:r w:rsidR="007041E6">
        <w:t xml:space="preserve">therefore </w:t>
      </w:r>
      <w:r w:rsidR="009A2787">
        <w:t xml:space="preserve">provide similar tables for </w:t>
      </w:r>
      <w:r w:rsidR="00DE71A0">
        <w:t xml:space="preserve">shorter and longer </w:t>
      </w:r>
      <w:r w:rsidR="007041E6">
        <w:t xml:space="preserve">products in Appendix </w:t>
      </w:r>
      <w:r w:rsidR="00624EC4">
        <w:t>3</w:t>
      </w:r>
      <w:r w:rsidR="007041E6">
        <w:t>.</w:t>
      </w:r>
    </w:p>
    <w:p w14:paraId="4D21AF66" w14:textId="0664E028" w:rsidR="00076874" w:rsidRPr="00CE6C01" w:rsidRDefault="00076874" w:rsidP="00076874">
      <w:pPr>
        <w:rPr>
          <w:b/>
          <w:bCs/>
          <w:u w:val="single"/>
        </w:rPr>
      </w:pPr>
      <w:r>
        <w:rPr>
          <w:b/>
          <w:bCs/>
          <w:u w:val="single"/>
        </w:rPr>
        <w:t>Table 1. Total risk margin held across industry (</w:t>
      </w:r>
      <w:r w:rsidR="00155315">
        <w:rPr>
          <w:b/>
          <w:bCs/>
          <w:u w:val="single"/>
        </w:rPr>
        <w:t xml:space="preserve">€bn </w:t>
      </w:r>
      <w:r>
        <w:rPr>
          <w:b/>
          <w:bCs/>
          <w:u w:val="single"/>
        </w:rPr>
        <w:t>estimated, Q1 2019)</w:t>
      </w:r>
    </w:p>
    <w:tbl>
      <w:tblPr>
        <w:tblStyle w:val="Mriekatabuky"/>
        <w:tblW w:w="0" w:type="auto"/>
        <w:tblLook w:val="04A0" w:firstRow="1" w:lastRow="0" w:firstColumn="1" w:lastColumn="0" w:noHBand="0" w:noVBand="1"/>
      </w:tblPr>
      <w:tblGrid>
        <w:gridCol w:w="1513"/>
        <w:gridCol w:w="1505"/>
        <w:gridCol w:w="1501"/>
        <w:gridCol w:w="1498"/>
        <w:gridCol w:w="1502"/>
        <w:gridCol w:w="1497"/>
      </w:tblGrid>
      <w:tr w:rsidR="00076874" w14:paraId="66E6F8A5" w14:textId="77777777" w:rsidTr="00155315">
        <w:tc>
          <w:tcPr>
            <w:tcW w:w="1513" w:type="dxa"/>
          </w:tcPr>
          <w:p w14:paraId="2052C3FC" w14:textId="77777777" w:rsidR="00076874" w:rsidRDefault="00076874" w:rsidP="00E62724">
            <w:proofErr w:type="spellStart"/>
            <w:r>
              <w:t>CoC</w:t>
            </w:r>
            <w:proofErr w:type="spellEnd"/>
            <w:r>
              <w:t xml:space="preserve"> / lambda</w:t>
            </w:r>
          </w:p>
        </w:tc>
        <w:tc>
          <w:tcPr>
            <w:tcW w:w="1505" w:type="dxa"/>
          </w:tcPr>
          <w:p w14:paraId="22354B8D" w14:textId="77777777" w:rsidR="00076874" w:rsidRDefault="00076874" w:rsidP="00E62724">
            <w:pPr>
              <w:jc w:val="center"/>
            </w:pPr>
            <w:r>
              <w:t>0.975</w:t>
            </w:r>
          </w:p>
        </w:tc>
        <w:tc>
          <w:tcPr>
            <w:tcW w:w="1501" w:type="dxa"/>
          </w:tcPr>
          <w:p w14:paraId="71A0321E" w14:textId="77777777" w:rsidR="00076874" w:rsidRDefault="00076874" w:rsidP="00E62724">
            <w:pPr>
              <w:jc w:val="center"/>
            </w:pPr>
            <w:r>
              <w:t>0.95</w:t>
            </w:r>
          </w:p>
        </w:tc>
        <w:tc>
          <w:tcPr>
            <w:tcW w:w="1498" w:type="dxa"/>
          </w:tcPr>
          <w:p w14:paraId="29AF9732" w14:textId="77777777" w:rsidR="00076874" w:rsidRDefault="00076874" w:rsidP="00E62724">
            <w:pPr>
              <w:jc w:val="center"/>
            </w:pPr>
            <w:r>
              <w:t>0.9</w:t>
            </w:r>
          </w:p>
        </w:tc>
        <w:tc>
          <w:tcPr>
            <w:tcW w:w="1502" w:type="dxa"/>
          </w:tcPr>
          <w:p w14:paraId="50481B06" w14:textId="77777777" w:rsidR="00076874" w:rsidRDefault="00076874" w:rsidP="00E62724">
            <w:pPr>
              <w:jc w:val="center"/>
            </w:pPr>
            <w:r>
              <w:t>0.85</w:t>
            </w:r>
          </w:p>
        </w:tc>
        <w:tc>
          <w:tcPr>
            <w:tcW w:w="1497" w:type="dxa"/>
          </w:tcPr>
          <w:p w14:paraId="7941A86B" w14:textId="77777777" w:rsidR="00076874" w:rsidRDefault="00076874" w:rsidP="00E62724">
            <w:pPr>
              <w:jc w:val="center"/>
            </w:pPr>
            <w:r>
              <w:t>0.8</w:t>
            </w:r>
          </w:p>
        </w:tc>
      </w:tr>
      <w:tr w:rsidR="00076874" w14:paraId="12C7FC31" w14:textId="77777777" w:rsidTr="00155315">
        <w:tc>
          <w:tcPr>
            <w:tcW w:w="1513" w:type="dxa"/>
          </w:tcPr>
          <w:p w14:paraId="45DDC1CF" w14:textId="77777777" w:rsidR="00076874" w:rsidRDefault="00076874" w:rsidP="00E62724">
            <w:r>
              <w:t>6%</w:t>
            </w:r>
          </w:p>
        </w:tc>
        <w:tc>
          <w:tcPr>
            <w:tcW w:w="1505" w:type="dxa"/>
          </w:tcPr>
          <w:p w14:paraId="55450EFE" w14:textId="1D41A1B1" w:rsidR="00076874" w:rsidRDefault="00155315" w:rsidP="00E62724">
            <w:pPr>
              <w:jc w:val="center"/>
            </w:pPr>
            <w:r>
              <w:t>15</w:t>
            </w:r>
            <w:r w:rsidR="00F1420C">
              <w:t>2</w:t>
            </w:r>
          </w:p>
          <w:p w14:paraId="6761034E" w14:textId="79E4BA5F" w:rsidR="00155315" w:rsidRPr="00E10CFE" w:rsidRDefault="00155315" w:rsidP="00E62724">
            <w:pPr>
              <w:jc w:val="center"/>
              <w:rPr>
                <w:sz w:val="16"/>
                <w:szCs w:val="16"/>
              </w:rPr>
            </w:pPr>
            <w:r w:rsidRPr="00E10CFE">
              <w:rPr>
                <w:sz w:val="16"/>
                <w:szCs w:val="16"/>
              </w:rPr>
              <w:t>(-</w:t>
            </w:r>
            <w:r w:rsidR="00F1420C" w:rsidRPr="00E10CFE">
              <w:rPr>
                <w:sz w:val="16"/>
                <w:szCs w:val="16"/>
              </w:rPr>
              <w:t>1</w:t>
            </w:r>
            <w:r w:rsidR="00F1420C">
              <w:rPr>
                <w:sz w:val="16"/>
                <w:szCs w:val="16"/>
              </w:rPr>
              <w:t>5</w:t>
            </w:r>
            <w:r w:rsidRPr="00E10CFE">
              <w:rPr>
                <w:sz w:val="16"/>
                <w:szCs w:val="16"/>
              </w:rPr>
              <w:t>%)</w:t>
            </w:r>
          </w:p>
        </w:tc>
        <w:tc>
          <w:tcPr>
            <w:tcW w:w="1501" w:type="dxa"/>
          </w:tcPr>
          <w:p w14:paraId="7364FF25" w14:textId="56CEBBC2" w:rsidR="00076874" w:rsidRDefault="00F1420C" w:rsidP="00E62724">
            <w:pPr>
              <w:jc w:val="center"/>
            </w:pPr>
            <w:r>
              <w:t>132</w:t>
            </w:r>
          </w:p>
          <w:p w14:paraId="0FC8B0C3" w14:textId="5405D505" w:rsidR="00155315" w:rsidRPr="00E10CFE" w:rsidRDefault="00155315" w:rsidP="00E62724">
            <w:pPr>
              <w:jc w:val="center"/>
              <w:rPr>
                <w:sz w:val="16"/>
                <w:szCs w:val="16"/>
              </w:rPr>
            </w:pPr>
            <w:r w:rsidRPr="00E10CFE">
              <w:rPr>
                <w:sz w:val="16"/>
                <w:szCs w:val="16"/>
              </w:rPr>
              <w:t>(-</w:t>
            </w:r>
            <w:r w:rsidR="00F1420C" w:rsidRPr="00E10CFE">
              <w:rPr>
                <w:sz w:val="16"/>
                <w:szCs w:val="16"/>
              </w:rPr>
              <w:t>2</w:t>
            </w:r>
            <w:r w:rsidR="00F1420C">
              <w:rPr>
                <w:sz w:val="16"/>
                <w:szCs w:val="16"/>
              </w:rPr>
              <w:t>6</w:t>
            </w:r>
            <w:r w:rsidRPr="00E10CFE">
              <w:rPr>
                <w:sz w:val="16"/>
                <w:szCs w:val="16"/>
              </w:rPr>
              <w:t>%)</w:t>
            </w:r>
          </w:p>
        </w:tc>
        <w:tc>
          <w:tcPr>
            <w:tcW w:w="1498" w:type="dxa"/>
          </w:tcPr>
          <w:p w14:paraId="77470A11" w14:textId="7ECA0EF5" w:rsidR="00076874" w:rsidRDefault="00F1420C" w:rsidP="00E62724">
            <w:pPr>
              <w:jc w:val="center"/>
            </w:pPr>
            <w:r>
              <w:t>104</w:t>
            </w:r>
          </w:p>
          <w:p w14:paraId="2131F21F" w14:textId="28ACCDA8" w:rsidR="00155315" w:rsidRPr="00E10CFE" w:rsidRDefault="00155315" w:rsidP="00E62724">
            <w:pPr>
              <w:jc w:val="center"/>
              <w:rPr>
                <w:sz w:val="16"/>
                <w:szCs w:val="16"/>
              </w:rPr>
            </w:pPr>
            <w:r w:rsidRPr="00E10CFE">
              <w:rPr>
                <w:sz w:val="16"/>
                <w:szCs w:val="16"/>
              </w:rPr>
              <w:t>(-</w:t>
            </w:r>
            <w:r w:rsidR="00F1420C">
              <w:rPr>
                <w:sz w:val="16"/>
                <w:szCs w:val="16"/>
              </w:rPr>
              <w:t>42</w:t>
            </w:r>
            <w:r w:rsidRPr="00E10CFE">
              <w:rPr>
                <w:sz w:val="16"/>
                <w:szCs w:val="16"/>
              </w:rPr>
              <w:t>%)</w:t>
            </w:r>
          </w:p>
        </w:tc>
        <w:tc>
          <w:tcPr>
            <w:tcW w:w="1502" w:type="dxa"/>
          </w:tcPr>
          <w:p w14:paraId="7E390AD0" w14:textId="085A7B3A" w:rsidR="00076874" w:rsidRDefault="00F1420C" w:rsidP="00E62724">
            <w:pPr>
              <w:jc w:val="center"/>
            </w:pPr>
            <w:r>
              <w:t>85</w:t>
            </w:r>
          </w:p>
          <w:p w14:paraId="14225B77" w14:textId="123627B4" w:rsidR="00155315" w:rsidRPr="00E10CFE" w:rsidRDefault="00155315" w:rsidP="00E62724">
            <w:pPr>
              <w:jc w:val="center"/>
              <w:rPr>
                <w:sz w:val="18"/>
                <w:szCs w:val="18"/>
              </w:rPr>
            </w:pPr>
            <w:r w:rsidRPr="00E10CFE">
              <w:rPr>
                <w:sz w:val="18"/>
                <w:szCs w:val="18"/>
              </w:rPr>
              <w:t>(-</w:t>
            </w:r>
            <w:r w:rsidR="00F1420C">
              <w:rPr>
                <w:sz w:val="18"/>
                <w:szCs w:val="18"/>
              </w:rPr>
              <w:t>52</w:t>
            </w:r>
            <w:r w:rsidRPr="00E10CFE">
              <w:rPr>
                <w:sz w:val="18"/>
                <w:szCs w:val="18"/>
              </w:rPr>
              <w:t>%)</w:t>
            </w:r>
          </w:p>
        </w:tc>
        <w:tc>
          <w:tcPr>
            <w:tcW w:w="1497" w:type="dxa"/>
          </w:tcPr>
          <w:p w14:paraId="635C5440" w14:textId="429DF0BE" w:rsidR="00076874" w:rsidRDefault="00F1420C" w:rsidP="00E62724">
            <w:pPr>
              <w:jc w:val="center"/>
            </w:pPr>
            <w:r>
              <w:t>72</w:t>
            </w:r>
          </w:p>
          <w:p w14:paraId="051BB3A9" w14:textId="40298662" w:rsidR="00155315" w:rsidRPr="00E10CFE" w:rsidRDefault="00155315" w:rsidP="00E62724">
            <w:pPr>
              <w:jc w:val="center"/>
              <w:rPr>
                <w:sz w:val="16"/>
                <w:szCs w:val="16"/>
              </w:rPr>
            </w:pPr>
            <w:r w:rsidRPr="00E10CFE">
              <w:rPr>
                <w:sz w:val="16"/>
                <w:szCs w:val="16"/>
              </w:rPr>
              <w:t>(-</w:t>
            </w:r>
            <w:r w:rsidR="00F1420C">
              <w:rPr>
                <w:sz w:val="16"/>
                <w:szCs w:val="16"/>
              </w:rPr>
              <w:t>60</w:t>
            </w:r>
            <w:r w:rsidRPr="00E10CFE">
              <w:rPr>
                <w:sz w:val="16"/>
                <w:szCs w:val="16"/>
              </w:rPr>
              <w:t>%)</w:t>
            </w:r>
          </w:p>
        </w:tc>
      </w:tr>
      <w:tr w:rsidR="00155315" w14:paraId="14ADB7ED" w14:textId="77777777" w:rsidTr="00155315">
        <w:tc>
          <w:tcPr>
            <w:tcW w:w="1513" w:type="dxa"/>
          </w:tcPr>
          <w:p w14:paraId="1D229435" w14:textId="77777777" w:rsidR="00155315" w:rsidRDefault="00155315" w:rsidP="00155315">
            <w:r>
              <w:t>5%</w:t>
            </w:r>
          </w:p>
        </w:tc>
        <w:tc>
          <w:tcPr>
            <w:tcW w:w="1505" w:type="dxa"/>
          </w:tcPr>
          <w:p w14:paraId="3D91E000" w14:textId="141543E2" w:rsidR="00155315" w:rsidRDefault="00F1420C" w:rsidP="00155315">
            <w:pPr>
              <w:jc w:val="center"/>
            </w:pPr>
            <w:r>
              <w:t>127</w:t>
            </w:r>
          </w:p>
          <w:p w14:paraId="529C75C4" w14:textId="0ED9E642" w:rsidR="00155315" w:rsidRPr="00E10CFE" w:rsidRDefault="00155315" w:rsidP="00155315">
            <w:pPr>
              <w:jc w:val="center"/>
              <w:rPr>
                <w:sz w:val="16"/>
                <w:szCs w:val="16"/>
              </w:rPr>
            </w:pPr>
            <w:r w:rsidRPr="00E10CFE">
              <w:rPr>
                <w:sz w:val="16"/>
                <w:szCs w:val="16"/>
              </w:rPr>
              <w:t>(-</w:t>
            </w:r>
            <w:r w:rsidR="00F1420C">
              <w:rPr>
                <w:sz w:val="16"/>
                <w:szCs w:val="16"/>
              </w:rPr>
              <w:t>29</w:t>
            </w:r>
            <w:r w:rsidRPr="00E10CFE">
              <w:rPr>
                <w:sz w:val="16"/>
                <w:szCs w:val="16"/>
              </w:rPr>
              <w:t>%)</w:t>
            </w:r>
          </w:p>
        </w:tc>
        <w:tc>
          <w:tcPr>
            <w:tcW w:w="1501" w:type="dxa"/>
          </w:tcPr>
          <w:p w14:paraId="43255C09" w14:textId="58632B72" w:rsidR="00155315" w:rsidRDefault="00F1420C" w:rsidP="00155315">
            <w:pPr>
              <w:jc w:val="center"/>
            </w:pPr>
            <w:r>
              <w:t>110</w:t>
            </w:r>
          </w:p>
          <w:p w14:paraId="575EC91A" w14:textId="6F869A77" w:rsidR="00155315" w:rsidRPr="00E10CFE" w:rsidRDefault="00155315" w:rsidP="00155315">
            <w:pPr>
              <w:jc w:val="center"/>
              <w:rPr>
                <w:sz w:val="16"/>
                <w:szCs w:val="16"/>
              </w:rPr>
            </w:pPr>
            <w:r w:rsidRPr="00E10CFE">
              <w:rPr>
                <w:sz w:val="16"/>
                <w:szCs w:val="16"/>
              </w:rPr>
              <w:t>(-</w:t>
            </w:r>
            <w:r w:rsidR="00F1420C">
              <w:rPr>
                <w:sz w:val="16"/>
                <w:szCs w:val="16"/>
              </w:rPr>
              <w:t>39</w:t>
            </w:r>
            <w:r w:rsidRPr="00E10CFE">
              <w:rPr>
                <w:sz w:val="16"/>
                <w:szCs w:val="16"/>
              </w:rPr>
              <w:t>%)</w:t>
            </w:r>
          </w:p>
        </w:tc>
        <w:tc>
          <w:tcPr>
            <w:tcW w:w="1498" w:type="dxa"/>
          </w:tcPr>
          <w:p w14:paraId="7C7FC1AB" w14:textId="19E0B035" w:rsidR="00155315" w:rsidRDefault="00F1420C" w:rsidP="00155315">
            <w:pPr>
              <w:jc w:val="center"/>
            </w:pPr>
            <w:r>
              <w:t>86</w:t>
            </w:r>
          </w:p>
          <w:p w14:paraId="6A55CFAC" w14:textId="5BD4A729" w:rsidR="00155315" w:rsidRPr="00E10CFE" w:rsidRDefault="00155315" w:rsidP="00155315">
            <w:pPr>
              <w:jc w:val="center"/>
              <w:rPr>
                <w:sz w:val="16"/>
                <w:szCs w:val="16"/>
              </w:rPr>
            </w:pPr>
            <w:r w:rsidRPr="00E10CFE">
              <w:rPr>
                <w:sz w:val="16"/>
                <w:szCs w:val="16"/>
              </w:rPr>
              <w:t>(-</w:t>
            </w:r>
            <w:r w:rsidR="00F1420C">
              <w:rPr>
                <w:sz w:val="16"/>
                <w:szCs w:val="16"/>
              </w:rPr>
              <w:t>52</w:t>
            </w:r>
            <w:r w:rsidRPr="00E10CFE">
              <w:rPr>
                <w:sz w:val="16"/>
                <w:szCs w:val="16"/>
              </w:rPr>
              <w:t>%)</w:t>
            </w:r>
          </w:p>
        </w:tc>
        <w:tc>
          <w:tcPr>
            <w:tcW w:w="1502" w:type="dxa"/>
          </w:tcPr>
          <w:p w14:paraId="42E6BF55" w14:textId="081DBBCC" w:rsidR="00155315" w:rsidRDefault="00F1420C" w:rsidP="00155315">
            <w:pPr>
              <w:jc w:val="center"/>
            </w:pPr>
            <w:r>
              <w:t>71</w:t>
            </w:r>
          </w:p>
          <w:p w14:paraId="790CE288" w14:textId="77BA23CC" w:rsidR="00155315" w:rsidRPr="00E10CFE" w:rsidRDefault="00155315" w:rsidP="00155315">
            <w:pPr>
              <w:jc w:val="center"/>
              <w:rPr>
                <w:sz w:val="16"/>
                <w:szCs w:val="16"/>
              </w:rPr>
            </w:pPr>
            <w:r w:rsidRPr="00E10CFE">
              <w:rPr>
                <w:sz w:val="16"/>
                <w:szCs w:val="16"/>
              </w:rPr>
              <w:t>(-</w:t>
            </w:r>
            <w:r w:rsidR="00F1420C">
              <w:rPr>
                <w:sz w:val="16"/>
                <w:szCs w:val="16"/>
              </w:rPr>
              <w:t>60</w:t>
            </w:r>
            <w:r w:rsidRPr="00E10CFE">
              <w:rPr>
                <w:sz w:val="16"/>
                <w:szCs w:val="16"/>
              </w:rPr>
              <w:t>%)</w:t>
            </w:r>
          </w:p>
        </w:tc>
        <w:tc>
          <w:tcPr>
            <w:tcW w:w="1497" w:type="dxa"/>
          </w:tcPr>
          <w:p w14:paraId="23B8B014" w14:textId="3AFC4D22" w:rsidR="00155315" w:rsidRDefault="00F1420C" w:rsidP="00155315">
            <w:pPr>
              <w:jc w:val="center"/>
            </w:pPr>
            <w:r>
              <w:t>60</w:t>
            </w:r>
          </w:p>
          <w:p w14:paraId="7E5B6E91" w14:textId="7C27ED49" w:rsidR="00155315" w:rsidRPr="00E10CFE" w:rsidRDefault="00155315" w:rsidP="00155315">
            <w:pPr>
              <w:jc w:val="center"/>
              <w:rPr>
                <w:sz w:val="16"/>
                <w:szCs w:val="16"/>
              </w:rPr>
            </w:pPr>
            <w:r w:rsidRPr="00E10CFE">
              <w:rPr>
                <w:sz w:val="16"/>
                <w:szCs w:val="16"/>
              </w:rPr>
              <w:t>(-</w:t>
            </w:r>
            <w:r w:rsidR="00F1420C">
              <w:rPr>
                <w:sz w:val="16"/>
                <w:szCs w:val="16"/>
              </w:rPr>
              <w:t>66</w:t>
            </w:r>
            <w:r w:rsidRPr="00E10CFE">
              <w:rPr>
                <w:sz w:val="16"/>
                <w:szCs w:val="16"/>
              </w:rPr>
              <w:t>%)</w:t>
            </w:r>
          </w:p>
        </w:tc>
      </w:tr>
      <w:tr w:rsidR="00155315" w14:paraId="2A1E3DA9" w14:textId="77777777" w:rsidTr="00155315">
        <w:tc>
          <w:tcPr>
            <w:tcW w:w="1513" w:type="dxa"/>
          </w:tcPr>
          <w:p w14:paraId="6775AD54" w14:textId="77777777" w:rsidR="00155315" w:rsidRDefault="00155315" w:rsidP="00155315">
            <w:r>
              <w:t>4%</w:t>
            </w:r>
          </w:p>
        </w:tc>
        <w:tc>
          <w:tcPr>
            <w:tcW w:w="1505" w:type="dxa"/>
          </w:tcPr>
          <w:p w14:paraId="0CE976C2" w14:textId="22C704DB" w:rsidR="00155315" w:rsidRDefault="00F1420C" w:rsidP="00155315">
            <w:pPr>
              <w:jc w:val="center"/>
            </w:pPr>
            <w:r>
              <w:t>102</w:t>
            </w:r>
          </w:p>
          <w:p w14:paraId="28874C21" w14:textId="4811F86F" w:rsidR="00155315" w:rsidRPr="00E10CFE" w:rsidRDefault="00155315" w:rsidP="00155315">
            <w:pPr>
              <w:jc w:val="center"/>
              <w:rPr>
                <w:sz w:val="16"/>
                <w:szCs w:val="16"/>
              </w:rPr>
            </w:pPr>
            <w:r w:rsidRPr="00E10CFE">
              <w:rPr>
                <w:sz w:val="16"/>
                <w:szCs w:val="16"/>
              </w:rPr>
              <w:t>(-</w:t>
            </w:r>
            <w:r w:rsidR="00F1420C">
              <w:rPr>
                <w:sz w:val="16"/>
                <w:szCs w:val="16"/>
              </w:rPr>
              <w:t>43</w:t>
            </w:r>
            <w:r w:rsidRPr="00E10CFE">
              <w:rPr>
                <w:sz w:val="16"/>
                <w:szCs w:val="16"/>
              </w:rPr>
              <w:t>%)</w:t>
            </w:r>
          </w:p>
        </w:tc>
        <w:tc>
          <w:tcPr>
            <w:tcW w:w="1501" w:type="dxa"/>
          </w:tcPr>
          <w:p w14:paraId="60215B80" w14:textId="7474A0F9" w:rsidR="00155315" w:rsidRDefault="00F1420C" w:rsidP="00155315">
            <w:pPr>
              <w:jc w:val="center"/>
            </w:pPr>
            <w:r>
              <w:t>88</w:t>
            </w:r>
          </w:p>
          <w:p w14:paraId="698054F1" w14:textId="39506AD1" w:rsidR="00155315" w:rsidRPr="00E10CFE" w:rsidRDefault="00155315" w:rsidP="00155315">
            <w:pPr>
              <w:jc w:val="center"/>
              <w:rPr>
                <w:sz w:val="16"/>
                <w:szCs w:val="16"/>
              </w:rPr>
            </w:pPr>
            <w:r w:rsidRPr="00E10CFE">
              <w:rPr>
                <w:sz w:val="16"/>
                <w:szCs w:val="16"/>
              </w:rPr>
              <w:t>(-</w:t>
            </w:r>
            <w:r w:rsidR="00F1420C">
              <w:rPr>
                <w:sz w:val="16"/>
                <w:szCs w:val="16"/>
              </w:rPr>
              <w:t>51</w:t>
            </w:r>
            <w:r w:rsidRPr="00E10CFE">
              <w:rPr>
                <w:sz w:val="16"/>
                <w:szCs w:val="16"/>
              </w:rPr>
              <w:t>%)</w:t>
            </w:r>
          </w:p>
        </w:tc>
        <w:tc>
          <w:tcPr>
            <w:tcW w:w="1498" w:type="dxa"/>
          </w:tcPr>
          <w:p w14:paraId="272C9CFC" w14:textId="5D1E9F3A" w:rsidR="00155315" w:rsidRDefault="00F1420C" w:rsidP="00155315">
            <w:pPr>
              <w:jc w:val="center"/>
            </w:pPr>
            <w:r>
              <w:t>69</w:t>
            </w:r>
          </w:p>
          <w:p w14:paraId="7B47A246" w14:textId="7ACF62F6" w:rsidR="00155315" w:rsidRPr="00E10CFE" w:rsidRDefault="00155315" w:rsidP="00155315">
            <w:pPr>
              <w:jc w:val="center"/>
              <w:rPr>
                <w:sz w:val="16"/>
                <w:szCs w:val="16"/>
              </w:rPr>
            </w:pPr>
            <w:r w:rsidRPr="00E10CFE">
              <w:rPr>
                <w:sz w:val="16"/>
                <w:szCs w:val="16"/>
              </w:rPr>
              <w:t>(-</w:t>
            </w:r>
            <w:r w:rsidR="00F1420C">
              <w:rPr>
                <w:sz w:val="16"/>
                <w:szCs w:val="16"/>
              </w:rPr>
              <w:t>61</w:t>
            </w:r>
            <w:r w:rsidRPr="00E10CFE">
              <w:rPr>
                <w:sz w:val="16"/>
                <w:szCs w:val="16"/>
              </w:rPr>
              <w:t>%)</w:t>
            </w:r>
          </w:p>
        </w:tc>
        <w:tc>
          <w:tcPr>
            <w:tcW w:w="1502" w:type="dxa"/>
          </w:tcPr>
          <w:p w14:paraId="7FA7EC7F" w14:textId="011470FB" w:rsidR="00155315" w:rsidRDefault="00F1420C" w:rsidP="00155315">
            <w:pPr>
              <w:jc w:val="center"/>
            </w:pPr>
            <w:r>
              <w:t>57</w:t>
            </w:r>
          </w:p>
          <w:p w14:paraId="062959E2" w14:textId="083EF92C" w:rsidR="00155315" w:rsidRPr="00E10CFE" w:rsidRDefault="00155315" w:rsidP="00155315">
            <w:pPr>
              <w:jc w:val="center"/>
              <w:rPr>
                <w:sz w:val="16"/>
                <w:szCs w:val="16"/>
              </w:rPr>
            </w:pPr>
            <w:r w:rsidRPr="00E10CFE">
              <w:rPr>
                <w:sz w:val="16"/>
                <w:szCs w:val="16"/>
              </w:rPr>
              <w:t>(-</w:t>
            </w:r>
            <w:r w:rsidR="00F1420C">
              <w:rPr>
                <w:sz w:val="16"/>
                <w:szCs w:val="16"/>
              </w:rPr>
              <w:t>68</w:t>
            </w:r>
            <w:r w:rsidRPr="00E10CFE">
              <w:rPr>
                <w:sz w:val="16"/>
                <w:szCs w:val="16"/>
              </w:rPr>
              <w:t>%)</w:t>
            </w:r>
          </w:p>
        </w:tc>
        <w:tc>
          <w:tcPr>
            <w:tcW w:w="1497" w:type="dxa"/>
          </w:tcPr>
          <w:p w14:paraId="7B12BAFE" w14:textId="72E9B1FF" w:rsidR="00155315" w:rsidRDefault="00F1420C" w:rsidP="00155315">
            <w:pPr>
              <w:jc w:val="center"/>
            </w:pPr>
            <w:r>
              <w:t>48</w:t>
            </w:r>
          </w:p>
          <w:p w14:paraId="7B69EFB7" w14:textId="0A5E8501" w:rsidR="00155315" w:rsidRPr="00E10CFE" w:rsidRDefault="00155315" w:rsidP="00155315">
            <w:pPr>
              <w:jc w:val="center"/>
              <w:rPr>
                <w:sz w:val="16"/>
                <w:szCs w:val="16"/>
              </w:rPr>
            </w:pPr>
            <w:r w:rsidRPr="00E10CFE">
              <w:rPr>
                <w:sz w:val="16"/>
                <w:szCs w:val="16"/>
              </w:rPr>
              <w:t>(-</w:t>
            </w:r>
            <w:r w:rsidR="00F1420C">
              <w:rPr>
                <w:sz w:val="16"/>
                <w:szCs w:val="16"/>
              </w:rPr>
              <w:t>73</w:t>
            </w:r>
            <w:r w:rsidRPr="00E10CFE">
              <w:rPr>
                <w:sz w:val="16"/>
                <w:szCs w:val="16"/>
              </w:rPr>
              <w:t>%)</w:t>
            </w:r>
          </w:p>
        </w:tc>
      </w:tr>
      <w:tr w:rsidR="00155315" w14:paraId="17EB2AD7" w14:textId="77777777" w:rsidTr="00155315">
        <w:tc>
          <w:tcPr>
            <w:tcW w:w="1513" w:type="dxa"/>
          </w:tcPr>
          <w:p w14:paraId="653051BC" w14:textId="77777777" w:rsidR="00155315" w:rsidRDefault="00155315" w:rsidP="00155315">
            <w:r>
              <w:t>3%</w:t>
            </w:r>
          </w:p>
        </w:tc>
        <w:tc>
          <w:tcPr>
            <w:tcW w:w="1505" w:type="dxa"/>
          </w:tcPr>
          <w:p w14:paraId="38633E28" w14:textId="67212EE2" w:rsidR="00155315" w:rsidRDefault="00F1420C" w:rsidP="00155315">
            <w:pPr>
              <w:jc w:val="center"/>
            </w:pPr>
            <w:r>
              <w:t>76</w:t>
            </w:r>
          </w:p>
          <w:p w14:paraId="09BC953B" w14:textId="3E71C133" w:rsidR="00155315" w:rsidRPr="00E10CFE" w:rsidRDefault="00155315" w:rsidP="00155315">
            <w:pPr>
              <w:jc w:val="center"/>
              <w:rPr>
                <w:sz w:val="16"/>
                <w:szCs w:val="16"/>
              </w:rPr>
            </w:pPr>
            <w:r w:rsidRPr="00E10CFE">
              <w:rPr>
                <w:sz w:val="16"/>
                <w:szCs w:val="16"/>
              </w:rPr>
              <w:t>(-</w:t>
            </w:r>
            <w:r>
              <w:rPr>
                <w:sz w:val="16"/>
                <w:szCs w:val="16"/>
              </w:rPr>
              <w:t>57</w:t>
            </w:r>
            <w:r w:rsidRPr="00E10CFE">
              <w:rPr>
                <w:sz w:val="16"/>
                <w:szCs w:val="16"/>
              </w:rPr>
              <w:t>%)</w:t>
            </w:r>
          </w:p>
        </w:tc>
        <w:tc>
          <w:tcPr>
            <w:tcW w:w="1501" w:type="dxa"/>
          </w:tcPr>
          <w:p w14:paraId="39E40CE5" w14:textId="7F1084CA" w:rsidR="00155315" w:rsidRDefault="00F1420C" w:rsidP="00155315">
            <w:pPr>
              <w:jc w:val="center"/>
            </w:pPr>
            <w:r>
              <w:t>66</w:t>
            </w:r>
          </w:p>
          <w:p w14:paraId="22B5BC8C" w14:textId="37C340C7" w:rsidR="00155315" w:rsidRPr="00E10CFE" w:rsidRDefault="00155315" w:rsidP="00155315">
            <w:pPr>
              <w:jc w:val="center"/>
              <w:rPr>
                <w:sz w:val="16"/>
                <w:szCs w:val="16"/>
              </w:rPr>
            </w:pPr>
            <w:r w:rsidRPr="00E10CFE">
              <w:rPr>
                <w:sz w:val="16"/>
                <w:szCs w:val="16"/>
              </w:rPr>
              <w:t>(-</w:t>
            </w:r>
            <w:r w:rsidR="00F1420C">
              <w:rPr>
                <w:sz w:val="16"/>
                <w:szCs w:val="16"/>
              </w:rPr>
              <w:t>63</w:t>
            </w:r>
            <w:r w:rsidRPr="00E10CFE">
              <w:rPr>
                <w:sz w:val="16"/>
                <w:szCs w:val="16"/>
              </w:rPr>
              <w:t>%)</w:t>
            </w:r>
          </w:p>
        </w:tc>
        <w:tc>
          <w:tcPr>
            <w:tcW w:w="1498" w:type="dxa"/>
          </w:tcPr>
          <w:p w14:paraId="143315D2" w14:textId="5898F4D3" w:rsidR="00155315" w:rsidRDefault="00F1420C" w:rsidP="00155315">
            <w:pPr>
              <w:jc w:val="center"/>
            </w:pPr>
            <w:r>
              <w:t>52</w:t>
            </w:r>
          </w:p>
          <w:p w14:paraId="310EFE9B" w14:textId="7EF51705" w:rsidR="00155315" w:rsidRPr="00E10CFE" w:rsidRDefault="00155315" w:rsidP="00155315">
            <w:pPr>
              <w:jc w:val="center"/>
              <w:rPr>
                <w:sz w:val="16"/>
                <w:szCs w:val="16"/>
              </w:rPr>
            </w:pPr>
            <w:r w:rsidRPr="00E10CFE">
              <w:rPr>
                <w:sz w:val="16"/>
                <w:szCs w:val="16"/>
              </w:rPr>
              <w:t>(-</w:t>
            </w:r>
            <w:r w:rsidR="00F1420C">
              <w:rPr>
                <w:sz w:val="16"/>
                <w:szCs w:val="16"/>
              </w:rPr>
              <w:t>71</w:t>
            </w:r>
            <w:r w:rsidRPr="00E10CFE">
              <w:rPr>
                <w:sz w:val="16"/>
                <w:szCs w:val="16"/>
              </w:rPr>
              <w:t>%)</w:t>
            </w:r>
          </w:p>
        </w:tc>
        <w:tc>
          <w:tcPr>
            <w:tcW w:w="1502" w:type="dxa"/>
          </w:tcPr>
          <w:p w14:paraId="7EECF02E" w14:textId="1B8108E3" w:rsidR="00155315" w:rsidRDefault="00F1420C" w:rsidP="00155315">
            <w:pPr>
              <w:jc w:val="center"/>
            </w:pPr>
            <w:r>
              <w:t>43</w:t>
            </w:r>
          </w:p>
          <w:p w14:paraId="274A5F8B" w14:textId="403EBFDC" w:rsidR="00155315" w:rsidRPr="00E10CFE" w:rsidRDefault="00155315" w:rsidP="00155315">
            <w:pPr>
              <w:jc w:val="center"/>
              <w:rPr>
                <w:sz w:val="16"/>
                <w:szCs w:val="16"/>
              </w:rPr>
            </w:pPr>
            <w:r w:rsidRPr="00E10CFE">
              <w:rPr>
                <w:sz w:val="16"/>
                <w:szCs w:val="16"/>
              </w:rPr>
              <w:t>(-</w:t>
            </w:r>
            <w:r w:rsidR="00F1420C">
              <w:rPr>
                <w:sz w:val="16"/>
                <w:szCs w:val="16"/>
              </w:rPr>
              <w:t>76</w:t>
            </w:r>
            <w:r w:rsidRPr="00E10CFE">
              <w:rPr>
                <w:sz w:val="16"/>
                <w:szCs w:val="16"/>
              </w:rPr>
              <w:t>%)</w:t>
            </w:r>
          </w:p>
        </w:tc>
        <w:tc>
          <w:tcPr>
            <w:tcW w:w="1497" w:type="dxa"/>
          </w:tcPr>
          <w:p w14:paraId="4BB03877" w14:textId="42533B21" w:rsidR="00155315" w:rsidRDefault="00F1420C" w:rsidP="00155315">
            <w:pPr>
              <w:jc w:val="center"/>
            </w:pPr>
            <w:r>
              <w:t>36</w:t>
            </w:r>
          </w:p>
          <w:p w14:paraId="6B402C2A" w14:textId="0E104386" w:rsidR="00155315" w:rsidRPr="00E10CFE" w:rsidRDefault="00155315" w:rsidP="00155315">
            <w:pPr>
              <w:jc w:val="center"/>
              <w:rPr>
                <w:sz w:val="16"/>
                <w:szCs w:val="16"/>
              </w:rPr>
            </w:pPr>
            <w:r w:rsidRPr="00E10CFE">
              <w:rPr>
                <w:sz w:val="16"/>
                <w:szCs w:val="16"/>
              </w:rPr>
              <w:t>(-</w:t>
            </w:r>
            <w:r w:rsidR="00F1420C">
              <w:rPr>
                <w:sz w:val="16"/>
                <w:szCs w:val="16"/>
              </w:rPr>
              <w:t>80</w:t>
            </w:r>
            <w:r w:rsidRPr="00E10CFE">
              <w:rPr>
                <w:sz w:val="16"/>
                <w:szCs w:val="16"/>
              </w:rPr>
              <w:t>%)</w:t>
            </w:r>
          </w:p>
        </w:tc>
      </w:tr>
      <w:tr w:rsidR="00155315" w14:paraId="05FB2B9E" w14:textId="77777777" w:rsidTr="00155315">
        <w:tc>
          <w:tcPr>
            <w:tcW w:w="1513" w:type="dxa"/>
          </w:tcPr>
          <w:p w14:paraId="33D73D04" w14:textId="77777777" w:rsidR="00155315" w:rsidRDefault="00155315" w:rsidP="00155315">
            <w:r>
              <w:t>2%</w:t>
            </w:r>
          </w:p>
        </w:tc>
        <w:tc>
          <w:tcPr>
            <w:tcW w:w="1505" w:type="dxa"/>
          </w:tcPr>
          <w:p w14:paraId="066DD9F3" w14:textId="20FB19B0" w:rsidR="00155315" w:rsidRDefault="00F1420C" w:rsidP="00155315">
            <w:pPr>
              <w:jc w:val="center"/>
            </w:pPr>
            <w:r>
              <w:t>51</w:t>
            </w:r>
          </w:p>
          <w:p w14:paraId="634CA428" w14:textId="5C153CA4" w:rsidR="00155315" w:rsidRPr="00E10CFE" w:rsidRDefault="00155315" w:rsidP="00155315">
            <w:pPr>
              <w:jc w:val="center"/>
              <w:rPr>
                <w:sz w:val="16"/>
                <w:szCs w:val="16"/>
              </w:rPr>
            </w:pPr>
            <w:r w:rsidRPr="00E10CFE">
              <w:rPr>
                <w:sz w:val="16"/>
                <w:szCs w:val="16"/>
              </w:rPr>
              <w:t>(-</w:t>
            </w:r>
            <w:r w:rsidR="00F1420C">
              <w:rPr>
                <w:sz w:val="16"/>
                <w:szCs w:val="16"/>
              </w:rPr>
              <w:t>72</w:t>
            </w:r>
            <w:r w:rsidRPr="00E10CFE">
              <w:rPr>
                <w:sz w:val="16"/>
                <w:szCs w:val="16"/>
              </w:rPr>
              <w:t>%)</w:t>
            </w:r>
          </w:p>
        </w:tc>
        <w:tc>
          <w:tcPr>
            <w:tcW w:w="1501" w:type="dxa"/>
          </w:tcPr>
          <w:p w14:paraId="3E48A8ED" w14:textId="35C45943" w:rsidR="00155315" w:rsidRDefault="00F1420C" w:rsidP="00155315">
            <w:pPr>
              <w:jc w:val="center"/>
            </w:pPr>
            <w:r>
              <w:t>44</w:t>
            </w:r>
          </w:p>
          <w:p w14:paraId="0E428D58" w14:textId="48A13894" w:rsidR="00155315" w:rsidRPr="00E10CFE" w:rsidRDefault="00155315" w:rsidP="00155315">
            <w:pPr>
              <w:jc w:val="center"/>
              <w:rPr>
                <w:sz w:val="16"/>
                <w:szCs w:val="16"/>
              </w:rPr>
            </w:pPr>
            <w:r w:rsidRPr="00E10CFE">
              <w:rPr>
                <w:sz w:val="16"/>
                <w:szCs w:val="16"/>
              </w:rPr>
              <w:t>(-</w:t>
            </w:r>
            <w:r w:rsidR="00F1420C">
              <w:rPr>
                <w:sz w:val="16"/>
                <w:szCs w:val="16"/>
              </w:rPr>
              <w:t>75</w:t>
            </w:r>
            <w:r w:rsidRPr="00E10CFE">
              <w:rPr>
                <w:sz w:val="16"/>
                <w:szCs w:val="16"/>
              </w:rPr>
              <w:t>%)</w:t>
            </w:r>
          </w:p>
        </w:tc>
        <w:tc>
          <w:tcPr>
            <w:tcW w:w="1498" w:type="dxa"/>
          </w:tcPr>
          <w:p w14:paraId="49C0A402" w14:textId="6C046C6A" w:rsidR="00155315" w:rsidRDefault="00F1420C" w:rsidP="00155315">
            <w:pPr>
              <w:jc w:val="center"/>
            </w:pPr>
            <w:r>
              <w:t>35</w:t>
            </w:r>
          </w:p>
          <w:p w14:paraId="2A351148" w14:textId="00C018DF" w:rsidR="00155315" w:rsidRPr="00E10CFE" w:rsidRDefault="00155315" w:rsidP="00155315">
            <w:pPr>
              <w:jc w:val="center"/>
              <w:rPr>
                <w:sz w:val="16"/>
                <w:szCs w:val="16"/>
              </w:rPr>
            </w:pPr>
            <w:r w:rsidRPr="00E10CFE">
              <w:rPr>
                <w:sz w:val="16"/>
                <w:szCs w:val="16"/>
              </w:rPr>
              <w:t>(-</w:t>
            </w:r>
            <w:r w:rsidR="00F1420C">
              <w:rPr>
                <w:sz w:val="16"/>
                <w:szCs w:val="16"/>
              </w:rPr>
              <w:t>81</w:t>
            </w:r>
            <w:r w:rsidRPr="00E10CFE">
              <w:rPr>
                <w:sz w:val="16"/>
                <w:szCs w:val="16"/>
              </w:rPr>
              <w:t>%)</w:t>
            </w:r>
          </w:p>
        </w:tc>
        <w:tc>
          <w:tcPr>
            <w:tcW w:w="1502" w:type="dxa"/>
          </w:tcPr>
          <w:p w14:paraId="08FBD809" w14:textId="6486C7F3" w:rsidR="00155315" w:rsidRDefault="00F1420C" w:rsidP="00155315">
            <w:pPr>
              <w:jc w:val="center"/>
            </w:pPr>
            <w:r>
              <w:t>28</w:t>
            </w:r>
          </w:p>
          <w:p w14:paraId="50E4C65B" w14:textId="21B1A42D" w:rsidR="00155315" w:rsidRPr="00E10CFE" w:rsidRDefault="00155315" w:rsidP="00155315">
            <w:pPr>
              <w:jc w:val="center"/>
              <w:rPr>
                <w:sz w:val="16"/>
                <w:szCs w:val="16"/>
              </w:rPr>
            </w:pPr>
            <w:r w:rsidRPr="00E10CFE">
              <w:rPr>
                <w:sz w:val="16"/>
                <w:szCs w:val="16"/>
              </w:rPr>
              <w:t>(-</w:t>
            </w:r>
            <w:r w:rsidR="00F1420C">
              <w:rPr>
                <w:sz w:val="16"/>
                <w:szCs w:val="16"/>
              </w:rPr>
              <w:t>84</w:t>
            </w:r>
            <w:r w:rsidRPr="00E10CFE">
              <w:rPr>
                <w:sz w:val="16"/>
                <w:szCs w:val="16"/>
              </w:rPr>
              <w:t>%)</w:t>
            </w:r>
          </w:p>
        </w:tc>
        <w:tc>
          <w:tcPr>
            <w:tcW w:w="1497" w:type="dxa"/>
          </w:tcPr>
          <w:p w14:paraId="50DD7AFB" w14:textId="36F40AB2" w:rsidR="00155315" w:rsidRDefault="00F1420C" w:rsidP="00155315">
            <w:pPr>
              <w:jc w:val="center"/>
            </w:pPr>
            <w:r>
              <w:t>24</w:t>
            </w:r>
          </w:p>
          <w:p w14:paraId="739A6AAC" w14:textId="4B4B18EB" w:rsidR="00155315" w:rsidRPr="00E10CFE" w:rsidRDefault="00155315" w:rsidP="00155315">
            <w:pPr>
              <w:jc w:val="center"/>
              <w:rPr>
                <w:sz w:val="16"/>
                <w:szCs w:val="16"/>
              </w:rPr>
            </w:pPr>
            <w:r w:rsidRPr="00E10CFE">
              <w:rPr>
                <w:sz w:val="16"/>
                <w:szCs w:val="16"/>
              </w:rPr>
              <w:t>(-</w:t>
            </w:r>
            <w:r w:rsidR="00F1420C">
              <w:rPr>
                <w:sz w:val="16"/>
                <w:szCs w:val="16"/>
              </w:rPr>
              <w:t>87</w:t>
            </w:r>
            <w:r w:rsidRPr="00E10CFE">
              <w:rPr>
                <w:sz w:val="16"/>
                <w:szCs w:val="16"/>
              </w:rPr>
              <w:t>%)</w:t>
            </w:r>
          </w:p>
        </w:tc>
      </w:tr>
    </w:tbl>
    <w:p w14:paraId="7F50783D" w14:textId="29A3CF50" w:rsidR="00076874" w:rsidRDefault="00076874" w:rsidP="00076874"/>
    <w:p w14:paraId="0C54F048" w14:textId="6B56C312" w:rsidR="00B10E5D" w:rsidRPr="00076874" w:rsidRDefault="00B10E5D" w:rsidP="00076874">
      <w:r>
        <w:t xml:space="preserve">In addition to the above, a recent data collection exercise by the CROF found that allowing for diversification at group level and between business lines led to an average reduction of 16% </w:t>
      </w:r>
      <w:r w:rsidR="00772D1B">
        <w:t xml:space="preserve">(in relative terms i.e. not additive) </w:t>
      </w:r>
      <w:r>
        <w:t>in the risk margin, although the total across industry might be expected to be lower given that the CROF tends to consist of larger insurance groups where diversification would be more material.</w:t>
      </w:r>
    </w:p>
    <w:p w14:paraId="0CDCA6EE" w14:textId="77777777" w:rsidR="0035657D" w:rsidRDefault="0035657D" w:rsidP="0035657D">
      <w:pPr>
        <w:pStyle w:val="Nadpis2"/>
      </w:pPr>
      <w:r>
        <w:lastRenderedPageBreak/>
        <w:t>Maximum possible value for the risk margin</w:t>
      </w:r>
    </w:p>
    <w:p w14:paraId="596A70FD" w14:textId="26690A6F" w:rsidR="0035657D" w:rsidRDefault="0035657D" w:rsidP="00CC5A6E">
      <w:r>
        <w:t xml:space="preserve">With the introduction of the lambda parameter, assuming no </w:t>
      </w:r>
      <w:r w:rsidR="006D1927">
        <w:t xml:space="preserve">arbitrary </w:t>
      </w:r>
      <w:r>
        <w:t>floor to this, th</w:t>
      </w:r>
      <w:r w:rsidR="006D1927">
        <w:t xml:space="preserve">e maximum possible value of the risk margin relative to SCR is given as (see Appendix </w:t>
      </w:r>
      <w:r w:rsidR="00CC5A6E">
        <w:t>1</w:t>
      </w:r>
      <w:r w:rsidR="006D1927">
        <w:t xml:space="preserve"> for derivation of this)</w:t>
      </w:r>
      <w:r>
        <w:t>:</w:t>
      </w:r>
    </w:p>
    <w:p w14:paraId="637D862E" w14:textId="60B755EE" w:rsidR="0035657D" w:rsidRDefault="006B3EDC" w:rsidP="0035657D">
      <m:oMathPara>
        <m:oMath>
          <m:f>
            <m:fPr>
              <m:ctrlPr>
                <w:rPr>
                  <w:rFonts w:ascii="Cambria Math" w:hAnsi="Cambria Math"/>
                  <w:i/>
                </w:rPr>
              </m:ctrlPr>
            </m:fPr>
            <m:num>
              <m:r>
                <w:rPr>
                  <w:rFonts w:ascii="Cambria Math" w:hAnsi="Cambria Math"/>
                </w:rPr>
                <m:t>CoC</m:t>
              </m:r>
            </m:num>
            <m:den>
              <m:r>
                <w:rPr>
                  <w:rFonts w:ascii="Cambria Math" w:hAnsi="Cambria Math"/>
                </w:rPr>
                <m:t>1-λ</m:t>
              </m:r>
            </m:den>
          </m:f>
        </m:oMath>
      </m:oMathPara>
    </w:p>
    <w:p w14:paraId="61917E9B" w14:textId="1DF1AA95" w:rsidR="0035657D" w:rsidRDefault="000B5B34" w:rsidP="0035657D">
      <w:r>
        <w:t xml:space="preserve">Under the current approach (i.e. with lambda effectively equal to one), </w:t>
      </w:r>
      <w:r w:rsidR="0035657D">
        <w:t xml:space="preserve">there is no theoretical maximum, so the risk margin can, in theory, become infinite. The table below provides the theoretical maximum risk margin as a </w:t>
      </w:r>
      <w:r w:rsidR="00274B9E">
        <w:t>percentage</w:t>
      </w:r>
      <w:r w:rsidR="0035657D">
        <w:t xml:space="preserve"> of SCR for different combinations of lambda and the cost of capital rate.</w:t>
      </w:r>
    </w:p>
    <w:p w14:paraId="25B2EFBB" w14:textId="12E38312" w:rsidR="0035657D" w:rsidRPr="00CE6C01" w:rsidRDefault="00274B9E" w:rsidP="0035657D">
      <w:pPr>
        <w:rPr>
          <w:b/>
          <w:bCs/>
          <w:u w:val="single"/>
        </w:rPr>
      </w:pPr>
      <w:r>
        <w:rPr>
          <w:b/>
          <w:bCs/>
          <w:u w:val="single"/>
        </w:rPr>
        <w:t xml:space="preserve">Table </w:t>
      </w:r>
      <w:r w:rsidR="00076874">
        <w:rPr>
          <w:b/>
          <w:bCs/>
          <w:u w:val="single"/>
        </w:rPr>
        <w:t>2</w:t>
      </w:r>
      <w:r>
        <w:rPr>
          <w:b/>
          <w:bCs/>
          <w:u w:val="single"/>
        </w:rPr>
        <w:t xml:space="preserve">. </w:t>
      </w:r>
      <w:r w:rsidRPr="00CE6C01">
        <w:rPr>
          <w:b/>
          <w:bCs/>
          <w:u w:val="single"/>
        </w:rPr>
        <w:t>Maximum possible value of the risk margin</w:t>
      </w:r>
      <w:r>
        <w:rPr>
          <w:b/>
          <w:bCs/>
          <w:u w:val="single"/>
        </w:rPr>
        <w:t xml:space="preserve"> (as a percentage of SCR)</w:t>
      </w:r>
    </w:p>
    <w:tbl>
      <w:tblPr>
        <w:tblStyle w:val="Mriekatabuky"/>
        <w:tblW w:w="0" w:type="auto"/>
        <w:tblLook w:val="04A0" w:firstRow="1" w:lastRow="0" w:firstColumn="1" w:lastColumn="0" w:noHBand="0" w:noVBand="1"/>
      </w:tblPr>
      <w:tblGrid>
        <w:gridCol w:w="1512"/>
        <w:gridCol w:w="1504"/>
        <w:gridCol w:w="1503"/>
        <w:gridCol w:w="1498"/>
        <w:gridCol w:w="1500"/>
        <w:gridCol w:w="1499"/>
      </w:tblGrid>
      <w:tr w:rsidR="0035657D" w14:paraId="3D905674" w14:textId="77777777" w:rsidTr="009A2787">
        <w:tc>
          <w:tcPr>
            <w:tcW w:w="1540" w:type="dxa"/>
          </w:tcPr>
          <w:p w14:paraId="5CA3903B" w14:textId="77777777" w:rsidR="0035657D" w:rsidRDefault="0035657D" w:rsidP="00C12BDF">
            <w:proofErr w:type="spellStart"/>
            <w:r>
              <w:t>CoC</w:t>
            </w:r>
            <w:proofErr w:type="spellEnd"/>
            <w:r>
              <w:t xml:space="preserve"> / lambda</w:t>
            </w:r>
          </w:p>
        </w:tc>
        <w:tc>
          <w:tcPr>
            <w:tcW w:w="1540" w:type="dxa"/>
          </w:tcPr>
          <w:p w14:paraId="09E10339" w14:textId="77777777" w:rsidR="0035657D" w:rsidRDefault="0035657D" w:rsidP="00C12BDF">
            <w:pPr>
              <w:jc w:val="center"/>
            </w:pPr>
            <w:r>
              <w:t>0.975</w:t>
            </w:r>
          </w:p>
        </w:tc>
        <w:tc>
          <w:tcPr>
            <w:tcW w:w="1540" w:type="dxa"/>
          </w:tcPr>
          <w:p w14:paraId="184568BE" w14:textId="77777777" w:rsidR="0035657D" w:rsidRDefault="0035657D" w:rsidP="00C12BDF">
            <w:pPr>
              <w:jc w:val="center"/>
            </w:pPr>
            <w:r>
              <w:t>0.95</w:t>
            </w:r>
          </w:p>
        </w:tc>
        <w:tc>
          <w:tcPr>
            <w:tcW w:w="1540" w:type="dxa"/>
          </w:tcPr>
          <w:p w14:paraId="39CFFBFE" w14:textId="77777777" w:rsidR="0035657D" w:rsidRDefault="0035657D" w:rsidP="00C12BDF">
            <w:pPr>
              <w:jc w:val="center"/>
            </w:pPr>
            <w:r>
              <w:t>0.9</w:t>
            </w:r>
          </w:p>
        </w:tc>
        <w:tc>
          <w:tcPr>
            <w:tcW w:w="1541" w:type="dxa"/>
          </w:tcPr>
          <w:p w14:paraId="7B03173C" w14:textId="77777777" w:rsidR="0035657D" w:rsidRDefault="0035657D" w:rsidP="00C12BDF">
            <w:pPr>
              <w:jc w:val="center"/>
            </w:pPr>
            <w:r>
              <w:t>0.85</w:t>
            </w:r>
          </w:p>
        </w:tc>
        <w:tc>
          <w:tcPr>
            <w:tcW w:w="1541" w:type="dxa"/>
          </w:tcPr>
          <w:p w14:paraId="409F6271" w14:textId="77777777" w:rsidR="0035657D" w:rsidRDefault="0035657D" w:rsidP="00C12BDF">
            <w:pPr>
              <w:jc w:val="center"/>
            </w:pPr>
            <w:r>
              <w:t>0.8</w:t>
            </w:r>
          </w:p>
        </w:tc>
      </w:tr>
      <w:tr w:rsidR="0035657D" w14:paraId="45BB2548" w14:textId="77777777" w:rsidTr="009A2787">
        <w:tc>
          <w:tcPr>
            <w:tcW w:w="1540" w:type="dxa"/>
          </w:tcPr>
          <w:p w14:paraId="65516BF7" w14:textId="77777777" w:rsidR="0035657D" w:rsidRDefault="0035657D" w:rsidP="00C12BDF">
            <w:r>
              <w:t>6%</w:t>
            </w:r>
          </w:p>
        </w:tc>
        <w:tc>
          <w:tcPr>
            <w:tcW w:w="1540" w:type="dxa"/>
          </w:tcPr>
          <w:p w14:paraId="7FA7DC09" w14:textId="77777777" w:rsidR="0035657D" w:rsidRDefault="0035657D" w:rsidP="00C12BDF">
            <w:pPr>
              <w:jc w:val="center"/>
            </w:pPr>
            <w:r>
              <w:t>240%</w:t>
            </w:r>
          </w:p>
        </w:tc>
        <w:tc>
          <w:tcPr>
            <w:tcW w:w="1540" w:type="dxa"/>
          </w:tcPr>
          <w:p w14:paraId="65B14864" w14:textId="77777777" w:rsidR="0035657D" w:rsidRDefault="0035657D" w:rsidP="00C12BDF">
            <w:pPr>
              <w:jc w:val="center"/>
            </w:pPr>
            <w:r>
              <w:t>120%</w:t>
            </w:r>
          </w:p>
        </w:tc>
        <w:tc>
          <w:tcPr>
            <w:tcW w:w="1540" w:type="dxa"/>
          </w:tcPr>
          <w:p w14:paraId="5D331FBC" w14:textId="77777777" w:rsidR="0035657D" w:rsidRDefault="0035657D" w:rsidP="00C12BDF">
            <w:pPr>
              <w:jc w:val="center"/>
            </w:pPr>
            <w:r>
              <w:t>60%</w:t>
            </w:r>
          </w:p>
        </w:tc>
        <w:tc>
          <w:tcPr>
            <w:tcW w:w="1541" w:type="dxa"/>
          </w:tcPr>
          <w:p w14:paraId="0D554F5C" w14:textId="77777777" w:rsidR="0035657D" w:rsidRDefault="0035657D" w:rsidP="00C12BDF">
            <w:pPr>
              <w:jc w:val="center"/>
            </w:pPr>
            <w:r>
              <w:t>40%</w:t>
            </w:r>
          </w:p>
        </w:tc>
        <w:tc>
          <w:tcPr>
            <w:tcW w:w="1541" w:type="dxa"/>
          </w:tcPr>
          <w:p w14:paraId="1CD22AA8" w14:textId="77777777" w:rsidR="0035657D" w:rsidRDefault="0035657D" w:rsidP="00C12BDF">
            <w:pPr>
              <w:jc w:val="center"/>
            </w:pPr>
            <w:r>
              <w:t>30%</w:t>
            </w:r>
          </w:p>
        </w:tc>
      </w:tr>
      <w:tr w:rsidR="0035657D" w14:paraId="41806E6D" w14:textId="77777777" w:rsidTr="009A2787">
        <w:tc>
          <w:tcPr>
            <w:tcW w:w="1540" w:type="dxa"/>
          </w:tcPr>
          <w:p w14:paraId="3792021D" w14:textId="77777777" w:rsidR="0035657D" w:rsidRDefault="0035657D" w:rsidP="00C12BDF">
            <w:r>
              <w:t>5%</w:t>
            </w:r>
          </w:p>
        </w:tc>
        <w:tc>
          <w:tcPr>
            <w:tcW w:w="1540" w:type="dxa"/>
          </w:tcPr>
          <w:p w14:paraId="7767ECE5" w14:textId="77777777" w:rsidR="0035657D" w:rsidRDefault="0035657D" w:rsidP="00C12BDF">
            <w:pPr>
              <w:jc w:val="center"/>
            </w:pPr>
            <w:r>
              <w:t>200%</w:t>
            </w:r>
          </w:p>
        </w:tc>
        <w:tc>
          <w:tcPr>
            <w:tcW w:w="1540" w:type="dxa"/>
          </w:tcPr>
          <w:p w14:paraId="68F80FA4" w14:textId="77777777" w:rsidR="0035657D" w:rsidRDefault="0035657D" w:rsidP="00C12BDF">
            <w:pPr>
              <w:jc w:val="center"/>
            </w:pPr>
            <w:r>
              <w:t>100%</w:t>
            </w:r>
          </w:p>
        </w:tc>
        <w:tc>
          <w:tcPr>
            <w:tcW w:w="1540" w:type="dxa"/>
          </w:tcPr>
          <w:p w14:paraId="0F7CE990" w14:textId="77777777" w:rsidR="0035657D" w:rsidRDefault="0035657D" w:rsidP="00C12BDF">
            <w:pPr>
              <w:jc w:val="center"/>
            </w:pPr>
            <w:r>
              <w:t>50%</w:t>
            </w:r>
          </w:p>
        </w:tc>
        <w:tc>
          <w:tcPr>
            <w:tcW w:w="1541" w:type="dxa"/>
          </w:tcPr>
          <w:p w14:paraId="4618EAC4" w14:textId="77777777" w:rsidR="0035657D" w:rsidRDefault="0035657D" w:rsidP="00C12BDF">
            <w:pPr>
              <w:jc w:val="center"/>
            </w:pPr>
            <w:r>
              <w:t>33%</w:t>
            </w:r>
          </w:p>
        </w:tc>
        <w:tc>
          <w:tcPr>
            <w:tcW w:w="1541" w:type="dxa"/>
          </w:tcPr>
          <w:p w14:paraId="44F3368C" w14:textId="77777777" w:rsidR="0035657D" w:rsidRDefault="0035657D" w:rsidP="00C12BDF">
            <w:pPr>
              <w:jc w:val="center"/>
            </w:pPr>
            <w:r>
              <w:t>25%</w:t>
            </w:r>
          </w:p>
        </w:tc>
      </w:tr>
      <w:tr w:rsidR="0035657D" w14:paraId="2AE15279" w14:textId="77777777" w:rsidTr="009A2787">
        <w:tc>
          <w:tcPr>
            <w:tcW w:w="1540" w:type="dxa"/>
          </w:tcPr>
          <w:p w14:paraId="77193611" w14:textId="77777777" w:rsidR="0035657D" w:rsidRDefault="0035657D" w:rsidP="00C12BDF">
            <w:r>
              <w:t>4%</w:t>
            </w:r>
          </w:p>
        </w:tc>
        <w:tc>
          <w:tcPr>
            <w:tcW w:w="1540" w:type="dxa"/>
          </w:tcPr>
          <w:p w14:paraId="1D3C2EA7" w14:textId="77777777" w:rsidR="0035657D" w:rsidRDefault="0035657D" w:rsidP="00C12BDF">
            <w:pPr>
              <w:jc w:val="center"/>
            </w:pPr>
            <w:r>
              <w:t>160%</w:t>
            </w:r>
          </w:p>
        </w:tc>
        <w:tc>
          <w:tcPr>
            <w:tcW w:w="1540" w:type="dxa"/>
          </w:tcPr>
          <w:p w14:paraId="28D6758A" w14:textId="77777777" w:rsidR="0035657D" w:rsidRDefault="0035657D" w:rsidP="00C12BDF">
            <w:pPr>
              <w:jc w:val="center"/>
            </w:pPr>
            <w:r>
              <w:t>80%</w:t>
            </w:r>
          </w:p>
        </w:tc>
        <w:tc>
          <w:tcPr>
            <w:tcW w:w="1540" w:type="dxa"/>
          </w:tcPr>
          <w:p w14:paraId="466803CD" w14:textId="77777777" w:rsidR="0035657D" w:rsidRDefault="0035657D" w:rsidP="00C12BDF">
            <w:pPr>
              <w:jc w:val="center"/>
            </w:pPr>
            <w:r>
              <w:t>40%</w:t>
            </w:r>
          </w:p>
        </w:tc>
        <w:tc>
          <w:tcPr>
            <w:tcW w:w="1541" w:type="dxa"/>
          </w:tcPr>
          <w:p w14:paraId="1F66B30E" w14:textId="77777777" w:rsidR="0035657D" w:rsidRDefault="0035657D" w:rsidP="00C12BDF">
            <w:pPr>
              <w:jc w:val="center"/>
            </w:pPr>
            <w:r>
              <w:t>27%</w:t>
            </w:r>
          </w:p>
        </w:tc>
        <w:tc>
          <w:tcPr>
            <w:tcW w:w="1541" w:type="dxa"/>
          </w:tcPr>
          <w:p w14:paraId="41EFE2EC" w14:textId="77777777" w:rsidR="0035657D" w:rsidRDefault="0035657D" w:rsidP="00C12BDF">
            <w:pPr>
              <w:jc w:val="center"/>
            </w:pPr>
            <w:r>
              <w:t>20%</w:t>
            </w:r>
          </w:p>
        </w:tc>
      </w:tr>
      <w:tr w:rsidR="0035657D" w14:paraId="2E1AC06F" w14:textId="77777777" w:rsidTr="009A2787">
        <w:tc>
          <w:tcPr>
            <w:tcW w:w="1540" w:type="dxa"/>
          </w:tcPr>
          <w:p w14:paraId="2125C486" w14:textId="77777777" w:rsidR="0035657D" w:rsidRDefault="0035657D" w:rsidP="00C12BDF">
            <w:r>
              <w:t>3%</w:t>
            </w:r>
          </w:p>
        </w:tc>
        <w:tc>
          <w:tcPr>
            <w:tcW w:w="1540" w:type="dxa"/>
          </w:tcPr>
          <w:p w14:paraId="40F116FB" w14:textId="77777777" w:rsidR="0035657D" w:rsidRDefault="0035657D" w:rsidP="00C12BDF">
            <w:pPr>
              <w:jc w:val="center"/>
            </w:pPr>
            <w:r>
              <w:t>120%</w:t>
            </w:r>
          </w:p>
        </w:tc>
        <w:tc>
          <w:tcPr>
            <w:tcW w:w="1540" w:type="dxa"/>
          </w:tcPr>
          <w:p w14:paraId="7C0B6DE7" w14:textId="77777777" w:rsidR="0035657D" w:rsidRDefault="0035657D" w:rsidP="00C12BDF">
            <w:pPr>
              <w:jc w:val="center"/>
            </w:pPr>
            <w:r>
              <w:t>60%</w:t>
            </w:r>
          </w:p>
        </w:tc>
        <w:tc>
          <w:tcPr>
            <w:tcW w:w="1540" w:type="dxa"/>
          </w:tcPr>
          <w:p w14:paraId="5D842523" w14:textId="77777777" w:rsidR="0035657D" w:rsidRDefault="0035657D" w:rsidP="00C12BDF">
            <w:pPr>
              <w:jc w:val="center"/>
            </w:pPr>
            <w:r>
              <w:t>30%</w:t>
            </w:r>
          </w:p>
        </w:tc>
        <w:tc>
          <w:tcPr>
            <w:tcW w:w="1541" w:type="dxa"/>
          </w:tcPr>
          <w:p w14:paraId="3191910C" w14:textId="77777777" w:rsidR="0035657D" w:rsidRDefault="0035657D" w:rsidP="00C12BDF">
            <w:pPr>
              <w:jc w:val="center"/>
            </w:pPr>
            <w:r>
              <w:t>20%</w:t>
            </w:r>
          </w:p>
        </w:tc>
        <w:tc>
          <w:tcPr>
            <w:tcW w:w="1541" w:type="dxa"/>
          </w:tcPr>
          <w:p w14:paraId="38765153" w14:textId="77777777" w:rsidR="0035657D" w:rsidRDefault="0035657D" w:rsidP="00C12BDF">
            <w:pPr>
              <w:jc w:val="center"/>
            </w:pPr>
            <w:r>
              <w:t>15%</w:t>
            </w:r>
          </w:p>
        </w:tc>
      </w:tr>
      <w:tr w:rsidR="0035657D" w14:paraId="6D99F850" w14:textId="77777777" w:rsidTr="009A2787">
        <w:tc>
          <w:tcPr>
            <w:tcW w:w="1540" w:type="dxa"/>
          </w:tcPr>
          <w:p w14:paraId="53552FA6" w14:textId="77777777" w:rsidR="0035657D" w:rsidRDefault="0035657D" w:rsidP="00C12BDF">
            <w:r>
              <w:t>2%</w:t>
            </w:r>
          </w:p>
        </w:tc>
        <w:tc>
          <w:tcPr>
            <w:tcW w:w="1540" w:type="dxa"/>
          </w:tcPr>
          <w:p w14:paraId="0611DE88" w14:textId="77777777" w:rsidR="0035657D" w:rsidRDefault="0035657D" w:rsidP="00C12BDF">
            <w:pPr>
              <w:jc w:val="center"/>
            </w:pPr>
            <w:r>
              <w:t>80%</w:t>
            </w:r>
          </w:p>
        </w:tc>
        <w:tc>
          <w:tcPr>
            <w:tcW w:w="1540" w:type="dxa"/>
          </w:tcPr>
          <w:p w14:paraId="7692B81B" w14:textId="77777777" w:rsidR="0035657D" w:rsidRDefault="0035657D" w:rsidP="00C12BDF">
            <w:pPr>
              <w:jc w:val="center"/>
            </w:pPr>
            <w:r>
              <w:t>40%</w:t>
            </w:r>
          </w:p>
        </w:tc>
        <w:tc>
          <w:tcPr>
            <w:tcW w:w="1540" w:type="dxa"/>
          </w:tcPr>
          <w:p w14:paraId="75ADE68E" w14:textId="77777777" w:rsidR="0035657D" w:rsidRDefault="0035657D" w:rsidP="00C12BDF">
            <w:pPr>
              <w:jc w:val="center"/>
            </w:pPr>
            <w:r>
              <w:t>20%</w:t>
            </w:r>
          </w:p>
        </w:tc>
        <w:tc>
          <w:tcPr>
            <w:tcW w:w="1541" w:type="dxa"/>
          </w:tcPr>
          <w:p w14:paraId="2B72D471" w14:textId="77777777" w:rsidR="0035657D" w:rsidRDefault="0035657D" w:rsidP="00C12BDF">
            <w:pPr>
              <w:jc w:val="center"/>
            </w:pPr>
            <w:r>
              <w:t>13%</w:t>
            </w:r>
          </w:p>
        </w:tc>
        <w:tc>
          <w:tcPr>
            <w:tcW w:w="1541" w:type="dxa"/>
          </w:tcPr>
          <w:p w14:paraId="6F4CBA74" w14:textId="77777777" w:rsidR="0035657D" w:rsidRDefault="0035657D" w:rsidP="00C12BDF">
            <w:pPr>
              <w:jc w:val="center"/>
            </w:pPr>
            <w:r>
              <w:t>10%</w:t>
            </w:r>
          </w:p>
        </w:tc>
      </w:tr>
    </w:tbl>
    <w:p w14:paraId="46D7FEC9" w14:textId="77777777" w:rsidR="0035657D" w:rsidRDefault="0035657D" w:rsidP="0035657D"/>
    <w:p w14:paraId="67564A3F" w14:textId="3D27FAEB" w:rsidR="0035657D" w:rsidRDefault="0035657D" w:rsidP="0035657D">
      <w:pPr>
        <w:pStyle w:val="Nadpis2"/>
      </w:pPr>
      <w:r>
        <w:t xml:space="preserve">Maximum possible sensitivity of the </w:t>
      </w:r>
      <w:r w:rsidR="0005673E">
        <w:t>risk margin to 1% fall in interest rates</w:t>
      </w:r>
    </w:p>
    <w:p w14:paraId="746B3BEF" w14:textId="5E2E5A84" w:rsidR="0035657D" w:rsidRDefault="00CB3BF6" w:rsidP="0035657D">
      <w:r>
        <w:t>W</w:t>
      </w:r>
      <w:r w:rsidR="0035657D">
        <w:t xml:space="preserve">e </w:t>
      </w:r>
      <w:r w:rsidR="000B5B34">
        <w:t xml:space="preserve">can also </w:t>
      </w:r>
      <w:r w:rsidR="0035657D">
        <w:t xml:space="preserve">evaluate the sensitivity of the </w:t>
      </w:r>
      <w:r w:rsidR="00DA4742">
        <w:t xml:space="preserve">risk margin </w:t>
      </w:r>
      <w:r w:rsidR="0035657D">
        <w:t>with respect to interest rates by considering the maximum change in the value of the risk margin, as a percentage of SCR, given a fall in interest rates from 1% to 0%</w:t>
      </w:r>
      <w:r w:rsidR="00624EC4">
        <w:t xml:space="preserve"> (assuming that SCR does not change with interest rates)</w:t>
      </w:r>
      <w:r w:rsidR="0035657D">
        <w:t>.</w:t>
      </w:r>
    </w:p>
    <w:p w14:paraId="50E732FD" w14:textId="41D1D7BF" w:rsidR="0035657D" w:rsidRPr="00CE6C01" w:rsidRDefault="00274B9E" w:rsidP="0035657D">
      <w:pPr>
        <w:rPr>
          <w:b/>
          <w:bCs/>
          <w:u w:val="single"/>
        </w:rPr>
      </w:pPr>
      <w:r>
        <w:rPr>
          <w:b/>
          <w:bCs/>
          <w:u w:val="single"/>
        </w:rPr>
        <w:t xml:space="preserve">Table </w:t>
      </w:r>
      <w:r w:rsidR="00076874">
        <w:rPr>
          <w:b/>
          <w:bCs/>
          <w:u w:val="single"/>
        </w:rPr>
        <w:t>3</w:t>
      </w:r>
      <w:r>
        <w:rPr>
          <w:b/>
          <w:bCs/>
          <w:u w:val="single"/>
        </w:rPr>
        <w:t xml:space="preserve">. </w:t>
      </w:r>
      <w:r w:rsidRPr="00CE6C01">
        <w:rPr>
          <w:b/>
          <w:bCs/>
          <w:u w:val="single"/>
        </w:rPr>
        <w:t xml:space="preserve">Maximum sensitivity of risk margin </w:t>
      </w:r>
      <w:r>
        <w:rPr>
          <w:b/>
          <w:bCs/>
          <w:u w:val="single"/>
        </w:rPr>
        <w:t>to</w:t>
      </w:r>
      <w:r w:rsidRPr="00CE6C01">
        <w:rPr>
          <w:b/>
          <w:bCs/>
          <w:u w:val="single"/>
        </w:rPr>
        <w:t xml:space="preserve"> 1% </w:t>
      </w:r>
      <w:r>
        <w:rPr>
          <w:b/>
          <w:bCs/>
          <w:u w:val="single"/>
        </w:rPr>
        <w:t>fall</w:t>
      </w:r>
      <w:r w:rsidRPr="00CE6C01">
        <w:rPr>
          <w:b/>
          <w:bCs/>
          <w:u w:val="single"/>
        </w:rPr>
        <w:t xml:space="preserve"> in interest rates</w:t>
      </w:r>
      <w:r>
        <w:rPr>
          <w:b/>
          <w:bCs/>
          <w:u w:val="single"/>
        </w:rPr>
        <w:t xml:space="preserve"> (as a percentage of SCR)</w:t>
      </w:r>
    </w:p>
    <w:tbl>
      <w:tblPr>
        <w:tblStyle w:val="Mriekatabuky"/>
        <w:tblW w:w="0" w:type="auto"/>
        <w:tblLook w:val="04A0" w:firstRow="1" w:lastRow="0" w:firstColumn="1" w:lastColumn="0" w:noHBand="0" w:noVBand="1"/>
      </w:tblPr>
      <w:tblGrid>
        <w:gridCol w:w="1512"/>
        <w:gridCol w:w="1506"/>
        <w:gridCol w:w="1501"/>
        <w:gridCol w:w="1497"/>
        <w:gridCol w:w="1502"/>
        <w:gridCol w:w="1498"/>
      </w:tblGrid>
      <w:tr w:rsidR="0035657D" w14:paraId="7297CE83" w14:textId="77777777" w:rsidTr="009A2787">
        <w:tc>
          <w:tcPr>
            <w:tcW w:w="1540" w:type="dxa"/>
          </w:tcPr>
          <w:p w14:paraId="509BF4CB" w14:textId="77777777" w:rsidR="0035657D" w:rsidRDefault="0035657D" w:rsidP="00C12BDF">
            <w:proofErr w:type="spellStart"/>
            <w:r>
              <w:t>CoC</w:t>
            </w:r>
            <w:proofErr w:type="spellEnd"/>
            <w:r>
              <w:t xml:space="preserve"> / lambda</w:t>
            </w:r>
          </w:p>
        </w:tc>
        <w:tc>
          <w:tcPr>
            <w:tcW w:w="1540" w:type="dxa"/>
          </w:tcPr>
          <w:p w14:paraId="0A0AE445" w14:textId="77777777" w:rsidR="0035657D" w:rsidRDefault="0035657D" w:rsidP="00C12BDF">
            <w:pPr>
              <w:jc w:val="center"/>
            </w:pPr>
            <w:r>
              <w:t>0.975</w:t>
            </w:r>
          </w:p>
        </w:tc>
        <w:tc>
          <w:tcPr>
            <w:tcW w:w="1540" w:type="dxa"/>
          </w:tcPr>
          <w:p w14:paraId="5EE3DA58" w14:textId="77777777" w:rsidR="0035657D" w:rsidRDefault="0035657D" w:rsidP="00C12BDF">
            <w:pPr>
              <w:jc w:val="center"/>
            </w:pPr>
            <w:r>
              <w:t>0.95</w:t>
            </w:r>
          </w:p>
        </w:tc>
        <w:tc>
          <w:tcPr>
            <w:tcW w:w="1540" w:type="dxa"/>
          </w:tcPr>
          <w:p w14:paraId="663C5368" w14:textId="77777777" w:rsidR="0035657D" w:rsidRDefault="0035657D" w:rsidP="00C12BDF">
            <w:pPr>
              <w:jc w:val="center"/>
            </w:pPr>
            <w:r>
              <w:t>0.9</w:t>
            </w:r>
          </w:p>
        </w:tc>
        <w:tc>
          <w:tcPr>
            <w:tcW w:w="1541" w:type="dxa"/>
          </w:tcPr>
          <w:p w14:paraId="3358BD22" w14:textId="77777777" w:rsidR="0035657D" w:rsidRDefault="0035657D" w:rsidP="00C12BDF">
            <w:pPr>
              <w:jc w:val="center"/>
            </w:pPr>
            <w:r>
              <w:t>0.85</w:t>
            </w:r>
          </w:p>
        </w:tc>
        <w:tc>
          <w:tcPr>
            <w:tcW w:w="1541" w:type="dxa"/>
          </w:tcPr>
          <w:p w14:paraId="6E5CA0F5" w14:textId="77777777" w:rsidR="0035657D" w:rsidRDefault="0035657D" w:rsidP="00C12BDF">
            <w:pPr>
              <w:jc w:val="center"/>
            </w:pPr>
            <w:r>
              <w:t>0.8</w:t>
            </w:r>
          </w:p>
        </w:tc>
      </w:tr>
      <w:tr w:rsidR="0035657D" w14:paraId="61F541A0" w14:textId="77777777" w:rsidTr="009A2787">
        <w:tc>
          <w:tcPr>
            <w:tcW w:w="1540" w:type="dxa"/>
          </w:tcPr>
          <w:p w14:paraId="44DA6D01" w14:textId="77777777" w:rsidR="0035657D" w:rsidRDefault="0035657D" w:rsidP="00C12BDF">
            <w:r>
              <w:t>6%</w:t>
            </w:r>
          </w:p>
        </w:tc>
        <w:tc>
          <w:tcPr>
            <w:tcW w:w="1540" w:type="dxa"/>
          </w:tcPr>
          <w:p w14:paraId="0A948B1F" w14:textId="77777777" w:rsidR="0035657D" w:rsidRDefault="0035657D" w:rsidP="00C12BDF">
            <w:pPr>
              <w:jc w:val="center"/>
            </w:pPr>
            <w:r>
              <w:t>69%</w:t>
            </w:r>
          </w:p>
        </w:tc>
        <w:tc>
          <w:tcPr>
            <w:tcW w:w="1540" w:type="dxa"/>
          </w:tcPr>
          <w:p w14:paraId="7FA9C9DF" w14:textId="77777777" w:rsidR="0035657D" w:rsidRDefault="0035657D" w:rsidP="00C12BDF">
            <w:pPr>
              <w:jc w:val="center"/>
            </w:pPr>
            <w:r>
              <w:t>20%</w:t>
            </w:r>
          </w:p>
        </w:tc>
        <w:tc>
          <w:tcPr>
            <w:tcW w:w="1540" w:type="dxa"/>
          </w:tcPr>
          <w:p w14:paraId="2FB27742" w14:textId="77777777" w:rsidR="0035657D" w:rsidRDefault="0035657D" w:rsidP="00C12BDF">
            <w:pPr>
              <w:jc w:val="center"/>
            </w:pPr>
            <w:r>
              <w:t>5%</w:t>
            </w:r>
          </w:p>
        </w:tc>
        <w:tc>
          <w:tcPr>
            <w:tcW w:w="1541" w:type="dxa"/>
          </w:tcPr>
          <w:p w14:paraId="6C95F391" w14:textId="77777777" w:rsidR="0035657D" w:rsidRDefault="0035657D" w:rsidP="00C12BDF">
            <w:pPr>
              <w:jc w:val="center"/>
            </w:pPr>
            <w:r>
              <w:t>3%</w:t>
            </w:r>
          </w:p>
        </w:tc>
        <w:tc>
          <w:tcPr>
            <w:tcW w:w="1541" w:type="dxa"/>
          </w:tcPr>
          <w:p w14:paraId="4FAE04A6" w14:textId="77777777" w:rsidR="0035657D" w:rsidRDefault="0035657D" w:rsidP="00C12BDF">
            <w:pPr>
              <w:jc w:val="center"/>
            </w:pPr>
            <w:r>
              <w:t>1%</w:t>
            </w:r>
          </w:p>
        </w:tc>
      </w:tr>
      <w:tr w:rsidR="0035657D" w14:paraId="47B60173" w14:textId="77777777" w:rsidTr="009A2787">
        <w:tc>
          <w:tcPr>
            <w:tcW w:w="1540" w:type="dxa"/>
          </w:tcPr>
          <w:p w14:paraId="18E3717E" w14:textId="77777777" w:rsidR="0035657D" w:rsidRDefault="0035657D" w:rsidP="00C12BDF">
            <w:r>
              <w:t>5%</w:t>
            </w:r>
          </w:p>
        </w:tc>
        <w:tc>
          <w:tcPr>
            <w:tcW w:w="1540" w:type="dxa"/>
          </w:tcPr>
          <w:p w14:paraId="6885A47F" w14:textId="77777777" w:rsidR="0035657D" w:rsidRDefault="0035657D" w:rsidP="00C12BDF">
            <w:pPr>
              <w:jc w:val="center"/>
            </w:pPr>
            <w:r>
              <w:t>57%</w:t>
            </w:r>
          </w:p>
        </w:tc>
        <w:tc>
          <w:tcPr>
            <w:tcW w:w="1540" w:type="dxa"/>
          </w:tcPr>
          <w:p w14:paraId="6A047F0A" w14:textId="77777777" w:rsidR="0035657D" w:rsidRDefault="0035657D" w:rsidP="00C12BDF">
            <w:pPr>
              <w:jc w:val="center"/>
            </w:pPr>
            <w:r>
              <w:t>17%</w:t>
            </w:r>
          </w:p>
        </w:tc>
        <w:tc>
          <w:tcPr>
            <w:tcW w:w="1540" w:type="dxa"/>
          </w:tcPr>
          <w:p w14:paraId="498A99D8" w14:textId="77777777" w:rsidR="0035657D" w:rsidRDefault="0035657D" w:rsidP="00C12BDF">
            <w:pPr>
              <w:jc w:val="center"/>
            </w:pPr>
            <w:r>
              <w:t>5%</w:t>
            </w:r>
          </w:p>
        </w:tc>
        <w:tc>
          <w:tcPr>
            <w:tcW w:w="1541" w:type="dxa"/>
          </w:tcPr>
          <w:p w14:paraId="653CCCEE" w14:textId="77777777" w:rsidR="0035657D" w:rsidRDefault="0035657D" w:rsidP="00C12BDF">
            <w:pPr>
              <w:jc w:val="center"/>
            </w:pPr>
            <w:r>
              <w:t>2%</w:t>
            </w:r>
          </w:p>
        </w:tc>
        <w:tc>
          <w:tcPr>
            <w:tcW w:w="1541" w:type="dxa"/>
          </w:tcPr>
          <w:p w14:paraId="688EC204" w14:textId="77777777" w:rsidR="0035657D" w:rsidRDefault="0035657D" w:rsidP="00C12BDF">
            <w:pPr>
              <w:jc w:val="center"/>
            </w:pPr>
            <w:r>
              <w:t>1%</w:t>
            </w:r>
          </w:p>
        </w:tc>
      </w:tr>
      <w:tr w:rsidR="0035657D" w14:paraId="680F7DDF" w14:textId="77777777" w:rsidTr="009A2787">
        <w:tc>
          <w:tcPr>
            <w:tcW w:w="1540" w:type="dxa"/>
          </w:tcPr>
          <w:p w14:paraId="2C626521" w14:textId="77777777" w:rsidR="0035657D" w:rsidRDefault="0035657D" w:rsidP="00C12BDF">
            <w:r>
              <w:t>4%</w:t>
            </w:r>
          </w:p>
        </w:tc>
        <w:tc>
          <w:tcPr>
            <w:tcW w:w="1540" w:type="dxa"/>
          </w:tcPr>
          <w:p w14:paraId="55CE8059" w14:textId="77777777" w:rsidR="0035657D" w:rsidRDefault="0035657D" w:rsidP="00C12BDF">
            <w:pPr>
              <w:jc w:val="center"/>
            </w:pPr>
            <w:r>
              <w:t>46%</w:t>
            </w:r>
          </w:p>
        </w:tc>
        <w:tc>
          <w:tcPr>
            <w:tcW w:w="1540" w:type="dxa"/>
          </w:tcPr>
          <w:p w14:paraId="6E1EBC9B" w14:textId="77777777" w:rsidR="0035657D" w:rsidRDefault="0035657D" w:rsidP="00C12BDF">
            <w:pPr>
              <w:jc w:val="center"/>
            </w:pPr>
            <w:r>
              <w:t>13%</w:t>
            </w:r>
          </w:p>
        </w:tc>
        <w:tc>
          <w:tcPr>
            <w:tcW w:w="1540" w:type="dxa"/>
          </w:tcPr>
          <w:p w14:paraId="2C368431" w14:textId="77777777" w:rsidR="0035657D" w:rsidRDefault="0035657D" w:rsidP="00C12BDF">
            <w:pPr>
              <w:jc w:val="center"/>
            </w:pPr>
            <w:r>
              <w:t>4%</w:t>
            </w:r>
          </w:p>
        </w:tc>
        <w:tc>
          <w:tcPr>
            <w:tcW w:w="1541" w:type="dxa"/>
          </w:tcPr>
          <w:p w14:paraId="427A0545" w14:textId="77777777" w:rsidR="0035657D" w:rsidRDefault="0035657D" w:rsidP="00C12BDF">
            <w:pPr>
              <w:jc w:val="center"/>
            </w:pPr>
            <w:r>
              <w:t>2%</w:t>
            </w:r>
          </w:p>
        </w:tc>
        <w:tc>
          <w:tcPr>
            <w:tcW w:w="1541" w:type="dxa"/>
          </w:tcPr>
          <w:p w14:paraId="5E290E1E" w14:textId="77777777" w:rsidR="0035657D" w:rsidRDefault="0035657D" w:rsidP="00C12BDF">
            <w:pPr>
              <w:jc w:val="center"/>
            </w:pPr>
            <w:r>
              <w:t>1%</w:t>
            </w:r>
          </w:p>
        </w:tc>
      </w:tr>
      <w:tr w:rsidR="0035657D" w14:paraId="043F0875" w14:textId="77777777" w:rsidTr="009A2787">
        <w:tc>
          <w:tcPr>
            <w:tcW w:w="1540" w:type="dxa"/>
          </w:tcPr>
          <w:p w14:paraId="355CC036" w14:textId="77777777" w:rsidR="0035657D" w:rsidRDefault="0035657D" w:rsidP="00C12BDF">
            <w:r>
              <w:t>3%</w:t>
            </w:r>
          </w:p>
        </w:tc>
        <w:tc>
          <w:tcPr>
            <w:tcW w:w="1540" w:type="dxa"/>
          </w:tcPr>
          <w:p w14:paraId="4246962F" w14:textId="77777777" w:rsidR="0035657D" w:rsidRDefault="0035657D" w:rsidP="00C12BDF">
            <w:pPr>
              <w:jc w:val="center"/>
            </w:pPr>
            <w:r>
              <w:t>34%</w:t>
            </w:r>
          </w:p>
        </w:tc>
        <w:tc>
          <w:tcPr>
            <w:tcW w:w="1540" w:type="dxa"/>
          </w:tcPr>
          <w:p w14:paraId="28FC5641" w14:textId="77777777" w:rsidR="0035657D" w:rsidRDefault="0035657D" w:rsidP="00C12BDF">
            <w:pPr>
              <w:jc w:val="center"/>
            </w:pPr>
            <w:r>
              <w:t>10%</w:t>
            </w:r>
          </w:p>
        </w:tc>
        <w:tc>
          <w:tcPr>
            <w:tcW w:w="1540" w:type="dxa"/>
          </w:tcPr>
          <w:p w14:paraId="7385B288" w14:textId="77777777" w:rsidR="0035657D" w:rsidRDefault="0035657D" w:rsidP="00C12BDF">
            <w:pPr>
              <w:jc w:val="center"/>
            </w:pPr>
            <w:r>
              <w:t>3%</w:t>
            </w:r>
          </w:p>
        </w:tc>
        <w:tc>
          <w:tcPr>
            <w:tcW w:w="1541" w:type="dxa"/>
          </w:tcPr>
          <w:p w14:paraId="6B1F1113" w14:textId="77777777" w:rsidR="0035657D" w:rsidRDefault="0035657D" w:rsidP="00C12BDF">
            <w:pPr>
              <w:jc w:val="center"/>
            </w:pPr>
            <w:r>
              <w:t>1%</w:t>
            </w:r>
          </w:p>
        </w:tc>
        <w:tc>
          <w:tcPr>
            <w:tcW w:w="1541" w:type="dxa"/>
          </w:tcPr>
          <w:p w14:paraId="21DF07E8" w14:textId="77777777" w:rsidR="0035657D" w:rsidRDefault="0035657D" w:rsidP="00C12BDF">
            <w:pPr>
              <w:jc w:val="center"/>
            </w:pPr>
            <w:r>
              <w:t>1%</w:t>
            </w:r>
          </w:p>
        </w:tc>
      </w:tr>
      <w:tr w:rsidR="0035657D" w14:paraId="59388A7F" w14:textId="77777777" w:rsidTr="009A2787">
        <w:tc>
          <w:tcPr>
            <w:tcW w:w="1540" w:type="dxa"/>
          </w:tcPr>
          <w:p w14:paraId="01341453" w14:textId="77777777" w:rsidR="0035657D" w:rsidRDefault="0035657D" w:rsidP="00C12BDF">
            <w:r>
              <w:t>2%</w:t>
            </w:r>
          </w:p>
        </w:tc>
        <w:tc>
          <w:tcPr>
            <w:tcW w:w="1540" w:type="dxa"/>
          </w:tcPr>
          <w:p w14:paraId="45FC60E2" w14:textId="77777777" w:rsidR="0035657D" w:rsidRDefault="0035657D" w:rsidP="00C12BDF">
            <w:pPr>
              <w:jc w:val="center"/>
            </w:pPr>
            <w:r>
              <w:t>23%</w:t>
            </w:r>
          </w:p>
        </w:tc>
        <w:tc>
          <w:tcPr>
            <w:tcW w:w="1540" w:type="dxa"/>
          </w:tcPr>
          <w:p w14:paraId="7E1DA8CC" w14:textId="77777777" w:rsidR="0035657D" w:rsidRDefault="0035657D" w:rsidP="00C12BDF">
            <w:pPr>
              <w:jc w:val="center"/>
            </w:pPr>
            <w:r>
              <w:t>7%</w:t>
            </w:r>
          </w:p>
        </w:tc>
        <w:tc>
          <w:tcPr>
            <w:tcW w:w="1540" w:type="dxa"/>
          </w:tcPr>
          <w:p w14:paraId="52E19896" w14:textId="77777777" w:rsidR="0035657D" w:rsidRDefault="0035657D" w:rsidP="00C12BDF">
            <w:pPr>
              <w:jc w:val="center"/>
            </w:pPr>
            <w:r>
              <w:t>2%</w:t>
            </w:r>
          </w:p>
        </w:tc>
        <w:tc>
          <w:tcPr>
            <w:tcW w:w="1541" w:type="dxa"/>
          </w:tcPr>
          <w:p w14:paraId="33A7A3B6" w14:textId="77777777" w:rsidR="0035657D" w:rsidRDefault="0035657D" w:rsidP="00C12BDF">
            <w:pPr>
              <w:jc w:val="center"/>
            </w:pPr>
            <w:r>
              <w:t>1%</w:t>
            </w:r>
          </w:p>
        </w:tc>
        <w:tc>
          <w:tcPr>
            <w:tcW w:w="1541" w:type="dxa"/>
          </w:tcPr>
          <w:p w14:paraId="41404234" w14:textId="77777777" w:rsidR="0035657D" w:rsidRDefault="0035657D" w:rsidP="00C12BDF">
            <w:pPr>
              <w:jc w:val="center"/>
            </w:pPr>
            <w:r>
              <w:t>0%</w:t>
            </w:r>
          </w:p>
        </w:tc>
      </w:tr>
    </w:tbl>
    <w:p w14:paraId="76BE4D4E" w14:textId="770BA2E3" w:rsidR="00C16213" w:rsidRDefault="00C16213"/>
    <w:p w14:paraId="1474E1AB" w14:textId="597BA2EC" w:rsidR="0099428B" w:rsidRDefault="0099428B">
      <w:r>
        <w:t>In addition to the above table, the tables below provide estimates for the change in the total risk margin held at YE17</w:t>
      </w:r>
      <w:r w:rsidR="00E31EA6">
        <w:t>,</w:t>
      </w:r>
      <w:r>
        <w:t xml:space="preserve"> YE18, </w:t>
      </w:r>
      <w:r w:rsidR="00E31EA6">
        <w:t xml:space="preserve">and </w:t>
      </w:r>
      <w:r>
        <w:t>YE19</w:t>
      </w:r>
      <w:r w:rsidR="00E31EA6">
        <w:t>, using the</w:t>
      </w:r>
      <w:r>
        <w:t xml:space="preserve"> yield curve</w:t>
      </w:r>
      <w:r w:rsidR="00E31EA6">
        <w:t>s at each point in time</w:t>
      </w:r>
      <w:r>
        <w:t xml:space="preserve"> and assuming all else equal. We can see that a lower </w:t>
      </w:r>
      <w:proofErr w:type="spellStart"/>
      <w:r>
        <w:t>CoC</w:t>
      </w:r>
      <w:proofErr w:type="spellEnd"/>
      <w:r>
        <w:t xml:space="preserve"> rate and a lower lambda parameter are both effective in reducing volatility, although the lambda parameter </w:t>
      </w:r>
      <w:r w:rsidR="00793FA5">
        <w:t>is more effective</w:t>
      </w:r>
      <w:r>
        <w:t>.</w:t>
      </w:r>
    </w:p>
    <w:p w14:paraId="0F66FE7A" w14:textId="13763B1F" w:rsidR="00E31EA6" w:rsidRPr="00CE6C01" w:rsidRDefault="00E31EA6" w:rsidP="00E31EA6">
      <w:pPr>
        <w:rPr>
          <w:b/>
          <w:bCs/>
          <w:u w:val="single"/>
        </w:rPr>
      </w:pPr>
      <w:r>
        <w:rPr>
          <w:b/>
          <w:bCs/>
          <w:u w:val="single"/>
        </w:rPr>
        <w:t>Table 4. Change in total industry risk margin, YE1</w:t>
      </w:r>
      <w:r w:rsidR="00D80EE4">
        <w:rPr>
          <w:b/>
          <w:bCs/>
          <w:u w:val="single"/>
        </w:rPr>
        <w:t>7</w:t>
      </w:r>
      <w:r>
        <w:rPr>
          <w:b/>
          <w:bCs/>
          <w:u w:val="single"/>
        </w:rPr>
        <w:t xml:space="preserve"> to YE1</w:t>
      </w:r>
      <w:r w:rsidR="00D80EE4">
        <w:rPr>
          <w:b/>
          <w:bCs/>
          <w:u w:val="single"/>
        </w:rPr>
        <w:t>8</w:t>
      </w:r>
      <w:r>
        <w:rPr>
          <w:b/>
          <w:bCs/>
          <w:u w:val="single"/>
        </w:rPr>
        <w:t xml:space="preserve"> (€bn estimated)</w:t>
      </w:r>
    </w:p>
    <w:tbl>
      <w:tblPr>
        <w:tblStyle w:val="Mriekatabuky"/>
        <w:tblW w:w="0" w:type="auto"/>
        <w:tblLook w:val="04A0" w:firstRow="1" w:lastRow="0" w:firstColumn="1" w:lastColumn="0" w:noHBand="0" w:noVBand="1"/>
      </w:tblPr>
      <w:tblGrid>
        <w:gridCol w:w="1367"/>
        <w:gridCol w:w="1208"/>
        <w:gridCol w:w="1323"/>
        <w:gridCol w:w="1294"/>
        <w:gridCol w:w="1265"/>
        <w:gridCol w:w="1294"/>
        <w:gridCol w:w="1265"/>
      </w:tblGrid>
      <w:tr w:rsidR="00E31EA6" w14:paraId="36A39E43" w14:textId="77777777" w:rsidTr="00793FA5">
        <w:tc>
          <w:tcPr>
            <w:tcW w:w="1367" w:type="dxa"/>
          </w:tcPr>
          <w:p w14:paraId="7D3D4C48" w14:textId="77777777" w:rsidR="00E31EA6" w:rsidRDefault="00E31EA6" w:rsidP="00793FA5">
            <w:proofErr w:type="spellStart"/>
            <w:r>
              <w:t>CoC</w:t>
            </w:r>
            <w:proofErr w:type="spellEnd"/>
            <w:r>
              <w:t xml:space="preserve"> / lambda</w:t>
            </w:r>
          </w:p>
        </w:tc>
        <w:tc>
          <w:tcPr>
            <w:tcW w:w="1208" w:type="dxa"/>
          </w:tcPr>
          <w:p w14:paraId="33A46EAD" w14:textId="77777777" w:rsidR="00E31EA6" w:rsidRDefault="00E31EA6" w:rsidP="00793FA5">
            <w:pPr>
              <w:jc w:val="center"/>
            </w:pPr>
            <w:r>
              <w:t>1.0</w:t>
            </w:r>
          </w:p>
        </w:tc>
        <w:tc>
          <w:tcPr>
            <w:tcW w:w="1323" w:type="dxa"/>
          </w:tcPr>
          <w:p w14:paraId="4636BAE3" w14:textId="77777777" w:rsidR="00E31EA6" w:rsidRDefault="00E31EA6" w:rsidP="00793FA5">
            <w:pPr>
              <w:jc w:val="center"/>
            </w:pPr>
            <w:r>
              <w:t>0.975</w:t>
            </w:r>
          </w:p>
        </w:tc>
        <w:tc>
          <w:tcPr>
            <w:tcW w:w="1294" w:type="dxa"/>
          </w:tcPr>
          <w:p w14:paraId="3CAC80B7" w14:textId="77777777" w:rsidR="00E31EA6" w:rsidRDefault="00E31EA6" w:rsidP="00793FA5">
            <w:pPr>
              <w:jc w:val="center"/>
            </w:pPr>
            <w:r>
              <w:t>0.95</w:t>
            </w:r>
          </w:p>
        </w:tc>
        <w:tc>
          <w:tcPr>
            <w:tcW w:w="1265" w:type="dxa"/>
          </w:tcPr>
          <w:p w14:paraId="40D2B5B0" w14:textId="77777777" w:rsidR="00E31EA6" w:rsidRDefault="00E31EA6" w:rsidP="00793FA5">
            <w:pPr>
              <w:jc w:val="center"/>
            </w:pPr>
            <w:r>
              <w:t>0.9</w:t>
            </w:r>
          </w:p>
        </w:tc>
        <w:tc>
          <w:tcPr>
            <w:tcW w:w="1294" w:type="dxa"/>
          </w:tcPr>
          <w:p w14:paraId="6E90E62B" w14:textId="77777777" w:rsidR="00E31EA6" w:rsidRDefault="00E31EA6" w:rsidP="00793FA5">
            <w:pPr>
              <w:jc w:val="center"/>
            </w:pPr>
            <w:r>
              <w:t>0.85</w:t>
            </w:r>
          </w:p>
        </w:tc>
        <w:tc>
          <w:tcPr>
            <w:tcW w:w="1265" w:type="dxa"/>
          </w:tcPr>
          <w:p w14:paraId="47DAF987" w14:textId="77777777" w:rsidR="00E31EA6" w:rsidRDefault="00E31EA6" w:rsidP="00793FA5">
            <w:pPr>
              <w:jc w:val="center"/>
            </w:pPr>
            <w:r>
              <w:t>0.8</w:t>
            </w:r>
          </w:p>
        </w:tc>
      </w:tr>
      <w:tr w:rsidR="00E31EA6" w14:paraId="540E2859" w14:textId="77777777" w:rsidTr="00793FA5">
        <w:tc>
          <w:tcPr>
            <w:tcW w:w="1367" w:type="dxa"/>
          </w:tcPr>
          <w:p w14:paraId="3DFB5199" w14:textId="77777777" w:rsidR="00E31EA6" w:rsidRDefault="00E31EA6" w:rsidP="00793FA5">
            <w:r>
              <w:t>6%</w:t>
            </w:r>
          </w:p>
        </w:tc>
        <w:tc>
          <w:tcPr>
            <w:tcW w:w="1208" w:type="dxa"/>
          </w:tcPr>
          <w:p w14:paraId="6D762B94" w14:textId="0FA9D07F" w:rsidR="00E31EA6" w:rsidRPr="00CC7AE4" w:rsidRDefault="00E31EA6" w:rsidP="00793FA5">
            <w:pPr>
              <w:jc w:val="center"/>
              <w:rPr>
                <w:b/>
                <w:bCs/>
              </w:rPr>
            </w:pPr>
            <w:r w:rsidRPr="00CC7AE4">
              <w:rPr>
                <w:b/>
                <w:bCs/>
              </w:rPr>
              <w:t>+1.2</w:t>
            </w:r>
          </w:p>
        </w:tc>
        <w:tc>
          <w:tcPr>
            <w:tcW w:w="1323" w:type="dxa"/>
          </w:tcPr>
          <w:p w14:paraId="6972B42A" w14:textId="6E729E30" w:rsidR="00E31EA6" w:rsidRDefault="00E31EA6" w:rsidP="00793FA5">
            <w:pPr>
              <w:jc w:val="center"/>
            </w:pPr>
            <w:r>
              <w:t>+0.9</w:t>
            </w:r>
          </w:p>
        </w:tc>
        <w:tc>
          <w:tcPr>
            <w:tcW w:w="1294" w:type="dxa"/>
          </w:tcPr>
          <w:p w14:paraId="7076A292" w14:textId="248C4053" w:rsidR="00E31EA6" w:rsidRDefault="00E31EA6" w:rsidP="00793FA5">
            <w:pPr>
              <w:jc w:val="center"/>
            </w:pPr>
            <w:r>
              <w:t>+0.7</w:t>
            </w:r>
          </w:p>
        </w:tc>
        <w:tc>
          <w:tcPr>
            <w:tcW w:w="1265" w:type="dxa"/>
          </w:tcPr>
          <w:p w14:paraId="1247A9C9" w14:textId="5032895C" w:rsidR="00E31EA6" w:rsidRDefault="00E31EA6" w:rsidP="00793FA5">
            <w:pPr>
              <w:jc w:val="center"/>
            </w:pPr>
            <w:r>
              <w:t>+0.4</w:t>
            </w:r>
          </w:p>
        </w:tc>
        <w:tc>
          <w:tcPr>
            <w:tcW w:w="1294" w:type="dxa"/>
          </w:tcPr>
          <w:p w14:paraId="6249497A" w14:textId="293722EC" w:rsidR="00E31EA6" w:rsidRDefault="00E31EA6" w:rsidP="00793FA5">
            <w:pPr>
              <w:jc w:val="center"/>
            </w:pPr>
            <w:r>
              <w:t>+0.3</w:t>
            </w:r>
          </w:p>
        </w:tc>
        <w:tc>
          <w:tcPr>
            <w:tcW w:w="1265" w:type="dxa"/>
          </w:tcPr>
          <w:p w14:paraId="3094B5C6" w14:textId="64754ED8" w:rsidR="00E31EA6" w:rsidRDefault="00E31EA6" w:rsidP="00793FA5">
            <w:pPr>
              <w:jc w:val="center"/>
            </w:pPr>
            <w:r>
              <w:t>+0.2</w:t>
            </w:r>
          </w:p>
        </w:tc>
      </w:tr>
      <w:tr w:rsidR="00E31EA6" w14:paraId="2C305C9B" w14:textId="77777777" w:rsidTr="00793FA5">
        <w:tc>
          <w:tcPr>
            <w:tcW w:w="1367" w:type="dxa"/>
          </w:tcPr>
          <w:p w14:paraId="3E2EB9BF" w14:textId="77777777" w:rsidR="00E31EA6" w:rsidRDefault="00E31EA6" w:rsidP="00793FA5">
            <w:r>
              <w:t>5%</w:t>
            </w:r>
          </w:p>
        </w:tc>
        <w:tc>
          <w:tcPr>
            <w:tcW w:w="1208" w:type="dxa"/>
          </w:tcPr>
          <w:p w14:paraId="21989EF1" w14:textId="688C133E" w:rsidR="00E31EA6" w:rsidRDefault="00E31EA6" w:rsidP="00E31EA6">
            <w:pPr>
              <w:jc w:val="center"/>
            </w:pPr>
            <w:r>
              <w:t>+1.0</w:t>
            </w:r>
          </w:p>
        </w:tc>
        <w:tc>
          <w:tcPr>
            <w:tcW w:w="1323" w:type="dxa"/>
          </w:tcPr>
          <w:p w14:paraId="7716531F" w14:textId="65B094F4" w:rsidR="00E31EA6" w:rsidRDefault="00E31EA6" w:rsidP="00793FA5">
            <w:pPr>
              <w:jc w:val="center"/>
            </w:pPr>
            <w:r>
              <w:t>+0.7</w:t>
            </w:r>
          </w:p>
        </w:tc>
        <w:tc>
          <w:tcPr>
            <w:tcW w:w="1294" w:type="dxa"/>
          </w:tcPr>
          <w:p w14:paraId="2E7FC8B8" w14:textId="4B16E72F" w:rsidR="00E31EA6" w:rsidRDefault="00E31EA6" w:rsidP="00793FA5">
            <w:pPr>
              <w:jc w:val="center"/>
            </w:pPr>
            <w:r>
              <w:t>+0.6</w:t>
            </w:r>
          </w:p>
        </w:tc>
        <w:tc>
          <w:tcPr>
            <w:tcW w:w="1265" w:type="dxa"/>
          </w:tcPr>
          <w:p w14:paraId="77440971" w14:textId="431C5B58" w:rsidR="00E31EA6" w:rsidRDefault="00E31EA6" w:rsidP="00793FA5">
            <w:pPr>
              <w:jc w:val="center"/>
            </w:pPr>
            <w:r>
              <w:t>+0.4</w:t>
            </w:r>
          </w:p>
        </w:tc>
        <w:tc>
          <w:tcPr>
            <w:tcW w:w="1294" w:type="dxa"/>
          </w:tcPr>
          <w:p w14:paraId="082B22A6" w14:textId="3D8FB37D" w:rsidR="00E31EA6" w:rsidRDefault="00E31EA6" w:rsidP="00793FA5">
            <w:pPr>
              <w:jc w:val="center"/>
            </w:pPr>
            <w:r>
              <w:t>+0.2</w:t>
            </w:r>
          </w:p>
        </w:tc>
        <w:tc>
          <w:tcPr>
            <w:tcW w:w="1265" w:type="dxa"/>
          </w:tcPr>
          <w:p w14:paraId="79DCF1AC" w14:textId="01235E0B" w:rsidR="00E31EA6" w:rsidRDefault="00E31EA6" w:rsidP="00793FA5">
            <w:pPr>
              <w:jc w:val="center"/>
            </w:pPr>
            <w:r>
              <w:t>+0.2</w:t>
            </w:r>
          </w:p>
        </w:tc>
      </w:tr>
      <w:tr w:rsidR="00E31EA6" w14:paraId="508A11E6" w14:textId="77777777" w:rsidTr="00793FA5">
        <w:tc>
          <w:tcPr>
            <w:tcW w:w="1367" w:type="dxa"/>
          </w:tcPr>
          <w:p w14:paraId="565D695E" w14:textId="77777777" w:rsidR="00E31EA6" w:rsidRDefault="00E31EA6" w:rsidP="00793FA5">
            <w:r>
              <w:t>4%</w:t>
            </w:r>
          </w:p>
        </w:tc>
        <w:tc>
          <w:tcPr>
            <w:tcW w:w="1208" w:type="dxa"/>
          </w:tcPr>
          <w:p w14:paraId="58A02ACA" w14:textId="77E7493A" w:rsidR="00E31EA6" w:rsidRDefault="00E31EA6" w:rsidP="00793FA5">
            <w:pPr>
              <w:jc w:val="center"/>
            </w:pPr>
            <w:r>
              <w:t>+0.8</w:t>
            </w:r>
          </w:p>
        </w:tc>
        <w:tc>
          <w:tcPr>
            <w:tcW w:w="1323" w:type="dxa"/>
          </w:tcPr>
          <w:p w14:paraId="139679F4" w14:textId="5D1A3827" w:rsidR="00E31EA6" w:rsidRDefault="00E31EA6" w:rsidP="00793FA5">
            <w:pPr>
              <w:jc w:val="center"/>
            </w:pPr>
            <w:r>
              <w:t>+0.6</w:t>
            </w:r>
          </w:p>
        </w:tc>
        <w:tc>
          <w:tcPr>
            <w:tcW w:w="1294" w:type="dxa"/>
          </w:tcPr>
          <w:p w14:paraId="0ED12EB4" w14:textId="3E8FC068" w:rsidR="00E31EA6" w:rsidRDefault="00E31EA6" w:rsidP="00793FA5">
            <w:pPr>
              <w:jc w:val="center"/>
            </w:pPr>
            <w:r>
              <w:t>+0.4</w:t>
            </w:r>
          </w:p>
        </w:tc>
        <w:tc>
          <w:tcPr>
            <w:tcW w:w="1265" w:type="dxa"/>
          </w:tcPr>
          <w:p w14:paraId="09F9778D" w14:textId="3FD813BA" w:rsidR="00E31EA6" w:rsidRDefault="00E31EA6" w:rsidP="00793FA5">
            <w:pPr>
              <w:jc w:val="center"/>
            </w:pPr>
            <w:r>
              <w:t>+0.3</w:t>
            </w:r>
          </w:p>
        </w:tc>
        <w:tc>
          <w:tcPr>
            <w:tcW w:w="1294" w:type="dxa"/>
          </w:tcPr>
          <w:p w14:paraId="426C0CA0" w14:textId="762AAFC2" w:rsidR="00E31EA6" w:rsidRDefault="00E31EA6" w:rsidP="00793FA5">
            <w:pPr>
              <w:jc w:val="center"/>
            </w:pPr>
            <w:r>
              <w:t>+0.2</w:t>
            </w:r>
          </w:p>
        </w:tc>
        <w:tc>
          <w:tcPr>
            <w:tcW w:w="1265" w:type="dxa"/>
          </w:tcPr>
          <w:p w14:paraId="462D3D00" w14:textId="373292CD" w:rsidR="00E31EA6" w:rsidRDefault="00E31EA6" w:rsidP="00793FA5">
            <w:pPr>
              <w:jc w:val="center"/>
            </w:pPr>
            <w:r>
              <w:t>+0.1</w:t>
            </w:r>
          </w:p>
        </w:tc>
      </w:tr>
      <w:tr w:rsidR="00E31EA6" w14:paraId="2DEB6301" w14:textId="77777777" w:rsidTr="00793FA5">
        <w:tc>
          <w:tcPr>
            <w:tcW w:w="1367" w:type="dxa"/>
          </w:tcPr>
          <w:p w14:paraId="5BDD89C8" w14:textId="77777777" w:rsidR="00E31EA6" w:rsidRDefault="00E31EA6" w:rsidP="00793FA5">
            <w:r>
              <w:t>3%</w:t>
            </w:r>
          </w:p>
        </w:tc>
        <w:tc>
          <w:tcPr>
            <w:tcW w:w="1208" w:type="dxa"/>
          </w:tcPr>
          <w:p w14:paraId="5CFBA6B4" w14:textId="6F66E348" w:rsidR="00E31EA6" w:rsidRDefault="00E31EA6" w:rsidP="00793FA5">
            <w:pPr>
              <w:jc w:val="center"/>
            </w:pPr>
            <w:r>
              <w:t>+0.6</w:t>
            </w:r>
          </w:p>
        </w:tc>
        <w:tc>
          <w:tcPr>
            <w:tcW w:w="1323" w:type="dxa"/>
          </w:tcPr>
          <w:p w14:paraId="3D373A8E" w14:textId="57D2358C" w:rsidR="00E31EA6" w:rsidRDefault="00E31EA6" w:rsidP="00793FA5">
            <w:pPr>
              <w:jc w:val="center"/>
            </w:pPr>
            <w:r>
              <w:t>+0.4</w:t>
            </w:r>
          </w:p>
        </w:tc>
        <w:tc>
          <w:tcPr>
            <w:tcW w:w="1294" w:type="dxa"/>
          </w:tcPr>
          <w:p w14:paraId="0ACE3A66" w14:textId="4C7047C0" w:rsidR="00E31EA6" w:rsidRDefault="00E31EA6" w:rsidP="00793FA5">
            <w:pPr>
              <w:jc w:val="center"/>
            </w:pPr>
            <w:r>
              <w:t>+0.3</w:t>
            </w:r>
          </w:p>
        </w:tc>
        <w:tc>
          <w:tcPr>
            <w:tcW w:w="1265" w:type="dxa"/>
          </w:tcPr>
          <w:p w14:paraId="24A3023F" w14:textId="2FEA1B1C" w:rsidR="00E31EA6" w:rsidRDefault="00E31EA6" w:rsidP="00793FA5">
            <w:pPr>
              <w:jc w:val="center"/>
            </w:pPr>
            <w:r>
              <w:t>+0.2</w:t>
            </w:r>
          </w:p>
        </w:tc>
        <w:tc>
          <w:tcPr>
            <w:tcW w:w="1294" w:type="dxa"/>
          </w:tcPr>
          <w:p w14:paraId="1C99DE4A" w14:textId="05E912F8" w:rsidR="00E31EA6" w:rsidRDefault="00E31EA6" w:rsidP="00793FA5">
            <w:pPr>
              <w:jc w:val="center"/>
            </w:pPr>
            <w:r>
              <w:t>+0.1</w:t>
            </w:r>
          </w:p>
        </w:tc>
        <w:tc>
          <w:tcPr>
            <w:tcW w:w="1265" w:type="dxa"/>
          </w:tcPr>
          <w:p w14:paraId="55F18796" w14:textId="5719C916" w:rsidR="00E31EA6" w:rsidRDefault="00E31EA6" w:rsidP="00793FA5">
            <w:pPr>
              <w:jc w:val="center"/>
            </w:pPr>
            <w:r>
              <w:t>+0.1</w:t>
            </w:r>
          </w:p>
        </w:tc>
      </w:tr>
      <w:tr w:rsidR="00E31EA6" w14:paraId="00DC2CB8" w14:textId="77777777" w:rsidTr="00793FA5">
        <w:tc>
          <w:tcPr>
            <w:tcW w:w="1367" w:type="dxa"/>
          </w:tcPr>
          <w:p w14:paraId="3A41EB37" w14:textId="77777777" w:rsidR="00E31EA6" w:rsidRDefault="00E31EA6" w:rsidP="00793FA5">
            <w:r>
              <w:t>2%</w:t>
            </w:r>
          </w:p>
        </w:tc>
        <w:tc>
          <w:tcPr>
            <w:tcW w:w="1208" w:type="dxa"/>
          </w:tcPr>
          <w:p w14:paraId="0DE96C42" w14:textId="77B7F17B" w:rsidR="00E31EA6" w:rsidRDefault="00E31EA6" w:rsidP="00793FA5">
            <w:pPr>
              <w:jc w:val="center"/>
            </w:pPr>
            <w:r>
              <w:t>+0.4</w:t>
            </w:r>
          </w:p>
        </w:tc>
        <w:tc>
          <w:tcPr>
            <w:tcW w:w="1323" w:type="dxa"/>
          </w:tcPr>
          <w:p w14:paraId="4EEADA32" w14:textId="73576093" w:rsidR="00E31EA6" w:rsidRDefault="00E31EA6" w:rsidP="00793FA5">
            <w:pPr>
              <w:jc w:val="center"/>
            </w:pPr>
            <w:r>
              <w:t>+0.3</w:t>
            </w:r>
          </w:p>
        </w:tc>
        <w:tc>
          <w:tcPr>
            <w:tcW w:w="1294" w:type="dxa"/>
          </w:tcPr>
          <w:p w14:paraId="22C18F2D" w14:textId="7AC8B04A" w:rsidR="00E31EA6" w:rsidRDefault="00E31EA6" w:rsidP="00793FA5">
            <w:pPr>
              <w:jc w:val="center"/>
            </w:pPr>
            <w:r>
              <w:t>+0.2</w:t>
            </w:r>
          </w:p>
        </w:tc>
        <w:tc>
          <w:tcPr>
            <w:tcW w:w="1265" w:type="dxa"/>
          </w:tcPr>
          <w:p w14:paraId="769E711C" w14:textId="7DBB9D04" w:rsidR="00E31EA6" w:rsidRDefault="00E31EA6" w:rsidP="00793FA5">
            <w:pPr>
              <w:jc w:val="center"/>
            </w:pPr>
            <w:r>
              <w:t>+0.1</w:t>
            </w:r>
          </w:p>
        </w:tc>
        <w:tc>
          <w:tcPr>
            <w:tcW w:w="1294" w:type="dxa"/>
          </w:tcPr>
          <w:p w14:paraId="37662F1E" w14:textId="6FCC4D73" w:rsidR="00E31EA6" w:rsidRDefault="00E31EA6" w:rsidP="00793FA5">
            <w:pPr>
              <w:jc w:val="center"/>
            </w:pPr>
            <w:r>
              <w:t>+0.1</w:t>
            </w:r>
          </w:p>
        </w:tc>
        <w:tc>
          <w:tcPr>
            <w:tcW w:w="1265" w:type="dxa"/>
          </w:tcPr>
          <w:p w14:paraId="662A53C2" w14:textId="7B4E3C44" w:rsidR="00E31EA6" w:rsidRDefault="00E31EA6" w:rsidP="00793FA5">
            <w:pPr>
              <w:jc w:val="center"/>
            </w:pPr>
            <w:r>
              <w:t>+0.1</w:t>
            </w:r>
          </w:p>
        </w:tc>
      </w:tr>
    </w:tbl>
    <w:p w14:paraId="028FBD69" w14:textId="77777777" w:rsidR="00E31EA6" w:rsidRDefault="00E31EA6" w:rsidP="0099428B">
      <w:pPr>
        <w:rPr>
          <w:b/>
          <w:bCs/>
          <w:u w:val="single"/>
        </w:rPr>
      </w:pPr>
    </w:p>
    <w:p w14:paraId="1562BD10" w14:textId="113F64C2" w:rsidR="0099428B" w:rsidRPr="00CE6C01" w:rsidRDefault="0099428B" w:rsidP="0099428B">
      <w:pPr>
        <w:rPr>
          <w:b/>
          <w:bCs/>
          <w:u w:val="single"/>
        </w:rPr>
      </w:pPr>
      <w:r>
        <w:rPr>
          <w:b/>
          <w:bCs/>
          <w:u w:val="single"/>
        </w:rPr>
        <w:lastRenderedPageBreak/>
        <w:t xml:space="preserve">Table </w:t>
      </w:r>
      <w:r w:rsidR="00E31EA6">
        <w:rPr>
          <w:b/>
          <w:bCs/>
          <w:u w:val="single"/>
        </w:rPr>
        <w:t>5</w:t>
      </w:r>
      <w:r>
        <w:rPr>
          <w:b/>
          <w:bCs/>
          <w:u w:val="single"/>
        </w:rPr>
        <w:t>. Change in total industry risk margin, YE1</w:t>
      </w:r>
      <w:r w:rsidR="00D80EE4">
        <w:rPr>
          <w:b/>
          <w:bCs/>
          <w:u w:val="single"/>
        </w:rPr>
        <w:t>8</w:t>
      </w:r>
      <w:r>
        <w:rPr>
          <w:b/>
          <w:bCs/>
          <w:u w:val="single"/>
        </w:rPr>
        <w:t xml:space="preserve"> to YE1</w:t>
      </w:r>
      <w:r w:rsidR="00D80EE4">
        <w:rPr>
          <w:b/>
          <w:bCs/>
          <w:u w:val="single"/>
        </w:rPr>
        <w:t>9</w:t>
      </w:r>
      <w:r>
        <w:rPr>
          <w:b/>
          <w:bCs/>
          <w:u w:val="single"/>
        </w:rPr>
        <w:t xml:space="preserve"> (€bn estimated)</w:t>
      </w:r>
    </w:p>
    <w:tbl>
      <w:tblPr>
        <w:tblStyle w:val="Mriekatabuky"/>
        <w:tblW w:w="0" w:type="auto"/>
        <w:tblLook w:val="04A0" w:firstRow="1" w:lastRow="0" w:firstColumn="1" w:lastColumn="0" w:noHBand="0" w:noVBand="1"/>
      </w:tblPr>
      <w:tblGrid>
        <w:gridCol w:w="1367"/>
        <w:gridCol w:w="1208"/>
        <w:gridCol w:w="1323"/>
        <w:gridCol w:w="1294"/>
        <w:gridCol w:w="1265"/>
        <w:gridCol w:w="1294"/>
        <w:gridCol w:w="1265"/>
      </w:tblGrid>
      <w:tr w:rsidR="00E31EA6" w14:paraId="3A4CE61A" w14:textId="77777777" w:rsidTr="00CC7AE4">
        <w:tc>
          <w:tcPr>
            <w:tcW w:w="1367" w:type="dxa"/>
          </w:tcPr>
          <w:p w14:paraId="537444D2" w14:textId="77777777" w:rsidR="00E31EA6" w:rsidRDefault="00E31EA6" w:rsidP="00793FA5">
            <w:proofErr w:type="spellStart"/>
            <w:r>
              <w:t>CoC</w:t>
            </w:r>
            <w:proofErr w:type="spellEnd"/>
            <w:r>
              <w:t xml:space="preserve"> / lambda</w:t>
            </w:r>
          </w:p>
        </w:tc>
        <w:tc>
          <w:tcPr>
            <w:tcW w:w="1208" w:type="dxa"/>
          </w:tcPr>
          <w:p w14:paraId="6DE20BB6" w14:textId="26634B02" w:rsidR="00E31EA6" w:rsidRDefault="00E31EA6" w:rsidP="00793FA5">
            <w:pPr>
              <w:jc w:val="center"/>
            </w:pPr>
            <w:r>
              <w:t>1.0</w:t>
            </w:r>
          </w:p>
        </w:tc>
        <w:tc>
          <w:tcPr>
            <w:tcW w:w="1323" w:type="dxa"/>
          </w:tcPr>
          <w:p w14:paraId="2E810B4D" w14:textId="63FCA20F" w:rsidR="00E31EA6" w:rsidRDefault="00E31EA6" w:rsidP="00793FA5">
            <w:pPr>
              <w:jc w:val="center"/>
            </w:pPr>
            <w:r>
              <w:t>0.975</w:t>
            </w:r>
          </w:p>
        </w:tc>
        <w:tc>
          <w:tcPr>
            <w:tcW w:w="1294" w:type="dxa"/>
          </w:tcPr>
          <w:p w14:paraId="279B48BD" w14:textId="77777777" w:rsidR="00E31EA6" w:rsidRDefault="00E31EA6" w:rsidP="00793FA5">
            <w:pPr>
              <w:jc w:val="center"/>
            </w:pPr>
            <w:r>
              <w:t>0.95</w:t>
            </w:r>
          </w:p>
        </w:tc>
        <w:tc>
          <w:tcPr>
            <w:tcW w:w="1265" w:type="dxa"/>
          </w:tcPr>
          <w:p w14:paraId="0B42443E" w14:textId="77777777" w:rsidR="00E31EA6" w:rsidRDefault="00E31EA6" w:rsidP="00793FA5">
            <w:pPr>
              <w:jc w:val="center"/>
            </w:pPr>
            <w:r>
              <w:t>0.9</w:t>
            </w:r>
          </w:p>
        </w:tc>
        <w:tc>
          <w:tcPr>
            <w:tcW w:w="1294" w:type="dxa"/>
          </w:tcPr>
          <w:p w14:paraId="0840C03D" w14:textId="77777777" w:rsidR="00E31EA6" w:rsidRDefault="00E31EA6" w:rsidP="00793FA5">
            <w:pPr>
              <w:jc w:val="center"/>
            </w:pPr>
            <w:r>
              <w:t>0.85</w:t>
            </w:r>
          </w:p>
        </w:tc>
        <w:tc>
          <w:tcPr>
            <w:tcW w:w="1265" w:type="dxa"/>
          </w:tcPr>
          <w:p w14:paraId="371BA31A" w14:textId="77777777" w:rsidR="00E31EA6" w:rsidRDefault="00E31EA6" w:rsidP="00793FA5">
            <w:pPr>
              <w:jc w:val="center"/>
            </w:pPr>
            <w:r>
              <w:t>0.8</w:t>
            </w:r>
          </w:p>
        </w:tc>
      </w:tr>
      <w:tr w:rsidR="00E31EA6" w14:paraId="62870101" w14:textId="77777777" w:rsidTr="00CC7AE4">
        <w:tc>
          <w:tcPr>
            <w:tcW w:w="1367" w:type="dxa"/>
          </w:tcPr>
          <w:p w14:paraId="33243C20" w14:textId="77777777" w:rsidR="00E31EA6" w:rsidRDefault="00E31EA6" w:rsidP="00793FA5">
            <w:r>
              <w:t>6%</w:t>
            </w:r>
          </w:p>
        </w:tc>
        <w:tc>
          <w:tcPr>
            <w:tcW w:w="1208" w:type="dxa"/>
          </w:tcPr>
          <w:p w14:paraId="50BB0C55" w14:textId="7429A5D9" w:rsidR="00E31EA6" w:rsidRPr="00CC7AE4" w:rsidRDefault="00E31EA6" w:rsidP="00793FA5">
            <w:pPr>
              <w:jc w:val="center"/>
              <w:rPr>
                <w:b/>
                <w:bCs/>
              </w:rPr>
            </w:pPr>
            <w:r w:rsidRPr="00CC7AE4">
              <w:rPr>
                <w:b/>
                <w:bCs/>
              </w:rPr>
              <w:t>+8.4</w:t>
            </w:r>
          </w:p>
        </w:tc>
        <w:tc>
          <w:tcPr>
            <w:tcW w:w="1323" w:type="dxa"/>
          </w:tcPr>
          <w:p w14:paraId="102378CF" w14:textId="3803C032" w:rsidR="00E31EA6" w:rsidRDefault="00E31EA6" w:rsidP="00793FA5">
            <w:pPr>
              <w:jc w:val="center"/>
            </w:pPr>
            <w:r>
              <w:t>+6.0</w:t>
            </w:r>
          </w:p>
        </w:tc>
        <w:tc>
          <w:tcPr>
            <w:tcW w:w="1294" w:type="dxa"/>
          </w:tcPr>
          <w:p w14:paraId="3BDE673B" w14:textId="75AFAA7F" w:rsidR="00E31EA6" w:rsidRDefault="00E31EA6" w:rsidP="00793FA5">
            <w:pPr>
              <w:jc w:val="center"/>
            </w:pPr>
            <w:r>
              <w:t>+4.4</w:t>
            </w:r>
          </w:p>
        </w:tc>
        <w:tc>
          <w:tcPr>
            <w:tcW w:w="1265" w:type="dxa"/>
          </w:tcPr>
          <w:p w14:paraId="5E2B0797" w14:textId="2B6A937E" w:rsidR="00E31EA6" w:rsidRDefault="00E31EA6" w:rsidP="00793FA5">
            <w:pPr>
              <w:jc w:val="center"/>
            </w:pPr>
            <w:r>
              <w:t>+2.5</w:t>
            </w:r>
          </w:p>
        </w:tc>
        <w:tc>
          <w:tcPr>
            <w:tcW w:w="1294" w:type="dxa"/>
          </w:tcPr>
          <w:p w14:paraId="33CF1ECC" w14:textId="0185D77A" w:rsidR="00E31EA6" w:rsidRDefault="00E31EA6" w:rsidP="00793FA5">
            <w:pPr>
              <w:jc w:val="center"/>
            </w:pPr>
            <w:r>
              <w:t>+1.5</w:t>
            </w:r>
          </w:p>
        </w:tc>
        <w:tc>
          <w:tcPr>
            <w:tcW w:w="1265" w:type="dxa"/>
          </w:tcPr>
          <w:p w14:paraId="2BDD4403" w14:textId="7B614369" w:rsidR="00E31EA6" w:rsidRDefault="00E31EA6" w:rsidP="00793FA5">
            <w:pPr>
              <w:jc w:val="center"/>
            </w:pPr>
            <w:r>
              <w:t>+1.0</w:t>
            </w:r>
          </w:p>
        </w:tc>
      </w:tr>
      <w:tr w:rsidR="00E31EA6" w14:paraId="059E0E98" w14:textId="77777777" w:rsidTr="00CC7AE4">
        <w:tc>
          <w:tcPr>
            <w:tcW w:w="1367" w:type="dxa"/>
          </w:tcPr>
          <w:p w14:paraId="703E5C00" w14:textId="77777777" w:rsidR="00E31EA6" w:rsidRDefault="00E31EA6" w:rsidP="00793FA5">
            <w:r>
              <w:t>5%</w:t>
            </w:r>
          </w:p>
        </w:tc>
        <w:tc>
          <w:tcPr>
            <w:tcW w:w="1208" w:type="dxa"/>
          </w:tcPr>
          <w:p w14:paraId="2DC0F668" w14:textId="12A36BA6" w:rsidR="00E31EA6" w:rsidRDefault="00E31EA6" w:rsidP="00793FA5">
            <w:pPr>
              <w:jc w:val="center"/>
            </w:pPr>
            <w:r>
              <w:t>+7.0</w:t>
            </w:r>
          </w:p>
        </w:tc>
        <w:tc>
          <w:tcPr>
            <w:tcW w:w="1323" w:type="dxa"/>
          </w:tcPr>
          <w:p w14:paraId="235C67A2" w14:textId="723B00C7" w:rsidR="00E31EA6" w:rsidRDefault="00E31EA6" w:rsidP="00793FA5">
            <w:pPr>
              <w:jc w:val="center"/>
            </w:pPr>
            <w:r>
              <w:t>+5.0</w:t>
            </w:r>
          </w:p>
        </w:tc>
        <w:tc>
          <w:tcPr>
            <w:tcW w:w="1294" w:type="dxa"/>
          </w:tcPr>
          <w:p w14:paraId="2B00809A" w14:textId="57CD26C8" w:rsidR="00E31EA6" w:rsidRDefault="00E31EA6" w:rsidP="00793FA5">
            <w:pPr>
              <w:jc w:val="center"/>
            </w:pPr>
            <w:r>
              <w:t>+3.7</w:t>
            </w:r>
          </w:p>
        </w:tc>
        <w:tc>
          <w:tcPr>
            <w:tcW w:w="1265" w:type="dxa"/>
          </w:tcPr>
          <w:p w14:paraId="4D526A1D" w14:textId="5032D8B9" w:rsidR="00E31EA6" w:rsidRDefault="00E31EA6" w:rsidP="00793FA5">
            <w:pPr>
              <w:jc w:val="center"/>
            </w:pPr>
            <w:r>
              <w:t>+2.1</w:t>
            </w:r>
          </w:p>
        </w:tc>
        <w:tc>
          <w:tcPr>
            <w:tcW w:w="1294" w:type="dxa"/>
          </w:tcPr>
          <w:p w14:paraId="6DBDB007" w14:textId="57663F73" w:rsidR="00E31EA6" w:rsidRDefault="00E31EA6" w:rsidP="00793FA5">
            <w:pPr>
              <w:jc w:val="center"/>
            </w:pPr>
            <w:r>
              <w:t>+1.3</w:t>
            </w:r>
          </w:p>
        </w:tc>
        <w:tc>
          <w:tcPr>
            <w:tcW w:w="1265" w:type="dxa"/>
          </w:tcPr>
          <w:p w14:paraId="2116E00D" w14:textId="413953E8" w:rsidR="00E31EA6" w:rsidRDefault="00E31EA6" w:rsidP="00793FA5">
            <w:pPr>
              <w:jc w:val="center"/>
            </w:pPr>
            <w:r>
              <w:t>+0.8</w:t>
            </w:r>
          </w:p>
        </w:tc>
      </w:tr>
      <w:tr w:rsidR="00E31EA6" w14:paraId="2F2C140E" w14:textId="77777777" w:rsidTr="00CC7AE4">
        <w:tc>
          <w:tcPr>
            <w:tcW w:w="1367" w:type="dxa"/>
          </w:tcPr>
          <w:p w14:paraId="1BA295B8" w14:textId="77777777" w:rsidR="00E31EA6" w:rsidRDefault="00E31EA6" w:rsidP="00793FA5">
            <w:r>
              <w:t>4%</w:t>
            </w:r>
          </w:p>
        </w:tc>
        <w:tc>
          <w:tcPr>
            <w:tcW w:w="1208" w:type="dxa"/>
          </w:tcPr>
          <w:p w14:paraId="166E9CD4" w14:textId="61FD8280" w:rsidR="00E31EA6" w:rsidRDefault="00E31EA6" w:rsidP="00793FA5">
            <w:pPr>
              <w:jc w:val="center"/>
            </w:pPr>
            <w:r>
              <w:t>+5.6</w:t>
            </w:r>
          </w:p>
        </w:tc>
        <w:tc>
          <w:tcPr>
            <w:tcW w:w="1323" w:type="dxa"/>
          </w:tcPr>
          <w:p w14:paraId="475665AC" w14:textId="29AB1D52" w:rsidR="00E31EA6" w:rsidRDefault="00E31EA6" w:rsidP="00793FA5">
            <w:pPr>
              <w:jc w:val="center"/>
            </w:pPr>
            <w:r>
              <w:t>+4.0</w:t>
            </w:r>
          </w:p>
        </w:tc>
        <w:tc>
          <w:tcPr>
            <w:tcW w:w="1294" w:type="dxa"/>
          </w:tcPr>
          <w:p w14:paraId="5887494E" w14:textId="41AAE587" w:rsidR="00E31EA6" w:rsidRDefault="00E31EA6" w:rsidP="00793FA5">
            <w:pPr>
              <w:jc w:val="center"/>
            </w:pPr>
            <w:r>
              <w:t>+2.9</w:t>
            </w:r>
          </w:p>
        </w:tc>
        <w:tc>
          <w:tcPr>
            <w:tcW w:w="1265" w:type="dxa"/>
          </w:tcPr>
          <w:p w14:paraId="59141CA9" w14:textId="1678E75E" w:rsidR="00E31EA6" w:rsidRDefault="00E31EA6" w:rsidP="00793FA5">
            <w:pPr>
              <w:jc w:val="center"/>
            </w:pPr>
            <w:r>
              <w:t>+1.7</w:t>
            </w:r>
          </w:p>
        </w:tc>
        <w:tc>
          <w:tcPr>
            <w:tcW w:w="1294" w:type="dxa"/>
          </w:tcPr>
          <w:p w14:paraId="739C6BBD" w14:textId="57AE4389" w:rsidR="00E31EA6" w:rsidRDefault="00E31EA6" w:rsidP="00793FA5">
            <w:pPr>
              <w:jc w:val="center"/>
            </w:pPr>
            <w:r>
              <w:t>+1.0</w:t>
            </w:r>
          </w:p>
        </w:tc>
        <w:tc>
          <w:tcPr>
            <w:tcW w:w="1265" w:type="dxa"/>
          </w:tcPr>
          <w:p w14:paraId="52DE2486" w14:textId="4E6B0E0A" w:rsidR="00E31EA6" w:rsidRDefault="00E31EA6" w:rsidP="00793FA5">
            <w:pPr>
              <w:jc w:val="center"/>
            </w:pPr>
            <w:r>
              <w:t>+0.7</w:t>
            </w:r>
          </w:p>
        </w:tc>
      </w:tr>
      <w:tr w:rsidR="00E31EA6" w14:paraId="6770C715" w14:textId="77777777" w:rsidTr="00CC7AE4">
        <w:tc>
          <w:tcPr>
            <w:tcW w:w="1367" w:type="dxa"/>
          </w:tcPr>
          <w:p w14:paraId="490A1BBA" w14:textId="77777777" w:rsidR="00E31EA6" w:rsidRDefault="00E31EA6" w:rsidP="00793FA5">
            <w:r>
              <w:t>3%</w:t>
            </w:r>
          </w:p>
        </w:tc>
        <w:tc>
          <w:tcPr>
            <w:tcW w:w="1208" w:type="dxa"/>
          </w:tcPr>
          <w:p w14:paraId="3F71D80E" w14:textId="74B97C20" w:rsidR="00E31EA6" w:rsidRDefault="00E31EA6" w:rsidP="00793FA5">
            <w:pPr>
              <w:jc w:val="center"/>
            </w:pPr>
            <w:r>
              <w:t>+4.2</w:t>
            </w:r>
          </w:p>
        </w:tc>
        <w:tc>
          <w:tcPr>
            <w:tcW w:w="1323" w:type="dxa"/>
          </w:tcPr>
          <w:p w14:paraId="23D682B8" w14:textId="625D1A49" w:rsidR="00E31EA6" w:rsidRDefault="00E31EA6" w:rsidP="00793FA5">
            <w:pPr>
              <w:jc w:val="center"/>
            </w:pPr>
            <w:r>
              <w:t>+3.0</w:t>
            </w:r>
          </w:p>
        </w:tc>
        <w:tc>
          <w:tcPr>
            <w:tcW w:w="1294" w:type="dxa"/>
          </w:tcPr>
          <w:p w14:paraId="77617FA4" w14:textId="045198E9" w:rsidR="00E31EA6" w:rsidRDefault="00E31EA6" w:rsidP="00793FA5">
            <w:pPr>
              <w:jc w:val="center"/>
            </w:pPr>
            <w:r>
              <w:t>+2.2</w:t>
            </w:r>
          </w:p>
        </w:tc>
        <w:tc>
          <w:tcPr>
            <w:tcW w:w="1265" w:type="dxa"/>
          </w:tcPr>
          <w:p w14:paraId="726ABC9F" w14:textId="2EBE57D0" w:rsidR="00E31EA6" w:rsidRDefault="00E31EA6" w:rsidP="00793FA5">
            <w:pPr>
              <w:jc w:val="center"/>
            </w:pPr>
            <w:r>
              <w:t>+1.3</w:t>
            </w:r>
          </w:p>
        </w:tc>
        <w:tc>
          <w:tcPr>
            <w:tcW w:w="1294" w:type="dxa"/>
          </w:tcPr>
          <w:p w14:paraId="03D31E52" w14:textId="3CBE5639" w:rsidR="00E31EA6" w:rsidRDefault="00E31EA6" w:rsidP="00793FA5">
            <w:pPr>
              <w:jc w:val="center"/>
            </w:pPr>
            <w:r>
              <w:t>+0.8</w:t>
            </w:r>
          </w:p>
        </w:tc>
        <w:tc>
          <w:tcPr>
            <w:tcW w:w="1265" w:type="dxa"/>
          </w:tcPr>
          <w:p w14:paraId="553EDB52" w14:textId="14F6FD5A" w:rsidR="00E31EA6" w:rsidRDefault="00E31EA6" w:rsidP="00793FA5">
            <w:pPr>
              <w:jc w:val="center"/>
            </w:pPr>
            <w:r>
              <w:t>+0.5</w:t>
            </w:r>
          </w:p>
        </w:tc>
      </w:tr>
      <w:tr w:rsidR="00E31EA6" w14:paraId="4FC79A5C" w14:textId="77777777" w:rsidTr="00CC7AE4">
        <w:tc>
          <w:tcPr>
            <w:tcW w:w="1367" w:type="dxa"/>
          </w:tcPr>
          <w:p w14:paraId="6C9258DA" w14:textId="77777777" w:rsidR="00E31EA6" w:rsidRDefault="00E31EA6" w:rsidP="00793FA5">
            <w:r>
              <w:t>2%</w:t>
            </w:r>
          </w:p>
        </w:tc>
        <w:tc>
          <w:tcPr>
            <w:tcW w:w="1208" w:type="dxa"/>
          </w:tcPr>
          <w:p w14:paraId="2D92AA31" w14:textId="2D67865E" w:rsidR="00E31EA6" w:rsidRDefault="00E31EA6" w:rsidP="00793FA5">
            <w:pPr>
              <w:jc w:val="center"/>
            </w:pPr>
            <w:r>
              <w:t>+2.8</w:t>
            </w:r>
          </w:p>
        </w:tc>
        <w:tc>
          <w:tcPr>
            <w:tcW w:w="1323" w:type="dxa"/>
          </w:tcPr>
          <w:p w14:paraId="4567966F" w14:textId="2A7421C9" w:rsidR="00E31EA6" w:rsidRDefault="00E31EA6" w:rsidP="00793FA5">
            <w:pPr>
              <w:jc w:val="center"/>
            </w:pPr>
            <w:r>
              <w:t>+2.0</w:t>
            </w:r>
          </w:p>
        </w:tc>
        <w:tc>
          <w:tcPr>
            <w:tcW w:w="1294" w:type="dxa"/>
          </w:tcPr>
          <w:p w14:paraId="32030840" w14:textId="6C322E50" w:rsidR="00E31EA6" w:rsidRDefault="00E31EA6" w:rsidP="00793FA5">
            <w:pPr>
              <w:jc w:val="center"/>
            </w:pPr>
            <w:r>
              <w:t>+1.5</w:t>
            </w:r>
          </w:p>
        </w:tc>
        <w:tc>
          <w:tcPr>
            <w:tcW w:w="1265" w:type="dxa"/>
          </w:tcPr>
          <w:p w14:paraId="3960569E" w14:textId="39AA9E89" w:rsidR="00E31EA6" w:rsidRDefault="00E31EA6" w:rsidP="00793FA5">
            <w:pPr>
              <w:jc w:val="center"/>
            </w:pPr>
            <w:r>
              <w:t>+0.8</w:t>
            </w:r>
          </w:p>
        </w:tc>
        <w:tc>
          <w:tcPr>
            <w:tcW w:w="1294" w:type="dxa"/>
          </w:tcPr>
          <w:p w14:paraId="3FE7BD4C" w14:textId="62F99F4D" w:rsidR="00E31EA6" w:rsidRDefault="00E31EA6" w:rsidP="00793FA5">
            <w:pPr>
              <w:jc w:val="center"/>
            </w:pPr>
            <w:r>
              <w:t>+0.5</w:t>
            </w:r>
          </w:p>
        </w:tc>
        <w:tc>
          <w:tcPr>
            <w:tcW w:w="1265" w:type="dxa"/>
          </w:tcPr>
          <w:p w14:paraId="3855D48B" w14:textId="190CB6C6" w:rsidR="00E31EA6" w:rsidRDefault="00E31EA6" w:rsidP="00793FA5">
            <w:pPr>
              <w:jc w:val="center"/>
            </w:pPr>
            <w:r>
              <w:t>+0.3</w:t>
            </w:r>
          </w:p>
        </w:tc>
      </w:tr>
    </w:tbl>
    <w:p w14:paraId="2E2BFA59" w14:textId="77777777" w:rsidR="0099428B" w:rsidRDefault="0099428B"/>
    <w:p w14:paraId="58EFD0E1" w14:textId="032D2A59" w:rsidR="00C16213" w:rsidRDefault="00C16213" w:rsidP="003272B6">
      <w:pPr>
        <w:pStyle w:val="Nadpis2"/>
      </w:pPr>
      <w:r>
        <w:t>Proposed way forward</w:t>
      </w:r>
    </w:p>
    <w:p w14:paraId="292B092B" w14:textId="381FA45B" w:rsidR="000B5B34" w:rsidRDefault="000B5B34">
      <w:r>
        <w:t>We would propose that</w:t>
      </w:r>
      <w:r w:rsidR="00283C0E">
        <w:t xml:space="preserve"> </w:t>
      </w:r>
      <w:r>
        <w:t xml:space="preserve">we continue to put forward </w:t>
      </w:r>
      <w:r w:rsidR="003272B6">
        <w:t xml:space="preserve">arguments for a more appropriate calibration of EIOPA’s </w:t>
      </w:r>
      <w:r>
        <w:t xml:space="preserve">cost of capital rate (see Appendix </w:t>
      </w:r>
      <w:r w:rsidR="007A56DE">
        <w:t>4</w:t>
      </w:r>
      <w:r>
        <w:t>)</w:t>
      </w:r>
      <w:r w:rsidR="00283C0E">
        <w:t xml:space="preserve">, recognition of diversification at group level (Appendix </w:t>
      </w:r>
      <w:r w:rsidR="007A56DE">
        <w:t>5</w:t>
      </w:r>
      <w:r w:rsidR="00283C0E">
        <w:t>),</w:t>
      </w:r>
      <w:r>
        <w:t xml:space="preserve"> and </w:t>
      </w:r>
      <w:r w:rsidR="00283C0E">
        <w:t xml:space="preserve">a more appropriate </w:t>
      </w:r>
      <w:r w:rsidR="003272B6">
        <w:t>lambda parameter</w:t>
      </w:r>
      <w:r w:rsidR="004673C8">
        <w:t xml:space="preserve"> and </w:t>
      </w:r>
      <w:r>
        <w:t xml:space="preserve">the </w:t>
      </w:r>
      <w:r w:rsidR="004673C8">
        <w:t xml:space="preserve">removal of the </w:t>
      </w:r>
      <w:r>
        <w:t xml:space="preserve">arbitrary </w:t>
      </w:r>
      <w:r w:rsidR="004673C8">
        <w:t>floor</w:t>
      </w:r>
      <w:r>
        <w:t xml:space="preserve"> (Appendix </w:t>
      </w:r>
      <w:r w:rsidR="007A56DE">
        <w:t>6</w:t>
      </w:r>
      <w:r>
        <w:t>)</w:t>
      </w:r>
      <w:r w:rsidR="00283C0E">
        <w:t xml:space="preserve"> as part of a single combined proposal</w:t>
      </w:r>
      <w:r w:rsidR="004673C8">
        <w:t>.</w:t>
      </w:r>
      <w:r w:rsidR="001D1CB0">
        <w:t xml:space="preserve"> In the section below, we propose plausible ranges for each of these </w:t>
      </w:r>
      <w:r w:rsidR="00F8068A">
        <w:t>parameters</w:t>
      </w:r>
      <w:r w:rsidR="007E3B98">
        <w:t xml:space="preserve">, based predominantly on previous work by the CROF, </w:t>
      </w:r>
      <w:r w:rsidR="00F8068A">
        <w:t>which we then amalgamate into a single proposal.</w:t>
      </w:r>
    </w:p>
    <w:p w14:paraId="70C086ED" w14:textId="77777777" w:rsidR="00915E7B" w:rsidRDefault="00915E7B">
      <w:pPr>
        <w:rPr>
          <w:rFonts w:asciiTheme="majorHAnsi" w:eastAsiaTheme="majorEastAsia" w:hAnsiTheme="majorHAnsi" w:cstheme="majorBidi"/>
          <w:color w:val="365F91" w:themeColor="accent1" w:themeShade="BF"/>
          <w:sz w:val="32"/>
          <w:szCs w:val="32"/>
        </w:rPr>
      </w:pPr>
      <w:r>
        <w:br w:type="page"/>
      </w:r>
    </w:p>
    <w:p w14:paraId="09496836" w14:textId="53B563BF" w:rsidR="002C4F55" w:rsidRDefault="00A11870" w:rsidP="0059536B">
      <w:pPr>
        <w:pStyle w:val="Nadpis1"/>
        <w:numPr>
          <w:ilvl w:val="0"/>
          <w:numId w:val="12"/>
        </w:numPr>
      </w:pPr>
      <w:r>
        <w:lastRenderedPageBreak/>
        <w:t>Proposal for an updated c</w:t>
      </w:r>
      <w:r w:rsidR="00F8068A">
        <w:t>ost-of-capital-rate</w:t>
      </w:r>
    </w:p>
    <w:p w14:paraId="00D01258" w14:textId="77777777" w:rsidR="002C4F55" w:rsidRDefault="002C4F55" w:rsidP="002C4F55">
      <w:r w:rsidRPr="003525F9">
        <w:rPr>
          <w:lang w:val="en-US"/>
        </w:rPr>
        <w:t>The CRO</w:t>
      </w:r>
      <w:r>
        <w:rPr>
          <w:lang w:val="en-US"/>
        </w:rPr>
        <w:t xml:space="preserve"> </w:t>
      </w:r>
      <w:r w:rsidRPr="003525F9">
        <w:rPr>
          <w:lang w:val="en-US"/>
        </w:rPr>
        <w:t>F</w:t>
      </w:r>
      <w:r>
        <w:rPr>
          <w:lang w:val="en-US"/>
        </w:rPr>
        <w:t>orum</w:t>
      </w:r>
      <w:r w:rsidRPr="003525F9">
        <w:rPr>
          <w:lang w:val="en-US"/>
        </w:rPr>
        <w:t xml:space="preserve"> acknowledges the efforts of EIOPA in reviewing the calibration of the </w:t>
      </w:r>
      <w:proofErr w:type="spellStart"/>
      <w:r w:rsidRPr="003525F9">
        <w:rPr>
          <w:lang w:val="en-US"/>
        </w:rPr>
        <w:t>CoC</w:t>
      </w:r>
      <w:proofErr w:type="spellEnd"/>
      <w:r w:rsidRPr="003525F9">
        <w:rPr>
          <w:lang w:val="en-US"/>
        </w:rPr>
        <w:t xml:space="preserve"> rate</w:t>
      </w:r>
      <w:r>
        <w:rPr>
          <w:lang w:val="en-US"/>
        </w:rPr>
        <w:t xml:space="preserve"> during the 2018 Solvency II Standard Formula Review</w:t>
      </w:r>
      <w:r w:rsidRPr="003525F9">
        <w:rPr>
          <w:lang w:val="en-US"/>
        </w:rPr>
        <w:t>. However, the CRO</w:t>
      </w:r>
      <w:r>
        <w:rPr>
          <w:lang w:val="en-US"/>
        </w:rPr>
        <w:t xml:space="preserve"> </w:t>
      </w:r>
      <w:r w:rsidRPr="003525F9">
        <w:rPr>
          <w:lang w:val="en-US"/>
        </w:rPr>
        <w:t>F</w:t>
      </w:r>
      <w:r>
        <w:rPr>
          <w:lang w:val="en-US"/>
        </w:rPr>
        <w:t>orum</w:t>
      </w:r>
      <w:r w:rsidRPr="003525F9">
        <w:rPr>
          <w:lang w:val="en-US"/>
        </w:rPr>
        <w:t xml:space="preserve"> considers that the information and sources used to derive the </w:t>
      </w:r>
      <w:proofErr w:type="spellStart"/>
      <w:r w:rsidRPr="003525F9">
        <w:rPr>
          <w:lang w:val="en-US"/>
        </w:rPr>
        <w:t>CoC</w:t>
      </w:r>
      <w:proofErr w:type="spellEnd"/>
      <w:r w:rsidRPr="003525F9">
        <w:rPr>
          <w:lang w:val="en-US"/>
        </w:rPr>
        <w:t xml:space="preserve"> of 6% which are presented in the report tend to include an upward bias. Furthermore, EIOPA have made very conservative choices for parameters and estimates to derive the </w:t>
      </w:r>
      <w:proofErr w:type="spellStart"/>
      <w:r w:rsidRPr="003525F9">
        <w:rPr>
          <w:lang w:val="en-US"/>
        </w:rPr>
        <w:t>CoC</w:t>
      </w:r>
      <w:proofErr w:type="spellEnd"/>
      <w:r w:rsidRPr="003525F9">
        <w:rPr>
          <w:lang w:val="en-US"/>
        </w:rPr>
        <w:t xml:space="preserve"> rate from these sources</w:t>
      </w:r>
      <w:r>
        <w:rPr>
          <w:lang w:val="en-US"/>
        </w:rPr>
        <w:t>.</w:t>
      </w:r>
    </w:p>
    <w:p w14:paraId="495C6F3E" w14:textId="77777777" w:rsidR="002C4F55" w:rsidRDefault="002C4F55" w:rsidP="002C4F55">
      <w:r>
        <w:t>The general approach adopted by EIOPA corresponds to estimating the cost of capital under a CAPM approach, which estimates the cost of capital as a function of the expected return on the market portfolio and ‘beta’ value:</w:t>
      </w:r>
    </w:p>
    <w:p w14:paraId="7A247CFB" w14:textId="77777777" w:rsidR="002C4F55" w:rsidRPr="00D74FAA" w:rsidRDefault="002C4F55" w:rsidP="002C4F55">
      <w:pPr>
        <w:jc w:val="center"/>
      </w:pPr>
      <w:proofErr w:type="spellStart"/>
      <w:r w:rsidRPr="003525F9">
        <w:rPr>
          <w:rFonts w:eastAsia="Calibri"/>
          <w:b/>
        </w:rPr>
        <w:t>CoC</w:t>
      </w:r>
      <w:proofErr w:type="spellEnd"/>
      <w:r w:rsidRPr="003525F9">
        <w:rPr>
          <w:rFonts w:eastAsia="Calibri"/>
          <w:b/>
        </w:rPr>
        <w:t xml:space="preserve"> rate = </w:t>
      </w:r>
      <w:proofErr w:type="gramStart"/>
      <w:r w:rsidRPr="003525F9">
        <w:rPr>
          <w:rFonts w:eastAsia="Calibri"/>
          <w:b/>
        </w:rPr>
        <w:t>β</w:t>
      </w:r>
      <w:r>
        <w:rPr>
          <w:rFonts w:eastAsia="Calibri"/>
          <w:b/>
        </w:rPr>
        <w:t>.</w:t>
      </w:r>
      <w:r w:rsidRPr="003525F9">
        <w:rPr>
          <w:rFonts w:eastAsia="Calibri"/>
          <w:b/>
        </w:rPr>
        <w:t>[</w:t>
      </w:r>
      <w:proofErr w:type="gramEnd"/>
      <w:r>
        <w:rPr>
          <w:rFonts w:eastAsia="Calibri"/>
          <w:b/>
        </w:rPr>
        <w:t xml:space="preserve">Equity </w:t>
      </w:r>
      <w:r w:rsidRPr="003525F9">
        <w:rPr>
          <w:rFonts w:eastAsia="Calibri"/>
          <w:b/>
        </w:rPr>
        <w:t>risk premium]</w:t>
      </w:r>
    </w:p>
    <w:p w14:paraId="64DB9E38" w14:textId="77777777" w:rsidR="002C4F55" w:rsidRDefault="002C4F55" w:rsidP="002C4F55">
      <w:r>
        <w:t>EIOPA have followed this approach and, having derived an estimate of a beta value of 1 and an equity risk premium of 6%, they have arrived at the Solvency II cost-of-capital rate of 6%.</w:t>
      </w:r>
    </w:p>
    <w:p w14:paraId="7E3ECEE0" w14:textId="658AF73B" w:rsidR="008D0C29" w:rsidRDefault="002C4F55" w:rsidP="002C4F55">
      <w:r>
        <w:t>While EIOPA have made some necessary adjustments to estimate the beta value, not all necessary adjustments have been made while those that have been made have been excessively prudent. In fact, we believe that several further adjustments are necessary to ensure that the Solvency II cost-of-capital rate is appropriately justified. A</w:t>
      </w:r>
      <w:r w:rsidRPr="00F42C52">
        <w:t xml:space="preserve">nalysis from the CRO-CFO Forum clearly illustrates that a value of 3% for the Solvency II </w:t>
      </w:r>
      <w:proofErr w:type="spellStart"/>
      <w:r w:rsidRPr="00F42C52">
        <w:t>CoC</w:t>
      </w:r>
      <w:proofErr w:type="spellEnd"/>
      <w:r w:rsidRPr="00F42C52">
        <w:t xml:space="preserve"> rate is appropriate, yet remains significantly prudent.</w:t>
      </w:r>
      <w:r w:rsidR="008D0C29" w:rsidRPr="008D0C29">
        <w:t xml:space="preserve"> </w:t>
      </w:r>
      <w:r w:rsidR="008D0C29">
        <w:t xml:space="preserve">Based on this, the CROF considers an appropriate range for the starting </w:t>
      </w:r>
      <w:proofErr w:type="spellStart"/>
      <w:r w:rsidR="008D0C29">
        <w:t>CoC</w:t>
      </w:r>
      <w:proofErr w:type="spellEnd"/>
      <w:r w:rsidR="008D0C29">
        <w:t xml:space="preserve"> parameter to be 2% - 3%. </w:t>
      </w:r>
      <w:r w:rsidR="0001451E">
        <w:t>In addition, as we discuss below there are a number of areas where EIOPA’s derivation of the cost-of-capital rate is flawed, not least the inconsistency of applying a levered beta to a reference undertaking with no debt. Correcting for this on its own would reduce the cost-of-capita</w:t>
      </w:r>
      <w:r w:rsidR="0046095D">
        <w:t>l</w:t>
      </w:r>
      <w:r w:rsidR="0001451E">
        <w:t xml:space="preserve"> rate to 4%, and therefore, in</w:t>
      </w:r>
      <w:r w:rsidR="008D0C29">
        <w:t xml:space="preserve"> conjunction with an appropriate value of EIOPA’s lambda parameter, </w:t>
      </w:r>
      <w:r w:rsidR="0001451E">
        <w:t xml:space="preserve">we consider implications of a cost-of-capital range of </w:t>
      </w:r>
      <w:r w:rsidR="0001451E" w:rsidRPr="0059536B">
        <w:rPr>
          <w:b/>
          <w:bCs/>
        </w:rPr>
        <w:t>2%-4%</w:t>
      </w:r>
      <w:r w:rsidR="0046095D">
        <w:rPr>
          <w:b/>
          <w:bCs/>
        </w:rPr>
        <w:t xml:space="preserve"> </w:t>
      </w:r>
      <w:r w:rsidR="0046095D" w:rsidRPr="0059536B">
        <w:t>in this paper</w:t>
      </w:r>
      <w:r w:rsidR="008D0C29">
        <w:t>.</w:t>
      </w:r>
    </w:p>
    <w:p w14:paraId="16EA19A5" w14:textId="242A7A63" w:rsidR="007C2822" w:rsidRPr="007C2822" w:rsidRDefault="0051035F" w:rsidP="007C2822">
      <w:r>
        <w:t>W</w:t>
      </w:r>
      <w:r w:rsidR="007C2822">
        <w:t xml:space="preserve">e outline </w:t>
      </w:r>
      <w:r>
        <w:t xml:space="preserve">below </w:t>
      </w:r>
      <w:r w:rsidR="007C2822">
        <w:t xml:space="preserve">areas that correspond to important </w:t>
      </w:r>
      <w:r>
        <w:t xml:space="preserve">flaws or </w:t>
      </w:r>
      <w:r w:rsidR="007C2822">
        <w:t>omissions in EIOPA’s approach to derive the Solvency II cost-of-capital rate.</w:t>
      </w:r>
    </w:p>
    <w:p w14:paraId="5341C0A3" w14:textId="1EBD26B2" w:rsidR="002C4F55" w:rsidRPr="00AF1BC9" w:rsidRDefault="002C4F55" w:rsidP="0059536B">
      <w:pPr>
        <w:pStyle w:val="Nadpis3"/>
      </w:pPr>
      <w:r>
        <w:t>Consideration of debt / u</w:t>
      </w:r>
      <w:r w:rsidRPr="00AF1BC9">
        <w:t>se of unlevered beta</w:t>
      </w:r>
    </w:p>
    <w:p w14:paraId="1C88081B" w14:textId="77777777" w:rsidR="002C4F55" w:rsidRDefault="002C4F55" w:rsidP="002C4F55">
      <w:r>
        <w:t xml:space="preserve">The cost-of-capital should take into account the share of debt held by insurers. The current derivation is flawed as it does not do this, and so derives an upwardly-biased cost of </w:t>
      </w:r>
      <w:r w:rsidRPr="009E4846">
        <w:rPr>
          <w:i/>
        </w:rPr>
        <w:t>equity</w:t>
      </w:r>
      <w:r>
        <w:t xml:space="preserve"> rather than a cost of capital (i.e. weighted average cost of capital, or “WACC”).</w:t>
      </w:r>
    </w:p>
    <w:p w14:paraId="29ABB3F3" w14:textId="77777777" w:rsidR="002C4F55" w:rsidRDefault="002C4F55" w:rsidP="002C4F55">
      <w:r>
        <w:t>Given this, the cost of capital calculation should therefore take into account the financing structure of insurance capital. The WACC can either be calculated explicitly, or through the use of an unlevered beta, which corresponds to the estimated beta of companies if they were to hold no debt, and therefore corresponds to an estimate of the WACC.</w:t>
      </w:r>
    </w:p>
    <w:p w14:paraId="3B233756" w14:textId="4449FB0C" w:rsidR="002C4F55" w:rsidRDefault="002C4F55" w:rsidP="002C4F55">
      <w:r>
        <w:t xml:space="preserve">Estimating the WACC directly could potentially be onerous. Instead, the use of an unlevered beta would be a more practical way to estimate the WACC as estimates of this </w:t>
      </w:r>
      <w:r w:rsidR="0051035F">
        <w:t>are</w:t>
      </w:r>
      <w:r>
        <w:t xml:space="preserve"> already available from external sources. For example, a comprehensive NYU Stern study finds an unlevered beta for insurance companies of 0.65.</w:t>
      </w:r>
      <w:r w:rsidR="007C2822">
        <w:t xml:space="preserve"> This would reduce the cost-of-capital rate to c. </w:t>
      </w:r>
      <w:r w:rsidR="007C2822" w:rsidRPr="0059536B">
        <w:rPr>
          <w:b/>
          <w:bCs/>
        </w:rPr>
        <w:t>4%</w:t>
      </w:r>
      <w:r w:rsidR="0051035F">
        <w:rPr>
          <w:b/>
          <w:bCs/>
        </w:rPr>
        <w:t xml:space="preserve"> </w:t>
      </w:r>
      <w:r w:rsidR="0051035F">
        <w:t>on its own</w:t>
      </w:r>
      <w:r w:rsidR="007C2822">
        <w:t>.</w:t>
      </w:r>
    </w:p>
    <w:p w14:paraId="510EB1B6" w14:textId="77777777" w:rsidR="002C4F55" w:rsidRDefault="002C4F55" w:rsidP="0059536B">
      <w:pPr>
        <w:pStyle w:val="Nadpis3"/>
      </w:pPr>
      <w:r w:rsidRPr="002F56ED">
        <w:t>Use of a forward-looking premium</w:t>
      </w:r>
    </w:p>
    <w:p w14:paraId="3BC47A4B" w14:textId="6530CCE1" w:rsidR="002C4F55" w:rsidRDefault="002C4F55" w:rsidP="002C4F55">
      <w:r>
        <w:t>EIOPA in their second set of advice to the European Commission on specific items in the Solvency II Delegated Regulation (E</w:t>
      </w:r>
      <w:r w:rsidRPr="00E56593">
        <w:t>IOPA-BoS-18/075</w:t>
      </w:r>
      <w:r>
        <w:t xml:space="preserve">) </w:t>
      </w:r>
      <w:r w:rsidR="0051035F">
        <w:t>proposes</w:t>
      </w:r>
      <w:r>
        <w:t xml:space="preserve"> to use </w:t>
      </w:r>
      <w:r w:rsidRPr="00E56593">
        <w:t>only historic return models to ensure methodological consistency, stronger stability and lower dependence on assumptions.</w:t>
      </w:r>
    </w:p>
    <w:p w14:paraId="7B946DA7" w14:textId="1C30C58F" w:rsidR="002C4F55" w:rsidRDefault="002C4F55" w:rsidP="002C4F55">
      <w:r>
        <w:lastRenderedPageBreak/>
        <w:t xml:space="preserve">However, there is considerable scientific evidence that the backward-looking </w:t>
      </w:r>
      <w:r w:rsidR="0051035F">
        <w:t>equity risk premium (“</w:t>
      </w:r>
      <w:r>
        <w:t>ERP</w:t>
      </w:r>
      <w:r w:rsidR="0051035F">
        <w:t>”)</w:t>
      </w:r>
      <w:r>
        <w:t xml:space="preserve"> is an upward biased estimate of the true theoretical ERP, which is forward-looking by virtue of the CAPM definition. For example, Ibbotson and Chen (2003) show that after accounting for unexpected capital gains, the ERP for the USA is reduced significantly, by 2% (i.e. 200bps). In a similar vein </w:t>
      </w:r>
      <w:proofErr w:type="spellStart"/>
      <w:r>
        <w:t>Fama</w:t>
      </w:r>
      <w:proofErr w:type="spellEnd"/>
      <w:r>
        <w:t xml:space="preserve"> and French (2002) show that the backward-looking ERP over 1951 and 2002 was also 2% higher than the forward-looking one. The ERP based on historical return models requires certainly fewer assumptions to be calculated. However, if using an historical return ERP, it is essential to address its upward bias, by making a -2 % correction.</w:t>
      </w:r>
    </w:p>
    <w:p w14:paraId="5DD2461F" w14:textId="77777777" w:rsidR="007C2822" w:rsidRDefault="007C2822" w:rsidP="0059536B">
      <w:pPr>
        <w:pStyle w:val="Nadpis3"/>
      </w:pPr>
      <w:r w:rsidRPr="00F9191C">
        <w:t>Adjustment for pure insurance risks</w:t>
      </w:r>
    </w:p>
    <w:p w14:paraId="66D90261" w14:textId="77777777" w:rsidR="007C2822" w:rsidRDefault="007C2822" w:rsidP="007C2822">
      <w:r>
        <w:t xml:space="preserve">A key source of return for going concern undertakings relates to </w:t>
      </w:r>
      <w:r w:rsidRPr="00E42719">
        <w:t>expected profit from new business</w:t>
      </w:r>
      <w:r>
        <w:t>.</w:t>
      </w:r>
      <w:r w:rsidRPr="00E42719">
        <w:t xml:space="preserve"> </w:t>
      </w:r>
      <w:r>
        <w:t>However, the reference undertaking is closed to new business and therefore any estimate of the cost-of-capital rate should be adjusted downwards in order to remove the impact on this of the compensation for franchise risk that investors require to invest in ongoing insurance entities and will not require this compensation for the transferred run-off portfolio.</w:t>
      </w:r>
    </w:p>
    <w:p w14:paraId="2E3D2B64" w14:textId="77777777" w:rsidR="007C2822" w:rsidRDefault="007C2822" w:rsidP="007C2822">
      <w:r>
        <w:t>Furthermore, the reference undertaking is assumed to hold no risky assets whereas ongoing insurance entities, on which the cost of capital is based, do hold a significant amount of market-risky assets (e.g. equities, bonds). Therefore, the cost-of-capital rate should be adjusted downwards to account for this because b</w:t>
      </w:r>
      <w:r w:rsidRPr="00E42719">
        <w:t>y</w:t>
      </w:r>
      <w:r>
        <w:t xml:space="preserve"> its</w:t>
      </w:r>
      <w:r w:rsidRPr="00E42719">
        <w:t xml:space="preserve"> definition, the “total return” CAPM cost of capital reflects already all the risks and costs assumed by investors.</w:t>
      </w:r>
    </w:p>
    <w:p w14:paraId="7BB6613C" w14:textId="1617AF0E" w:rsidR="007C2822" w:rsidRDefault="007C2822" w:rsidP="007C2822">
      <w:pPr>
        <w:rPr>
          <w:rFonts w:eastAsia="Calibri"/>
          <w:lang w:eastAsia="fr-FR"/>
        </w:rPr>
      </w:pPr>
      <w:r>
        <w:t>T</w:t>
      </w:r>
      <w:r w:rsidRPr="00E42719">
        <w:t xml:space="preserve">he general CAPM framework is not designed to reflect only the cost of running off pure insurance risks as is the case with the </w:t>
      </w:r>
      <w:r>
        <w:t>risk margin.</w:t>
      </w:r>
      <w:r w:rsidRPr="00E42719">
        <w:t xml:space="preserve"> </w:t>
      </w:r>
      <w:r>
        <w:t xml:space="preserve">Our analysis indicates a downward adjustment of 30% is necessary to account for these two effects. </w:t>
      </w:r>
      <w:r w:rsidRPr="00E42719">
        <w:t>The 30% adjustment is likely to be conservative when considered in the context of the risk profiles of life insurers in particular who carry large amounts of asset risk.</w:t>
      </w:r>
      <w:r>
        <w:t xml:space="preserve"> </w:t>
      </w:r>
      <w:r w:rsidRPr="00E42719">
        <w:rPr>
          <w:rFonts w:eastAsia="Calibri"/>
          <w:lang w:eastAsia="fr-FR"/>
        </w:rPr>
        <w:t>This level of adjustment is consistent with the downward adjustment assumed by CEIOPS in its 2009 final advice on the risk margin.</w:t>
      </w:r>
    </w:p>
    <w:p w14:paraId="39C33A7D" w14:textId="77777777" w:rsidR="007C2822" w:rsidRDefault="007C2822" w:rsidP="0059536B">
      <w:pPr>
        <w:pStyle w:val="Nadpis2"/>
      </w:pPr>
      <w:r>
        <w:t>Other considerations</w:t>
      </w:r>
    </w:p>
    <w:p w14:paraId="083F9AC7" w14:textId="6B8072DB" w:rsidR="002C4F55" w:rsidRPr="009472D3" w:rsidRDefault="002C4F55" w:rsidP="0059536B">
      <w:pPr>
        <w:pStyle w:val="Nadpis3"/>
      </w:pPr>
      <w:r w:rsidRPr="009472D3">
        <w:t>Use of arithmetic vs geometric mean</w:t>
      </w:r>
    </w:p>
    <w:p w14:paraId="0B21888E" w14:textId="25A37717" w:rsidR="002C4F55" w:rsidRDefault="002C4F55" w:rsidP="002C4F55">
      <w:r>
        <w:t xml:space="preserve">The </w:t>
      </w:r>
      <w:r w:rsidR="0051035F">
        <w:t>ERP</w:t>
      </w:r>
      <w:r>
        <w:t xml:space="preserve"> results presented in the scientific articles and analytical reports use an arithmetic and a geometric mean. The use of an arithmetic or a geometric mean can produce materially different results. </w:t>
      </w:r>
      <w:proofErr w:type="gramStart"/>
      <w:r>
        <w:t>Therefore</w:t>
      </w:r>
      <w:proofErr w:type="gramEnd"/>
      <w:r>
        <w:t xml:space="preserve"> the use of a geometric mean in deriving the cost-of-capital rate should also be considered.</w:t>
      </w:r>
    </w:p>
    <w:p w14:paraId="20807546" w14:textId="77777777" w:rsidR="002C4F55" w:rsidRPr="00F9191C" w:rsidRDefault="002C4F55" w:rsidP="0059536B">
      <w:pPr>
        <w:pStyle w:val="Nadpis3"/>
      </w:pPr>
      <w:r w:rsidRPr="00F9191C">
        <w:t>Use of a market risk premium</w:t>
      </w:r>
    </w:p>
    <w:p w14:paraId="7B1FAF0E" w14:textId="77777777" w:rsidR="002C4F55" w:rsidRDefault="002C4F55" w:rsidP="002C4F55">
      <w:r>
        <w:t>The CAPM approach used to estimate the cost of capital should take into account a diversified market portfolio i.e. a globally diversified portfolio including asset classes other than equites – which would lower the market risk premium. The impact of this on the beta values should also be considered.</w:t>
      </w:r>
    </w:p>
    <w:p w14:paraId="34DC1A58" w14:textId="77777777" w:rsidR="002C4F55" w:rsidRPr="002C1816" w:rsidRDefault="002C4F55" w:rsidP="002C4F55">
      <w:pPr>
        <w:rPr>
          <w:rFonts w:eastAsia="Calibri"/>
          <w:u w:val="single"/>
          <w:lang w:eastAsia="fr-FR"/>
        </w:rPr>
      </w:pPr>
      <w:r w:rsidRPr="002C1816">
        <w:rPr>
          <w:rFonts w:eastAsia="Calibri"/>
          <w:u w:val="single"/>
          <w:lang w:eastAsia="fr-FR"/>
        </w:rPr>
        <w:t>Summary</w:t>
      </w:r>
    </w:p>
    <w:p w14:paraId="7AEB6207" w14:textId="77777777" w:rsidR="002C4F55" w:rsidRDefault="002C4F55" w:rsidP="002C4F55">
      <w:pPr>
        <w:spacing w:after="160" w:line="256" w:lineRule="auto"/>
        <w:rPr>
          <w:rFonts w:eastAsia="Calibri"/>
        </w:rPr>
      </w:pPr>
      <w:r>
        <w:rPr>
          <w:rFonts w:eastAsia="Calibri"/>
        </w:rPr>
        <w:t xml:space="preserve">The current 6% level of the Solvency II cost of capital rate is excessive because: </w:t>
      </w:r>
    </w:p>
    <w:p w14:paraId="331CB25C" w14:textId="77777777" w:rsidR="002C4F55" w:rsidRDefault="002C4F55" w:rsidP="002C4F55">
      <w:pPr>
        <w:numPr>
          <w:ilvl w:val="0"/>
          <w:numId w:val="10"/>
        </w:numPr>
        <w:spacing w:before="120" w:after="0" w:line="240" w:lineRule="auto"/>
        <w:jc w:val="both"/>
        <w:rPr>
          <w:rFonts w:eastAsia="Calibri"/>
          <w:lang w:eastAsia="fr-FR"/>
        </w:rPr>
      </w:pPr>
      <w:r>
        <w:rPr>
          <w:rFonts w:eastAsia="Calibri"/>
          <w:lang w:eastAsia="fr-FR"/>
        </w:rPr>
        <w:t>It was calibrated based on backward-looking equity risk premiums, rather than forward looking market risk premium, which introduces a strong upward bias;</w:t>
      </w:r>
    </w:p>
    <w:p w14:paraId="4AF1A13B" w14:textId="77777777" w:rsidR="00EF1C0D" w:rsidRDefault="002C4F55" w:rsidP="002C4F55">
      <w:pPr>
        <w:numPr>
          <w:ilvl w:val="0"/>
          <w:numId w:val="10"/>
        </w:numPr>
        <w:spacing w:before="120" w:after="0" w:line="240" w:lineRule="auto"/>
        <w:jc w:val="both"/>
        <w:rPr>
          <w:rFonts w:eastAsia="Calibri"/>
          <w:lang w:eastAsia="fr-FR"/>
        </w:rPr>
      </w:pPr>
      <w:r>
        <w:rPr>
          <w:rFonts w:eastAsia="Calibri"/>
          <w:lang w:eastAsia="fr-FR"/>
        </w:rPr>
        <w:t>It was calibrated based on a 100% equity funding assumption but with the use of a levered beta (which is completely inconsistent)</w:t>
      </w:r>
    </w:p>
    <w:p w14:paraId="6EF34B29" w14:textId="5F3F2C29" w:rsidR="002C4F55" w:rsidRDefault="00EF1C0D" w:rsidP="002C4F55">
      <w:pPr>
        <w:numPr>
          <w:ilvl w:val="0"/>
          <w:numId w:val="10"/>
        </w:numPr>
        <w:spacing w:before="120" w:after="0" w:line="240" w:lineRule="auto"/>
        <w:jc w:val="both"/>
        <w:rPr>
          <w:rFonts w:eastAsia="Calibri"/>
          <w:lang w:eastAsia="fr-FR"/>
        </w:rPr>
      </w:pPr>
      <w:r>
        <w:rPr>
          <w:rFonts w:eastAsia="Calibri"/>
          <w:lang w:eastAsia="fr-FR"/>
        </w:rPr>
        <w:lastRenderedPageBreak/>
        <w:t xml:space="preserve">It was calibrated </w:t>
      </w:r>
      <w:r w:rsidR="002C4F55">
        <w:rPr>
          <w:rFonts w:eastAsia="Calibri"/>
          <w:lang w:eastAsia="fr-FR"/>
        </w:rPr>
        <w:t xml:space="preserve">without </w:t>
      </w:r>
      <w:r>
        <w:rPr>
          <w:rFonts w:eastAsia="Calibri"/>
          <w:lang w:eastAsia="fr-FR"/>
        </w:rPr>
        <w:t xml:space="preserve">fully </w:t>
      </w:r>
      <w:r w:rsidR="002C4F55">
        <w:rPr>
          <w:rFonts w:eastAsia="Calibri"/>
          <w:lang w:eastAsia="fr-FR"/>
        </w:rPr>
        <w:t>adjusting the beta for the run</w:t>
      </w:r>
      <w:r>
        <w:rPr>
          <w:rFonts w:eastAsia="Calibri"/>
          <w:lang w:eastAsia="fr-FR"/>
        </w:rPr>
        <w:t>-</w:t>
      </w:r>
      <w:r w:rsidR="002C4F55">
        <w:rPr>
          <w:rFonts w:eastAsia="Calibri"/>
          <w:lang w:eastAsia="fr-FR"/>
        </w:rPr>
        <w:t>off of pure insurance and asset risk.</w:t>
      </w:r>
    </w:p>
    <w:p w14:paraId="069758A3" w14:textId="0C9B4159" w:rsidR="002C4F55" w:rsidRDefault="002C4F55" w:rsidP="002C4F55">
      <w:pPr>
        <w:autoSpaceDE w:val="0"/>
        <w:autoSpaceDN w:val="0"/>
        <w:spacing w:before="120"/>
        <w:jc w:val="both"/>
        <w:rPr>
          <w:rFonts w:eastAsia="Times New Roman"/>
          <w:color w:val="000000"/>
          <w:lang w:eastAsia="de-DE"/>
        </w:rPr>
      </w:pPr>
      <w:r>
        <w:t xml:space="preserve">This leads to a level of the Risk Margin which is too </w:t>
      </w:r>
      <w:r w:rsidR="0051035F">
        <w:t xml:space="preserve">high and </w:t>
      </w:r>
      <w:r>
        <w:t>volatile and does not seem reasonable within the Solvency II framework.</w:t>
      </w:r>
    </w:p>
    <w:p w14:paraId="773018B0" w14:textId="77777777" w:rsidR="002C4F55" w:rsidRDefault="002C4F55" w:rsidP="002C4F55">
      <w:pPr>
        <w:autoSpaceDE w:val="0"/>
        <w:autoSpaceDN w:val="0"/>
        <w:spacing w:before="120"/>
        <w:jc w:val="both"/>
        <w:rPr>
          <w:color w:val="000000"/>
        </w:rPr>
      </w:pPr>
      <w:r>
        <w:rPr>
          <w:color w:val="000000"/>
        </w:rPr>
        <w:t xml:space="preserve">If EIOPA persist with an assumption of pure equity funding then the Solvency II </w:t>
      </w:r>
      <w:proofErr w:type="spellStart"/>
      <w:r>
        <w:rPr>
          <w:color w:val="000000"/>
        </w:rPr>
        <w:t>CoC</w:t>
      </w:r>
      <w:proofErr w:type="spellEnd"/>
      <w:r>
        <w:rPr>
          <w:color w:val="000000"/>
        </w:rPr>
        <w:t xml:space="preserve"> rate from the standard CAPM methodology should be derived in the following way: </w:t>
      </w:r>
    </w:p>
    <w:p w14:paraId="0B300FFA" w14:textId="77777777" w:rsidR="002C4F55" w:rsidRDefault="002C4F55" w:rsidP="002C4F55">
      <w:pPr>
        <w:autoSpaceDE w:val="0"/>
        <w:autoSpaceDN w:val="0"/>
        <w:spacing w:before="120"/>
        <w:jc w:val="both"/>
        <w:rPr>
          <w:rFonts w:eastAsia="Calibri"/>
          <w:b/>
        </w:rPr>
      </w:pPr>
      <w:proofErr w:type="spellStart"/>
      <w:r>
        <w:rPr>
          <w:rFonts w:eastAsia="Calibri"/>
          <w:b/>
        </w:rPr>
        <w:t>CoC</w:t>
      </w:r>
      <w:proofErr w:type="spellEnd"/>
      <w:r>
        <w:rPr>
          <w:rFonts w:eastAsia="Calibri"/>
          <w:b/>
        </w:rPr>
        <w:t xml:space="preserve"> rate = (1-</w:t>
      </w:r>
      <w:proofErr w:type="gramStart"/>
      <w:r>
        <w:rPr>
          <w:rFonts w:eastAsia="Calibri"/>
          <w:b/>
        </w:rPr>
        <w:t>x)β.</w:t>
      </w:r>
      <w:proofErr w:type="gramEnd"/>
      <w:r>
        <w:rPr>
          <w:rFonts w:eastAsia="Calibri"/>
          <w:b/>
        </w:rPr>
        <w:t>[Market risk premium]</w:t>
      </w:r>
    </w:p>
    <w:p w14:paraId="4DE19CFF" w14:textId="77777777" w:rsidR="002C4F55" w:rsidRDefault="002C4F55" w:rsidP="002C4F55">
      <w:pPr>
        <w:autoSpaceDE w:val="0"/>
        <w:autoSpaceDN w:val="0"/>
        <w:spacing w:before="120"/>
        <w:jc w:val="both"/>
        <w:rPr>
          <w:rFonts w:eastAsia="Calibri"/>
        </w:rPr>
      </w:pPr>
      <w:r>
        <w:rPr>
          <w:rFonts w:eastAsia="Calibri"/>
        </w:rPr>
        <w:t>Where:</w:t>
      </w:r>
    </w:p>
    <w:p w14:paraId="6350BECC" w14:textId="77777777" w:rsidR="002C4F55" w:rsidRPr="002C1816" w:rsidRDefault="002C4F55" w:rsidP="002C4F55">
      <w:pPr>
        <w:pStyle w:val="Odsekzoznamu"/>
        <w:numPr>
          <w:ilvl w:val="0"/>
          <w:numId w:val="10"/>
        </w:numPr>
        <w:autoSpaceDE w:val="0"/>
        <w:autoSpaceDN w:val="0"/>
        <w:spacing w:before="120"/>
        <w:jc w:val="both"/>
        <w:rPr>
          <w:rFonts w:eastAsia="Calibri"/>
          <w:b/>
          <w:lang w:eastAsia="fr-FR"/>
        </w:rPr>
      </w:pPr>
      <w:r w:rsidRPr="002C1816">
        <w:rPr>
          <w:rFonts w:eastAsia="Calibri"/>
          <w:b/>
          <w:lang w:eastAsia="fr-FR"/>
        </w:rPr>
        <w:t>Market risk premium</w:t>
      </w:r>
      <w:r w:rsidRPr="002C1816">
        <w:rPr>
          <w:rFonts w:eastAsia="Calibri"/>
          <w:lang w:eastAsia="fr-FR"/>
        </w:rPr>
        <w:t xml:space="preserve"> represents the expected return above the risk-free rate that investors would require in order to hold a global diversified portfolio containing all market assets, including equities and bonds, on a </w:t>
      </w:r>
      <w:proofErr w:type="gramStart"/>
      <w:r w:rsidRPr="002C1816">
        <w:rPr>
          <w:rFonts w:eastAsia="Calibri"/>
          <w:lang w:eastAsia="fr-FR"/>
        </w:rPr>
        <w:t>forward looking</w:t>
      </w:r>
      <w:proofErr w:type="gramEnd"/>
      <w:r w:rsidRPr="002C1816">
        <w:rPr>
          <w:rFonts w:eastAsia="Calibri"/>
          <w:lang w:eastAsia="fr-FR"/>
        </w:rPr>
        <w:t xml:space="preserve"> basis.</w:t>
      </w:r>
    </w:p>
    <w:p w14:paraId="2BB481FC" w14:textId="77777777" w:rsidR="002C4F55" w:rsidRPr="002C1816" w:rsidRDefault="002C4F55" w:rsidP="002C4F55">
      <w:pPr>
        <w:pStyle w:val="Odsekzoznamu"/>
        <w:numPr>
          <w:ilvl w:val="0"/>
          <w:numId w:val="10"/>
        </w:numPr>
        <w:autoSpaceDE w:val="0"/>
        <w:autoSpaceDN w:val="0"/>
        <w:spacing w:before="120"/>
        <w:jc w:val="both"/>
        <w:rPr>
          <w:rFonts w:eastAsia="Calibri"/>
          <w:b/>
          <w:lang w:eastAsia="fr-FR"/>
        </w:rPr>
      </w:pPr>
      <w:r w:rsidRPr="002C1816">
        <w:rPr>
          <w:rFonts w:eastAsia="Calibri"/>
          <w:b/>
          <w:lang w:eastAsia="fr-FR"/>
        </w:rPr>
        <w:t>β</w:t>
      </w:r>
      <w:r w:rsidRPr="002C1816">
        <w:rPr>
          <w:rFonts w:eastAsia="Calibri"/>
          <w:lang w:eastAsia="fr-FR"/>
        </w:rPr>
        <w:t xml:space="preserve"> is the unlevered beta of the insurance sector. Using an unlevered beta is consistent with CEIOPS’ assumption that firms are 100% funded by equity, which will tend to add a layer of prudence in the calibration of the </w:t>
      </w:r>
      <w:proofErr w:type="spellStart"/>
      <w:r w:rsidRPr="002C1816">
        <w:rPr>
          <w:rFonts w:eastAsia="Calibri"/>
          <w:lang w:eastAsia="fr-FR"/>
        </w:rPr>
        <w:t>CoC</w:t>
      </w:r>
      <w:proofErr w:type="spellEnd"/>
      <w:r w:rsidRPr="002C1816">
        <w:rPr>
          <w:rFonts w:eastAsia="Calibri"/>
          <w:lang w:eastAsia="fr-FR"/>
        </w:rPr>
        <w:t xml:space="preserve"> rate. Not using an unlevered beta in this context would result in an inappropriately high cost-of-capital.</w:t>
      </w:r>
    </w:p>
    <w:p w14:paraId="46EB6D46" w14:textId="77777777" w:rsidR="002C4F55" w:rsidRPr="002C1816" w:rsidRDefault="002C4F55" w:rsidP="002C4F55">
      <w:pPr>
        <w:pStyle w:val="Odsekzoznamu"/>
        <w:numPr>
          <w:ilvl w:val="0"/>
          <w:numId w:val="10"/>
        </w:numPr>
        <w:autoSpaceDE w:val="0"/>
        <w:autoSpaceDN w:val="0"/>
        <w:spacing w:before="120"/>
        <w:jc w:val="both"/>
        <w:rPr>
          <w:rFonts w:eastAsia="Calibri"/>
          <w:b/>
          <w:lang w:eastAsia="fr-FR"/>
        </w:rPr>
      </w:pPr>
      <w:r w:rsidRPr="002C1816">
        <w:rPr>
          <w:rFonts w:eastAsia="Calibri"/>
          <w:b/>
          <w:lang w:eastAsia="fr-FR"/>
        </w:rPr>
        <w:t>x</w:t>
      </w:r>
      <w:r w:rsidRPr="002C1816">
        <w:rPr>
          <w:rFonts w:eastAsia="Calibri"/>
          <w:lang w:eastAsia="fr-FR"/>
        </w:rPr>
        <w:t xml:space="preserve"> is the adjustment required to derive a beta for pure insurance risks – i.e. excluding the impact of franchise risk and assets held by insurers (which are more correlated to the rest of the market). </w:t>
      </w:r>
    </w:p>
    <w:p w14:paraId="50CBF045" w14:textId="77777777" w:rsidR="002C4F55" w:rsidRDefault="002C4F55" w:rsidP="002C4F55">
      <w:pPr>
        <w:autoSpaceDE w:val="0"/>
        <w:autoSpaceDN w:val="0"/>
        <w:spacing w:before="120"/>
        <w:jc w:val="both"/>
        <w:rPr>
          <w:rFonts w:eastAsia="Calibri"/>
        </w:rPr>
      </w:pPr>
      <w:r>
        <w:rPr>
          <w:rFonts w:eastAsia="Calibri"/>
        </w:rPr>
        <w:t>Our analysis supports the following ranges of values for the parameters outlined above:</w:t>
      </w:r>
    </w:p>
    <w:p w14:paraId="3ACD58BD" w14:textId="77777777" w:rsidR="002C4F55" w:rsidRDefault="002C4F55" w:rsidP="002C4F55">
      <w:pPr>
        <w:autoSpaceDE w:val="0"/>
        <w:autoSpaceDN w:val="0"/>
        <w:spacing w:before="120"/>
        <w:jc w:val="both"/>
        <w:rPr>
          <w:rFonts w:eastAsia="Calibri"/>
          <w:lang w:eastAsia="fr-FR"/>
        </w:rPr>
      </w:pPr>
      <w:r>
        <w:rPr>
          <w:rFonts w:eastAsia="Calibri"/>
          <w:b/>
          <w:lang w:eastAsia="fr-FR"/>
        </w:rPr>
        <w:t>x = 30%</w:t>
      </w:r>
      <w:r>
        <w:rPr>
          <w:rFonts w:eastAsia="Calibri"/>
          <w:lang w:eastAsia="fr-FR"/>
        </w:rPr>
        <w:t>: this is derived from conservative estimates of the impact of franchise risk, and the impact due to assets held by insurers. This level of adjustment is consistent with the downward adjustment assumed by CEIOPS in its 2009 final advice on the risk margin.</w:t>
      </w:r>
    </w:p>
    <w:p w14:paraId="72D2240C" w14:textId="77777777" w:rsidR="002C4F55" w:rsidRDefault="002C4F55" w:rsidP="002C4F55">
      <w:pPr>
        <w:autoSpaceDE w:val="0"/>
        <w:autoSpaceDN w:val="0"/>
        <w:spacing w:before="120"/>
        <w:jc w:val="both"/>
        <w:rPr>
          <w:rFonts w:eastAsia="Calibri"/>
          <w:lang w:eastAsia="fr-FR"/>
        </w:rPr>
      </w:pPr>
      <w:r>
        <w:rPr>
          <w:rFonts w:eastAsia="Calibri"/>
          <w:b/>
          <w:lang w:eastAsia="fr-FR"/>
        </w:rPr>
        <w:t>β = 0.65 - 0.8</w:t>
      </w:r>
      <w:r>
        <w:rPr>
          <w:rFonts w:eastAsia="Calibri"/>
          <w:lang w:eastAsia="fr-FR"/>
        </w:rPr>
        <w:t>: This represents a prudent range for the unlevered beta for insurers based on a realistic estimate of 0.65 from a comprehensive NYU Stern study. (Alternatively, if not considering the unlevered beta, the Weighted Average Cost of Capital approach would also lead to lower the Cost of capital derived from the CAPM).</w:t>
      </w:r>
    </w:p>
    <w:p w14:paraId="02BDD4F4" w14:textId="77777777" w:rsidR="002C4F55" w:rsidRPr="00256F31" w:rsidRDefault="002C4F55" w:rsidP="002C4F55">
      <w:r>
        <w:rPr>
          <w:rFonts w:eastAsia="Calibri"/>
          <w:b/>
          <w:lang w:eastAsia="fr-FR"/>
        </w:rPr>
        <w:t>Market risk premium = 4-5%</w:t>
      </w:r>
      <w:r>
        <w:rPr>
          <w:rFonts w:eastAsia="Calibri"/>
          <w:lang w:eastAsia="fr-FR"/>
        </w:rPr>
        <w:t>: A backward-looking assessment of the risk premium for a diversified world equity portfolio would support a value of around 5%-7%. However, this does not take into account that a global diversified portfolio contains assets other than equities, in particular bonds which have lower risk premiums and does not account for the fact that backward-looking risk premiums contain a strong survivorship bias. Studies support at least a 2% downward adjustment to take account of these effects. This is consistent with average estimates of forward-looking Equity Risk premiums by Thomson Reuters (4.5% worldwide).</w:t>
      </w:r>
    </w:p>
    <w:p w14:paraId="2FF6B82B" w14:textId="1A5C533E" w:rsidR="00495B1F" w:rsidRDefault="002C4F55" w:rsidP="002C4F55">
      <w:pPr>
        <w:rPr>
          <w:rFonts w:eastAsia="Calibri"/>
        </w:rPr>
      </w:pPr>
      <w:r>
        <w:rPr>
          <w:rFonts w:eastAsia="Calibri"/>
        </w:rPr>
        <w:t xml:space="preserve">Taken together, these assumptions produce a Solvency II </w:t>
      </w:r>
      <w:proofErr w:type="spellStart"/>
      <w:r>
        <w:rPr>
          <w:rFonts w:eastAsia="Calibri"/>
        </w:rPr>
        <w:t>CoC</w:t>
      </w:r>
      <w:proofErr w:type="spellEnd"/>
      <w:r>
        <w:rPr>
          <w:rFonts w:eastAsia="Calibri"/>
        </w:rPr>
        <w:t xml:space="preserve"> rate of around 2%-3%.  </w:t>
      </w:r>
      <w:r w:rsidR="008D0C29">
        <w:rPr>
          <w:rFonts w:eastAsia="Calibri"/>
        </w:rPr>
        <w:t xml:space="preserve">Used in conjunction with an appropriate lambda parameter, we believe an appropriate range would be </w:t>
      </w:r>
      <w:r w:rsidR="008D0C29" w:rsidRPr="0059536B">
        <w:rPr>
          <w:rFonts w:eastAsia="Calibri"/>
          <w:b/>
          <w:bCs/>
        </w:rPr>
        <w:t>2%-4%</w:t>
      </w:r>
      <w:r w:rsidR="008D0C29">
        <w:rPr>
          <w:rFonts w:eastAsia="Calibri"/>
        </w:rPr>
        <w:t>.</w:t>
      </w:r>
    </w:p>
    <w:p w14:paraId="5264D15C" w14:textId="77777777" w:rsidR="00915E7B" w:rsidRDefault="00915E7B">
      <w:pPr>
        <w:rPr>
          <w:rFonts w:asciiTheme="majorHAnsi" w:eastAsiaTheme="majorEastAsia" w:hAnsiTheme="majorHAnsi" w:cstheme="majorBidi"/>
          <w:color w:val="365F91" w:themeColor="accent1" w:themeShade="BF"/>
          <w:sz w:val="32"/>
          <w:szCs w:val="32"/>
        </w:rPr>
      </w:pPr>
      <w:r>
        <w:br w:type="page"/>
      </w:r>
    </w:p>
    <w:p w14:paraId="0457B2D3" w14:textId="25052B8F" w:rsidR="00495B1F" w:rsidRDefault="00495B1F" w:rsidP="0059536B">
      <w:pPr>
        <w:pStyle w:val="Nadpis1"/>
        <w:numPr>
          <w:ilvl w:val="0"/>
          <w:numId w:val="12"/>
        </w:numPr>
      </w:pPr>
      <w:r>
        <w:lastRenderedPageBreak/>
        <w:t>Allowance for diversification</w:t>
      </w:r>
    </w:p>
    <w:p w14:paraId="4256FB50" w14:textId="77777777" w:rsidR="00152C5E" w:rsidRDefault="00152C5E" w:rsidP="00152C5E">
      <w:r>
        <w:t>According to recital 55 of the Solvency II Directive, t</w:t>
      </w:r>
      <w:r w:rsidRPr="002B1CA9">
        <w:t xml:space="preserve">he value of technical provisions should correspond to the amount an </w:t>
      </w:r>
      <w:r>
        <w:t xml:space="preserve">(re)insurer </w:t>
      </w:r>
      <w:r w:rsidRPr="002B1CA9">
        <w:t xml:space="preserve">would have to pay if it transferred its contractual rights and obligations immediately to another </w:t>
      </w:r>
      <w:r>
        <w:t>(re)insurer</w:t>
      </w:r>
      <w:r w:rsidRPr="002B1CA9">
        <w:t>.</w:t>
      </w:r>
    </w:p>
    <w:p w14:paraId="1DF4144A" w14:textId="4450F915" w:rsidR="00152C5E" w:rsidRDefault="00412121" w:rsidP="00152C5E">
      <w:r>
        <w:t>T</w:t>
      </w:r>
      <w:r w:rsidR="00152C5E">
        <w:t>he Level I text Article 77 in its current form, stat</w:t>
      </w:r>
      <w:r>
        <w:t>es</w:t>
      </w:r>
      <w:r w:rsidR="00152C5E">
        <w:t xml:space="preserve"> in paragraph 5 that: “[…] the risk margin shall be calculated by determining the cost of providing an amount of eligible own funds equal to the Solvency Capital Requirement (SCR) necessary to support the insurance and reinsurance obligations over the lifetime thereof.” This paragraph is geared towards the risk margin of an insurance undertaking, and so it appears counterintuitive that Solvency II regulation via the Delegated Acts does not apply this Directive principle consistently with respect to:</w:t>
      </w:r>
    </w:p>
    <w:p w14:paraId="37BB27C3" w14:textId="77777777" w:rsidR="00152C5E" w:rsidRDefault="00152C5E" w:rsidP="00152C5E">
      <w:pPr>
        <w:pStyle w:val="Odsekzoznamu"/>
        <w:numPr>
          <w:ilvl w:val="0"/>
          <w:numId w:val="7"/>
        </w:numPr>
      </w:pPr>
      <w:r w:rsidRPr="00FF1C79">
        <w:t>legal entities pursuing both life and non-life insurance activities</w:t>
      </w:r>
      <w:r>
        <w:t xml:space="preserve"> – </w:t>
      </w:r>
      <w:r w:rsidRPr="00FF0D5C">
        <w:t>when calculating the risk margin</w:t>
      </w:r>
      <w:r>
        <w:t xml:space="preserve"> by composite firms</w:t>
      </w:r>
      <w:r w:rsidRPr="00FF0D5C">
        <w:t xml:space="preserve">, an assumption is made that the life and non-life </w:t>
      </w:r>
      <w:r>
        <w:t>(re)</w:t>
      </w:r>
      <w:r w:rsidRPr="00FF0D5C">
        <w:t>insurance obligations are taken over by two separate reference undertakings</w:t>
      </w:r>
      <w:r>
        <w:t xml:space="preserve"> (art. 38.1(b) of Level II act)</w:t>
      </w:r>
      <w:r w:rsidRPr="00FF0D5C">
        <w:t>. This implies that no diversification benefit can be assumed between life and non-life insurance portfolios</w:t>
      </w:r>
      <w:r>
        <w:t>.</w:t>
      </w:r>
    </w:p>
    <w:p w14:paraId="21F12541" w14:textId="77777777" w:rsidR="00152C5E" w:rsidRDefault="00152C5E" w:rsidP="00152C5E">
      <w:pPr>
        <w:pStyle w:val="Odsekzoznamu"/>
        <w:numPr>
          <w:ilvl w:val="0"/>
          <w:numId w:val="7"/>
        </w:numPr>
      </w:pPr>
      <w:r>
        <w:t xml:space="preserve">group diversification – </w:t>
      </w:r>
      <w:r w:rsidRPr="00AA313D">
        <w:t>the</w:t>
      </w:r>
      <w:r>
        <w:t xml:space="preserve"> </w:t>
      </w:r>
      <w:r w:rsidRPr="00AA313D">
        <w:t>risk margin at group level is calculated as the sum of the risk margins of the undertakings of the group. This implies that no diversification benefit can be assumed between different entities of a group</w:t>
      </w:r>
      <w:r>
        <w:t>, which penalises large insurance and reinsurance groups in particular</w:t>
      </w:r>
      <w:r w:rsidRPr="00AA313D">
        <w:t>.</w:t>
      </w:r>
    </w:p>
    <w:p w14:paraId="3B2EF80B" w14:textId="77777777" w:rsidR="00152C5E" w:rsidRDefault="00152C5E" w:rsidP="00152C5E">
      <w:r w:rsidRPr="00951C4C">
        <w:t xml:space="preserve">In both cases regulation in a straightforward way allows for </w:t>
      </w:r>
      <w:r>
        <w:t xml:space="preserve">diversification between lines of business and, in the case of groups, </w:t>
      </w:r>
      <w:r w:rsidRPr="00951C4C">
        <w:t>group</w:t>
      </w:r>
      <w:r>
        <w:t>-</w:t>
      </w:r>
      <w:r w:rsidRPr="00951C4C">
        <w:t>wide diversification when calculating the SCR, but then artificially restricts its allowance for the determination of the risk margin (in Level II Articles 38.1(b) and 340).</w:t>
      </w:r>
    </w:p>
    <w:p w14:paraId="13EE9823" w14:textId="77777777" w:rsidR="00152C5E" w:rsidRPr="009E4846" w:rsidRDefault="00152C5E" w:rsidP="00152C5E">
      <w:pPr>
        <w:rPr>
          <w:color w:val="000000"/>
        </w:rPr>
      </w:pPr>
      <w:r>
        <w:t>The main purpose of the risk margin is to</w:t>
      </w:r>
      <w:r w:rsidRPr="00804011">
        <w:t xml:space="preserve"> ensure that the value of the technical provisions is equivalent to the amount that </w:t>
      </w:r>
      <w:r>
        <w:t>(re)</w:t>
      </w:r>
      <w:r w:rsidRPr="00804011">
        <w:t>insur</w:t>
      </w:r>
      <w:r>
        <w:t xml:space="preserve">ers </w:t>
      </w:r>
      <w:r w:rsidRPr="00804011">
        <w:t xml:space="preserve">would be expected to require in order to take over and meet the </w:t>
      </w:r>
      <w:r>
        <w:t>(re)</w:t>
      </w:r>
      <w:r w:rsidRPr="00804011">
        <w:t>insurance obligations</w:t>
      </w:r>
      <w:r>
        <w:t xml:space="preserve">. </w:t>
      </w:r>
      <w:r w:rsidRPr="002C1816">
        <w:rPr>
          <w:rFonts w:cstheme="minorHAnsi"/>
          <w:color w:val="000000"/>
          <w:lang w:eastAsia="fr-FR"/>
        </w:rPr>
        <w:t>Consistent with previous CRO</w:t>
      </w:r>
      <w:r>
        <w:rPr>
          <w:rFonts w:cstheme="minorHAnsi"/>
          <w:color w:val="000000"/>
          <w:lang w:eastAsia="fr-FR"/>
        </w:rPr>
        <w:t xml:space="preserve"> </w:t>
      </w:r>
      <w:r w:rsidRPr="002C1816">
        <w:rPr>
          <w:rFonts w:cstheme="minorHAnsi"/>
          <w:color w:val="000000"/>
          <w:lang w:eastAsia="fr-FR"/>
        </w:rPr>
        <w:t>F</w:t>
      </w:r>
      <w:r>
        <w:rPr>
          <w:rFonts w:cstheme="minorHAnsi"/>
          <w:color w:val="000000"/>
          <w:lang w:eastAsia="fr-FR"/>
        </w:rPr>
        <w:t>orum</w:t>
      </w:r>
      <w:r w:rsidRPr="009E4846">
        <w:rPr>
          <w:color w:val="000000"/>
        </w:rPr>
        <w:t xml:space="preserve"> work in 2008 on properly taking into account diversification effects</w:t>
      </w:r>
      <w:r w:rsidRPr="009E4846">
        <w:rPr>
          <w:rStyle w:val="Odkaznapoznmkupodiarou"/>
          <w:color w:val="000000"/>
        </w:rPr>
        <w:footnoteReference w:id="2"/>
      </w:r>
      <w:r w:rsidRPr="009E4846">
        <w:rPr>
          <w:color w:val="000000"/>
        </w:rPr>
        <w:t>, such a restriction is not borne out by actual experience, leading to an unnecessarily conservative assumption in the risk margin calculation for groups.</w:t>
      </w:r>
    </w:p>
    <w:p w14:paraId="434F3DE6" w14:textId="471E4D47" w:rsidR="00152C5E" w:rsidRDefault="00152C5E" w:rsidP="00152C5E">
      <w:r w:rsidRPr="009E4846">
        <w:rPr>
          <w:color w:val="000000"/>
        </w:rPr>
        <w:t xml:space="preserve">For example, </w:t>
      </w:r>
      <w:r>
        <w:rPr>
          <w:color w:val="000000"/>
        </w:rPr>
        <w:t xml:space="preserve">as part of general market practice we commonly see </w:t>
      </w:r>
      <w:r w:rsidRPr="009E4846">
        <w:rPr>
          <w:color w:val="000000"/>
        </w:rPr>
        <w:t>t</w:t>
      </w:r>
      <w:r w:rsidRPr="00826123">
        <w:rPr>
          <w:rFonts w:cstheme="minorHAnsi"/>
        </w:rPr>
        <w:t>he</w:t>
      </w:r>
      <w:r>
        <w:t xml:space="preserve">re are instances </w:t>
      </w:r>
      <w:r w:rsidRPr="00D0019C">
        <w:t xml:space="preserve"> groups, including all subsidiaries, </w:t>
      </w:r>
      <w:r>
        <w:t xml:space="preserve">to have </w:t>
      </w:r>
      <w:r w:rsidRPr="00D0019C">
        <w:t>been subject to a takeover</w:t>
      </w:r>
      <w:r>
        <w:t>:</w:t>
      </w:r>
      <w:r w:rsidRPr="00D0019C">
        <w:t xml:space="preserve"> Resolution (purchased by Pearl Group), Friends Life Group (purchased by Aviva), Delta Lloyd (merged with NN) and AIA (aborted purchase by Prudential plc).</w:t>
      </w:r>
      <w:r>
        <w:t xml:space="preserve"> Therefore, </w:t>
      </w:r>
      <w:r w:rsidRPr="00D0019C">
        <w:t>a</w:t>
      </w:r>
      <w:r>
        <w:t xml:space="preserve">n assumption that </w:t>
      </w:r>
      <w:r w:rsidR="00C00BD5">
        <w:t xml:space="preserve">the </w:t>
      </w:r>
      <w:r>
        <w:t xml:space="preserve">portfolio of each entity in the group is transferred to different (re)insurer </w:t>
      </w:r>
      <w:r w:rsidRPr="00D0019C">
        <w:t>is not borne out by actual experience</w:t>
      </w:r>
      <w:r>
        <w:t xml:space="preserve"> and</w:t>
      </w:r>
      <w:r w:rsidRPr="00D0019C">
        <w:t xml:space="preserve"> lead</w:t>
      </w:r>
      <w:r>
        <w:t>s</w:t>
      </w:r>
      <w:r w:rsidRPr="00D0019C">
        <w:t xml:space="preserve"> to an unnecessarily conservative assumption in the risk </w:t>
      </w:r>
      <w:r>
        <w:t>margin calculation for groups.</w:t>
      </w:r>
    </w:p>
    <w:p w14:paraId="7578BBE2" w14:textId="7B7FB3C5" w:rsidR="00152C5E" w:rsidRDefault="00152C5E" w:rsidP="00152C5E">
      <w:r w:rsidRPr="002C1816">
        <w:rPr>
          <w:rFonts w:cstheme="minorHAnsi"/>
          <w:color w:val="000000"/>
          <w:lang w:eastAsia="fr-FR"/>
        </w:rPr>
        <w:t>With diversification being the fundamental principle of insurance itself, its adequate allowance in the Solvency II balance sheets appears to be a key issue, hence the CRO</w:t>
      </w:r>
      <w:r>
        <w:rPr>
          <w:rFonts w:cstheme="minorHAnsi"/>
          <w:color w:val="000000"/>
          <w:lang w:eastAsia="fr-FR"/>
        </w:rPr>
        <w:t xml:space="preserve"> </w:t>
      </w:r>
      <w:r w:rsidRPr="002C1816">
        <w:rPr>
          <w:rFonts w:cstheme="minorHAnsi"/>
          <w:color w:val="000000"/>
          <w:lang w:eastAsia="fr-FR"/>
        </w:rPr>
        <w:t>F</w:t>
      </w:r>
      <w:r>
        <w:rPr>
          <w:rFonts w:cstheme="minorHAnsi"/>
          <w:color w:val="000000"/>
          <w:lang w:eastAsia="fr-FR"/>
        </w:rPr>
        <w:t>orum</w:t>
      </w:r>
      <w:r w:rsidRPr="002C1816">
        <w:rPr>
          <w:rFonts w:cstheme="minorHAnsi"/>
          <w:color w:val="000000"/>
          <w:lang w:eastAsia="fr-FR"/>
        </w:rPr>
        <w:t xml:space="preserve"> regards appropriate adjustments necessary in the Level II Articles 38.1(b) and 340 to achieve necessary consistency between the SCR and the risk margin calculations</w:t>
      </w:r>
      <w:r>
        <w:rPr>
          <w:rFonts w:cstheme="minorHAnsi"/>
          <w:color w:val="000000"/>
          <w:lang w:eastAsia="fr-FR"/>
        </w:rPr>
        <w:t xml:space="preserve"> and to align the level II with the level I Directive</w:t>
      </w:r>
      <w:r w:rsidRPr="002C1816">
        <w:rPr>
          <w:rFonts w:cstheme="minorHAnsi"/>
          <w:color w:val="000000"/>
          <w:lang w:eastAsia="fr-FR"/>
        </w:rPr>
        <w:t xml:space="preserve">. </w:t>
      </w:r>
      <w:r w:rsidRPr="006559A5">
        <w:rPr>
          <w:rFonts w:cstheme="minorHAnsi"/>
        </w:rPr>
        <w:t>Specifically, this arbitrary separation of obligations should therefore be removed, and the risk margin methodology should be amended to allow for diversification between lines of business within a composite firm and legal entities within a group by, for example</w:t>
      </w:r>
      <w:commentRangeStart w:id="2"/>
      <w:r w:rsidR="00C00BD5">
        <w:t xml:space="preserve">, </w:t>
      </w:r>
      <w:r>
        <w:t xml:space="preserve">deleting Art. </w:t>
      </w:r>
      <w:r w:rsidR="00C66F1F">
        <w:t>38.</w:t>
      </w:r>
      <w:r>
        <w:t xml:space="preserve">1(b) of the Level II act and by </w:t>
      </w:r>
      <w:commentRangeEnd w:id="2"/>
      <w:r w:rsidR="00CD6FEC">
        <w:rPr>
          <w:rStyle w:val="Odkaznakomentr"/>
        </w:rPr>
        <w:commentReference w:id="2"/>
      </w:r>
      <w:r>
        <w:t>replacing Art. 336 of the Level II act with:</w:t>
      </w:r>
      <w:r w:rsidR="00C00BD5">
        <w:t xml:space="preserve"> </w:t>
      </w:r>
      <w:r>
        <w:t>Method 1: Risk Margin</w:t>
      </w:r>
    </w:p>
    <w:p w14:paraId="33CCB9C0" w14:textId="5F38CB19" w:rsidR="00152C5E" w:rsidRDefault="00152C5E" w:rsidP="00152C5E">
      <w:r>
        <w:lastRenderedPageBreak/>
        <w:t xml:space="preserve">The consolidated risk margin of technical provisions on the basis of the consolidated data shall be calculated as the sum of the following: </w:t>
      </w:r>
    </w:p>
    <w:p w14:paraId="4FFEBCE9" w14:textId="76266992" w:rsidR="00152C5E" w:rsidRDefault="00152C5E" w:rsidP="00152C5E">
      <w:r>
        <w:t xml:space="preserve">(a) a risk margin calculated on the basis of consolidated data referred to in Article 335(1)(a), (b) and (c) of this Regulation following the rules laid down in Title I, Chapter VI, Section 4 of Directive 2009/138/EC; </w:t>
      </w:r>
    </w:p>
    <w:p w14:paraId="757C96BE" w14:textId="76137C40" w:rsidR="00915E7B" w:rsidRPr="00C84586" w:rsidRDefault="00152C5E">
      <w:r>
        <w:t>(b) the proportional share of the risk margin of each undertaking referred to in Article 335(1)(d) of this Regulation; for a related third-country insurance or reinsurance undertaking which is not a subsidiary the risk margin shall be calculated as if that undertaking had its head office in the Union.</w:t>
      </w:r>
      <w:r w:rsidR="00915E7B">
        <w:br w:type="page"/>
      </w:r>
    </w:p>
    <w:p w14:paraId="48DAA570" w14:textId="1910A322" w:rsidR="00830FB5" w:rsidRDefault="00495B1F" w:rsidP="0059536B">
      <w:pPr>
        <w:pStyle w:val="Nadpis1"/>
        <w:numPr>
          <w:ilvl w:val="0"/>
          <w:numId w:val="12"/>
        </w:numPr>
      </w:pPr>
      <w:r>
        <w:lastRenderedPageBreak/>
        <w:t>Calibration of EIOPA’s lambda parameter</w:t>
      </w:r>
    </w:p>
    <w:p w14:paraId="7A42FBD2" w14:textId="77777777" w:rsidR="00EF1C0D" w:rsidRDefault="00EF1C0D" w:rsidP="00EF1C0D">
      <w:pPr>
        <w:pStyle w:val="Default"/>
        <w:rPr>
          <w:sz w:val="22"/>
          <w:szCs w:val="22"/>
        </w:rPr>
      </w:pPr>
      <w:r>
        <w:t>I</w:t>
      </w:r>
      <w:r>
        <w:rPr>
          <w:sz w:val="22"/>
          <w:szCs w:val="22"/>
        </w:rPr>
        <w:t>t is important to consider all angles when calibrating the lambda parameter, including procyclicality given that it effectively reduces the sensitivity of the risk margin to interest rates as well as reducing the overall level of the risk margin.</w:t>
      </w:r>
    </w:p>
    <w:p w14:paraId="76C3AF95" w14:textId="77777777" w:rsidR="00EF1C0D" w:rsidRDefault="00EF1C0D" w:rsidP="00EF1C0D">
      <w:pPr>
        <w:pStyle w:val="Default"/>
        <w:rPr>
          <w:sz w:val="22"/>
          <w:szCs w:val="22"/>
        </w:rPr>
      </w:pPr>
    </w:p>
    <w:p w14:paraId="4C33D08D" w14:textId="1E2A1A6C" w:rsidR="00EF1C0D" w:rsidRDefault="00EF1C0D" w:rsidP="00EF1C0D">
      <w:pPr>
        <w:pStyle w:val="Default"/>
        <w:rPr>
          <w:sz w:val="22"/>
          <w:szCs w:val="22"/>
        </w:rPr>
      </w:pPr>
      <w:r>
        <w:rPr>
          <w:sz w:val="22"/>
          <w:szCs w:val="22"/>
        </w:rPr>
        <w:t>We have argued in previous papers and consultation responses for the introduction of the lambda parameter on the basis that the risk margin should be lower for risks with dependence over time</w:t>
      </w:r>
      <w:r w:rsidRPr="00CF736F">
        <w:rPr>
          <w:sz w:val="22"/>
          <w:szCs w:val="22"/>
        </w:rPr>
        <w:t xml:space="preserve"> </w:t>
      </w:r>
      <w:r>
        <w:rPr>
          <w:sz w:val="22"/>
          <w:szCs w:val="22"/>
        </w:rPr>
        <w:t>in order to be representative of a transfer price and in line with the Level 1 text – as they are less risky than independent risks. This is because investors would require a higher premium to commit to funding a riskier liability.</w:t>
      </w:r>
    </w:p>
    <w:p w14:paraId="504459CE" w14:textId="693612FE" w:rsidR="00C149D1" w:rsidRDefault="00C149D1" w:rsidP="00EF1C0D">
      <w:pPr>
        <w:pStyle w:val="Default"/>
        <w:rPr>
          <w:sz w:val="22"/>
          <w:szCs w:val="22"/>
        </w:rPr>
      </w:pPr>
    </w:p>
    <w:p w14:paraId="5A838E56" w14:textId="0B2ACD9B" w:rsidR="00C149D1" w:rsidRDefault="00C149D1" w:rsidP="00EF1C0D">
      <w:pPr>
        <w:pStyle w:val="Default"/>
        <w:rPr>
          <w:sz w:val="22"/>
          <w:szCs w:val="22"/>
        </w:rPr>
      </w:pPr>
      <w:r>
        <w:rPr>
          <w:sz w:val="22"/>
          <w:szCs w:val="22"/>
        </w:rPr>
        <w:t>Risk dependence can occur because some risks are non-repeatable, or due to reductions in exposure in stress. For example, a cure for cancer can increase life expectancy of annuity policyholders, but this is a non-repeatable event. Conversely, lapses reduce exposure e.g. if 40% of policyholders lapse then the next lapse stress applies only to 60% of policyholders at outset.</w:t>
      </w:r>
    </w:p>
    <w:p w14:paraId="7AD4A0F0" w14:textId="77777777" w:rsidR="00EF1C0D" w:rsidRDefault="00EF1C0D" w:rsidP="00EF1C0D">
      <w:pPr>
        <w:pStyle w:val="Default"/>
        <w:rPr>
          <w:sz w:val="22"/>
          <w:szCs w:val="22"/>
        </w:rPr>
      </w:pPr>
    </w:p>
    <w:p w14:paraId="4A2F10B9" w14:textId="77777777" w:rsidR="00EF1C0D" w:rsidRDefault="00EF1C0D" w:rsidP="00EF1C0D">
      <w:r>
        <w:t>Another way to consider the lambda parameter is that it introduces a time-dependent cost-of-capital rate. The current risk margin calculation may be written as:</w:t>
      </w:r>
    </w:p>
    <w:p w14:paraId="0AA154AA" w14:textId="77777777" w:rsidR="00EF1C0D" w:rsidRPr="00DF4438" w:rsidRDefault="00EF1C0D" w:rsidP="00EF1C0D">
      <w:pPr>
        <w:rPr>
          <w:rFonts w:eastAsiaTheme="minorEastAsia"/>
        </w:rPr>
      </w:pPr>
      <m:oMathPara>
        <m:oMath>
          <m:r>
            <w:rPr>
              <w:rFonts w:ascii="Cambria Math" w:hAnsi="Cambria Math"/>
            </w:rPr>
            <m:t>RM=CoC∙</m:t>
          </m:r>
          <m:nary>
            <m:naryPr>
              <m:chr m:val="∑"/>
              <m:limLoc m:val="undOvr"/>
              <m:supHide m:val="1"/>
              <m:ctrlPr>
                <w:rPr>
                  <w:rFonts w:ascii="Cambria Math" w:hAnsi="Cambria Math"/>
                  <w:i/>
                </w:rPr>
              </m:ctrlPr>
            </m:naryPr>
            <m:sub>
              <m:r>
                <w:rPr>
                  <w:rFonts w:ascii="Cambria Math" w:hAnsi="Cambria Math"/>
                </w:rPr>
                <m:t>t≥0</m:t>
              </m:r>
            </m:sub>
            <m:sup/>
            <m:e>
              <m:f>
                <m:fPr>
                  <m:ctrlPr>
                    <w:rPr>
                      <w:rFonts w:ascii="Cambria Math" w:hAnsi="Cambria Math"/>
                      <w:i/>
                    </w:rPr>
                  </m:ctrlPr>
                </m:fPr>
                <m:num>
                  <m:r>
                    <w:rPr>
                      <w:rFonts w:ascii="Cambria Math" w:hAnsi="Cambria Math"/>
                    </w:rPr>
                    <m:t>SCR</m:t>
                  </m:r>
                  <m:d>
                    <m:dPr>
                      <m:ctrlPr>
                        <w:rPr>
                          <w:rFonts w:ascii="Cambria Math" w:hAnsi="Cambria Math"/>
                          <w:i/>
                        </w:rPr>
                      </m:ctrlPr>
                    </m:dPr>
                    <m:e>
                      <m:r>
                        <w:rPr>
                          <w:rFonts w:ascii="Cambria Math" w:hAnsi="Cambria Math"/>
                        </w:rPr>
                        <m:t>t</m:t>
                      </m:r>
                    </m:e>
                  </m:d>
                </m:num>
                <m:den>
                  <m:sSup>
                    <m:sSupPr>
                      <m:ctrlPr>
                        <w:rPr>
                          <w:rFonts w:ascii="Cambria Math" w:hAnsi="Cambria Math"/>
                          <w:i/>
                        </w:rPr>
                      </m:ctrlPr>
                    </m:sSupPr>
                    <m:e>
                      <m:d>
                        <m:dPr>
                          <m:ctrlPr>
                            <w:rPr>
                              <w:rFonts w:ascii="Cambria Math" w:hAnsi="Cambria Math"/>
                              <w:i/>
                            </w:rPr>
                          </m:ctrlPr>
                        </m:dPr>
                        <m:e>
                          <m:r>
                            <w:rPr>
                              <w:rFonts w:ascii="Cambria Math" w:hAnsi="Cambria Math"/>
                            </w:rPr>
                            <m:t>1+r</m:t>
                          </m:r>
                          <m:d>
                            <m:dPr>
                              <m:ctrlPr>
                                <w:rPr>
                                  <w:rFonts w:ascii="Cambria Math" w:hAnsi="Cambria Math"/>
                                  <w:i/>
                                </w:rPr>
                              </m:ctrlPr>
                            </m:dPr>
                            <m:e>
                              <m:r>
                                <w:rPr>
                                  <w:rFonts w:ascii="Cambria Math" w:hAnsi="Cambria Math"/>
                                </w:rPr>
                                <m:t>t+1</m:t>
                              </m:r>
                            </m:e>
                          </m:d>
                        </m:e>
                      </m:d>
                    </m:e>
                    <m:sup>
                      <m:r>
                        <w:rPr>
                          <w:rFonts w:ascii="Cambria Math" w:hAnsi="Cambria Math"/>
                        </w:rPr>
                        <m:t>t+1</m:t>
                      </m:r>
                    </m:sup>
                  </m:sSup>
                </m:den>
              </m:f>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t≥0</m:t>
              </m:r>
            </m:sub>
            <m:sup/>
            <m:e>
              <m:f>
                <m:fPr>
                  <m:ctrlPr>
                    <w:rPr>
                      <w:rFonts w:ascii="Cambria Math" w:hAnsi="Cambria Math"/>
                      <w:i/>
                    </w:rPr>
                  </m:ctrlPr>
                </m:fPr>
                <m:num>
                  <m:r>
                    <w:rPr>
                      <w:rFonts w:ascii="Cambria Math" w:hAnsi="Cambria Math"/>
                    </w:rPr>
                    <m:t>CoC</m:t>
                  </m:r>
                  <m:d>
                    <m:dPr>
                      <m:ctrlPr>
                        <w:rPr>
                          <w:rFonts w:ascii="Cambria Math" w:hAnsi="Cambria Math"/>
                          <w:i/>
                        </w:rPr>
                      </m:ctrlPr>
                    </m:dPr>
                    <m:e>
                      <m:r>
                        <w:rPr>
                          <w:rFonts w:ascii="Cambria Math" w:hAnsi="Cambria Math"/>
                        </w:rPr>
                        <m:t>t</m:t>
                      </m:r>
                    </m:e>
                  </m:d>
                  <m:r>
                    <w:rPr>
                      <w:rFonts w:ascii="Cambria Math" w:hAnsi="Cambria Math"/>
                    </w:rPr>
                    <m:t>∙SCR</m:t>
                  </m:r>
                  <m:d>
                    <m:dPr>
                      <m:ctrlPr>
                        <w:rPr>
                          <w:rFonts w:ascii="Cambria Math" w:hAnsi="Cambria Math"/>
                          <w:i/>
                        </w:rPr>
                      </m:ctrlPr>
                    </m:dPr>
                    <m:e>
                      <m:r>
                        <w:rPr>
                          <w:rFonts w:ascii="Cambria Math" w:hAnsi="Cambria Math"/>
                        </w:rPr>
                        <m:t>t</m:t>
                      </m:r>
                    </m:e>
                  </m:d>
                </m:num>
                <m:den>
                  <m:sSup>
                    <m:sSupPr>
                      <m:ctrlPr>
                        <w:rPr>
                          <w:rFonts w:ascii="Cambria Math" w:hAnsi="Cambria Math"/>
                          <w:i/>
                        </w:rPr>
                      </m:ctrlPr>
                    </m:sSupPr>
                    <m:e>
                      <m:d>
                        <m:dPr>
                          <m:ctrlPr>
                            <w:rPr>
                              <w:rFonts w:ascii="Cambria Math" w:hAnsi="Cambria Math"/>
                              <w:i/>
                            </w:rPr>
                          </m:ctrlPr>
                        </m:dPr>
                        <m:e>
                          <m:r>
                            <w:rPr>
                              <w:rFonts w:ascii="Cambria Math" w:hAnsi="Cambria Math"/>
                            </w:rPr>
                            <m:t>1+r</m:t>
                          </m:r>
                          <m:d>
                            <m:dPr>
                              <m:ctrlPr>
                                <w:rPr>
                                  <w:rFonts w:ascii="Cambria Math" w:hAnsi="Cambria Math"/>
                                  <w:i/>
                                </w:rPr>
                              </m:ctrlPr>
                            </m:dPr>
                            <m:e>
                              <m:r>
                                <w:rPr>
                                  <w:rFonts w:ascii="Cambria Math" w:hAnsi="Cambria Math"/>
                                </w:rPr>
                                <m:t>t+1</m:t>
                              </m:r>
                            </m:e>
                          </m:d>
                        </m:e>
                      </m:d>
                    </m:e>
                    <m:sup>
                      <m:r>
                        <w:rPr>
                          <w:rFonts w:ascii="Cambria Math" w:hAnsi="Cambria Math"/>
                        </w:rPr>
                        <m:t>t+1</m:t>
                      </m:r>
                    </m:sup>
                  </m:sSup>
                </m:den>
              </m:f>
            </m:e>
          </m:nary>
        </m:oMath>
      </m:oMathPara>
    </w:p>
    <w:p w14:paraId="6A39ADDC" w14:textId="77777777" w:rsidR="00EF1C0D" w:rsidRDefault="00EF1C0D" w:rsidP="00EF1C0D">
      <w:pPr>
        <w:pStyle w:val="Default"/>
      </w:pPr>
    </w:p>
    <w:p w14:paraId="41CFC24A" w14:textId="77777777" w:rsidR="00EF1C0D" w:rsidRDefault="00EF1C0D" w:rsidP="00EF1C0D">
      <w:r>
        <w:t xml:space="preserve">where </w:t>
      </w:r>
      <w:proofErr w:type="spellStart"/>
      <w:r>
        <w:t>CoC</w:t>
      </w:r>
      <w:proofErr w:type="spellEnd"/>
      <w:r>
        <w:t xml:space="preserve">(t) is a generic forward cost-of-capital rate at time t. In this context, the lambda parameter can be viewed as introducing a time-dependent forward cost-of-capital rate, equal to </w:t>
      </w:r>
      <m:oMath>
        <m:r>
          <w:rPr>
            <w:rFonts w:ascii="Cambria Math" w:hAnsi="Cambria Math"/>
          </w:rPr>
          <m:t>CoC</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w:rPr>
                <w:rFonts w:ascii="Cambria Math" w:hAnsi="Cambria Math"/>
              </w:rPr>
              <m:t>λ</m:t>
            </m:r>
          </m:e>
          <m:sup>
            <m:r>
              <w:rPr>
                <w:rFonts w:ascii="Cambria Math" w:hAnsi="Cambria Math"/>
              </w:rPr>
              <m:t>t</m:t>
            </m:r>
          </m:sup>
        </m:sSup>
        <m:r>
          <w:rPr>
            <w:rFonts w:ascii="Cambria Math" w:hAnsi="Cambria Math"/>
          </w:rPr>
          <m:t>∙CoC</m:t>
        </m:r>
        <m:d>
          <m:dPr>
            <m:ctrlPr>
              <w:rPr>
                <w:rFonts w:ascii="Cambria Math" w:hAnsi="Cambria Math"/>
                <w:i/>
              </w:rPr>
            </m:ctrlPr>
          </m:dPr>
          <m:e>
            <m:r>
              <w:rPr>
                <w:rFonts w:ascii="Cambria Math" w:hAnsi="Cambria Math"/>
              </w:rPr>
              <m:t>0</m:t>
            </m:r>
          </m:e>
        </m:d>
      </m:oMath>
      <w:r w:rsidRPr="008F75FA">
        <w:t>.</w:t>
      </w:r>
    </w:p>
    <w:p w14:paraId="39DBDF2F" w14:textId="668422AB" w:rsidR="00D101AB" w:rsidRDefault="00D101AB" w:rsidP="00D101AB">
      <w:r>
        <w:t xml:space="preserve">As explained above, leaving aside considerations on dependence of risk over time, the CRO Forum considers that an appropriate effective average cost of capital should range between 2 to 3%. The lambda parameter allows to reduce the effective average </w:t>
      </w:r>
      <w:proofErr w:type="spellStart"/>
      <w:r>
        <w:t>CoC</w:t>
      </w:r>
      <w:proofErr w:type="spellEnd"/>
      <w:r>
        <w:t xml:space="preserve"> while providing more benefit to longer business in comparison to shorter business – an objective explicitly assigned by EIOPA to the revision of the risk margin. Sensitivity analysis shows that if the </w:t>
      </w:r>
      <w:proofErr w:type="spellStart"/>
      <w:r>
        <w:t>CoC</w:t>
      </w:r>
      <w:proofErr w:type="spellEnd"/>
      <w:r>
        <w:t xml:space="preserve"> were to stay at its current 6% level, the lambda parameter should be at least 0.85 to ensure that the risk margin is decreased by an amount equivalent to a reduction of the </w:t>
      </w:r>
      <w:proofErr w:type="spellStart"/>
      <w:r>
        <w:t>CoC</w:t>
      </w:r>
      <w:proofErr w:type="spellEnd"/>
      <w:r>
        <w:t xml:space="preserve"> to 3% for an insurer with a portfolio duration of 8 years. On the other hand, EIOPA proposed calibration of the lambda to 0.975 would require a reduction of the </w:t>
      </w:r>
      <w:proofErr w:type="spellStart"/>
      <w:r>
        <w:t>CoC</w:t>
      </w:r>
      <w:proofErr w:type="spellEnd"/>
      <w:r>
        <w:t xml:space="preserve"> below 4% to ensure that the risk margin is decreased by an amount equivalent to a reduction of the </w:t>
      </w:r>
      <w:proofErr w:type="spellStart"/>
      <w:r>
        <w:t>CoC</w:t>
      </w:r>
      <w:proofErr w:type="spellEnd"/>
      <w:r>
        <w:t xml:space="preserve"> to 3% for an insurer with a portfolio duration of 8 years. </w:t>
      </w:r>
    </w:p>
    <w:p w14:paraId="5A5D63E7" w14:textId="051714E7" w:rsidR="00EF1C0D" w:rsidRDefault="00D101AB" w:rsidP="00EF1C0D">
      <w:r>
        <w:t xml:space="preserve">Another </w:t>
      </w:r>
      <w:r w:rsidR="00FD7AB4">
        <w:t>way to c</w:t>
      </w:r>
      <w:r>
        <w:t>onsider</w:t>
      </w:r>
      <w:r w:rsidR="00FD7AB4">
        <w:t xml:space="preserve"> EIOPA’s lambda parameter through the use of expert judgement, </w:t>
      </w:r>
      <w:r>
        <w:t>is</w:t>
      </w:r>
      <w:r w:rsidR="00FD7AB4">
        <w:t xml:space="preserve"> </w:t>
      </w:r>
      <w:r>
        <w:t xml:space="preserve">to </w:t>
      </w:r>
      <w:r w:rsidR="00FD7AB4">
        <w:t>consider</w:t>
      </w:r>
      <w:r>
        <w:t xml:space="preserve"> a bottom up “frictional cost” approach to viewing the market value adjustment underlying the risk margin calculation and</w:t>
      </w:r>
      <w:r w:rsidR="00FD7AB4">
        <w:t xml:space="preserve"> the amount of time that we would expect for most of the asymmetric information </w:t>
      </w:r>
      <w:r w:rsidR="00F6277D">
        <w:t xml:space="preserve">and potentially other frictional costs between investors and insurance companies about the risk being transferred </w:t>
      </w:r>
      <w:r w:rsidR="00FD7AB4">
        <w:t>to dissipate.</w:t>
      </w:r>
      <w:r w:rsidR="00E24D02">
        <w:t xml:space="preserve"> </w:t>
      </w:r>
      <w:r w:rsidR="00EF1C0D" w:rsidRPr="004505F2">
        <w:t xml:space="preserve">For example, </w:t>
      </w:r>
      <w:r w:rsidR="00EC6B7D">
        <w:t>by way of illustration</w:t>
      </w:r>
      <w:r w:rsidR="00EF1C0D">
        <w:t xml:space="preserve">, assuming </w:t>
      </w:r>
      <w:r w:rsidR="00EF1C0D" w:rsidRPr="004505F2">
        <w:t xml:space="preserve">that less than 5% of the information asymmetry would remain at around </w:t>
      </w:r>
      <w:r w:rsidR="00945D0C">
        <w:t>15</w:t>
      </w:r>
      <w:r w:rsidR="00EF1C0D" w:rsidRPr="004505F2">
        <w:t xml:space="preserve"> years</w:t>
      </w:r>
      <w:r w:rsidR="00EF1C0D">
        <w:t xml:space="preserve"> would imply a </w:t>
      </w:r>
      <w:r w:rsidR="00EF1C0D" w:rsidRPr="004505F2">
        <w:t xml:space="preserve">starting lambda parameter of </w:t>
      </w:r>
      <w:r w:rsidR="00EF1C0D">
        <w:t>0.</w:t>
      </w:r>
      <w:r w:rsidR="00945D0C">
        <w:t>8</w:t>
      </w:r>
      <w:r w:rsidR="00EF1C0D" w:rsidRPr="008F75FA">
        <w:t>.</w:t>
      </w:r>
      <w:r w:rsidR="00945D0C">
        <w:t xml:space="preserve"> On the other hand, a lambda of 0.85 implies a time frame of 20 years, while a lambda of 0.9 implies a time frame of 30 years</w:t>
      </w:r>
      <w:r w:rsidR="00945D0C">
        <w:rPr>
          <w:rStyle w:val="Odkaznapoznmkupodiarou"/>
        </w:rPr>
        <w:footnoteReference w:id="3"/>
      </w:r>
      <w:r w:rsidR="00945D0C">
        <w:t xml:space="preserve">. Intuitively, these appear to be reasonable time frames and </w:t>
      </w:r>
      <w:r w:rsidR="008849B1">
        <w:t xml:space="preserve">could suggest </w:t>
      </w:r>
      <w:r w:rsidR="00945D0C">
        <w:t xml:space="preserve">a plausible range for lambda of </w:t>
      </w:r>
      <w:r w:rsidR="00945D0C" w:rsidRPr="0059536B">
        <w:rPr>
          <w:b/>
          <w:bCs/>
        </w:rPr>
        <w:t>0.8 – 0.9</w:t>
      </w:r>
      <w:r w:rsidR="00945D0C">
        <w:t>.</w:t>
      </w:r>
    </w:p>
    <w:p w14:paraId="20A9F88B" w14:textId="7B4E6BA3" w:rsidR="00C149D1" w:rsidRDefault="00C149D1" w:rsidP="00D3439E">
      <w:r>
        <w:lastRenderedPageBreak/>
        <w:t xml:space="preserve">Arguments around asymmetric information apply to all risks equally, </w:t>
      </w:r>
      <w:r w:rsidR="00461B9F">
        <w:t>but arguments around risk dependence over time apply to some risks more than others. For example, with lapse risks, the impact of successive 1-in-200 mass lapse shocks of 40% is significantly smaller than the sum of 40% mass lapse shocks on independent policy books.</w:t>
      </w:r>
      <w:r w:rsidR="00B95F4A">
        <w:t xml:space="preserve"> Further consideration of risk dependence over time could therefore be used to introduce lower values of lambda for risks with risk dependence over time e.g. for lapse risk a lambda of 0.6 could apply. That said, we are conscious of EIOPA’s concerns around complexity of potential solutions and have therefore stopped </w:t>
      </w:r>
      <w:r w:rsidR="00C00BD5">
        <w:t xml:space="preserve">short </w:t>
      </w:r>
      <w:r w:rsidR="00B95F4A">
        <w:t>of proposing different parameters for lambda (e.g. by product type or a broad life/GI split) – but this could be considered further.</w:t>
      </w:r>
    </w:p>
    <w:p w14:paraId="0A8441C8" w14:textId="3B239C5E" w:rsidR="00C84586" w:rsidRDefault="00C84586" w:rsidP="00D3439E">
      <w:r w:rsidRPr="00C84586">
        <w:t xml:space="preserve">Finally, the imposition of an arbitrary floor in EIOPA’s proposal means that the forward cost of capital rate would remain positive, which is not aligned with the notion of diversifiable risks in an efficient market – and hence a strong argument can be made that it should be removed. However, should EIOPA wish to pursue a prudent approach in this area, the floor can also be viewed as imposing a floor on the forward cost-of-capital rate of between 0% and 1%. This could be achieved by setting the floor to a value which implies a given forward cost-of-capital rate (e.g. with a starting </w:t>
      </w:r>
      <w:proofErr w:type="spellStart"/>
      <w:r w:rsidRPr="00C84586">
        <w:t>CoC</w:t>
      </w:r>
      <w:proofErr w:type="spellEnd"/>
      <w:r w:rsidRPr="00C84586">
        <w:t xml:space="preserve"> of 3%, a floor of 0.33 corresponds to a floor for the forward cost-of-capital rate of 1%.</w:t>
      </w:r>
    </w:p>
    <w:p w14:paraId="30481213" w14:textId="1F70A084" w:rsidR="00945D0C" w:rsidRDefault="00945D0C" w:rsidP="0059536B">
      <w:pPr>
        <w:pStyle w:val="Nadpis1"/>
        <w:numPr>
          <w:ilvl w:val="0"/>
          <w:numId w:val="12"/>
        </w:numPr>
      </w:pPr>
      <w:r>
        <w:t>Proposal</w:t>
      </w:r>
    </w:p>
    <w:p w14:paraId="1CB557B0" w14:textId="13D40DAF" w:rsidR="004B6586" w:rsidRDefault="004B6586" w:rsidP="00945D0C">
      <w:r>
        <w:t>Analysis presented above suggests that, in addition to allowing for diversification at group level and across lines of business, the following values would represent reasonable ranges for the parameters in EIOPA’S updated calculation for the risk margin, as presented in the holistic impact assessment:</w:t>
      </w:r>
    </w:p>
    <w:tbl>
      <w:tblPr>
        <w:tblStyle w:val="Mriekatabuky"/>
        <w:tblW w:w="0" w:type="auto"/>
        <w:tblLook w:val="04A0" w:firstRow="1" w:lastRow="0" w:firstColumn="1" w:lastColumn="0" w:noHBand="0" w:noVBand="1"/>
      </w:tblPr>
      <w:tblGrid>
        <w:gridCol w:w="3005"/>
        <w:gridCol w:w="3005"/>
        <w:gridCol w:w="3006"/>
      </w:tblGrid>
      <w:tr w:rsidR="004B6586" w14:paraId="45562727" w14:textId="77777777" w:rsidTr="004B6586">
        <w:tc>
          <w:tcPr>
            <w:tcW w:w="3005" w:type="dxa"/>
          </w:tcPr>
          <w:p w14:paraId="557BE3B3" w14:textId="77777777" w:rsidR="004B6586" w:rsidRDefault="004B6586" w:rsidP="00945D0C"/>
        </w:tc>
        <w:tc>
          <w:tcPr>
            <w:tcW w:w="3005" w:type="dxa"/>
          </w:tcPr>
          <w:p w14:paraId="0CDB3AA6" w14:textId="31834915" w:rsidR="004B6586" w:rsidRDefault="004B6586" w:rsidP="00945D0C">
            <w:r>
              <w:t>Minimum</w:t>
            </w:r>
          </w:p>
        </w:tc>
        <w:tc>
          <w:tcPr>
            <w:tcW w:w="3006" w:type="dxa"/>
          </w:tcPr>
          <w:p w14:paraId="5165B178" w14:textId="7EAD94D9" w:rsidR="004B6586" w:rsidRDefault="004B6586" w:rsidP="00945D0C">
            <w:r>
              <w:t>Maximum</w:t>
            </w:r>
          </w:p>
        </w:tc>
      </w:tr>
      <w:tr w:rsidR="004B6586" w14:paraId="72761490" w14:textId="77777777" w:rsidTr="004B6586">
        <w:tc>
          <w:tcPr>
            <w:tcW w:w="3005" w:type="dxa"/>
          </w:tcPr>
          <w:p w14:paraId="1528E5DA" w14:textId="70C90136" w:rsidR="004B6586" w:rsidRDefault="004B6586" w:rsidP="00945D0C">
            <w:r>
              <w:t>Cost-of-capital rate</w:t>
            </w:r>
          </w:p>
        </w:tc>
        <w:tc>
          <w:tcPr>
            <w:tcW w:w="3005" w:type="dxa"/>
          </w:tcPr>
          <w:p w14:paraId="5D069823" w14:textId="3F797AE3" w:rsidR="004B6586" w:rsidRDefault="004B6586" w:rsidP="00945D0C">
            <w:r>
              <w:t>2%</w:t>
            </w:r>
          </w:p>
        </w:tc>
        <w:tc>
          <w:tcPr>
            <w:tcW w:w="3006" w:type="dxa"/>
          </w:tcPr>
          <w:p w14:paraId="61075C8A" w14:textId="790D8E75" w:rsidR="004B6586" w:rsidRDefault="004B6586" w:rsidP="00945D0C">
            <w:r>
              <w:t>4%</w:t>
            </w:r>
          </w:p>
        </w:tc>
      </w:tr>
      <w:tr w:rsidR="004B6586" w14:paraId="0CFE0B64" w14:textId="77777777" w:rsidTr="004B6586">
        <w:tc>
          <w:tcPr>
            <w:tcW w:w="3005" w:type="dxa"/>
          </w:tcPr>
          <w:p w14:paraId="36FFD0DF" w14:textId="57CCA8AB" w:rsidR="004B6586" w:rsidRDefault="004B6586" w:rsidP="00945D0C">
            <w:r>
              <w:t>Lambda</w:t>
            </w:r>
          </w:p>
        </w:tc>
        <w:tc>
          <w:tcPr>
            <w:tcW w:w="3005" w:type="dxa"/>
          </w:tcPr>
          <w:p w14:paraId="0EFCDEE5" w14:textId="28DEC0A7" w:rsidR="004B6586" w:rsidRDefault="004B6586" w:rsidP="00945D0C">
            <w:r>
              <w:t>0.8</w:t>
            </w:r>
          </w:p>
        </w:tc>
        <w:tc>
          <w:tcPr>
            <w:tcW w:w="3006" w:type="dxa"/>
          </w:tcPr>
          <w:p w14:paraId="15FFAF8A" w14:textId="10366202" w:rsidR="004B6586" w:rsidRDefault="004B6586" w:rsidP="00945D0C">
            <w:r>
              <w:t>0.9</w:t>
            </w:r>
          </w:p>
        </w:tc>
      </w:tr>
      <w:tr w:rsidR="004B6586" w14:paraId="4993863B" w14:textId="77777777" w:rsidTr="004B6586">
        <w:tc>
          <w:tcPr>
            <w:tcW w:w="3005" w:type="dxa"/>
          </w:tcPr>
          <w:p w14:paraId="0907AF08" w14:textId="6ABC5C73" w:rsidR="004B6586" w:rsidRDefault="004B6586" w:rsidP="00945D0C">
            <w:r>
              <w:t>Floor parameter</w:t>
            </w:r>
          </w:p>
        </w:tc>
        <w:tc>
          <w:tcPr>
            <w:tcW w:w="3005" w:type="dxa"/>
          </w:tcPr>
          <w:p w14:paraId="06D28620" w14:textId="6708FFF3" w:rsidR="004B6586" w:rsidRDefault="004B6586" w:rsidP="00945D0C">
            <w:r>
              <w:t>0</w:t>
            </w:r>
            <w:r w:rsidR="00D84314">
              <w:t>%</w:t>
            </w:r>
          </w:p>
        </w:tc>
        <w:tc>
          <w:tcPr>
            <w:tcW w:w="3006" w:type="dxa"/>
          </w:tcPr>
          <w:p w14:paraId="55702049" w14:textId="16ABD93D" w:rsidR="004B6586" w:rsidRDefault="004B6586" w:rsidP="00945D0C">
            <w:r>
              <w:t>1%</w:t>
            </w:r>
            <w:r w:rsidR="0055502E">
              <w:rPr>
                <w:rStyle w:val="Odkaznapoznmkupodiarou"/>
              </w:rPr>
              <w:footnoteReference w:id="4"/>
            </w:r>
          </w:p>
        </w:tc>
      </w:tr>
    </w:tbl>
    <w:p w14:paraId="470063D4" w14:textId="75029BD9" w:rsidR="004B6586" w:rsidRDefault="004B6586" w:rsidP="00945D0C"/>
    <w:p w14:paraId="0021B9E3" w14:textId="546555B2" w:rsidR="004B6586" w:rsidRDefault="00747E2E" w:rsidP="00945D0C">
      <w:r>
        <w:t xml:space="preserve">Each of these parameters will have differing impact across lines of business. For example, changes to the cost-of-capital rate will have the same proportional impact for both short-term and long-term products, while changes to the lambda parameter and the corresponding </w:t>
      </w:r>
      <w:r w:rsidR="00D3439E">
        <w:t xml:space="preserve">floor </w:t>
      </w:r>
      <w:r>
        <w:t>will have a greater proportional impact on the size of the risk margin for longer-term products than for shorter-term products. In addition, the impact of any changes to the floor will depend on the lambda parameter – the lower the lambda parameter, the more material the floor will become as this starts to bite at earlier years. Given this, our analysis below presents impacts on the size and volatility of the risk margin for stylised short-term</w:t>
      </w:r>
      <w:r w:rsidR="007F269B">
        <w:t xml:space="preserve"> (one-year products)</w:t>
      </w:r>
      <w:r>
        <w:t xml:space="preserve">, medium-term </w:t>
      </w:r>
      <w:r w:rsidR="007F269B">
        <w:t xml:space="preserve">(duration five years) </w:t>
      </w:r>
      <w:r>
        <w:t>and long-term products</w:t>
      </w:r>
      <w:r w:rsidR="007F269B">
        <w:t xml:space="preserve"> (duration 10 years)</w:t>
      </w:r>
      <w:r>
        <w:t>.</w:t>
      </w:r>
      <w:r w:rsidR="007F269B" w:rsidRPr="007F269B">
        <w:t xml:space="preserve"> </w:t>
      </w:r>
      <w:r w:rsidR="007F269B">
        <w:t>We consider the impacts of each proposal on: (</w:t>
      </w:r>
      <w:proofErr w:type="spellStart"/>
      <w:r w:rsidR="007F269B">
        <w:t>i</w:t>
      </w:r>
      <w:proofErr w:type="spellEnd"/>
      <w:r w:rsidR="007F269B">
        <w:t>) the level of the risk margin; and (ii) the sensitivity to a 25bp reduction in risk-free rates.</w:t>
      </w:r>
    </w:p>
    <w:p w14:paraId="63D99E0A" w14:textId="2D89B57D" w:rsidR="00747E2E" w:rsidRDefault="00747E2E" w:rsidP="00747E2E">
      <w:pPr>
        <w:pStyle w:val="Nadpis2"/>
      </w:pPr>
      <w:r>
        <w:t>Estimated impacts: current EIOPA proposals (holistic impact assessment)</w:t>
      </w:r>
    </w:p>
    <w:p w14:paraId="170443AB" w14:textId="56168BBA" w:rsidR="00747E2E" w:rsidRDefault="00B57A4F" w:rsidP="00747E2E">
      <w:r>
        <w:t>First, we consider the impacts of the current EIOPA proposals</w:t>
      </w:r>
      <w:r w:rsidR="007F269B">
        <w:t>. We can see that these achieve only a minimal reduction in the risk margin level and volatility:</w:t>
      </w:r>
    </w:p>
    <w:p w14:paraId="39FB41C7" w14:textId="696DD4CC" w:rsidR="00705F79" w:rsidRPr="0059536B" w:rsidRDefault="00705F79" w:rsidP="00747E2E">
      <w:pPr>
        <w:rPr>
          <w:u w:val="single"/>
        </w:rPr>
      </w:pPr>
      <w:r w:rsidRPr="0059536B">
        <w:rPr>
          <w:u w:val="single"/>
        </w:rPr>
        <w:t>Impact of EIOPA proposals</w:t>
      </w:r>
    </w:p>
    <w:tbl>
      <w:tblPr>
        <w:tblStyle w:val="Mriekatabuky"/>
        <w:tblW w:w="0" w:type="auto"/>
        <w:tblLook w:val="04A0" w:firstRow="1" w:lastRow="0" w:firstColumn="1" w:lastColumn="0" w:noHBand="0" w:noVBand="1"/>
      </w:tblPr>
      <w:tblGrid>
        <w:gridCol w:w="2254"/>
        <w:gridCol w:w="2254"/>
        <w:gridCol w:w="2254"/>
        <w:gridCol w:w="2254"/>
      </w:tblGrid>
      <w:tr w:rsidR="007F269B" w14:paraId="030EE12F" w14:textId="77777777" w:rsidTr="007F269B">
        <w:tc>
          <w:tcPr>
            <w:tcW w:w="2254" w:type="dxa"/>
          </w:tcPr>
          <w:p w14:paraId="24CD87F7" w14:textId="77777777" w:rsidR="007F269B" w:rsidRDefault="007F269B" w:rsidP="00747E2E"/>
        </w:tc>
        <w:tc>
          <w:tcPr>
            <w:tcW w:w="2254" w:type="dxa"/>
          </w:tcPr>
          <w:p w14:paraId="7BE5CF04" w14:textId="041529A6" w:rsidR="007F269B" w:rsidRDefault="00705F79" w:rsidP="0059536B">
            <w:pPr>
              <w:jc w:val="center"/>
            </w:pPr>
            <w:r>
              <w:t>One-year</w:t>
            </w:r>
            <w:r w:rsidR="007F269B">
              <w:t xml:space="preserve"> product</w:t>
            </w:r>
          </w:p>
        </w:tc>
        <w:tc>
          <w:tcPr>
            <w:tcW w:w="2254" w:type="dxa"/>
          </w:tcPr>
          <w:p w14:paraId="3A43C6D0" w14:textId="4DD84C82" w:rsidR="007F269B" w:rsidRDefault="007F269B" w:rsidP="0059536B">
            <w:pPr>
              <w:jc w:val="center"/>
            </w:pPr>
            <w:r>
              <w:t>Medium-term product</w:t>
            </w:r>
          </w:p>
        </w:tc>
        <w:tc>
          <w:tcPr>
            <w:tcW w:w="2254" w:type="dxa"/>
          </w:tcPr>
          <w:p w14:paraId="552EE4DD" w14:textId="7FB692A4" w:rsidR="007F269B" w:rsidRDefault="007F269B" w:rsidP="0059536B">
            <w:pPr>
              <w:jc w:val="center"/>
            </w:pPr>
            <w:r>
              <w:t>Long-term product</w:t>
            </w:r>
          </w:p>
        </w:tc>
      </w:tr>
      <w:tr w:rsidR="007F269B" w14:paraId="12AD45AB" w14:textId="77777777" w:rsidTr="0059536B">
        <w:trPr>
          <w:trHeight w:val="537"/>
        </w:trPr>
        <w:tc>
          <w:tcPr>
            <w:tcW w:w="2254" w:type="dxa"/>
          </w:tcPr>
          <w:p w14:paraId="6CE174F4" w14:textId="60DDA11D" w:rsidR="007F269B" w:rsidRDefault="007F269B" w:rsidP="00747E2E">
            <w:r>
              <w:lastRenderedPageBreak/>
              <w:t>Impact on level</w:t>
            </w:r>
          </w:p>
        </w:tc>
        <w:tc>
          <w:tcPr>
            <w:tcW w:w="2254" w:type="dxa"/>
          </w:tcPr>
          <w:p w14:paraId="2050AD48" w14:textId="3AEB7B1B" w:rsidR="007F269B" w:rsidRDefault="00705F79" w:rsidP="0059536B">
            <w:pPr>
              <w:jc w:val="center"/>
            </w:pPr>
            <w:r>
              <w:t>0</w:t>
            </w:r>
          </w:p>
        </w:tc>
        <w:tc>
          <w:tcPr>
            <w:tcW w:w="2254" w:type="dxa"/>
          </w:tcPr>
          <w:p w14:paraId="52145848" w14:textId="302DB5F3" w:rsidR="007F269B" w:rsidRDefault="007F269B" w:rsidP="0059536B">
            <w:pPr>
              <w:jc w:val="center"/>
            </w:pPr>
            <w:r>
              <w:t>-9%</w:t>
            </w:r>
          </w:p>
        </w:tc>
        <w:tc>
          <w:tcPr>
            <w:tcW w:w="2254" w:type="dxa"/>
          </w:tcPr>
          <w:p w14:paraId="718B93AD" w14:textId="5647A61B" w:rsidR="007F269B" w:rsidRDefault="00705F79" w:rsidP="0059536B">
            <w:pPr>
              <w:jc w:val="center"/>
            </w:pPr>
            <w:r>
              <w:t>-18%</w:t>
            </w:r>
          </w:p>
        </w:tc>
      </w:tr>
      <w:tr w:rsidR="007F269B" w14:paraId="1950FA60" w14:textId="77777777" w:rsidTr="0059536B">
        <w:trPr>
          <w:trHeight w:val="537"/>
        </w:trPr>
        <w:tc>
          <w:tcPr>
            <w:tcW w:w="2254" w:type="dxa"/>
          </w:tcPr>
          <w:p w14:paraId="1C56614D" w14:textId="30135FED" w:rsidR="007F269B" w:rsidRDefault="007F269B" w:rsidP="00747E2E">
            <w:r>
              <w:t>Impact on interest rate sensitivity</w:t>
            </w:r>
          </w:p>
        </w:tc>
        <w:tc>
          <w:tcPr>
            <w:tcW w:w="2254" w:type="dxa"/>
          </w:tcPr>
          <w:p w14:paraId="38DF98F2" w14:textId="60DB9208" w:rsidR="007F269B" w:rsidRDefault="007F269B" w:rsidP="0059536B">
            <w:pPr>
              <w:jc w:val="center"/>
            </w:pPr>
            <w:r>
              <w:t>0</w:t>
            </w:r>
          </w:p>
        </w:tc>
        <w:tc>
          <w:tcPr>
            <w:tcW w:w="2254" w:type="dxa"/>
          </w:tcPr>
          <w:p w14:paraId="74FB4AD0" w14:textId="02A4766C" w:rsidR="007F269B" w:rsidRDefault="00705F79" w:rsidP="0059536B">
            <w:pPr>
              <w:jc w:val="center"/>
            </w:pPr>
            <w:r>
              <w:t>-17%</w:t>
            </w:r>
          </w:p>
        </w:tc>
        <w:tc>
          <w:tcPr>
            <w:tcW w:w="2254" w:type="dxa"/>
          </w:tcPr>
          <w:p w14:paraId="6771F1AA" w14:textId="49ED980E" w:rsidR="007F269B" w:rsidRDefault="00705F79" w:rsidP="0059536B">
            <w:pPr>
              <w:jc w:val="center"/>
            </w:pPr>
            <w:r>
              <w:t>-31%</w:t>
            </w:r>
          </w:p>
        </w:tc>
      </w:tr>
    </w:tbl>
    <w:p w14:paraId="4410787D" w14:textId="77777777" w:rsidR="007F269B" w:rsidRDefault="007F269B" w:rsidP="00747E2E"/>
    <w:p w14:paraId="059928E7" w14:textId="35897C50" w:rsidR="00705F79" w:rsidRDefault="00705F79" w:rsidP="00705F79">
      <w:pPr>
        <w:pStyle w:val="Nadpis2"/>
      </w:pPr>
      <w:r>
        <w:t>Estimated impacts: cost-of-capital ranges</w:t>
      </w:r>
    </w:p>
    <w:p w14:paraId="7672D99B" w14:textId="4A2E9DEF" w:rsidR="00705F79" w:rsidRPr="0059536B" w:rsidRDefault="00705F79" w:rsidP="0059536B">
      <w:pPr>
        <w:rPr>
          <w:u w:val="single"/>
        </w:rPr>
      </w:pPr>
      <w:r w:rsidRPr="0059536B">
        <w:rPr>
          <w:u w:val="single"/>
        </w:rPr>
        <w:t>Impact of 2%/3%/4% cost-of-capital rate</w:t>
      </w:r>
    </w:p>
    <w:tbl>
      <w:tblPr>
        <w:tblStyle w:val="Mriekatabuky"/>
        <w:tblW w:w="0" w:type="auto"/>
        <w:tblLook w:val="04A0" w:firstRow="1" w:lastRow="0" w:firstColumn="1" w:lastColumn="0" w:noHBand="0" w:noVBand="1"/>
      </w:tblPr>
      <w:tblGrid>
        <w:gridCol w:w="2254"/>
        <w:gridCol w:w="2254"/>
        <w:gridCol w:w="2254"/>
        <w:gridCol w:w="2254"/>
      </w:tblGrid>
      <w:tr w:rsidR="00705F79" w14:paraId="29A956DF" w14:textId="77777777" w:rsidTr="00971F20">
        <w:tc>
          <w:tcPr>
            <w:tcW w:w="2254" w:type="dxa"/>
          </w:tcPr>
          <w:p w14:paraId="70AEAA3A" w14:textId="77777777" w:rsidR="00705F79" w:rsidRDefault="00705F79" w:rsidP="00971F20"/>
        </w:tc>
        <w:tc>
          <w:tcPr>
            <w:tcW w:w="2254" w:type="dxa"/>
          </w:tcPr>
          <w:p w14:paraId="77C55C0B" w14:textId="77777777" w:rsidR="00705F79" w:rsidRDefault="00705F79" w:rsidP="0059536B">
            <w:pPr>
              <w:jc w:val="center"/>
            </w:pPr>
            <w:r>
              <w:t>One-year product</w:t>
            </w:r>
          </w:p>
        </w:tc>
        <w:tc>
          <w:tcPr>
            <w:tcW w:w="2254" w:type="dxa"/>
          </w:tcPr>
          <w:p w14:paraId="6968FE44" w14:textId="77777777" w:rsidR="00705F79" w:rsidRDefault="00705F79" w:rsidP="0059536B">
            <w:pPr>
              <w:jc w:val="center"/>
            </w:pPr>
            <w:r>
              <w:t>Medium-term product</w:t>
            </w:r>
          </w:p>
        </w:tc>
        <w:tc>
          <w:tcPr>
            <w:tcW w:w="2254" w:type="dxa"/>
          </w:tcPr>
          <w:p w14:paraId="7BEF62AC" w14:textId="77777777" w:rsidR="00705F79" w:rsidRDefault="00705F79" w:rsidP="0059536B">
            <w:pPr>
              <w:jc w:val="center"/>
            </w:pPr>
            <w:r>
              <w:t>Long-term product</w:t>
            </w:r>
          </w:p>
        </w:tc>
      </w:tr>
      <w:tr w:rsidR="00705F79" w14:paraId="2D777B33" w14:textId="77777777" w:rsidTr="00971F20">
        <w:trPr>
          <w:trHeight w:val="537"/>
        </w:trPr>
        <w:tc>
          <w:tcPr>
            <w:tcW w:w="2254" w:type="dxa"/>
          </w:tcPr>
          <w:p w14:paraId="6076828D" w14:textId="77777777" w:rsidR="00705F79" w:rsidRDefault="00705F79" w:rsidP="00705F79">
            <w:r>
              <w:t>Impact on level</w:t>
            </w:r>
          </w:p>
        </w:tc>
        <w:tc>
          <w:tcPr>
            <w:tcW w:w="2254" w:type="dxa"/>
          </w:tcPr>
          <w:p w14:paraId="3D7B3763" w14:textId="7FC26E71" w:rsidR="00705F79" w:rsidRDefault="00705F79" w:rsidP="0059536B">
            <w:pPr>
              <w:jc w:val="center"/>
            </w:pPr>
            <w:r>
              <w:t>-66%/-50%/-33%</w:t>
            </w:r>
          </w:p>
        </w:tc>
        <w:tc>
          <w:tcPr>
            <w:tcW w:w="2254" w:type="dxa"/>
          </w:tcPr>
          <w:p w14:paraId="3B08947A" w14:textId="1240FA74" w:rsidR="00705F79" w:rsidRDefault="00705F79" w:rsidP="0059536B">
            <w:pPr>
              <w:jc w:val="center"/>
            </w:pPr>
            <w:r>
              <w:t>-66%/-50%/-33%</w:t>
            </w:r>
          </w:p>
        </w:tc>
        <w:tc>
          <w:tcPr>
            <w:tcW w:w="2254" w:type="dxa"/>
          </w:tcPr>
          <w:p w14:paraId="5334D90C" w14:textId="756C6B2D" w:rsidR="00705F79" w:rsidRDefault="00705F79" w:rsidP="0059536B">
            <w:pPr>
              <w:jc w:val="center"/>
            </w:pPr>
            <w:r>
              <w:t>-66%/-50%/-33%</w:t>
            </w:r>
          </w:p>
        </w:tc>
      </w:tr>
      <w:tr w:rsidR="00705F79" w14:paraId="631C7738" w14:textId="77777777" w:rsidTr="00971F20">
        <w:trPr>
          <w:trHeight w:val="537"/>
        </w:trPr>
        <w:tc>
          <w:tcPr>
            <w:tcW w:w="2254" w:type="dxa"/>
          </w:tcPr>
          <w:p w14:paraId="5BBE2533" w14:textId="77777777" w:rsidR="00705F79" w:rsidRDefault="00705F79" w:rsidP="00705F79">
            <w:r>
              <w:t>Impact on interest rate sensitivity</w:t>
            </w:r>
          </w:p>
        </w:tc>
        <w:tc>
          <w:tcPr>
            <w:tcW w:w="2254" w:type="dxa"/>
          </w:tcPr>
          <w:p w14:paraId="28A5EEEB" w14:textId="1B4D9ECE" w:rsidR="00705F79" w:rsidRDefault="00705F79" w:rsidP="0059536B">
            <w:pPr>
              <w:jc w:val="center"/>
            </w:pPr>
            <w:r>
              <w:t>-66%/-50%/-33%</w:t>
            </w:r>
          </w:p>
        </w:tc>
        <w:tc>
          <w:tcPr>
            <w:tcW w:w="2254" w:type="dxa"/>
          </w:tcPr>
          <w:p w14:paraId="00CB7B9A" w14:textId="3E87586D" w:rsidR="00705F79" w:rsidRDefault="00705F79" w:rsidP="0059536B">
            <w:pPr>
              <w:jc w:val="center"/>
            </w:pPr>
            <w:r>
              <w:t>-66%/-50%/-33%</w:t>
            </w:r>
          </w:p>
        </w:tc>
        <w:tc>
          <w:tcPr>
            <w:tcW w:w="2254" w:type="dxa"/>
          </w:tcPr>
          <w:p w14:paraId="19516856" w14:textId="709B67A9" w:rsidR="00705F79" w:rsidRDefault="00705F79" w:rsidP="0059536B">
            <w:pPr>
              <w:jc w:val="center"/>
            </w:pPr>
            <w:r>
              <w:t>-66%/-50%/-33%</w:t>
            </w:r>
          </w:p>
        </w:tc>
      </w:tr>
    </w:tbl>
    <w:p w14:paraId="20BF72EA" w14:textId="77777777" w:rsidR="007F269B" w:rsidRDefault="007F269B" w:rsidP="00747E2E"/>
    <w:p w14:paraId="157B2C50" w14:textId="6EC31C76" w:rsidR="009634F6" w:rsidRDefault="009634F6" w:rsidP="009634F6">
      <w:pPr>
        <w:pStyle w:val="Nadpis2"/>
      </w:pPr>
      <w:r>
        <w:t xml:space="preserve">Estimated impacts: </w:t>
      </w:r>
      <w:r w:rsidR="00F96440">
        <w:t>lambda and corresponding floor</w:t>
      </w:r>
    </w:p>
    <w:p w14:paraId="315FB575" w14:textId="51CDC31B" w:rsidR="009634F6" w:rsidRPr="0059536B" w:rsidRDefault="009634F6" w:rsidP="009634F6">
      <w:pPr>
        <w:rPr>
          <w:u w:val="single"/>
        </w:rPr>
      </w:pPr>
      <w:r w:rsidRPr="0059536B">
        <w:rPr>
          <w:u w:val="single"/>
        </w:rPr>
        <w:t xml:space="preserve">Impact of </w:t>
      </w:r>
      <w:r w:rsidR="00BA4B05" w:rsidRPr="0059536B">
        <w:rPr>
          <w:u w:val="single"/>
        </w:rPr>
        <w:t>0.8/0.85/0.9</w:t>
      </w:r>
      <w:r w:rsidRPr="0059536B">
        <w:rPr>
          <w:u w:val="single"/>
        </w:rPr>
        <w:t xml:space="preserve"> </w:t>
      </w:r>
      <w:r w:rsidR="00BA4B05" w:rsidRPr="0059536B">
        <w:rPr>
          <w:u w:val="single"/>
        </w:rPr>
        <w:t>lambda – with no floor</w:t>
      </w:r>
    </w:p>
    <w:tbl>
      <w:tblPr>
        <w:tblStyle w:val="Mriekatabuky"/>
        <w:tblW w:w="0" w:type="auto"/>
        <w:tblLook w:val="04A0" w:firstRow="1" w:lastRow="0" w:firstColumn="1" w:lastColumn="0" w:noHBand="0" w:noVBand="1"/>
      </w:tblPr>
      <w:tblGrid>
        <w:gridCol w:w="2254"/>
        <w:gridCol w:w="2254"/>
        <w:gridCol w:w="2254"/>
        <w:gridCol w:w="2254"/>
      </w:tblGrid>
      <w:tr w:rsidR="009634F6" w14:paraId="4CFC0280" w14:textId="77777777" w:rsidTr="00971F20">
        <w:tc>
          <w:tcPr>
            <w:tcW w:w="2254" w:type="dxa"/>
          </w:tcPr>
          <w:p w14:paraId="3FC10C6A" w14:textId="77777777" w:rsidR="009634F6" w:rsidRDefault="009634F6" w:rsidP="00971F20"/>
        </w:tc>
        <w:tc>
          <w:tcPr>
            <w:tcW w:w="2254" w:type="dxa"/>
          </w:tcPr>
          <w:p w14:paraId="6C062036" w14:textId="77777777" w:rsidR="009634F6" w:rsidRDefault="009634F6" w:rsidP="0059536B">
            <w:pPr>
              <w:jc w:val="center"/>
            </w:pPr>
            <w:r>
              <w:t>One-year product</w:t>
            </w:r>
          </w:p>
        </w:tc>
        <w:tc>
          <w:tcPr>
            <w:tcW w:w="2254" w:type="dxa"/>
          </w:tcPr>
          <w:p w14:paraId="420EB26D" w14:textId="77777777" w:rsidR="009634F6" w:rsidRDefault="009634F6" w:rsidP="0059536B">
            <w:pPr>
              <w:jc w:val="center"/>
            </w:pPr>
            <w:r>
              <w:t>Medium-term product</w:t>
            </w:r>
          </w:p>
        </w:tc>
        <w:tc>
          <w:tcPr>
            <w:tcW w:w="2254" w:type="dxa"/>
          </w:tcPr>
          <w:p w14:paraId="48DFCE59" w14:textId="77777777" w:rsidR="009634F6" w:rsidRDefault="009634F6" w:rsidP="0059536B">
            <w:pPr>
              <w:jc w:val="center"/>
            </w:pPr>
            <w:r>
              <w:t>Long-term product</w:t>
            </w:r>
          </w:p>
        </w:tc>
      </w:tr>
      <w:tr w:rsidR="009634F6" w14:paraId="398B2D53" w14:textId="77777777" w:rsidTr="00971F20">
        <w:trPr>
          <w:trHeight w:val="537"/>
        </w:trPr>
        <w:tc>
          <w:tcPr>
            <w:tcW w:w="2254" w:type="dxa"/>
          </w:tcPr>
          <w:p w14:paraId="7AF8BDFD" w14:textId="77777777" w:rsidR="009634F6" w:rsidRDefault="009634F6" w:rsidP="00971F20">
            <w:r>
              <w:t>Impact on level</w:t>
            </w:r>
          </w:p>
        </w:tc>
        <w:tc>
          <w:tcPr>
            <w:tcW w:w="2254" w:type="dxa"/>
          </w:tcPr>
          <w:p w14:paraId="339D9CC7" w14:textId="23ED5CA7" w:rsidR="009634F6" w:rsidRDefault="00BA4B05" w:rsidP="0059536B">
            <w:pPr>
              <w:jc w:val="center"/>
            </w:pPr>
            <w:r>
              <w:t>0%</w:t>
            </w:r>
            <w:r w:rsidR="009634F6">
              <w:t>/</w:t>
            </w:r>
            <w:r>
              <w:t>0%</w:t>
            </w:r>
            <w:r w:rsidR="009634F6">
              <w:t>/</w:t>
            </w:r>
            <w:r>
              <w:t>0%</w:t>
            </w:r>
          </w:p>
        </w:tc>
        <w:tc>
          <w:tcPr>
            <w:tcW w:w="2254" w:type="dxa"/>
          </w:tcPr>
          <w:p w14:paraId="40946086" w14:textId="5548BEF4" w:rsidR="009634F6" w:rsidRDefault="009634F6" w:rsidP="0059536B">
            <w:pPr>
              <w:jc w:val="center"/>
            </w:pPr>
            <w:r>
              <w:t>-</w:t>
            </w:r>
            <w:r w:rsidR="00A93657">
              <w:t>45</w:t>
            </w:r>
            <w:r>
              <w:t>%/-</w:t>
            </w:r>
            <w:r w:rsidR="00A93657">
              <w:t>38</w:t>
            </w:r>
            <w:r>
              <w:t>%/-</w:t>
            </w:r>
            <w:r w:rsidR="00A93657">
              <w:t>29</w:t>
            </w:r>
            <w:r>
              <w:t>%</w:t>
            </w:r>
          </w:p>
        </w:tc>
        <w:tc>
          <w:tcPr>
            <w:tcW w:w="2254" w:type="dxa"/>
          </w:tcPr>
          <w:p w14:paraId="1747D38B" w14:textId="08968E21" w:rsidR="009634F6" w:rsidRDefault="009634F6" w:rsidP="0059536B">
            <w:pPr>
              <w:jc w:val="center"/>
            </w:pPr>
            <w:r>
              <w:t>-66%/-5</w:t>
            </w:r>
            <w:r w:rsidR="007F07D9">
              <w:t>9</w:t>
            </w:r>
            <w:r>
              <w:t>%/-</w:t>
            </w:r>
            <w:r w:rsidR="007F07D9">
              <w:t>49</w:t>
            </w:r>
            <w:r>
              <w:t>%</w:t>
            </w:r>
          </w:p>
        </w:tc>
      </w:tr>
      <w:tr w:rsidR="009634F6" w14:paraId="47298D95" w14:textId="77777777" w:rsidTr="00971F20">
        <w:trPr>
          <w:trHeight w:val="537"/>
        </w:trPr>
        <w:tc>
          <w:tcPr>
            <w:tcW w:w="2254" w:type="dxa"/>
          </w:tcPr>
          <w:p w14:paraId="2B569AFA" w14:textId="77777777" w:rsidR="009634F6" w:rsidRDefault="009634F6" w:rsidP="00971F20">
            <w:r>
              <w:t>Impact on interest rate sensitivity</w:t>
            </w:r>
          </w:p>
        </w:tc>
        <w:tc>
          <w:tcPr>
            <w:tcW w:w="2254" w:type="dxa"/>
          </w:tcPr>
          <w:p w14:paraId="348429C9" w14:textId="5432A72A" w:rsidR="009634F6" w:rsidRDefault="00BA4B05" w:rsidP="0059536B">
            <w:pPr>
              <w:jc w:val="center"/>
            </w:pPr>
            <w:r>
              <w:t>0%/0%/0%</w:t>
            </w:r>
          </w:p>
        </w:tc>
        <w:tc>
          <w:tcPr>
            <w:tcW w:w="2254" w:type="dxa"/>
          </w:tcPr>
          <w:p w14:paraId="4D43CA01" w14:textId="384A67A7" w:rsidR="009634F6" w:rsidRDefault="009634F6" w:rsidP="0059536B">
            <w:pPr>
              <w:jc w:val="center"/>
            </w:pPr>
            <w:r>
              <w:t>-6</w:t>
            </w:r>
            <w:r w:rsidR="00A93657">
              <w:t>9</w:t>
            </w:r>
            <w:r>
              <w:t>%/-</w:t>
            </w:r>
            <w:r w:rsidR="00A93657">
              <w:t>61</w:t>
            </w:r>
            <w:r>
              <w:t>%/-</w:t>
            </w:r>
            <w:r w:rsidR="00A93657">
              <w:t>49</w:t>
            </w:r>
            <w:r>
              <w:t>%</w:t>
            </w:r>
          </w:p>
        </w:tc>
        <w:tc>
          <w:tcPr>
            <w:tcW w:w="2254" w:type="dxa"/>
          </w:tcPr>
          <w:p w14:paraId="3CA954DE" w14:textId="226E49C8" w:rsidR="009634F6" w:rsidRDefault="009634F6" w:rsidP="0059536B">
            <w:pPr>
              <w:jc w:val="center"/>
            </w:pPr>
            <w:r>
              <w:t>-</w:t>
            </w:r>
            <w:r w:rsidR="007F07D9">
              <w:t>87</w:t>
            </w:r>
            <w:r>
              <w:t>%/-</w:t>
            </w:r>
            <w:r w:rsidR="007F07D9">
              <w:t>82</w:t>
            </w:r>
            <w:r>
              <w:t>%/-</w:t>
            </w:r>
            <w:r w:rsidR="007F07D9">
              <w:t>72</w:t>
            </w:r>
            <w:r>
              <w:t>%</w:t>
            </w:r>
          </w:p>
        </w:tc>
      </w:tr>
    </w:tbl>
    <w:p w14:paraId="1E6732BC" w14:textId="33B0C116" w:rsidR="007F269B" w:rsidRDefault="007F269B" w:rsidP="00747E2E"/>
    <w:p w14:paraId="1EEC31D3" w14:textId="193BD5AD" w:rsidR="007F07D9" w:rsidRDefault="007F07D9" w:rsidP="00747E2E">
      <w:r>
        <w:t xml:space="preserve">The table below provides corresponding impacts with a floor of </w:t>
      </w:r>
      <w:r w:rsidR="00CD1C2A">
        <w:t>1%</w:t>
      </w:r>
    </w:p>
    <w:p w14:paraId="54FB4526" w14:textId="0987A424" w:rsidR="007F07D9" w:rsidRPr="0059536B" w:rsidRDefault="007F07D9" w:rsidP="007F07D9">
      <w:pPr>
        <w:rPr>
          <w:u w:val="single"/>
        </w:rPr>
      </w:pPr>
      <w:r w:rsidRPr="0059536B">
        <w:rPr>
          <w:u w:val="single"/>
        </w:rPr>
        <w:t>Impact of 0.8/0.85/0.9 lambda – with floor</w:t>
      </w:r>
    </w:p>
    <w:tbl>
      <w:tblPr>
        <w:tblStyle w:val="Mriekatabuky"/>
        <w:tblW w:w="0" w:type="auto"/>
        <w:tblLook w:val="04A0" w:firstRow="1" w:lastRow="0" w:firstColumn="1" w:lastColumn="0" w:noHBand="0" w:noVBand="1"/>
      </w:tblPr>
      <w:tblGrid>
        <w:gridCol w:w="2254"/>
        <w:gridCol w:w="2254"/>
        <w:gridCol w:w="2254"/>
        <w:gridCol w:w="2254"/>
      </w:tblGrid>
      <w:tr w:rsidR="007F07D9" w14:paraId="72626886" w14:textId="77777777" w:rsidTr="00971F20">
        <w:tc>
          <w:tcPr>
            <w:tcW w:w="2254" w:type="dxa"/>
          </w:tcPr>
          <w:p w14:paraId="4698AC4E" w14:textId="77777777" w:rsidR="007F07D9" w:rsidRDefault="007F07D9" w:rsidP="00971F20"/>
        </w:tc>
        <w:tc>
          <w:tcPr>
            <w:tcW w:w="2254" w:type="dxa"/>
          </w:tcPr>
          <w:p w14:paraId="6A16FC95" w14:textId="77777777" w:rsidR="007F07D9" w:rsidRDefault="007F07D9" w:rsidP="00971F20">
            <w:pPr>
              <w:jc w:val="center"/>
            </w:pPr>
            <w:r>
              <w:t>One-year product</w:t>
            </w:r>
          </w:p>
        </w:tc>
        <w:tc>
          <w:tcPr>
            <w:tcW w:w="2254" w:type="dxa"/>
          </w:tcPr>
          <w:p w14:paraId="0EE4CE94" w14:textId="77777777" w:rsidR="007F07D9" w:rsidRDefault="007F07D9" w:rsidP="00971F20">
            <w:pPr>
              <w:jc w:val="center"/>
            </w:pPr>
            <w:r>
              <w:t>Medium-term product</w:t>
            </w:r>
          </w:p>
        </w:tc>
        <w:tc>
          <w:tcPr>
            <w:tcW w:w="2254" w:type="dxa"/>
          </w:tcPr>
          <w:p w14:paraId="7AD5AD33" w14:textId="77777777" w:rsidR="007F07D9" w:rsidRDefault="007F07D9" w:rsidP="00971F20">
            <w:pPr>
              <w:jc w:val="center"/>
            </w:pPr>
            <w:r>
              <w:t>Long-term product</w:t>
            </w:r>
          </w:p>
        </w:tc>
      </w:tr>
      <w:tr w:rsidR="007F07D9" w14:paraId="013A08CF" w14:textId="77777777" w:rsidTr="00971F20">
        <w:trPr>
          <w:trHeight w:val="537"/>
        </w:trPr>
        <w:tc>
          <w:tcPr>
            <w:tcW w:w="2254" w:type="dxa"/>
          </w:tcPr>
          <w:p w14:paraId="4450C534" w14:textId="77777777" w:rsidR="007F07D9" w:rsidRDefault="007F07D9" w:rsidP="00971F20">
            <w:r>
              <w:t>Impact on level</w:t>
            </w:r>
          </w:p>
        </w:tc>
        <w:tc>
          <w:tcPr>
            <w:tcW w:w="2254" w:type="dxa"/>
          </w:tcPr>
          <w:p w14:paraId="69AA44B7" w14:textId="77777777" w:rsidR="007F07D9" w:rsidRDefault="007F07D9" w:rsidP="00971F20">
            <w:pPr>
              <w:jc w:val="center"/>
            </w:pPr>
            <w:r>
              <w:t>0%/0%/0%</w:t>
            </w:r>
          </w:p>
        </w:tc>
        <w:tc>
          <w:tcPr>
            <w:tcW w:w="2254" w:type="dxa"/>
          </w:tcPr>
          <w:p w14:paraId="441AFEBE" w14:textId="584E7890" w:rsidR="007F07D9" w:rsidRDefault="007F07D9" w:rsidP="00971F20">
            <w:pPr>
              <w:jc w:val="center"/>
            </w:pPr>
            <w:r>
              <w:t>-4</w:t>
            </w:r>
            <w:r w:rsidR="00B75923">
              <w:t>4</w:t>
            </w:r>
            <w:r>
              <w:t>%/-3</w:t>
            </w:r>
            <w:r w:rsidR="00B75923">
              <w:t>7</w:t>
            </w:r>
            <w:r>
              <w:t>%/-29%</w:t>
            </w:r>
          </w:p>
        </w:tc>
        <w:tc>
          <w:tcPr>
            <w:tcW w:w="2254" w:type="dxa"/>
          </w:tcPr>
          <w:p w14:paraId="5AAB85D4" w14:textId="370FA4E4" w:rsidR="007F07D9" w:rsidRDefault="007F07D9" w:rsidP="00971F20">
            <w:pPr>
              <w:jc w:val="center"/>
            </w:pPr>
            <w:r>
              <w:t>-61%/-56%/-4</w:t>
            </w:r>
            <w:r w:rsidR="00B75923">
              <w:t>7</w:t>
            </w:r>
            <w:r>
              <w:t>%</w:t>
            </w:r>
          </w:p>
        </w:tc>
      </w:tr>
      <w:tr w:rsidR="007F07D9" w14:paraId="7A3CCCBF" w14:textId="77777777" w:rsidTr="00971F20">
        <w:trPr>
          <w:trHeight w:val="537"/>
        </w:trPr>
        <w:tc>
          <w:tcPr>
            <w:tcW w:w="2254" w:type="dxa"/>
          </w:tcPr>
          <w:p w14:paraId="2A70AB2B" w14:textId="77777777" w:rsidR="007F07D9" w:rsidRDefault="007F07D9" w:rsidP="00971F20">
            <w:r>
              <w:t>Impact on interest rate sensitivity</w:t>
            </w:r>
          </w:p>
        </w:tc>
        <w:tc>
          <w:tcPr>
            <w:tcW w:w="2254" w:type="dxa"/>
          </w:tcPr>
          <w:p w14:paraId="3F634C6A" w14:textId="77777777" w:rsidR="007F07D9" w:rsidRDefault="007F07D9" w:rsidP="00971F20">
            <w:pPr>
              <w:jc w:val="center"/>
            </w:pPr>
            <w:r>
              <w:t>0%/0%/0%</w:t>
            </w:r>
          </w:p>
        </w:tc>
        <w:tc>
          <w:tcPr>
            <w:tcW w:w="2254" w:type="dxa"/>
          </w:tcPr>
          <w:p w14:paraId="5F7761E6" w14:textId="5DE7478D" w:rsidR="007F07D9" w:rsidRDefault="007F07D9" w:rsidP="00971F20">
            <w:pPr>
              <w:jc w:val="center"/>
            </w:pPr>
            <w:r>
              <w:t>-6</w:t>
            </w:r>
            <w:r w:rsidR="00B75923">
              <w:t>5</w:t>
            </w:r>
            <w:r>
              <w:t>%/-</w:t>
            </w:r>
            <w:r w:rsidR="00B75923">
              <w:t>59</w:t>
            </w:r>
            <w:r>
              <w:t>%/-4</w:t>
            </w:r>
            <w:r w:rsidR="00B75923">
              <w:t>8</w:t>
            </w:r>
            <w:r>
              <w:t>%</w:t>
            </w:r>
          </w:p>
        </w:tc>
        <w:tc>
          <w:tcPr>
            <w:tcW w:w="2254" w:type="dxa"/>
          </w:tcPr>
          <w:p w14:paraId="01F39F8E" w14:textId="77777777" w:rsidR="007F07D9" w:rsidRDefault="007F07D9" w:rsidP="00971F20">
            <w:pPr>
              <w:jc w:val="center"/>
            </w:pPr>
            <w:r>
              <w:t>-87%/-82%/-72%</w:t>
            </w:r>
          </w:p>
        </w:tc>
      </w:tr>
    </w:tbl>
    <w:p w14:paraId="6C9E983A" w14:textId="77777777" w:rsidR="007F269B" w:rsidRPr="00747E2E" w:rsidRDefault="007F269B" w:rsidP="00747E2E"/>
    <w:p w14:paraId="3D345C92" w14:textId="2C2BFF33" w:rsidR="009F2B85" w:rsidRDefault="009F2B85" w:rsidP="00945D0C">
      <w:r>
        <w:t xml:space="preserve">In the 2018 Solvency II review consultation </w:t>
      </w:r>
      <w:r w:rsidR="00945D0C">
        <w:t>the CROF</w:t>
      </w:r>
      <w:r w:rsidR="002C45C2">
        <w:t xml:space="preserve"> argued for a </w:t>
      </w:r>
      <w:proofErr w:type="spellStart"/>
      <w:r w:rsidR="002C45C2">
        <w:t>CoC</w:t>
      </w:r>
      <w:proofErr w:type="spellEnd"/>
      <w:r w:rsidR="002C45C2">
        <w:t xml:space="preserve"> rate of 2%-3%</w:t>
      </w:r>
      <w:r>
        <w:t xml:space="preserve">, which would achieve a reduction in the risk margin of 50%-67% across the board. In addition, industry has consistently highlighted the need to allow </w:t>
      </w:r>
      <w:r w:rsidR="002C45C2">
        <w:t>for diversification at group level and across business lines</w:t>
      </w:r>
      <w:r w:rsidR="00A72D5D">
        <w:t xml:space="preserve">. Assuming an average diversification of 15%, this implies an overall reduction of </w:t>
      </w:r>
      <w:r w:rsidR="00D3439E" w:rsidRPr="0059536B">
        <w:t>58</w:t>
      </w:r>
      <w:r w:rsidR="00A72D5D" w:rsidRPr="00D3439E">
        <w:t xml:space="preserve">% - </w:t>
      </w:r>
      <w:r w:rsidR="00D3439E" w:rsidRPr="0059536B">
        <w:t>72</w:t>
      </w:r>
      <w:r w:rsidR="00A72D5D" w:rsidRPr="00D3439E">
        <w:t>%</w:t>
      </w:r>
      <w:r>
        <w:t>, as well as a need for a tapering approach to address the issues impacting long-term business in particular</w:t>
      </w:r>
      <w:r w:rsidR="002C45C2">
        <w:t>.</w:t>
      </w:r>
      <w:r w:rsidR="00F53FF0">
        <w:t xml:space="preserve"> </w:t>
      </w:r>
    </w:p>
    <w:p w14:paraId="79DD66FC" w14:textId="1BFFB49C" w:rsidR="009F2B85" w:rsidRDefault="009F2B85" w:rsidP="00945D0C">
      <w:r>
        <w:t xml:space="preserve">Given this, </w:t>
      </w:r>
      <w:r w:rsidR="00F53FF0">
        <w:t xml:space="preserve">we propose to remain consistent with that approach and would therefore propose the </w:t>
      </w:r>
      <w:r w:rsidR="00A72D5D">
        <w:t xml:space="preserve">combinations </w:t>
      </w:r>
      <w:r w:rsidR="00971F20">
        <w:t xml:space="preserve">for the cost-of-capital rate and the lambda parameter </w:t>
      </w:r>
      <w:r w:rsidR="00A72D5D">
        <w:t>which would reduce the risk margin by a similar amount overall. For example,</w:t>
      </w:r>
      <w:r w:rsidR="00F53FF0">
        <w:t xml:space="preserve"> a </w:t>
      </w:r>
      <w:proofErr w:type="spellStart"/>
      <w:r w:rsidR="00F53FF0">
        <w:t>CoC</w:t>
      </w:r>
      <w:proofErr w:type="spellEnd"/>
      <w:r w:rsidR="00F53FF0">
        <w:t xml:space="preserve"> rate of 3% with a tapering parameter of 0.85</w:t>
      </w:r>
      <w:r w:rsidR="00A72D5D">
        <w:t xml:space="preserve"> and including diversification</w:t>
      </w:r>
      <w:r w:rsidR="00F53FF0">
        <w:t>. In addition, we believe a strong case could be made for the floor to be removed, given that insurance risk is largely diversifiable against the market as a whole</w:t>
      </w:r>
      <w:r w:rsidR="0076490F">
        <w:t>.</w:t>
      </w:r>
      <w:r w:rsidR="00F53FF0">
        <w:t xml:space="preserve"> </w:t>
      </w:r>
      <w:r w:rsidR="0076490F">
        <w:t xml:space="preserve">However, should EIOPA wish to pursue a prudent approach in this area, the floor </w:t>
      </w:r>
      <w:r w:rsidR="0055502E">
        <w:t>corresponding to</w:t>
      </w:r>
      <w:r w:rsidR="0076490F">
        <w:t xml:space="preserve"> </w:t>
      </w:r>
      <w:r w:rsidR="00A1362B">
        <w:t xml:space="preserve">a </w:t>
      </w:r>
      <w:r w:rsidR="0055502E">
        <w:t>floor on the</w:t>
      </w:r>
      <w:r w:rsidR="0076490F">
        <w:t xml:space="preserve"> forward cost-of-capital rate of between 0% and 1%</w:t>
      </w:r>
      <w:r w:rsidR="00CD1C2A">
        <w:t xml:space="preserve"> could be applied</w:t>
      </w:r>
      <w:r w:rsidR="0076490F">
        <w:t>.</w:t>
      </w:r>
    </w:p>
    <w:p w14:paraId="647F412E" w14:textId="2568E23E" w:rsidR="00945D0C" w:rsidRDefault="004B6586" w:rsidP="00945D0C">
      <w:r>
        <w:t>Taken together</w:t>
      </w:r>
      <w:r w:rsidR="00971F20">
        <w:t xml:space="preserve"> with allowance for diversification at group level and across business lines</w:t>
      </w:r>
      <w:r>
        <w:t xml:space="preserve">, </w:t>
      </w:r>
      <w:r w:rsidR="0076490F">
        <w:t xml:space="preserve">assuming EIOPA would want to set a prudent forward cost-of-capital rate of 1%, </w:t>
      </w:r>
      <w:r w:rsidR="00F53FF0">
        <w:t xml:space="preserve">this </w:t>
      </w:r>
      <w:r w:rsidR="003A552A">
        <w:t xml:space="preserve">combination would </w:t>
      </w:r>
      <w:r w:rsidR="00971F20">
        <w:t xml:space="preserve">result </w:t>
      </w:r>
      <w:r w:rsidR="00971F20">
        <w:lastRenderedPageBreak/>
        <w:t xml:space="preserve">in a </w:t>
      </w:r>
      <w:r>
        <w:t xml:space="preserve">reduction in the risk margin </w:t>
      </w:r>
      <w:r w:rsidR="00971F20">
        <w:t xml:space="preserve">level </w:t>
      </w:r>
      <w:r w:rsidR="003A552A" w:rsidRPr="0076490F">
        <w:t xml:space="preserve">of </w:t>
      </w:r>
      <w:r w:rsidR="0076490F">
        <w:t>58%-78% depending on product duration,</w:t>
      </w:r>
      <w:r w:rsidR="003A552A">
        <w:t xml:space="preserve"> </w:t>
      </w:r>
      <w:r w:rsidR="0076490F">
        <w:t xml:space="preserve">with a corresponding reduction in </w:t>
      </w:r>
      <w:r w:rsidR="00971F20">
        <w:t>volatility, and remains consistent with previous CROF feedback to EIOPA</w:t>
      </w:r>
      <w:r>
        <w:t>.</w:t>
      </w:r>
    </w:p>
    <w:p w14:paraId="68D2810D" w14:textId="6FB13E9C" w:rsidR="00971F20" w:rsidRPr="00C84586" w:rsidRDefault="00971F20" w:rsidP="00945D0C">
      <w:r w:rsidRPr="0059536B">
        <w:rPr>
          <w:u w:val="single"/>
        </w:rPr>
        <w:t>Impact of joint proposal</w:t>
      </w:r>
      <w:r>
        <w:rPr>
          <w:u w:val="single"/>
        </w:rPr>
        <w:t xml:space="preserve"> – </w:t>
      </w:r>
      <w:proofErr w:type="spellStart"/>
      <w:r>
        <w:rPr>
          <w:u w:val="single"/>
        </w:rPr>
        <w:t>CoC</w:t>
      </w:r>
      <w:proofErr w:type="spellEnd"/>
      <w:r>
        <w:rPr>
          <w:u w:val="single"/>
        </w:rPr>
        <w:t xml:space="preserve"> rate 3%, lambda 0.85 </w:t>
      </w:r>
      <w:r w:rsidR="00550FCE">
        <w:rPr>
          <w:u w:val="single"/>
        </w:rPr>
        <w:t>and 1% floor</w:t>
      </w:r>
      <w:r w:rsidR="00224D1D">
        <w:rPr>
          <w:u w:val="single"/>
        </w:rPr>
        <w:t xml:space="preserve"> with diversification (15% estimate)</w:t>
      </w:r>
    </w:p>
    <w:tbl>
      <w:tblPr>
        <w:tblStyle w:val="Mriekatabuky"/>
        <w:tblW w:w="0" w:type="auto"/>
        <w:tblLook w:val="04A0" w:firstRow="1" w:lastRow="0" w:firstColumn="1" w:lastColumn="0" w:noHBand="0" w:noVBand="1"/>
      </w:tblPr>
      <w:tblGrid>
        <w:gridCol w:w="2254"/>
        <w:gridCol w:w="2254"/>
        <w:gridCol w:w="2254"/>
        <w:gridCol w:w="2254"/>
      </w:tblGrid>
      <w:tr w:rsidR="00971F20" w14:paraId="434AE78D" w14:textId="77777777" w:rsidTr="00971F20">
        <w:tc>
          <w:tcPr>
            <w:tcW w:w="2254" w:type="dxa"/>
          </w:tcPr>
          <w:p w14:paraId="7427F3F7" w14:textId="77777777" w:rsidR="00971F20" w:rsidRDefault="00971F20" w:rsidP="00971F20"/>
        </w:tc>
        <w:tc>
          <w:tcPr>
            <w:tcW w:w="2254" w:type="dxa"/>
          </w:tcPr>
          <w:p w14:paraId="3BC73A73" w14:textId="77777777" w:rsidR="00971F20" w:rsidRDefault="00971F20" w:rsidP="00971F20">
            <w:pPr>
              <w:jc w:val="center"/>
            </w:pPr>
            <w:r>
              <w:t>One-year product</w:t>
            </w:r>
          </w:p>
        </w:tc>
        <w:tc>
          <w:tcPr>
            <w:tcW w:w="2254" w:type="dxa"/>
          </w:tcPr>
          <w:p w14:paraId="651A2105" w14:textId="77777777" w:rsidR="00971F20" w:rsidRDefault="00971F20" w:rsidP="00971F20">
            <w:pPr>
              <w:jc w:val="center"/>
            </w:pPr>
            <w:r>
              <w:t>Medium-term product</w:t>
            </w:r>
          </w:p>
        </w:tc>
        <w:tc>
          <w:tcPr>
            <w:tcW w:w="2254" w:type="dxa"/>
          </w:tcPr>
          <w:p w14:paraId="3671B574" w14:textId="77777777" w:rsidR="00971F20" w:rsidRDefault="00971F20" w:rsidP="00971F20">
            <w:pPr>
              <w:jc w:val="center"/>
            </w:pPr>
            <w:r>
              <w:t>Long-term product</w:t>
            </w:r>
          </w:p>
        </w:tc>
      </w:tr>
      <w:tr w:rsidR="00971F20" w14:paraId="06F17DE1" w14:textId="77777777" w:rsidTr="00971F20">
        <w:trPr>
          <w:trHeight w:val="537"/>
        </w:trPr>
        <w:tc>
          <w:tcPr>
            <w:tcW w:w="2254" w:type="dxa"/>
          </w:tcPr>
          <w:p w14:paraId="2BA1DFD8" w14:textId="77777777" w:rsidR="00971F20" w:rsidRDefault="00971F20" w:rsidP="00971F20">
            <w:r>
              <w:t>Impact on level</w:t>
            </w:r>
          </w:p>
        </w:tc>
        <w:tc>
          <w:tcPr>
            <w:tcW w:w="2254" w:type="dxa"/>
          </w:tcPr>
          <w:p w14:paraId="7C153037" w14:textId="6D839853" w:rsidR="00971F20" w:rsidRDefault="00224D1D" w:rsidP="00971F20">
            <w:pPr>
              <w:jc w:val="center"/>
            </w:pPr>
            <w:r>
              <w:t>-58%</w:t>
            </w:r>
          </w:p>
        </w:tc>
        <w:tc>
          <w:tcPr>
            <w:tcW w:w="2254" w:type="dxa"/>
          </w:tcPr>
          <w:p w14:paraId="53E7AA83" w14:textId="2A6CEC70" w:rsidR="00971F20" w:rsidRDefault="00971F20" w:rsidP="00971F20">
            <w:pPr>
              <w:jc w:val="center"/>
            </w:pPr>
            <w:r>
              <w:t>-</w:t>
            </w:r>
            <w:r w:rsidR="00224D1D">
              <w:t>72</w:t>
            </w:r>
            <w:r>
              <w:t>%</w:t>
            </w:r>
          </w:p>
        </w:tc>
        <w:tc>
          <w:tcPr>
            <w:tcW w:w="2254" w:type="dxa"/>
          </w:tcPr>
          <w:p w14:paraId="7985393B" w14:textId="35E7BA64" w:rsidR="00971F20" w:rsidRDefault="00971F20" w:rsidP="00971F20">
            <w:pPr>
              <w:jc w:val="center"/>
            </w:pPr>
            <w:r>
              <w:t>-</w:t>
            </w:r>
            <w:r w:rsidR="00224D1D">
              <w:t>78</w:t>
            </w:r>
            <w:r>
              <w:t>%</w:t>
            </w:r>
          </w:p>
        </w:tc>
      </w:tr>
      <w:tr w:rsidR="00971F20" w14:paraId="5B29E1DB" w14:textId="77777777" w:rsidTr="00971F20">
        <w:trPr>
          <w:trHeight w:val="537"/>
        </w:trPr>
        <w:tc>
          <w:tcPr>
            <w:tcW w:w="2254" w:type="dxa"/>
          </w:tcPr>
          <w:p w14:paraId="7976D483" w14:textId="77777777" w:rsidR="00971F20" w:rsidRDefault="00971F20" w:rsidP="00971F20">
            <w:r>
              <w:t>Impact on interest rate sensitivity</w:t>
            </w:r>
          </w:p>
        </w:tc>
        <w:tc>
          <w:tcPr>
            <w:tcW w:w="2254" w:type="dxa"/>
          </w:tcPr>
          <w:p w14:paraId="5EC39322" w14:textId="134543F2" w:rsidR="00971F20" w:rsidRDefault="00A136F2" w:rsidP="00971F20">
            <w:pPr>
              <w:jc w:val="center"/>
            </w:pPr>
            <w:r>
              <w:t>-58%</w:t>
            </w:r>
          </w:p>
        </w:tc>
        <w:tc>
          <w:tcPr>
            <w:tcW w:w="2254" w:type="dxa"/>
          </w:tcPr>
          <w:p w14:paraId="0FF06EC6" w14:textId="2DE8C9CD" w:rsidR="00971F20" w:rsidRDefault="00971F20" w:rsidP="00971F20">
            <w:pPr>
              <w:jc w:val="center"/>
            </w:pPr>
            <w:r>
              <w:t>-</w:t>
            </w:r>
            <w:r w:rsidR="00A136F2">
              <w:t>80</w:t>
            </w:r>
            <w:r>
              <w:t>%</w:t>
            </w:r>
          </w:p>
        </w:tc>
        <w:tc>
          <w:tcPr>
            <w:tcW w:w="2254" w:type="dxa"/>
          </w:tcPr>
          <w:p w14:paraId="15D6593B" w14:textId="0F5FBF54" w:rsidR="00971F20" w:rsidRDefault="00971F20" w:rsidP="00971F20">
            <w:pPr>
              <w:jc w:val="center"/>
            </w:pPr>
            <w:r>
              <w:t>-8</w:t>
            </w:r>
            <w:r w:rsidR="00A136F2">
              <w:t>4</w:t>
            </w:r>
            <w:r>
              <w:t>%</w:t>
            </w:r>
          </w:p>
        </w:tc>
      </w:tr>
    </w:tbl>
    <w:p w14:paraId="29C7CB11" w14:textId="49E5FF85" w:rsidR="00971F20" w:rsidRDefault="00971F20" w:rsidP="00945D0C"/>
    <w:p w14:paraId="178860F8" w14:textId="7DBBC873" w:rsidR="00A136F2" w:rsidRDefault="00A136F2" w:rsidP="00945D0C">
      <w:r>
        <w:t xml:space="preserve">For clarity, </w:t>
      </w:r>
      <w:r w:rsidR="00422374">
        <w:t xml:space="preserve">and transparency, </w:t>
      </w:r>
      <w:r>
        <w:t xml:space="preserve">we also provide the impacts of the proposal </w:t>
      </w:r>
      <w:r w:rsidR="00422374">
        <w:t xml:space="preserve">on the risk margin level </w:t>
      </w:r>
      <w:r>
        <w:t>with</w:t>
      </w:r>
      <w:r w:rsidR="00422374">
        <w:t xml:space="preserve"> one element dropped</w:t>
      </w:r>
      <w:r w:rsidR="00550FCE">
        <w:t xml:space="preserve"> </w:t>
      </w:r>
      <w:r w:rsidR="00BC42DA">
        <w:t>and compare these to the EIOPA proposal from the holistic impact assessment</w:t>
      </w:r>
      <w:r w:rsidR="00422374">
        <w:t>.</w:t>
      </w:r>
    </w:p>
    <w:p w14:paraId="2AB261ED" w14:textId="77777777" w:rsidR="00BC42DA" w:rsidRDefault="00BC42DA">
      <w:pPr>
        <w:rPr>
          <w:u w:val="single"/>
        </w:rPr>
      </w:pPr>
      <w:r>
        <w:rPr>
          <w:u w:val="single"/>
        </w:rPr>
        <w:br w:type="page"/>
      </w:r>
    </w:p>
    <w:p w14:paraId="7F58AC7C" w14:textId="63A777F8" w:rsidR="00A136F2" w:rsidRPr="00666010" w:rsidRDefault="00A136F2" w:rsidP="00A136F2">
      <w:pPr>
        <w:rPr>
          <w:u w:val="single"/>
        </w:rPr>
      </w:pPr>
      <w:r w:rsidRPr="00666010">
        <w:rPr>
          <w:u w:val="single"/>
        </w:rPr>
        <w:lastRenderedPageBreak/>
        <w:t>Impact of joint proposal</w:t>
      </w:r>
      <w:r>
        <w:rPr>
          <w:u w:val="single"/>
        </w:rPr>
        <w:t xml:space="preserve"> </w:t>
      </w:r>
      <w:r w:rsidR="006D6E42">
        <w:rPr>
          <w:u w:val="single"/>
        </w:rPr>
        <w:t xml:space="preserve">on risk margin level </w:t>
      </w:r>
      <w:r w:rsidR="00422374">
        <w:rPr>
          <w:u w:val="single"/>
        </w:rPr>
        <w:t>with one element dropped</w:t>
      </w:r>
    </w:p>
    <w:tbl>
      <w:tblPr>
        <w:tblStyle w:val="Mriekatabuky"/>
        <w:tblW w:w="0" w:type="auto"/>
        <w:tblLook w:val="04A0" w:firstRow="1" w:lastRow="0" w:firstColumn="1" w:lastColumn="0" w:noHBand="0" w:noVBand="1"/>
      </w:tblPr>
      <w:tblGrid>
        <w:gridCol w:w="2254"/>
        <w:gridCol w:w="2254"/>
        <w:gridCol w:w="2254"/>
        <w:gridCol w:w="2254"/>
      </w:tblGrid>
      <w:tr w:rsidR="00A136F2" w14:paraId="22A418B2" w14:textId="77777777" w:rsidTr="001A679D">
        <w:tc>
          <w:tcPr>
            <w:tcW w:w="2254" w:type="dxa"/>
          </w:tcPr>
          <w:p w14:paraId="07DDFCCC" w14:textId="77777777" w:rsidR="00A136F2" w:rsidRDefault="00A136F2" w:rsidP="001A679D"/>
        </w:tc>
        <w:tc>
          <w:tcPr>
            <w:tcW w:w="2254" w:type="dxa"/>
          </w:tcPr>
          <w:p w14:paraId="6A37D960" w14:textId="77777777" w:rsidR="00A136F2" w:rsidRDefault="00A136F2" w:rsidP="001A679D">
            <w:pPr>
              <w:jc w:val="center"/>
            </w:pPr>
            <w:r>
              <w:t>One-year product</w:t>
            </w:r>
          </w:p>
        </w:tc>
        <w:tc>
          <w:tcPr>
            <w:tcW w:w="2254" w:type="dxa"/>
          </w:tcPr>
          <w:p w14:paraId="7B9B2BB6" w14:textId="77777777" w:rsidR="00A136F2" w:rsidRDefault="00A136F2" w:rsidP="001A679D">
            <w:pPr>
              <w:jc w:val="center"/>
            </w:pPr>
            <w:r>
              <w:t>Medium-term product</w:t>
            </w:r>
          </w:p>
        </w:tc>
        <w:tc>
          <w:tcPr>
            <w:tcW w:w="2254" w:type="dxa"/>
          </w:tcPr>
          <w:p w14:paraId="0AE8DE48" w14:textId="77777777" w:rsidR="00A136F2" w:rsidRDefault="00A136F2" w:rsidP="001A679D">
            <w:pPr>
              <w:jc w:val="center"/>
            </w:pPr>
            <w:r>
              <w:t>Long-term product</w:t>
            </w:r>
          </w:p>
        </w:tc>
      </w:tr>
      <w:tr w:rsidR="00BC42DA" w14:paraId="64FFF964" w14:textId="77777777" w:rsidTr="001A679D">
        <w:trPr>
          <w:trHeight w:val="537"/>
        </w:trPr>
        <w:tc>
          <w:tcPr>
            <w:tcW w:w="2254" w:type="dxa"/>
          </w:tcPr>
          <w:p w14:paraId="5295C993" w14:textId="55958803" w:rsidR="00BC42DA" w:rsidRDefault="00BC42DA" w:rsidP="00BC42DA">
            <w:r>
              <w:t>Proposal</w:t>
            </w:r>
          </w:p>
        </w:tc>
        <w:tc>
          <w:tcPr>
            <w:tcW w:w="2254" w:type="dxa"/>
          </w:tcPr>
          <w:p w14:paraId="5762E5B7" w14:textId="68044BDF" w:rsidR="00BC42DA" w:rsidRDefault="00BC42DA" w:rsidP="00BC42DA">
            <w:pPr>
              <w:jc w:val="center"/>
            </w:pPr>
            <w:r>
              <w:t>-58%</w:t>
            </w:r>
          </w:p>
        </w:tc>
        <w:tc>
          <w:tcPr>
            <w:tcW w:w="2254" w:type="dxa"/>
          </w:tcPr>
          <w:p w14:paraId="08138B1B" w14:textId="07DFA50C" w:rsidR="00BC42DA" w:rsidRDefault="00BC42DA" w:rsidP="00BC42DA">
            <w:pPr>
              <w:jc w:val="center"/>
            </w:pPr>
            <w:r>
              <w:t>-72%</w:t>
            </w:r>
          </w:p>
        </w:tc>
        <w:tc>
          <w:tcPr>
            <w:tcW w:w="2254" w:type="dxa"/>
          </w:tcPr>
          <w:p w14:paraId="70CC3451" w14:textId="29CB7A94" w:rsidR="00BC42DA" w:rsidRDefault="00BC42DA" w:rsidP="00BC42DA">
            <w:pPr>
              <w:jc w:val="center"/>
            </w:pPr>
            <w:r>
              <w:t>-78%</w:t>
            </w:r>
          </w:p>
        </w:tc>
      </w:tr>
      <w:tr w:rsidR="00BC42DA" w14:paraId="0945C1A5" w14:textId="77777777" w:rsidTr="001A679D">
        <w:trPr>
          <w:trHeight w:val="537"/>
        </w:trPr>
        <w:tc>
          <w:tcPr>
            <w:tcW w:w="2254" w:type="dxa"/>
          </w:tcPr>
          <w:p w14:paraId="0C542269" w14:textId="0D87AF9B" w:rsidR="00BC42DA" w:rsidRDefault="00BC42DA" w:rsidP="00BC42DA">
            <w:r>
              <w:t>No diversification</w:t>
            </w:r>
          </w:p>
        </w:tc>
        <w:tc>
          <w:tcPr>
            <w:tcW w:w="2254" w:type="dxa"/>
          </w:tcPr>
          <w:p w14:paraId="12B8BD09" w14:textId="34FF3CFB" w:rsidR="00BC42DA" w:rsidRDefault="00BC42DA" w:rsidP="00BC42DA">
            <w:pPr>
              <w:jc w:val="center"/>
            </w:pPr>
            <w:r>
              <w:t>-50%</w:t>
            </w:r>
          </w:p>
        </w:tc>
        <w:tc>
          <w:tcPr>
            <w:tcW w:w="2254" w:type="dxa"/>
          </w:tcPr>
          <w:p w14:paraId="5438C029" w14:textId="7FC051AC" w:rsidR="00BC42DA" w:rsidRDefault="00BC42DA" w:rsidP="00BC42DA">
            <w:pPr>
              <w:jc w:val="center"/>
            </w:pPr>
            <w:r>
              <w:t>-67%</w:t>
            </w:r>
          </w:p>
        </w:tc>
        <w:tc>
          <w:tcPr>
            <w:tcW w:w="2254" w:type="dxa"/>
          </w:tcPr>
          <w:p w14:paraId="2030C016" w14:textId="71D27FAA" w:rsidR="00BC42DA" w:rsidRDefault="00BC42DA" w:rsidP="00BC42DA">
            <w:pPr>
              <w:jc w:val="center"/>
            </w:pPr>
            <w:r>
              <w:t>-74%</w:t>
            </w:r>
          </w:p>
        </w:tc>
      </w:tr>
      <w:tr w:rsidR="00BC42DA" w14:paraId="7AAFEB62" w14:textId="77777777" w:rsidTr="001A679D">
        <w:trPr>
          <w:trHeight w:val="537"/>
        </w:trPr>
        <w:tc>
          <w:tcPr>
            <w:tcW w:w="2254" w:type="dxa"/>
          </w:tcPr>
          <w:p w14:paraId="54228C84" w14:textId="6B07DC46" w:rsidR="00BC42DA" w:rsidRDefault="00BC42DA" w:rsidP="00BC42DA">
            <w:r>
              <w:t xml:space="preserve">No changes to </w:t>
            </w:r>
            <w:proofErr w:type="spellStart"/>
            <w:r>
              <w:t>CoC</w:t>
            </w:r>
            <w:proofErr w:type="spellEnd"/>
            <w:r>
              <w:t xml:space="preserve"> rate (</w:t>
            </w:r>
            <w:proofErr w:type="spellStart"/>
            <w:r>
              <w:t>CoC</w:t>
            </w:r>
            <w:proofErr w:type="spellEnd"/>
            <w:r>
              <w:t xml:space="preserve"> 6%)</w:t>
            </w:r>
          </w:p>
        </w:tc>
        <w:tc>
          <w:tcPr>
            <w:tcW w:w="2254" w:type="dxa"/>
          </w:tcPr>
          <w:p w14:paraId="4C7578EC" w14:textId="64B86013" w:rsidR="00BC42DA" w:rsidRDefault="00BC42DA" w:rsidP="00BC42DA">
            <w:pPr>
              <w:jc w:val="center"/>
            </w:pPr>
            <w:r>
              <w:t>-15%</w:t>
            </w:r>
          </w:p>
        </w:tc>
        <w:tc>
          <w:tcPr>
            <w:tcW w:w="2254" w:type="dxa"/>
          </w:tcPr>
          <w:p w14:paraId="51ACCED3" w14:textId="053FEC3A" w:rsidR="00BC42DA" w:rsidRDefault="00BC42DA" w:rsidP="00BC42DA">
            <w:pPr>
              <w:jc w:val="center"/>
            </w:pPr>
            <w:r>
              <w:t>-45%</w:t>
            </w:r>
          </w:p>
        </w:tc>
        <w:tc>
          <w:tcPr>
            <w:tcW w:w="2254" w:type="dxa"/>
          </w:tcPr>
          <w:p w14:paraId="6D874D5D" w14:textId="08B6F465" w:rsidR="00BC42DA" w:rsidRDefault="00BC42DA" w:rsidP="00BC42DA">
            <w:pPr>
              <w:jc w:val="center"/>
            </w:pPr>
            <w:r>
              <w:t>-56%</w:t>
            </w:r>
          </w:p>
        </w:tc>
      </w:tr>
      <w:tr w:rsidR="00BC42DA" w14:paraId="1D8D96F5" w14:textId="77777777" w:rsidTr="001A679D">
        <w:trPr>
          <w:trHeight w:val="537"/>
        </w:trPr>
        <w:tc>
          <w:tcPr>
            <w:tcW w:w="2254" w:type="dxa"/>
          </w:tcPr>
          <w:p w14:paraId="683E8C16" w14:textId="1B93EDB8" w:rsidR="00BC42DA" w:rsidRDefault="00BC42DA" w:rsidP="00BC42DA">
            <w:r>
              <w:t>No changes to lambda (lambda 0.975)</w:t>
            </w:r>
          </w:p>
        </w:tc>
        <w:tc>
          <w:tcPr>
            <w:tcW w:w="2254" w:type="dxa"/>
          </w:tcPr>
          <w:p w14:paraId="42911756" w14:textId="1009B824" w:rsidR="00BC42DA" w:rsidRDefault="00BC42DA" w:rsidP="00BC42DA">
            <w:pPr>
              <w:jc w:val="center"/>
            </w:pPr>
            <w:r>
              <w:t>-58%</w:t>
            </w:r>
          </w:p>
        </w:tc>
        <w:tc>
          <w:tcPr>
            <w:tcW w:w="2254" w:type="dxa"/>
          </w:tcPr>
          <w:p w14:paraId="533914EF" w14:textId="301AF035" w:rsidR="00BC42DA" w:rsidRDefault="00BC42DA" w:rsidP="00BC42DA">
            <w:pPr>
              <w:jc w:val="center"/>
            </w:pPr>
            <w:r>
              <w:t>-61%</w:t>
            </w:r>
          </w:p>
        </w:tc>
        <w:tc>
          <w:tcPr>
            <w:tcW w:w="2254" w:type="dxa"/>
          </w:tcPr>
          <w:p w14:paraId="4FE4F4BB" w14:textId="460F682F" w:rsidR="00BC42DA" w:rsidRDefault="00BC42DA" w:rsidP="00BC42DA">
            <w:pPr>
              <w:jc w:val="center"/>
            </w:pPr>
            <w:r>
              <w:t>-65%</w:t>
            </w:r>
          </w:p>
        </w:tc>
      </w:tr>
      <w:tr w:rsidR="00BC42DA" w14:paraId="49531154" w14:textId="77777777" w:rsidTr="001A679D">
        <w:trPr>
          <w:trHeight w:val="537"/>
        </w:trPr>
        <w:tc>
          <w:tcPr>
            <w:tcW w:w="2254" w:type="dxa"/>
          </w:tcPr>
          <w:p w14:paraId="15F53795" w14:textId="26BCA127" w:rsidR="00BC42DA" w:rsidRDefault="00BC42DA" w:rsidP="00BC42DA">
            <w:r>
              <w:t>No changes to floor (floor 0.5)</w:t>
            </w:r>
          </w:p>
        </w:tc>
        <w:tc>
          <w:tcPr>
            <w:tcW w:w="2254" w:type="dxa"/>
          </w:tcPr>
          <w:p w14:paraId="7B6208BF" w14:textId="0AE2C122" w:rsidR="00BC42DA" w:rsidRDefault="00BC42DA" w:rsidP="00BC42DA">
            <w:pPr>
              <w:jc w:val="center"/>
            </w:pPr>
            <w:r>
              <w:t>-58%</w:t>
            </w:r>
          </w:p>
        </w:tc>
        <w:tc>
          <w:tcPr>
            <w:tcW w:w="2254" w:type="dxa"/>
          </w:tcPr>
          <w:p w14:paraId="7AF67B5F" w14:textId="62289ED1" w:rsidR="00BC42DA" w:rsidRDefault="00BC42DA" w:rsidP="00BC42DA">
            <w:pPr>
              <w:jc w:val="center"/>
            </w:pPr>
            <w:r>
              <w:t>-70%</w:t>
            </w:r>
          </w:p>
        </w:tc>
        <w:tc>
          <w:tcPr>
            <w:tcW w:w="2254" w:type="dxa"/>
          </w:tcPr>
          <w:p w14:paraId="5CE7F29B" w14:textId="4C0DFA41" w:rsidR="00BC42DA" w:rsidRDefault="00BC42DA" w:rsidP="00BC42DA">
            <w:pPr>
              <w:jc w:val="center"/>
            </w:pPr>
            <w:r>
              <w:t>-74%</w:t>
            </w:r>
          </w:p>
        </w:tc>
      </w:tr>
      <w:tr w:rsidR="00BC42DA" w14:paraId="31D81321" w14:textId="77777777" w:rsidTr="001A679D">
        <w:trPr>
          <w:trHeight w:val="537"/>
        </w:trPr>
        <w:tc>
          <w:tcPr>
            <w:tcW w:w="2254" w:type="dxa"/>
          </w:tcPr>
          <w:p w14:paraId="2F38F6DA" w14:textId="2D33C011" w:rsidR="00BC42DA" w:rsidRDefault="00BC42DA" w:rsidP="00BC42DA">
            <w:r>
              <w:t>EIOPA approach</w:t>
            </w:r>
          </w:p>
        </w:tc>
        <w:tc>
          <w:tcPr>
            <w:tcW w:w="2254" w:type="dxa"/>
          </w:tcPr>
          <w:p w14:paraId="3762D16D" w14:textId="2DEC169C" w:rsidR="00BC42DA" w:rsidRDefault="00BC42DA" w:rsidP="00BC42DA">
            <w:pPr>
              <w:jc w:val="center"/>
            </w:pPr>
            <w:r>
              <w:t>0%</w:t>
            </w:r>
          </w:p>
        </w:tc>
        <w:tc>
          <w:tcPr>
            <w:tcW w:w="2254" w:type="dxa"/>
          </w:tcPr>
          <w:p w14:paraId="65092055" w14:textId="6B190488" w:rsidR="00BC42DA" w:rsidRDefault="00BC42DA" w:rsidP="00BC42DA">
            <w:pPr>
              <w:jc w:val="center"/>
            </w:pPr>
            <w:r>
              <w:t>-9%</w:t>
            </w:r>
          </w:p>
        </w:tc>
        <w:tc>
          <w:tcPr>
            <w:tcW w:w="2254" w:type="dxa"/>
          </w:tcPr>
          <w:p w14:paraId="2A2A3FA3" w14:textId="33FCD8BD" w:rsidR="00BC42DA" w:rsidRDefault="00BC42DA" w:rsidP="00BC42DA">
            <w:pPr>
              <w:jc w:val="center"/>
            </w:pPr>
            <w:r>
              <w:t>-18%</w:t>
            </w:r>
          </w:p>
        </w:tc>
      </w:tr>
    </w:tbl>
    <w:p w14:paraId="60718DC5" w14:textId="4887D30A" w:rsidR="00A136F2" w:rsidRDefault="00A136F2" w:rsidP="00945D0C"/>
    <w:p w14:paraId="1DB81561" w14:textId="5799EF21" w:rsidR="00CD391B" w:rsidRDefault="00CD391B" w:rsidP="00945D0C">
      <w:r>
        <w:t>The table below provides a full summary of potential combinations</w:t>
      </w:r>
      <w:r w:rsidR="00390D55">
        <w:t xml:space="preserve"> (for one-year/medium/long-term products)</w:t>
      </w:r>
      <w:r>
        <w:t xml:space="preserve">, </w:t>
      </w:r>
      <w:r w:rsidR="00E633D1">
        <w:t>with colour coding denoting achievability (in terms of likelihood</w:t>
      </w:r>
      <w:r w:rsidR="00953849">
        <w:t xml:space="preserve"> of achieving this outcome or better</w:t>
      </w:r>
      <w:r w:rsidR="00E633D1">
        <w:t xml:space="preserve">: green, yellow, orange, red). </w:t>
      </w:r>
    </w:p>
    <w:tbl>
      <w:tblPr>
        <w:tblStyle w:val="Mriekatabuky"/>
        <w:tblW w:w="9634" w:type="dxa"/>
        <w:jc w:val="center"/>
        <w:tblLook w:val="04A0" w:firstRow="1" w:lastRow="0" w:firstColumn="1" w:lastColumn="0" w:noHBand="0" w:noVBand="1"/>
      </w:tblPr>
      <w:tblGrid>
        <w:gridCol w:w="472"/>
        <w:gridCol w:w="1836"/>
        <w:gridCol w:w="1465"/>
        <w:gridCol w:w="1465"/>
        <w:gridCol w:w="1465"/>
        <w:gridCol w:w="1465"/>
        <w:gridCol w:w="1466"/>
      </w:tblGrid>
      <w:tr w:rsidR="00DF2157" w:rsidRPr="0020559D" w14:paraId="11554D14" w14:textId="77777777" w:rsidTr="0059536B">
        <w:trPr>
          <w:jc w:val="center"/>
        </w:trPr>
        <w:tc>
          <w:tcPr>
            <w:tcW w:w="472" w:type="dxa"/>
            <w:tcBorders>
              <w:top w:val="single" w:sz="4" w:space="0" w:color="auto"/>
              <w:bottom w:val="nil"/>
            </w:tcBorders>
            <w:shd w:val="clear" w:color="auto" w:fill="auto"/>
          </w:tcPr>
          <w:p w14:paraId="2CA9C8A4" w14:textId="77777777" w:rsidR="00DF2157" w:rsidRPr="0020559D" w:rsidRDefault="00DF2157" w:rsidP="00B1143A">
            <w:pPr>
              <w:rPr>
                <w:sz w:val="16"/>
                <w:szCs w:val="16"/>
              </w:rPr>
            </w:pPr>
          </w:p>
        </w:tc>
        <w:tc>
          <w:tcPr>
            <w:tcW w:w="1836" w:type="dxa"/>
            <w:tcBorders>
              <w:top w:val="single" w:sz="4" w:space="0" w:color="auto"/>
              <w:bottom w:val="nil"/>
            </w:tcBorders>
            <w:shd w:val="clear" w:color="auto" w:fill="auto"/>
          </w:tcPr>
          <w:p w14:paraId="08830A7B" w14:textId="5A27174A" w:rsidR="00DF2157" w:rsidRPr="0020559D" w:rsidRDefault="00DF2157" w:rsidP="0059536B">
            <w:pPr>
              <w:jc w:val="right"/>
              <w:rPr>
                <w:sz w:val="16"/>
                <w:szCs w:val="16"/>
              </w:rPr>
            </w:pPr>
            <w:r>
              <w:rPr>
                <w:sz w:val="16"/>
                <w:szCs w:val="16"/>
              </w:rPr>
              <w:t>Lambda =&gt;</w:t>
            </w:r>
          </w:p>
        </w:tc>
        <w:tc>
          <w:tcPr>
            <w:tcW w:w="1465" w:type="dxa"/>
            <w:tcBorders>
              <w:top w:val="single" w:sz="4" w:space="0" w:color="auto"/>
              <w:bottom w:val="nil"/>
            </w:tcBorders>
            <w:shd w:val="clear" w:color="auto" w:fill="auto"/>
          </w:tcPr>
          <w:p w14:paraId="2635CE6D" w14:textId="208A22F5" w:rsidR="00DF2157" w:rsidRPr="0020559D" w:rsidRDefault="00DF2157" w:rsidP="00B1143A">
            <w:pPr>
              <w:jc w:val="center"/>
              <w:rPr>
                <w:sz w:val="16"/>
                <w:szCs w:val="16"/>
              </w:rPr>
            </w:pPr>
            <w:r>
              <w:rPr>
                <w:sz w:val="16"/>
                <w:szCs w:val="16"/>
              </w:rPr>
              <w:t>0.975</w:t>
            </w:r>
          </w:p>
        </w:tc>
        <w:tc>
          <w:tcPr>
            <w:tcW w:w="1465" w:type="dxa"/>
            <w:tcBorders>
              <w:top w:val="single" w:sz="4" w:space="0" w:color="auto"/>
              <w:bottom w:val="nil"/>
            </w:tcBorders>
            <w:shd w:val="clear" w:color="auto" w:fill="auto"/>
          </w:tcPr>
          <w:p w14:paraId="793CF8D8" w14:textId="31309AA4" w:rsidR="00DF2157" w:rsidRPr="0020559D" w:rsidRDefault="00DF2157" w:rsidP="00B1143A">
            <w:pPr>
              <w:jc w:val="center"/>
              <w:rPr>
                <w:sz w:val="16"/>
                <w:szCs w:val="16"/>
              </w:rPr>
            </w:pPr>
            <w:r>
              <w:rPr>
                <w:sz w:val="16"/>
                <w:szCs w:val="16"/>
              </w:rPr>
              <w:t>0.95</w:t>
            </w:r>
          </w:p>
        </w:tc>
        <w:tc>
          <w:tcPr>
            <w:tcW w:w="1465" w:type="dxa"/>
            <w:tcBorders>
              <w:top w:val="single" w:sz="4" w:space="0" w:color="auto"/>
              <w:bottom w:val="nil"/>
            </w:tcBorders>
            <w:shd w:val="clear" w:color="auto" w:fill="auto"/>
          </w:tcPr>
          <w:p w14:paraId="33238116" w14:textId="7C526B56" w:rsidR="00DF2157" w:rsidRPr="0020559D" w:rsidRDefault="00DF2157" w:rsidP="00B1143A">
            <w:pPr>
              <w:jc w:val="center"/>
              <w:rPr>
                <w:sz w:val="16"/>
                <w:szCs w:val="16"/>
              </w:rPr>
            </w:pPr>
            <w:r>
              <w:rPr>
                <w:sz w:val="16"/>
                <w:szCs w:val="16"/>
              </w:rPr>
              <w:t>0.9</w:t>
            </w:r>
          </w:p>
        </w:tc>
        <w:tc>
          <w:tcPr>
            <w:tcW w:w="1465" w:type="dxa"/>
            <w:tcBorders>
              <w:top w:val="single" w:sz="4" w:space="0" w:color="auto"/>
              <w:bottom w:val="nil"/>
            </w:tcBorders>
            <w:shd w:val="clear" w:color="auto" w:fill="auto"/>
          </w:tcPr>
          <w:p w14:paraId="741C0454" w14:textId="590A6FD4" w:rsidR="00DF2157" w:rsidRPr="0020559D" w:rsidRDefault="00DF2157" w:rsidP="00B1143A">
            <w:pPr>
              <w:jc w:val="center"/>
              <w:rPr>
                <w:sz w:val="16"/>
                <w:szCs w:val="16"/>
              </w:rPr>
            </w:pPr>
            <w:r>
              <w:rPr>
                <w:sz w:val="16"/>
                <w:szCs w:val="16"/>
              </w:rPr>
              <w:t>0.85</w:t>
            </w:r>
          </w:p>
        </w:tc>
        <w:tc>
          <w:tcPr>
            <w:tcW w:w="1466" w:type="dxa"/>
            <w:tcBorders>
              <w:top w:val="single" w:sz="4" w:space="0" w:color="auto"/>
              <w:bottom w:val="nil"/>
            </w:tcBorders>
            <w:shd w:val="clear" w:color="auto" w:fill="auto"/>
          </w:tcPr>
          <w:p w14:paraId="71DEF476" w14:textId="75B21905" w:rsidR="00DF2157" w:rsidRPr="0020559D" w:rsidRDefault="00DF2157" w:rsidP="00B1143A">
            <w:pPr>
              <w:jc w:val="center"/>
              <w:rPr>
                <w:sz w:val="16"/>
                <w:szCs w:val="16"/>
              </w:rPr>
            </w:pPr>
            <w:r>
              <w:rPr>
                <w:sz w:val="16"/>
                <w:szCs w:val="16"/>
              </w:rPr>
              <w:t>0.8</w:t>
            </w:r>
          </w:p>
        </w:tc>
      </w:tr>
      <w:tr w:rsidR="00DF2157" w:rsidRPr="0020559D" w14:paraId="10151B58" w14:textId="77777777" w:rsidTr="00DF2157">
        <w:trPr>
          <w:jc w:val="center"/>
        </w:trPr>
        <w:tc>
          <w:tcPr>
            <w:tcW w:w="9634" w:type="dxa"/>
            <w:gridSpan w:val="7"/>
            <w:shd w:val="clear" w:color="auto" w:fill="BFBFBF" w:themeFill="background1" w:themeFillShade="BF"/>
          </w:tcPr>
          <w:p w14:paraId="0BC14231" w14:textId="77777777" w:rsidR="00DF2157" w:rsidRPr="0071479E" w:rsidRDefault="00DF2157" w:rsidP="00DF2157">
            <w:pPr>
              <w:jc w:val="center"/>
              <w:rPr>
                <w:sz w:val="16"/>
                <w:szCs w:val="16"/>
              </w:rPr>
            </w:pPr>
            <w:r>
              <w:rPr>
                <w:sz w:val="16"/>
                <w:szCs w:val="16"/>
              </w:rPr>
              <w:t>No changes to EIOPA floor</w:t>
            </w:r>
          </w:p>
        </w:tc>
      </w:tr>
      <w:tr w:rsidR="0020559D" w:rsidRPr="0020559D" w14:paraId="5727214F" w14:textId="77777777" w:rsidTr="0059536B">
        <w:trPr>
          <w:jc w:val="center"/>
        </w:trPr>
        <w:tc>
          <w:tcPr>
            <w:tcW w:w="472" w:type="dxa"/>
            <w:tcBorders>
              <w:top w:val="nil"/>
              <w:bottom w:val="nil"/>
            </w:tcBorders>
          </w:tcPr>
          <w:p w14:paraId="5BB2FCF7" w14:textId="5DBA0A8E" w:rsidR="007E771A" w:rsidRPr="0020559D" w:rsidRDefault="007E771A" w:rsidP="00B1143A">
            <w:pPr>
              <w:rPr>
                <w:sz w:val="16"/>
                <w:szCs w:val="16"/>
              </w:rPr>
            </w:pPr>
            <w:r w:rsidRPr="0020559D">
              <w:rPr>
                <w:sz w:val="16"/>
                <w:szCs w:val="16"/>
              </w:rPr>
              <w:t>6%</w:t>
            </w:r>
          </w:p>
        </w:tc>
        <w:tc>
          <w:tcPr>
            <w:tcW w:w="1836" w:type="dxa"/>
            <w:tcBorders>
              <w:top w:val="nil"/>
              <w:bottom w:val="nil"/>
            </w:tcBorders>
          </w:tcPr>
          <w:p w14:paraId="134C27E0" w14:textId="78010F40" w:rsidR="007E771A" w:rsidRPr="0020559D" w:rsidRDefault="007E771A" w:rsidP="00B1143A">
            <w:pPr>
              <w:rPr>
                <w:sz w:val="16"/>
                <w:szCs w:val="16"/>
              </w:rPr>
            </w:pPr>
            <w:r w:rsidRPr="0020559D">
              <w:rPr>
                <w:sz w:val="16"/>
                <w:szCs w:val="16"/>
              </w:rPr>
              <w:t>Without diversification</w:t>
            </w:r>
          </w:p>
        </w:tc>
        <w:tc>
          <w:tcPr>
            <w:tcW w:w="1465" w:type="dxa"/>
            <w:tcBorders>
              <w:top w:val="nil"/>
              <w:bottom w:val="nil"/>
            </w:tcBorders>
            <w:shd w:val="clear" w:color="auto" w:fill="92D050"/>
          </w:tcPr>
          <w:p w14:paraId="6BA26FA0" w14:textId="180EEC05" w:rsidR="007E771A" w:rsidRPr="0020559D" w:rsidRDefault="007E771A" w:rsidP="00B1143A">
            <w:pPr>
              <w:jc w:val="center"/>
              <w:rPr>
                <w:sz w:val="16"/>
                <w:szCs w:val="16"/>
              </w:rPr>
            </w:pPr>
            <w:r w:rsidRPr="0020559D">
              <w:rPr>
                <w:sz w:val="16"/>
                <w:szCs w:val="16"/>
              </w:rPr>
              <w:t>0%/-9%/-18%</w:t>
            </w:r>
          </w:p>
        </w:tc>
        <w:tc>
          <w:tcPr>
            <w:tcW w:w="1465" w:type="dxa"/>
            <w:tcBorders>
              <w:top w:val="nil"/>
              <w:bottom w:val="nil"/>
            </w:tcBorders>
            <w:shd w:val="clear" w:color="auto" w:fill="92D050"/>
          </w:tcPr>
          <w:p w14:paraId="51A13041" w14:textId="04F1978D" w:rsidR="007E771A" w:rsidRPr="0020559D" w:rsidRDefault="007E771A" w:rsidP="00B1143A">
            <w:pPr>
              <w:jc w:val="center"/>
              <w:rPr>
                <w:sz w:val="16"/>
                <w:szCs w:val="16"/>
              </w:rPr>
            </w:pPr>
            <w:r w:rsidRPr="0020559D">
              <w:rPr>
                <w:sz w:val="16"/>
                <w:szCs w:val="16"/>
              </w:rPr>
              <w:t>0%/-16% /-28%</w:t>
            </w:r>
          </w:p>
        </w:tc>
        <w:tc>
          <w:tcPr>
            <w:tcW w:w="1465" w:type="dxa"/>
            <w:tcBorders>
              <w:top w:val="nil"/>
              <w:bottom w:val="nil"/>
            </w:tcBorders>
            <w:shd w:val="clear" w:color="auto" w:fill="92D050"/>
          </w:tcPr>
          <w:p w14:paraId="2FC51371" w14:textId="550ED4C9" w:rsidR="007E771A" w:rsidRPr="0020559D" w:rsidRDefault="007E771A" w:rsidP="00B1143A">
            <w:pPr>
              <w:jc w:val="center"/>
              <w:rPr>
                <w:sz w:val="16"/>
                <w:szCs w:val="16"/>
              </w:rPr>
            </w:pPr>
            <w:r w:rsidRPr="0020559D">
              <w:rPr>
                <w:sz w:val="16"/>
                <w:szCs w:val="16"/>
              </w:rPr>
              <w:t>0%/-25%/-36%</w:t>
            </w:r>
          </w:p>
        </w:tc>
        <w:tc>
          <w:tcPr>
            <w:tcW w:w="1465" w:type="dxa"/>
            <w:tcBorders>
              <w:top w:val="nil"/>
              <w:bottom w:val="nil"/>
            </w:tcBorders>
            <w:shd w:val="clear" w:color="auto" w:fill="92D050"/>
          </w:tcPr>
          <w:p w14:paraId="3687AA1F" w14:textId="4880B2DD" w:rsidR="007E771A" w:rsidRPr="0020559D" w:rsidRDefault="007E771A" w:rsidP="00B1143A">
            <w:pPr>
              <w:jc w:val="center"/>
              <w:rPr>
                <w:sz w:val="16"/>
                <w:szCs w:val="16"/>
              </w:rPr>
            </w:pPr>
            <w:r w:rsidRPr="0020559D">
              <w:rPr>
                <w:sz w:val="16"/>
                <w:szCs w:val="16"/>
              </w:rPr>
              <w:t>0%/-30%/-39%</w:t>
            </w:r>
          </w:p>
        </w:tc>
        <w:tc>
          <w:tcPr>
            <w:tcW w:w="1466" w:type="dxa"/>
            <w:tcBorders>
              <w:top w:val="nil"/>
              <w:bottom w:val="nil"/>
            </w:tcBorders>
            <w:shd w:val="clear" w:color="auto" w:fill="FFFF00"/>
          </w:tcPr>
          <w:p w14:paraId="0D963976" w14:textId="55E43A8A" w:rsidR="007E771A" w:rsidRPr="0020559D" w:rsidRDefault="007E771A" w:rsidP="00B1143A">
            <w:pPr>
              <w:jc w:val="center"/>
              <w:rPr>
                <w:sz w:val="16"/>
                <w:szCs w:val="16"/>
              </w:rPr>
            </w:pPr>
            <w:r w:rsidRPr="0020559D">
              <w:rPr>
                <w:sz w:val="16"/>
                <w:szCs w:val="16"/>
              </w:rPr>
              <w:t>0%/-33%/-41%</w:t>
            </w:r>
          </w:p>
        </w:tc>
      </w:tr>
      <w:tr w:rsidR="0020559D" w:rsidRPr="0020559D" w14:paraId="1A8F77A0" w14:textId="77777777" w:rsidTr="0059536B">
        <w:trPr>
          <w:jc w:val="center"/>
        </w:trPr>
        <w:tc>
          <w:tcPr>
            <w:tcW w:w="472" w:type="dxa"/>
            <w:tcBorders>
              <w:top w:val="nil"/>
              <w:bottom w:val="single" w:sz="4" w:space="0" w:color="auto"/>
            </w:tcBorders>
          </w:tcPr>
          <w:p w14:paraId="0B2BD182" w14:textId="77777777" w:rsidR="007E771A" w:rsidRPr="0020559D" w:rsidRDefault="007E771A" w:rsidP="00B1143A">
            <w:pPr>
              <w:rPr>
                <w:sz w:val="16"/>
                <w:szCs w:val="16"/>
              </w:rPr>
            </w:pPr>
          </w:p>
        </w:tc>
        <w:tc>
          <w:tcPr>
            <w:tcW w:w="1836" w:type="dxa"/>
            <w:tcBorders>
              <w:top w:val="nil"/>
              <w:bottom w:val="single" w:sz="4" w:space="0" w:color="auto"/>
            </w:tcBorders>
          </w:tcPr>
          <w:p w14:paraId="5F2C87A4" w14:textId="7C9F6D2A" w:rsidR="007E771A" w:rsidRPr="0059536B" w:rsidRDefault="007E771A" w:rsidP="00B1143A">
            <w:pPr>
              <w:rPr>
                <w:sz w:val="16"/>
                <w:szCs w:val="16"/>
              </w:rPr>
            </w:pPr>
            <w:r w:rsidRPr="0059536B">
              <w:rPr>
                <w:sz w:val="16"/>
                <w:szCs w:val="16"/>
              </w:rPr>
              <w:t>With diversification</w:t>
            </w:r>
          </w:p>
        </w:tc>
        <w:tc>
          <w:tcPr>
            <w:tcW w:w="1465" w:type="dxa"/>
            <w:tcBorders>
              <w:top w:val="nil"/>
              <w:bottom w:val="single" w:sz="4" w:space="0" w:color="auto"/>
            </w:tcBorders>
            <w:shd w:val="clear" w:color="auto" w:fill="92D050"/>
          </w:tcPr>
          <w:p w14:paraId="4A5C8F32" w14:textId="0F812C26" w:rsidR="007E771A" w:rsidRPr="0059536B" w:rsidRDefault="007E771A" w:rsidP="0059536B">
            <w:pPr>
              <w:jc w:val="center"/>
              <w:rPr>
                <w:sz w:val="16"/>
                <w:szCs w:val="16"/>
              </w:rPr>
            </w:pPr>
            <w:r w:rsidRPr="0020559D">
              <w:rPr>
                <w:sz w:val="16"/>
                <w:szCs w:val="16"/>
              </w:rPr>
              <w:t>-15%/-23%/-30%</w:t>
            </w:r>
          </w:p>
        </w:tc>
        <w:tc>
          <w:tcPr>
            <w:tcW w:w="1465" w:type="dxa"/>
            <w:tcBorders>
              <w:top w:val="nil"/>
              <w:bottom w:val="single" w:sz="4" w:space="0" w:color="auto"/>
            </w:tcBorders>
            <w:shd w:val="clear" w:color="auto" w:fill="92D050"/>
          </w:tcPr>
          <w:p w14:paraId="5BEE4B3A" w14:textId="550219E1" w:rsidR="007E771A" w:rsidRPr="0059536B" w:rsidRDefault="007E771A" w:rsidP="0059536B">
            <w:pPr>
              <w:jc w:val="center"/>
              <w:rPr>
                <w:sz w:val="16"/>
                <w:szCs w:val="16"/>
              </w:rPr>
            </w:pPr>
            <w:r w:rsidRPr="0020559D">
              <w:rPr>
                <w:sz w:val="16"/>
                <w:szCs w:val="16"/>
              </w:rPr>
              <w:t>-15%/-29%/-38%</w:t>
            </w:r>
          </w:p>
        </w:tc>
        <w:tc>
          <w:tcPr>
            <w:tcW w:w="1465" w:type="dxa"/>
            <w:tcBorders>
              <w:top w:val="nil"/>
              <w:bottom w:val="single" w:sz="4" w:space="0" w:color="auto"/>
            </w:tcBorders>
            <w:shd w:val="clear" w:color="auto" w:fill="92D050"/>
          </w:tcPr>
          <w:p w14:paraId="5FC8D6A5" w14:textId="351867F5" w:rsidR="007E771A" w:rsidRPr="0059536B" w:rsidRDefault="007E771A" w:rsidP="0059536B">
            <w:pPr>
              <w:jc w:val="center"/>
              <w:rPr>
                <w:sz w:val="16"/>
                <w:szCs w:val="16"/>
              </w:rPr>
            </w:pPr>
            <w:r w:rsidRPr="0020559D">
              <w:rPr>
                <w:sz w:val="16"/>
                <w:szCs w:val="16"/>
              </w:rPr>
              <w:t>-15%/-37%/-45%</w:t>
            </w:r>
          </w:p>
        </w:tc>
        <w:tc>
          <w:tcPr>
            <w:tcW w:w="1465" w:type="dxa"/>
            <w:tcBorders>
              <w:top w:val="nil"/>
              <w:bottom w:val="single" w:sz="4" w:space="0" w:color="auto"/>
            </w:tcBorders>
            <w:shd w:val="clear" w:color="auto" w:fill="92D050"/>
          </w:tcPr>
          <w:p w14:paraId="36DF6B55" w14:textId="49B1637C" w:rsidR="007E771A" w:rsidRPr="0059536B" w:rsidRDefault="007E771A" w:rsidP="0059536B">
            <w:pPr>
              <w:jc w:val="center"/>
              <w:rPr>
                <w:sz w:val="16"/>
                <w:szCs w:val="16"/>
              </w:rPr>
            </w:pPr>
            <w:r w:rsidRPr="0020559D">
              <w:rPr>
                <w:sz w:val="16"/>
                <w:szCs w:val="16"/>
              </w:rPr>
              <w:t>-15%/-41%/-49%</w:t>
            </w:r>
          </w:p>
        </w:tc>
        <w:tc>
          <w:tcPr>
            <w:tcW w:w="1466" w:type="dxa"/>
            <w:tcBorders>
              <w:top w:val="nil"/>
              <w:bottom w:val="single" w:sz="4" w:space="0" w:color="auto"/>
            </w:tcBorders>
            <w:shd w:val="clear" w:color="auto" w:fill="FFFF00"/>
          </w:tcPr>
          <w:p w14:paraId="34256B3B" w14:textId="7D122960" w:rsidR="007E771A" w:rsidRPr="0059536B" w:rsidRDefault="007E771A" w:rsidP="0059536B">
            <w:pPr>
              <w:jc w:val="center"/>
              <w:rPr>
                <w:sz w:val="16"/>
                <w:szCs w:val="16"/>
              </w:rPr>
            </w:pPr>
            <w:r w:rsidRPr="0020559D">
              <w:rPr>
                <w:sz w:val="16"/>
                <w:szCs w:val="16"/>
              </w:rPr>
              <w:t>-15%/-43%/-50%</w:t>
            </w:r>
          </w:p>
        </w:tc>
      </w:tr>
      <w:tr w:rsidR="0020559D" w:rsidRPr="0020559D" w14:paraId="4C0ED184" w14:textId="77777777" w:rsidTr="0059536B">
        <w:trPr>
          <w:jc w:val="center"/>
        </w:trPr>
        <w:tc>
          <w:tcPr>
            <w:tcW w:w="472" w:type="dxa"/>
            <w:tcBorders>
              <w:top w:val="single" w:sz="4" w:space="0" w:color="auto"/>
              <w:bottom w:val="nil"/>
            </w:tcBorders>
          </w:tcPr>
          <w:p w14:paraId="3B791516" w14:textId="72A2A74E" w:rsidR="007E771A" w:rsidRPr="0020559D" w:rsidRDefault="007E771A" w:rsidP="00B1143A">
            <w:pPr>
              <w:rPr>
                <w:sz w:val="16"/>
                <w:szCs w:val="16"/>
              </w:rPr>
            </w:pPr>
            <w:r w:rsidRPr="0020559D">
              <w:rPr>
                <w:sz w:val="16"/>
                <w:szCs w:val="16"/>
              </w:rPr>
              <w:t>5%</w:t>
            </w:r>
          </w:p>
        </w:tc>
        <w:tc>
          <w:tcPr>
            <w:tcW w:w="1836" w:type="dxa"/>
            <w:tcBorders>
              <w:top w:val="single" w:sz="4" w:space="0" w:color="auto"/>
              <w:bottom w:val="nil"/>
            </w:tcBorders>
          </w:tcPr>
          <w:p w14:paraId="7DC75384" w14:textId="47E87263" w:rsidR="007E771A" w:rsidRPr="0059536B" w:rsidRDefault="007E771A" w:rsidP="00B1143A">
            <w:pPr>
              <w:rPr>
                <w:sz w:val="16"/>
                <w:szCs w:val="16"/>
              </w:rPr>
            </w:pPr>
            <w:r w:rsidRPr="0059536B">
              <w:rPr>
                <w:sz w:val="16"/>
                <w:szCs w:val="16"/>
              </w:rPr>
              <w:t>With</w:t>
            </w:r>
            <w:r w:rsidRPr="0020559D">
              <w:rPr>
                <w:sz w:val="16"/>
                <w:szCs w:val="16"/>
              </w:rPr>
              <w:t>out</w:t>
            </w:r>
            <w:r w:rsidRPr="0059536B">
              <w:rPr>
                <w:sz w:val="16"/>
                <w:szCs w:val="16"/>
              </w:rPr>
              <w:t xml:space="preserve"> diversification</w:t>
            </w:r>
          </w:p>
        </w:tc>
        <w:tc>
          <w:tcPr>
            <w:tcW w:w="1465" w:type="dxa"/>
            <w:tcBorders>
              <w:top w:val="single" w:sz="4" w:space="0" w:color="auto"/>
              <w:bottom w:val="nil"/>
            </w:tcBorders>
            <w:shd w:val="clear" w:color="auto" w:fill="92D050"/>
          </w:tcPr>
          <w:p w14:paraId="62DBEAF5" w14:textId="14682455" w:rsidR="007E771A" w:rsidRPr="0059536B" w:rsidRDefault="007E771A" w:rsidP="0059536B">
            <w:pPr>
              <w:jc w:val="center"/>
              <w:rPr>
                <w:sz w:val="16"/>
                <w:szCs w:val="16"/>
              </w:rPr>
            </w:pPr>
            <w:r w:rsidRPr="0020559D">
              <w:rPr>
                <w:sz w:val="16"/>
                <w:szCs w:val="16"/>
              </w:rPr>
              <w:t>-17%/-24%/-32%</w:t>
            </w:r>
          </w:p>
        </w:tc>
        <w:tc>
          <w:tcPr>
            <w:tcW w:w="1465" w:type="dxa"/>
            <w:tcBorders>
              <w:top w:val="single" w:sz="4" w:space="0" w:color="auto"/>
              <w:bottom w:val="nil"/>
            </w:tcBorders>
            <w:shd w:val="clear" w:color="auto" w:fill="92D050"/>
          </w:tcPr>
          <w:p w14:paraId="29D1AA86" w14:textId="4A866363" w:rsidR="007E771A" w:rsidRPr="0059536B" w:rsidRDefault="007E771A" w:rsidP="0059536B">
            <w:pPr>
              <w:jc w:val="center"/>
              <w:rPr>
                <w:sz w:val="16"/>
                <w:szCs w:val="16"/>
              </w:rPr>
            </w:pPr>
            <w:r w:rsidRPr="0020559D">
              <w:rPr>
                <w:sz w:val="16"/>
                <w:szCs w:val="16"/>
              </w:rPr>
              <w:t>-17%/-30%/-40%</w:t>
            </w:r>
          </w:p>
        </w:tc>
        <w:tc>
          <w:tcPr>
            <w:tcW w:w="1465" w:type="dxa"/>
            <w:tcBorders>
              <w:top w:val="single" w:sz="4" w:space="0" w:color="auto"/>
              <w:bottom w:val="nil"/>
            </w:tcBorders>
            <w:shd w:val="clear" w:color="auto" w:fill="92D050"/>
          </w:tcPr>
          <w:p w14:paraId="6B879145" w14:textId="53F24158" w:rsidR="007E771A" w:rsidRPr="0059536B" w:rsidRDefault="007E771A" w:rsidP="0059536B">
            <w:pPr>
              <w:jc w:val="center"/>
              <w:rPr>
                <w:sz w:val="16"/>
                <w:szCs w:val="16"/>
              </w:rPr>
            </w:pPr>
            <w:r w:rsidRPr="0020559D">
              <w:rPr>
                <w:sz w:val="16"/>
                <w:szCs w:val="16"/>
              </w:rPr>
              <w:t>-17%/-38%/-47%</w:t>
            </w:r>
          </w:p>
        </w:tc>
        <w:tc>
          <w:tcPr>
            <w:tcW w:w="1465" w:type="dxa"/>
            <w:tcBorders>
              <w:top w:val="single" w:sz="4" w:space="0" w:color="auto"/>
              <w:bottom w:val="nil"/>
            </w:tcBorders>
            <w:shd w:val="clear" w:color="auto" w:fill="FFFF00"/>
          </w:tcPr>
          <w:p w14:paraId="4ADD05EB" w14:textId="512AAEF5" w:rsidR="007E771A" w:rsidRPr="0059536B" w:rsidRDefault="007E771A" w:rsidP="0059536B">
            <w:pPr>
              <w:jc w:val="center"/>
              <w:rPr>
                <w:sz w:val="16"/>
                <w:szCs w:val="16"/>
              </w:rPr>
            </w:pPr>
            <w:r w:rsidRPr="0020559D">
              <w:rPr>
                <w:sz w:val="16"/>
                <w:szCs w:val="16"/>
              </w:rPr>
              <w:t>-17%/-42%/-50%</w:t>
            </w:r>
          </w:p>
        </w:tc>
        <w:tc>
          <w:tcPr>
            <w:tcW w:w="1466" w:type="dxa"/>
            <w:tcBorders>
              <w:top w:val="single" w:sz="4" w:space="0" w:color="auto"/>
              <w:bottom w:val="nil"/>
            </w:tcBorders>
            <w:shd w:val="clear" w:color="auto" w:fill="FFFF00"/>
          </w:tcPr>
          <w:p w14:paraId="1C38D9F8" w14:textId="10072A6F" w:rsidR="007E771A" w:rsidRPr="0059536B" w:rsidRDefault="007E771A" w:rsidP="0059536B">
            <w:pPr>
              <w:jc w:val="center"/>
              <w:rPr>
                <w:sz w:val="16"/>
                <w:szCs w:val="16"/>
              </w:rPr>
            </w:pPr>
            <w:r w:rsidRPr="0020559D">
              <w:rPr>
                <w:sz w:val="16"/>
                <w:szCs w:val="16"/>
              </w:rPr>
              <w:t>-17%/-45%/-51%</w:t>
            </w:r>
          </w:p>
        </w:tc>
      </w:tr>
      <w:tr w:rsidR="0020559D" w:rsidRPr="0020559D" w14:paraId="13085B80" w14:textId="77777777" w:rsidTr="0059536B">
        <w:trPr>
          <w:jc w:val="center"/>
        </w:trPr>
        <w:tc>
          <w:tcPr>
            <w:tcW w:w="472" w:type="dxa"/>
            <w:tcBorders>
              <w:top w:val="nil"/>
            </w:tcBorders>
          </w:tcPr>
          <w:p w14:paraId="1354D682" w14:textId="77777777" w:rsidR="007E771A" w:rsidRPr="0020559D" w:rsidRDefault="007E771A" w:rsidP="00B1143A">
            <w:pPr>
              <w:rPr>
                <w:sz w:val="16"/>
                <w:szCs w:val="16"/>
              </w:rPr>
            </w:pPr>
          </w:p>
        </w:tc>
        <w:tc>
          <w:tcPr>
            <w:tcW w:w="1836" w:type="dxa"/>
            <w:tcBorders>
              <w:top w:val="nil"/>
            </w:tcBorders>
          </w:tcPr>
          <w:p w14:paraId="6E9FEBE7" w14:textId="2F2AADA8" w:rsidR="007E771A" w:rsidRPr="0059536B" w:rsidRDefault="007E771A" w:rsidP="00B1143A">
            <w:pPr>
              <w:rPr>
                <w:sz w:val="16"/>
                <w:szCs w:val="16"/>
              </w:rPr>
            </w:pPr>
            <w:r w:rsidRPr="0059536B">
              <w:rPr>
                <w:sz w:val="16"/>
                <w:szCs w:val="16"/>
              </w:rPr>
              <w:t>With diversification</w:t>
            </w:r>
          </w:p>
        </w:tc>
        <w:tc>
          <w:tcPr>
            <w:tcW w:w="1465" w:type="dxa"/>
            <w:tcBorders>
              <w:top w:val="nil"/>
            </w:tcBorders>
            <w:shd w:val="clear" w:color="auto" w:fill="FFFF00"/>
          </w:tcPr>
          <w:p w14:paraId="0829DF27" w14:textId="3BCB91B1" w:rsidR="007E771A" w:rsidRPr="0020559D" w:rsidRDefault="007E771A" w:rsidP="00B1143A">
            <w:pPr>
              <w:jc w:val="center"/>
              <w:rPr>
                <w:sz w:val="16"/>
                <w:szCs w:val="16"/>
              </w:rPr>
            </w:pPr>
            <w:r w:rsidRPr="0020559D">
              <w:rPr>
                <w:sz w:val="16"/>
                <w:szCs w:val="16"/>
              </w:rPr>
              <w:t>-29%/-36%/-42%</w:t>
            </w:r>
          </w:p>
        </w:tc>
        <w:tc>
          <w:tcPr>
            <w:tcW w:w="1465" w:type="dxa"/>
            <w:tcBorders>
              <w:top w:val="nil"/>
            </w:tcBorders>
            <w:shd w:val="clear" w:color="auto" w:fill="FFFF00"/>
          </w:tcPr>
          <w:p w14:paraId="496293BD" w14:textId="17FF57F6" w:rsidR="007E771A" w:rsidRPr="0020559D" w:rsidRDefault="007E771A" w:rsidP="00B1143A">
            <w:pPr>
              <w:jc w:val="center"/>
              <w:rPr>
                <w:sz w:val="16"/>
                <w:szCs w:val="16"/>
              </w:rPr>
            </w:pPr>
            <w:r w:rsidRPr="0020559D">
              <w:rPr>
                <w:sz w:val="16"/>
                <w:szCs w:val="16"/>
              </w:rPr>
              <w:t>-29%/-41%/-49%</w:t>
            </w:r>
          </w:p>
        </w:tc>
        <w:tc>
          <w:tcPr>
            <w:tcW w:w="1465" w:type="dxa"/>
            <w:tcBorders>
              <w:top w:val="nil"/>
            </w:tcBorders>
            <w:shd w:val="clear" w:color="auto" w:fill="FFFF00"/>
          </w:tcPr>
          <w:p w14:paraId="65CA98D1" w14:textId="46597306" w:rsidR="007E771A" w:rsidRPr="0020559D" w:rsidRDefault="007E771A" w:rsidP="00B1143A">
            <w:pPr>
              <w:jc w:val="center"/>
              <w:rPr>
                <w:sz w:val="16"/>
                <w:szCs w:val="16"/>
              </w:rPr>
            </w:pPr>
            <w:r w:rsidRPr="0020559D">
              <w:rPr>
                <w:sz w:val="16"/>
                <w:szCs w:val="16"/>
              </w:rPr>
              <w:t>-29%/-47%/-55%</w:t>
            </w:r>
          </w:p>
        </w:tc>
        <w:tc>
          <w:tcPr>
            <w:tcW w:w="1465" w:type="dxa"/>
            <w:tcBorders>
              <w:top w:val="nil"/>
            </w:tcBorders>
            <w:shd w:val="clear" w:color="auto" w:fill="FFFF00"/>
          </w:tcPr>
          <w:p w14:paraId="28557DFE" w14:textId="0D6875F6" w:rsidR="007E771A" w:rsidRPr="0020559D" w:rsidRDefault="007E771A" w:rsidP="00B1143A">
            <w:pPr>
              <w:jc w:val="center"/>
              <w:rPr>
                <w:sz w:val="16"/>
                <w:szCs w:val="16"/>
              </w:rPr>
            </w:pPr>
            <w:r w:rsidRPr="0020559D">
              <w:rPr>
                <w:sz w:val="16"/>
                <w:szCs w:val="16"/>
              </w:rPr>
              <w:t>-29%/-51%/-57%</w:t>
            </w:r>
          </w:p>
        </w:tc>
        <w:tc>
          <w:tcPr>
            <w:tcW w:w="1466" w:type="dxa"/>
            <w:tcBorders>
              <w:top w:val="nil"/>
            </w:tcBorders>
            <w:shd w:val="clear" w:color="auto" w:fill="FFC000"/>
          </w:tcPr>
          <w:p w14:paraId="72CF3A9C" w14:textId="290CE5A3" w:rsidR="007E771A" w:rsidRPr="0020559D" w:rsidRDefault="007E771A" w:rsidP="00B1143A">
            <w:pPr>
              <w:jc w:val="center"/>
              <w:rPr>
                <w:sz w:val="16"/>
                <w:szCs w:val="16"/>
              </w:rPr>
            </w:pPr>
            <w:r w:rsidRPr="0020559D">
              <w:rPr>
                <w:sz w:val="16"/>
                <w:szCs w:val="16"/>
              </w:rPr>
              <w:t>-29%/-53%/-58%</w:t>
            </w:r>
          </w:p>
        </w:tc>
      </w:tr>
      <w:tr w:rsidR="0020559D" w:rsidRPr="0020559D" w14:paraId="66599A87" w14:textId="77777777" w:rsidTr="0059536B">
        <w:trPr>
          <w:jc w:val="center"/>
        </w:trPr>
        <w:tc>
          <w:tcPr>
            <w:tcW w:w="472" w:type="dxa"/>
            <w:tcBorders>
              <w:top w:val="nil"/>
              <w:bottom w:val="nil"/>
            </w:tcBorders>
          </w:tcPr>
          <w:p w14:paraId="2588A3A2" w14:textId="49655B0E" w:rsidR="007E771A" w:rsidRPr="0020559D" w:rsidRDefault="007E771A" w:rsidP="007E771A">
            <w:pPr>
              <w:rPr>
                <w:sz w:val="16"/>
                <w:szCs w:val="16"/>
              </w:rPr>
            </w:pPr>
            <w:r w:rsidRPr="0020559D">
              <w:rPr>
                <w:sz w:val="16"/>
                <w:szCs w:val="16"/>
              </w:rPr>
              <w:t>4%</w:t>
            </w:r>
          </w:p>
        </w:tc>
        <w:tc>
          <w:tcPr>
            <w:tcW w:w="1836" w:type="dxa"/>
            <w:tcBorders>
              <w:top w:val="nil"/>
              <w:bottom w:val="nil"/>
            </w:tcBorders>
          </w:tcPr>
          <w:p w14:paraId="21450E2C" w14:textId="6245A99C" w:rsidR="007E771A" w:rsidRPr="0059536B" w:rsidRDefault="007E771A" w:rsidP="007E771A">
            <w:pPr>
              <w:rPr>
                <w:sz w:val="16"/>
                <w:szCs w:val="16"/>
              </w:rPr>
            </w:pPr>
            <w:r w:rsidRPr="0059536B">
              <w:rPr>
                <w:sz w:val="16"/>
                <w:szCs w:val="16"/>
              </w:rPr>
              <w:t>With</w:t>
            </w:r>
            <w:r w:rsidRPr="0020559D">
              <w:rPr>
                <w:sz w:val="16"/>
                <w:szCs w:val="16"/>
              </w:rPr>
              <w:t>out</w:t>
            </w:r>
            <w:r w:rsidRPr="0059536B">
              <w:rPr>
                <w:sz w:val="16"/>
                <w:szCs w:val="16"/>
              </w:rPr>
              <w:t xml:space="preserve"> diversification</w:t>
            </w:r>
          </w:p>
        </w:tc>
        <w:tc>
          <w:tcPr>
            <w:tcW w:w="1465" w:type="dxa"/>
            <w:tcBorders>
              <w:top w:val="nil"/>
              <w:bottom w:val="nil"/>
            </w:tcBorders>
            <w:shd w:val="clear" w:color="auto" w:fill="FFFF00"/>
          </w:tcPr>
          <w:p w14:paraId="713D625B" w14:textId="4B89975F" w:rsidR="007E771A" w:rsidRPr="0020559D" w:rsidRDefault="007E771A" w:rsidP="007E771A">
            <w:pPr>
              <w:jc w:val="center"/>
              <w:rPr>
                <w:sz w:val="16"/>
                <w:szCs w:val="16"/>
              </w:rPr>
            </w:pPr>
            <w:r w:rsidRPr="0020559D">
              <w:rPr>
                <w:sz w:val="16"/>
                <w:szCs w:val="16"/>
              </w:rPr>
              <w:t>-33%/-39%/-45%</w:t>
            </w:r>
          </w:p>
        </w:tc>
        <w:tc>
          <w:tcPr>
            <w:tcW w:w="1465" w:type="dxa"/>
            <w:tcBorders>
              <w:top w:val="nil"/>
              <w:bottom w:val="nil"/>
            </w:tcBorders>
            <w:shd w:val="clear" w:color="auto" w:fill="FFFF00"/>
          </w:tcPr>
          <w:p w14:paraId="5AF33BFC" w14:textId="3CA68CE1" w:rsidR="007E771A" w:rsidRPr="0020559D" w:rsidRDefault="007E771A" w:rsidP="007E771A">
            <w:pPr>
              <w:jc w:val="center"/>
              <w:rPr>
                <w:sz w:val="16"/>
                <w:szCs w:val="16"/>
              </w:rPr>
            </w:pPr>
            <w:r w:rsidRPr="0020559D">
              <w:rPr>
                <w:sz w:val="16"/>
                <w:szCs w:val="16"/>
              </w:rPr>
              <w:t>-33%/-44%/-52%</w:t>
            </w:r>
          </w:p>
        </w:tc>
        <w:tc>
          <w:tcPr>
            <w:tcW w:w="1465" w:type="dxa"/>
            <w:tcBorders>
              <w:top w:val="nil"/>
              <w:bottom w:val="nil"/>
            </w:tcBorders>
            <w:shd w:val="clear" w:color="auto" w:fill="FFFF00"/>
          </w:tcPr>
          <w:p w14:paraId="4051275C" w14:textId="2864DCF4" w:rsidR="007E771A" w:rsidRPr="0020559D" w:rsidRDefault="007E771A" w:rsidP="007E771A">
            <w:pPr>
              <w:jc w:val="center"/>
              <w:rPr>
                <w:sz w:val="16"/>
                <w:szCs w:val="16"/>
              </w:rPr>
            </w:pPr>
            <w:r w:rsidRPr="0020559D">
              <w:rPr>
                <w:sz w:val="16"/>
                <w:szCs w:val="16"/>
              </w:rPr>
              <w:t>-33%/-50%/-57%</w:t>
            </w:r>
          </w:p>
        </w:tc>
        <w:tc>
          <w:tcPr>
            <w:tcW w:w="1465" w:type="dxa"/>
            <w:tcBorders>
              <w:top w:val="nil"/>
              <w:bottom w:val="nil"/>
            </w:tcBorders>
            <w:shd w:val="clear" w:color="auto" w:fill="FFFF00"/>
          </w:tcPr>
          <w:p w14:paraId="045FD515" w14:textId="439F944C" w:rsidR="007E771A" w:rsidRPr="0020559D" w:rsidRDefault="007E771A" w:rsidP="007E771A">
            <w:pPr>
              <w:jc w:val="center"/>
              <w:rPr>
                <w:sz w:val="16"/>
                <w:szCs w:val="16"/>
              </w:rPr>
            </w:pPr>
            <w:r w:rsidRPr="0020559D">
              <w:rPr>
                <w:sz w:val="16"/>
                <w:szCs w:val="16"/>
              </w:rPr>
              <w:t>-33%/-54%/-60%</w:t>
            </w:r>
          </w:p>
        </w:tc>
        <w:tc>
          <w:tcPr>
            <w:tcW w:w="1466" w:type="dxa"/>
            <w:tcBorders>
              <w:top w:val="nil"/>
              <w:bottom w:val="nil"/>
            </w:tcBorders>
            <w:shd w:val="clear" w:color="auto" w:fill="FFC000"/>
          </w:tcPr>
          <w:p w14:paraId="6B7E463E" w14:textId="1E447691" w:rsidR="007E771A" w:rsidRPr="0020559D" w:rsidRDefault="007E771A" w:rsidP="007E771A">
            <w:pPr>
              <w:jc w:val="center"/>
              <w:rPr>
                <w:sz w:val="16"/>
                <w:szCs w:val="16"/>
              </w:rPr>
            </w:pPr>
            <w:r w:rsidRPr="0020559D">
              <w:rPr>
                <w:sz w:val="16"/>
                <w:szCs w:val="16"/>
              </w:rPr>
              <w:t>-33%/-56%/-61%</w:t>
            </w:r>
          </w:p>
        </w:tc>
      </w:tr>
      <w:tr w:rsidR="0020559D" w:rsidRPr="0020559D" w14:paraId="6CA082A7" w14:textId="77777777" w:rsidTr="0059536B">
        <w:trPr>
          <w:jc w:val="center"/>
        </w:trPr>
        <w:tc>
          <w:tcPr>
            <w:tcW w:w="472" w:type="dxa"/>
            <w:tcBorders>
              <w:top w:val="nil"/>
            </w:tcBorders>
          </w:tcPr>
          <w:p w14:paraId="6EBB41B7" w14:textId="77777777" w:rsidR="007E771A" w:rsidRPr="0020559D" w:rsidRDefault="007E771A" w:rsidP="007E771A">
            <w:pPr>
              <w:rPr>
                <w:sz w:val="16"/>
                <w:szCs w:val="16"/>
              </w:rPr>
            </w:pPr>
          </w:p>
        </w:tc>
        <w:tc>
          <w:tcPr>
            <w:tcW w:w="1836" w:type="dxa"/>
            <w:tcBorders>
              <w:top w:val="nil"/>
            </w:tcBorders>
          </w:tcPr>
          <w:p w14:paraId="168A1D5D" w14:textId="05FA4F27" w:rsidR="007E771A" w:rsidRPr="0059536B" w:rsidRDefault="007E771A" w:rsidP="007E771A">
            <w:pPr>
              <w:rPr>
                <w:sz w:val="16"/>
                <w:szCs w:val="16"/>
              </w:rPr>
            </w:pPr>
            <w:r w:rsidRPr="0059536B">
              <w:rPr>
                <w:sz w:val="16"/>
                <w:szCs w:val="16"/>
              </w:rPr>
              <w:t>With diversification</w:t>
            </w:r>
          </w:p>
        </w:tc>
        <w:tc>
          <w:tcPr>
            <w:tcW w:w="1465" w:type="dxa"/>
            <w:tcBorders>
              <w:top w:val="nil"/>
            </w:tcBorders>
            <w:shd w:val="clear" w:color="auto" w:fill="FFC000"/>
          </w:tcPr>
          <w:p w14:paraId="4B9536FA" w14:textId="42B9D504" w:rsidR="007E771A" w:rsidRPr="0020559D" w:rsidRDefault="007E771A" w:rsidP="007E771A">
            <w:pPr>
              <w:jc w:val="center"/>
              <w:rPr>
                <w:sz w:val="16"/>
                <w:szCs w:val="16"/>
              </w:rPr>
            </w:pPr>
            <w:r w:rsidRPr="0020559D">
              <w:rPr>
                <w:sz w:val="16"/>
                <w:szCs w:val="16"/>
              </w:rPr>
              <w:t>-43%/-49%/-54%</w:t>
            </w:r>
          </w:p>
        </w:tc>
        <w:tc>
          <w:tcPr>
            <w:tcW w:w="1465" w:type="dxa"/>
            <w:tcBorders>
              <w:top w:val="nil"/>
            </w:tcBorders>
            <w:shd w:val="clear" w:color="auto" w:fill="FFC000"/>
          </w:tcPr>
          <w:p w14:paraId="366AE585" w14:textId="07AA754A" w:rsidR="007E771A" w:rsidRPr="0020559D" w:rsidRDefault="007E771A" w:rsidP="007E771A">
            <w:pPr>
              <w:jc w:val="center"/>
              <w:rPr>
                <w:sz w:val="16"/>
                <w:szCs w:val="16"/>
              </w:rPr>
            </w:pPr>
            <w:r w:rsidRPr="0020559D">
              <w:rPr>
                <w:sz w:val="16"/>
                <w:szCs w:val="16"/>
              </w:rPr>
              <w:t>-43%/-53%/-59%</w:t>
            </w:r>
          </w:p>
        </w:tc>
        <w:tc>
          <w:tcPr>
            <w:tcW w:w="1465" w:type="dxa"/>
            <w:tcBorders>
              <w:top w:val="nil"/>
            </w:tcBorders>
            <w:shd w:val="clear" w:color="auto" w:fill="FFC000"/>
          </w:tcPr>
          <w:p w14:paraId="3DF3EAD8" w14:textId="7BEC61F8" w:rsidR="007E771A" w:rsidRPr="0020559D" w:rsidRDefault="007E771A" w:rsidP="007E771A">
            <w:pPr>
              <w:jc w:val="center"/>
              <w:rPr>
                <w:sz w:val="16"/>
                <w:szCs w:val="16"/>
              </w:rPr>
            </w:pPr>
            <w:r w:rsidRPr="0020559D">
              <w:rPr>
                <w:sz w:val="16"/>
                <w:szCs w:val="16"/>
              </w:rPr>
              <w:t>-43%/-58%/-64%</w:t>
            </w:r>
          </w:p>
        </w:tc>
        <w:tc>
          <w:tcPr>
            <w:tcW w:w="1465" w:type="dxa"/>
            <w:tcBorders>
              <w:top w:val="nil"/>
            </w:tcBorders>
            <w:shd w:val="clear" w:color="auto" w:fill="FFC000"/>
          </w:tcPr>
          <w:p w14:paraId="51853DE7" w14:textId="6C594095" w:rsidR="007E771A" w:rsidRPr="0020559D" w:rsidRDefault="007E771A" w:rsidP="007E771A">
            <w:pPr>
              <w:jc w:val="center"/>
              <w:rPr>
                <w:sz w:val="16"/>
                <w:szCs w:val="16"/>
              </w:rPr>
            </w:pPr>
            <w:r w:rsidRPr="0020559D">
              <w:rPr>
                <w:sz w:val="16"/>
                <w:szCs w:val="16"/>
              </w:rPr>
              <w:t>-43%/-61%/-66%</w:t>
            </w:r>
          </w:p>
        </w:tc>
        <w:tc>
          <w:tcPr>
            <w:tcW w:w="1466" w:type="dxa"/>
            <w:tcBorders>
              <w:top w:val="nil"/>
            </w:tcBorders>
            <w:shd w:val="clear" w:color="auto" w:fill="FFC000"/>
          </w:tcPr>
          <w:p w14:paraId="7FA4B429" w14:textId="08D808D5" w:rsidR="007E771A" w:rsidRPr="0020559D" w:rsidRDefault="007E771A" w:rsidP="007E771A">
            <w:pPr>
              <w:jc w:val="center"/>
              <w:rPr>
                <w:sz w:val="16"/>
                <w:szCs w:val="16"/>
              </w:rPr>
            </w:pPr>
            <w:r w:rsidRPr="0020559D">
              <w:rPr>
                <w:sz w:val="16"/>
                <w:szCs w:val="16"/>
              </w:rPr>
              <w:t>-43%/-62%/-67%</w:t>
            </w:r>
          </w:p>
        </w:tc>
      </w:tr>
      <w:tr w:rsidR="0020559D" w:rsidRPr="0020559D" w14:paraId="32F0FBDE" w14:textId="77777777" w:rsidTr="0059536B">
        <w:trPr>
          <w:jc w:val="center"/>
        </w:trPr>
        <w:tc>
          <w:tcPr>
            <w:tcW w:w="472" w:type="dxa"/>
            <w:tcBorders>
              <w:top w:val="nil"/>
              <w:bottom w:val="nil"/>
            </w:tcBorders>
          </w:tcPr>
          <w:p w14:paraId="7A8FBE6C" w14:textId="0133D3F0" w:rsidR="007E771A" w:rsidRPr="0020559D" w:rsidRDefault="007E771A" w:rsidP="007E771A">
            <w:pPr>
              <w:rPr>
                <w:sz w:val="16"/>
                <w:szCs w:val="16"/>
              </w:rPr>
            </w:pPr>
            <w:r w:rsidRPr="0020559D">
              <w:rPr>
                <w:sz w:val="16"/>
                <w:szCs w:val="16"/>
              </w:rPr>
              <w:t>3%</w:t>
            </w:r>
          </w:p>
        </w:tc>
        <w:tc>
          <w:tcPr>
            <w:tcW w:w="1836" w:type="dxa"/>
            <w:tcBorders>
              <w:top w:val="nil"/>
              <w:bottom w:val="nil"/>
            </w:tcBorders>
          </w:tcPr>
          <w:p w14:paraId="33423B9F" w14:textId="2E011502" w:rsidR="007E771A" w:rsidRPr="0059536B" w:rsidRDefault="007E771A" w:rsidP="007E771A">
            <w:pPr>
              <w:rPr>
                <w:sz w:val="16"/>
                <w:szCs w:val="16"/>
              </w:rPr>
            </w:pPr>
            <w:r w:rsidRPr="0059536B">
              <w:rPr>
                <w:sz w:val="16"/>
                <w:szCs w:val="16"/>
              </w:rPr>
              <w:t>With</w:t>
            </w:r>
            <w:r w:rsidRPr="0020559D">
              <w:rPr>
                <w:sz w:val="16"/>
                <w:szCs w:val="16"/>
              </w:rPr>
              <w:t>out</w:t>
            </w:r>
            <w:r w:rsidRPr="0059536B">
              <w:rPr>
                <w:sz w:val="16"/>
                <w:szCs w:val="16"/>
              </w:rPr>
              <w:t xml:space="preserve"> diversification</w:t>
            </w:r>
          </w:p>
        </w:tc>
        <w:tc>
          <w:tcPr>
            <w:tcW w:w="1465" w:type="dxa"/>
            <w:tcBorders>
              <w:top w:val="nil"/>
              <w:bottom w:val="nil"/>
            </w:tcBorders>
            <w:shd w:val="clear" w:color="auto" w:fill="FFC000"/>
          </w:tcPr>
          <w:p w14:paraId="0EF6175C" w14:textId="386D996F" w:rsidR="007E771A" w:rsidRPr="0020559D" w:rsidRDefault="007E771A" w:rsidP="007E771A">
            <w:pPr>
              <w:jc w:val="center"/>
              <w:rPr>
                <w:sz w:val="16"/>
                <w:szCs w:val="16"/>
              </w:rPr>
            </w:pPr>
            <w:r w:rsidRPr="0020559D">
              <w:rPr>
                <w:sz w:val="16"/>
                <w:szCs w:val="16"/>
              </w:rPr>
              <w:t>-50%/-55%/-59%</w:t>
            </w:r>
          </w:p>
        </w:tc>
        <w:tc>
          <w:tcPr>
            <w:tcW w:w="1465" w:type="dxa"/>
            <w:tcBorders>
              <w:top w:val="nil"/>
              <w:bottom w:val="nil"/>
            </w:tcBorders>
            <w:shd w:val="clear" w:color="auto" w:fill="FFC000"/>
          </w:tcPr>
          <w:p w14:paraId="11EADAAC" w14:textId="17FA1F71" w:rsidR="007E771A" w:rsidRPr="0020559D" w:rsidRDefault="007E771A" w:rsidP="007E771A">
            <w:pPr>
              <w:jc w:val="center"/>
              <w:rPr>
                <w:sz w:val="16"/>
                <w:szCs w:val="16"/>
              </w:rPr>
            </w:pPr>
            <w:r w:rsidRPr="0020559D">
              <w:rPr>
                <w:sz w:val="16"/>
                <w:szCs w:val="16"/>
              </w:rPr>
              <w:t>-50%/-58%/-64%</w:t>
            </w:r>
          </w:p>
        </w:tc>
        <w:tc>
          <w:tcPr>
            <w:tcW w:w="1465" w:type="dxa"/>
            <w:tcBorders>
              <w:top w:val="nil"/>
              <w:bottom w:val="nil"/>
            </w:tcBorders>
            <w:shd w:val="clear" w:color="auto" w:fill="FFC000"/>
          </w:tcPr>
          <w:p w14:paraId="79D3BF70" w14:textId="00059E4E" w:rsidR="007E771A" w:rsidRPr="0020559D" w:rsidRDefault="007E771A" w:rsidP="007E771A">
            <w:pPr>
              <w:jc w:val="center"/>
              <w:rPr>
                <w:sz w:val="16"/>
                <w:szCs w:val="16"/>
              </w:rPr>
            </w:pPr>
            <w:r w:rsidRPr="0020559D">
              <w:rPr>
                <w:sz w:val="16"/>
                <w:szCs w:val="16"/>
              </w:rPr>
              <w:t>-50%/-63%/-68%</w:t>
            </w:r>
          </w:p>
        </w:tc>
        <w:tc>
          <w:tcPr>
            <w:tcW w:w="1465" w:type="dxa"/>
            <w:tcBorders>
              <w:top w:val="nil"/>
              <w:bottom w:val="nil"/>
            </w:tcBorders>
            <w:shd w:val="clear" w:color="auto" w:fill="FFC000"/>
          </w:tcPr>
          <w:p w14:paraId="4B642C6A" w14:textId="4082D8D6" w:rsidR="007E771A" w:rsidRPr="0020559D" w:rsidRDefault="007E771A" w:rsidP="007E771A">
            <w:pPr>
              <w:jc w:val="center"/>
              <w:rPr>
                <w:sz w:val="16"/>
                <w:szCs w:val="16"/>
              </w:rPr>
            </w:pPr>
            <w:r w:rsidRPr="0020559D">
              <w:rPr>
                <w:sz w:val="16"/>
                <w:szCs w:val="16"/>
              </w:rPr>
              <w:t>-50%/-65%/-70%</w:t>
            </w:r>
          </w:p>
        </w:tc>
        <w:tc>
          <w:tcPr>
            <w:tcW w:w="1466" w:type="dxa"/>
            <w:tcBorders>
              <w:top w:val="nil"/>
              <w:bottom w:val="nil"/>
            </w:tcBorders>
            <w:shd w:val="clear" w:color="auto" w:fill="FFC000"/>
          </w:tcPr>
          <w:p w14:paraId="5D08BABE" w14:textId="54495A8E" w:rsidR="007E771A" w:rsidRPr="0020559D" w:rsidRDefault="007E771A" w:rsidP="007E771A">
            <w:pPr>
              <w:jc w:val="center"/>
              <w:rPr>
                <w:sz w:val="16"/>
                <w:szCs w:val="16"/>
              </w:rPr>
            </w:pPr>
            <w:r w:rsidRPr="0020559D">
              <w:rPr>
                <w:sz w:val="16"/>
                <w:szCs w:val="16"/>
              </w:rPr>
              <w:t>-50%/-67%/-71%</w:t>
            </w:r>
          </w:p>
        </w:tc>
      </w:tr>
      <w:tr w:rsidR="0020559D" w:rsidRPr="0020559D" w14:paraId="2732402C" w14:textId="77777777" w:rsidTr="0059536B">
        <w:trPr>
          <w:jc w:val="center"/>
        </w:trPr>
        <w:tc>
          <w:tcPr>
            <w:tcW w:w="472" w:type="dxa"/>
            <w:tcBorders>
              <w:top w:val="nil"/>
            </w:tcBorders>
          </w:tcPr>
          <w:p w14:paraId="63AED40F" w14:textId="77777777" w:rsidR="007E771A" w:rsidRPr="0020559D" w:rsidRDefault="007E771A" w:rsidP="007E771A">
            <w:pPr>
              <w:rPr>
                <w:sz w:val="16"/>
                <w:szCs w:val="16"/>
              </w:rPr>
            </w:pPr>
          </w:p>
        </w:tc>
        <w:tc>
          <w:tcPr>
            <w:tcW w:w="1836" w:type="dxa"/>
            <w:tcBorders>
              <w:top w:val="nil"/>
            </w:tcBorders>
          </w:tcPr>
          <w:p w14:paraId="61FB3C41" w14:textId="7789271F" w:rsidR="007E771A" w:rsidRPr="0059536B" w:rsidRDefault="007E771A" w:rsidP="007E771A">
            <w:pPr>
              <w:rPr>
                <w:sz w:val="16"/>
                <w:szCs w:val="16"/>
              </w:rPr>
            </w:pPr>
            <w:r w:rsidRPr="0059536B">
              <w:rPr>
                <w:sz w:val="16"/>
                <w:szCs w:val="16"/>
              </w:rPr>
              <w:t>With diversification</w:t>
            </w:r>
          </w:p>
        </w:tc>
        <w:tc>
          <w:tcPr>
            <w:tcW w:w="1465" w:type="dxa"/>
            <w:tcBorders>
              <w:top w:val="nil"/>
            </w:tcBorders>
            <w:shd w:val="clear" w:color="auto" w:fill="FFC000"/>
          </w:tcPr>
          <w:p w14:paraId="7E4363D3" w14:textId="5936A97A" w:rsidR="007E771A" w:rsidRPr="0020559D" w:rsidRDefault="007E771A" w:rsidP="007E771A">
            <w:pPr>
              <w:jc w:val="center"/>
              <w:rPr>
                <w:sz w:val="16"/>
                <w:szCs w:val="16"/>
              </w:rPr>
            </w:pPr>
            <w:r w:rsidRPr="0020559D">
              <w:rPr>
                <w:sz w:val="16"/>
                <w:szCs w:val="16"/>
              </w:rPr>
              <w:t>-58%/-61%/-65%</w:t>
            </w:r>
          </w:p>
        </w:tc>
        <w:tc>
          <w:tcPr>
            <w:tcW w:w="1465" w:type="dxa"/>
            <w:tcBorders>
              <w:top w:val="nil"/>
            </w:tcBorders>
            <w:shd w:val="clear" w:color="auto" w:fill="FFC000"/>
          </w:tcPr>
          <w:p w14:paraId="7A598A2A" w14:textId="2E49D408" w:rsidR="007E771A" w:rsidRPr="0020559D" w:rsidRDefault="007E771A" w:rsidP="007E771A">
            <w:pPr>
              <w:jc w:val="center"/>
              <w:rPr>
                <w:sz w:val="16"/>
                <w:szCs w:val="16"/>
              </w:rPr>
            </w:pPr>
            <w:r w:rsidRPr="0020559D">
              <w:rPr>
                <w:sz w:val="16"/>
                <w:szCs w:val="16"/>
              </w:rPr>
              <w:t>-58%/-64%/-69%</w:t>
            </w:r>
          </w:p>
        </w:tc>
        <w:tc>
          <w:tcPr>
            <w:tcW w:w="1465" w:type="dxa"/>
            <w:tcBorders>
              <w:top w:val="nil"/>
            </w:tcBorders>
            <w:shd w:val="clear" w:color="auto" w:fill="FFC000"/>
          </w:tcPr>
          <w:p w14:paraId="5816587B" w14:textId="6D74D194" w:rsidR="007E771A" w:rsidRPr="0020559D" w:rsidRDefault="007E771A" w:rsidP="007E771A">
            <w:pPr>
              <w:jc w:val="center"/>
              <w:rPr>
                <w:sz w:val="16"/>
                <w:szCs w:val="16"/>
              </w:rPr>
            </w:pPr>
            <w:r w:rsidRPr="0020559D">
              <w:rPr>
                <w:sz w:val="16"/>
                <w:szCs w:val="16"/>
              </w:rPr>
              <w:t>-58%/-68%/-73%</w:t>
            </w:r>
          </w:p>
        </w:tc>
        <w:tc>
          <w:tcPr>
            <w:tcW w:w="1465" w:type="dxa"/>
            <w:tcBorders>
              <w:top w:val="nil"/>
            </w:tcBorders>
            <w:shd w:val="clear" w:color="auto" w:fill="FFC000"/>
          </w:tcPr>
          <w:p w14:paraId="6C4D3DD3" w14:textId="63297081" w:rsidR="007E771A" w:rsidRPr="0020559D" w:rsidRDefault="007E771A" w:rsidP="007E771A">
            <w:pPr>
              <w:jc w:val="center"/>
              <w:rPr>
                <w:sz w:val="16"/>
                <w:szCs w:val="16"/>
              </w:rPr>
            </w:pPr>
            <w:r w:rsidRPr="0020559D">
              <w:rPr>
                <w:sz w:val="16"/>
                <w:szCs w:val="16"/>
              </w:rPr>
              <w:t>-58%/-70%/-74%</w:t>
            </w:r>
          </w:p>
        </w:tc>
        <w:tc>
          <w:tcPr>
            <w:tcW w:w="1466" w:type="dxa"/>
            <w:tcBorders>
              <w:top w:val="nil"/>
            </w:tcBorders>
            <w:shd w:val="clear" w:color="auto" w:fill="FFC000"/>
          </w:tcPr>
          <w:p w14:paraId="6A49AB01" w14:textId="34272BE2" w:rsidR="007E771A" w:rsidRPr="0020559D" w:rsidRDefault="007E771A" w:rsidP="007E771A">
            <w:pPr>
              <w:jc w:val="center"/>
              <w:rPr>
                <w:sz w:val="16"/>
                <w:szCs w:val="16"/>
              </w:rPr>
            </w:pPr>
            <w:r w:rsidRPr="0020559D">
              <w:rPr>
                <w:sz w:val="16"/>
                <w:szCs w:val="16"/>
              </w:rPr>
              <w:t>-58%/-72%/-75%</w:t>
            </w:r>
          </w:p>
        </w:tc>
      </w:tr>
      <w:tr w:rsidR="0020559D" w:rsidRPr="0020559D" w14:paraId="66474685" w14:textId="77777777" w:rsidTr="0059536B">
        <w:trPr>
          <w:jc w:val="center"/>
        </w:trPr>
        <w:tc>
          <w:tcPr>
            <w:tcW w:w="472" w:type="dxa"/>
            <w:tcBorders>
              <w:top w:val="nil"/>
              <w:bottom w:val="nil"/>
            </w:tcBorders>
          </w:tcPr>
          <w:p w14:paraId="0BC112C5" w14:textId="56459B67" w:rsidR="007E771A" w:rsidRPr="0020559D" w:rsidRDefault="007E771A" w:rsidP="007E771A">
            <w:pPr>
              <w:rPr>
                <w:sz w:val="16"/>
                <w:szCs w:val="16"/>
              </w:rPr>
            </w:pPr>
            <w:r w:rsidRPr="0020559D">
              <w:rPr>
                <w:sz w:val="16"/>
                <w:szCs w:val="16"/>
              </w:rPr>
              <w:t>2%</w:t>
            </w:r>
          </w:p>
        </w:tc>
        <w:tc>
          <w:tcPr>
            <w:tcW w:w="1836" w:type="dxa"/>
            <w:tcBorders>
              <w:top w:val="nil"/>
              <w:bottom w:val="nil"/>
            </w:tcBorders>
          </w:tcPr>
          <w:p w14:paraId="2E28A760" w14:textId="4E1EB98C" w:rsidR="007E771A" w:rsidRPr="0059536B" w:rsidRDefault="007E771A" w:rsidP="007E771A">
            <w:pPr>
              <w:rPr>
                <w:sz w:val="16"/>
                <w:szCs w:val="16"/>
              </w:rPr>
            </w:pPr>
            <w:r w:rsidRPr="0059536B">
              <w:rPr>
                <w:sz w:val="16"/>
                <w:szCs w:val="16"/>
              </w:rPr>
              <w:t>With</w:t>
            </w:r>
            <w:r w:rsidRPr="0020559D">
              <w:rPr>
                <w:sz w:val="16"/>
                <w:szCs w:val="16"/>
              </w:rPr>
              <w:t>out</w:t>
            </w:r>
            <w:r w:rsidRPr="0059536B">
              <w:rPr>
                <w:sz w:val="16"/>
                <w:szCs w:val="16"/>
              </w:rPr>
              <w:t xml:space="preserve"> diversification</w:t>
            </w:r>
          </w:p>
        </w:tc>
        <w:tc>
          <w:tcPr>
            <w:tcW w:w="1465" w:type="dxa"/>
            <w:tcBorders>
              <w:top w:val="nil"/>
              <w:bottom w:val="nil"/>
            </w:tcBorders>
            <w:shd w:val="clear" w:color="auto" w:fill="C00000"/>
          </w:tcPr>
          <w:p w14:paraId="68A9DD39" w14:textId="5A9B298F" w:rsidR="007E771A" w:rsidRPr="0020559D" w:rsidRDefault="007E771A" w:rsidP="007E771A">
            <w:pPr>
              <w:jc w:val="center"/>
              <w:rPr>
                <w:sz w:val="16"/>
                <w:szCs w:val="16"/>
              </w:rPr>
            </w:pPr>
            <w:r w:rsidRPr="0020559D">
              <w:rPr>
                <w:sz w:val="16"/>
                <w:szCs w:val="16"/>
              </w:rPr>
              <w:t>-67%/-70%/-73%</w:t>
            </w:r>
          </w:p>
        </w:tc>
        <w:tc>
          <w:tcPr>
            <w:tcW w:w="1465" w:type="dxa"/>
            <w:tcBorders>
              <w:top w:val="nil"/>
              <w:bottom w:val="nil"/>
            </w:tcBorders>
            <w:shd w:val="clear" w:color="auto" w:fill="C00000"/>
          </w:tcPr>
          <w:p w14:paraId="5798BB42" w14:textId="2AE3274A" w:rsidR="007E771A" w:rsidRPr="0020559D" w:rsidRDefault="007E771A" w:rsidP="007E771A">
            <w:pPr>
              <w:jc w:val="center"/>
              <w:rPr>
                <w:sz w:val="16"/>
                <w:szCs w:val="16"/>
              </w:rPr>
            </w:pPr>
            <w:r w:rsidRPr="0020559D">
              <w:rPr>
                <w:sz w:val="16"/>
                <w:szCs w:val="16"/>
              </w:rPr>
              <w:t>-67%/-72%/-76%</w:t>
            </w:r>
          </w:p>
        </w:tc>
        <w:tc>
          <w:tcPr>
            <w:tcW w:w="1465" w:type="dxa"/>
            <w:tcBorders>
              <w:top w:val="nil"/>
              <w:bottom w:val="nil"/>
            </w:tcBorders>
            <w:shd w:val="clear" w:color="auto" w:fill="C00000"/>
          </w:tcPr>
          <w:p w14:paraId="1954ADDE" w14:textId="5D48E608" w:rsidR="007E771A" w:rsidRPr="0020559D" w:rsidRDefault="007E771A" w:rsidP="007E771A">
            <w:pPr>
              <w:jc w:val="center"/>
              <w:rPr>
                <w:sz w:val="16"/>
                <w:szCs w:val="16"/>
              </w:rPr>
            </w:pPr>
            <w:r w:rsidRPr="0020559D">
              <w:rPr>
                <w:sz w:val="16"/>
                <w:szCs w:val="16"/>
              </w:rPr>
              <w:t>-67%/-75%/-79%</w:t>
            </w:r>
          </w:p>
        </w:tc>
        <w:tc>
          <w:tcPr>
            <w:tcW w:w="1465" w:type="dxa"/>
            <w:tcBorders>
              <w:top w:val="nil"/>
              <w:bottom w:val="nil"/>
            </w:tcBorders>
            <w:shd w:val="clear" w:color="auto" w:fill="C00000"/>
          </w:tcPr>
          <w:p w14:paraId="609EDDC9" w14:textId="0B34DF58" w:rsidR="007E771A" w:rsidRPr="0020559D" w:rsidRDefault="007E771A" w:rsidP="007E771A">
            <w:pPr>
              <w:jc w:val="center"/>
              <w:rPr>
                <w:sz w:val="16"/>
                <w:szCs w:val="16"/>
              </w:rPr>
            </w:pPr>
            <w:r w:rsidRPr="0020559D">
              <w:rPr>
                <w:sz w:val="16"/>
                <w:szCs w:val="16"/>
              </w:rPr>
              <w:t>-67%/-77%/-80%</w:t>
            </w:r>
          </w:p>
        </w:tc>
        <w:tc>
          <w:tcPr>
            <w:tcW w:w="1466" w:type="dxa"/>
            <w:tcBorders>
              <w:top w:val="nil"/>
              <w:bottom w:val="nil"/>
            </w:tcBorders>
            <w:shd w:val="clear" w:color="auto" w:fill="C00000"/>
          </w:tcPr>
          <w:p w14:paraId="49AF5471" w14:textId="7D19320A" w:rsidR="007E771A" w:rsidRPr="0020559D" w:rsidRDefault="007E771A" w:rsidP="007E771A">
            <w:pPr>
              <w:jc w:val="center"/>
              <w:rPr>
                <w:sz w:val="16"/>
                <w:szCs w:val="16"/>
              </w:rPr>
            </w:pPr>
            <w:r w:rsidRPr="0020559D">
              <w:rPr>
                <w:sz w:val="16"/>
                <w:szCs w:val="16"/>
              </w:rPr>
              <w:t>-67%/-78%/-80%</w:t>
            </w:r>
          </w:p>
        </w:tc>
      </w:tr>
      <w:tr w:rsidR="0020559D" w:rsidRPr="0020559D" w14:paraId="4D54F9FF" w14:textId="77777777" w:rsidTr="0059536B">
        <w:trPr>
          <w:jc w:val="center"/>
        </w:trPr>
        <w:tc>
          <w:tcPr>
            <w:tcW w:w="472" w:type="dxa"/>
            <w:tcBorders>
              <w:top w:val="nil"/>
            </w:tcBorders>
          </w:tcPr>
          <w:p w14:paraId="6F635E2F" w14:textId="77777777" w:rsidR="007E771A" w:rsidRPr="0020559D" w:rsidRDefault="007E771A" w:rsidP="007E771A">
            <w:pPr>
              <w:rPr>
                <w:sz w:val="16"/>
                <w:szCs w:val="16"/>
              </w:rPr>
            </w:pPr>
          </w:p>
        </w:tc>
        <w:tc>
          <w:tcPr>
            <w:tcW w:w="1836" w:type="dxa"/>
            <w:tcBorders>
              <w:top w:val="nil"/>
            </w:tcBorders>
          </w:tcPr>
          <w:p w14:paraId="5769437E" w14:textId="08F9BA0E" w:rsidR="007E771A" w:rsidRPr="0059536B" w:rsidRDefault="007E771A" w:rsidP="007E771A">
            <w:pPr>
              <w:rPr>
                <w:sz w:val="16"/>
                <w:szCs w:val="16"/>
              </w:rPr>
            </w:pPr>
            <w:r w:rsidRPr="0059536B">
              <w:rPr>
                <w:sz w:val="16"/>
                <w:szCs w:val="16"/>
              </w:rPr>
              <w:t>With diversification</w:t>
            </w:r>
          </w:p>
        </w:tc>
        <w:tc>
          <w:tcPr>
            <w:tcW w:w="1465" w:type="dxa"/>
            <w:tcBorders>
              <w:top w:val="nil"/>
            </w:tcBorders>
            <w:shd w:val="clear" w:color="auto" w:fill="C00000"/>
          </w:tcPr>
          <w:p w14:paraId="7C4F172E" w14:textId="6C2F119C" w:rsidR="007E771A" w:rsidRPr="0020559D" w:rsidRDefault="007E771A" w:rsidP="007E771A">
            <w:pPr>
              <w:jc w:val="center"/>
              <w:rPr>
                <w:sz w:val="16"/>
                <w:szCs w:val="16"/>
              </w:rPr>
            </w:pPr>
            <w:r w:rsidRPr="0020559D">
              <w:rPr>
                <w:sz w:val="16"/>
                <w:szCs w:val="16"/>
              </w:rPr>
              <w:t>-72%/-74%/-77%</w:t>
            </w:r>
          </w:p>
        </w:tc>
        <w:tc>
          <w:tcPr>
            <w:tcW w:w="1465" w:type="dxa"/>
            <w:tcBorders>
              <w:top w:val="nil"/>
            </w:tcBorders>
            <w:shd w:val="clear" w:color="auto" w:fill="C00000"/>
          </w:tcPr>
          <w:p w14:paraId="01393AD3" w14:textId="39018037" w:rsidR="007E771A" w:rsidRPr="0020559D" w:rsidRDefault="007E771A" w:rsidP="007E771A">
            <w:pPr>
              <w:jc w:val="center"/>
              <w:rPr>
                <w:sz w:val="16"/>
                <w:szCs w:val="16"/>
              </w:rPr>
            </w:pPr>
            <w:r w:rsidRPr="0020559D">
              <w:rPr>
                <w:sz w:val="16"/>
                <w:szCs w:val="16"/>
              </w:rPr>
              <w:t>-72%/-76%/-79%</w:t>
            </w:r>
          </w:p>
        </w:tc>
        <w:tc>
          <w:tcPr>
            <w:tcW w:w="1465" w:type="dxa"/>
            <w:tcBorders>
              <w:top w:val="nil"/>
            </w:tcBorders>
            <w:shd w:val="clear" w:color="auto" w:fill="C00000"/>
          </w:tcPr>
          <w:p w14:paraId="0B924E8D" w14:textId="0FA5012E" w:rsidR="007E771A" w:rsidRPr="0020559D" w:rsidRDefault="007E771A" w:rsidP="007E771A">
            <w:pPr>
              <w:jc w:val="center"/>
              <w:rPr>
                <w:sz w:val="16"/>
                <w:szCs w:val="16"/>
              </w:rPr>
            </w:pPr>
            <w:r w:rsidRPr="0020559D">
              <w:rPr>
                <w:sz w:val="16"/>
                <w:szCs w:val="16"/>
              </w:rPr>
              <w:t>-72%/-79%/-82%</w:t>
            </w:r>
          </w:p>
        </w:tc>
        <w:tc>
          <w:tcPr>
            <w:tcW w:w="1465" w:type="dxa"/>
            <w:tcBorders>
              <w:top w:val="nil"/>
            </w:tcBorders>
            <w:shd w:val="clear" w:color="auto" w:fill="C00000"/>
          </w:tcPr>
          <w:p w14:paraId="06DC3CE9" w14:textId="0112B874" w:rsidR="007E771A" w:rsidRPr="0020559D" w:rsidRDefault="007E771A" w:rsidP="007E771A">
            <w:pPr>
              <w:jc w:val="center"/>
              <w:rPr>
                <w:sz w:val="16"/>
                <w:szCs w:val="16"/>
              </w:rPr>
            </w:pPr>
            <w:r w:rsidRPr="0020559D">
              <w:rPr>
                <w:sz w:val="16"/>
                <w:szCs w:val="16"/>
              </w:rPr>
              <w:t>-72%/-80%/-83%</w:t>
            </w:r>
          </w:p>
        </w:tc>
        <w:tc>
          <w:tcPr>
            <w:tcW w:w="1466" w:type="dxa"/>
            <w:tcBorders>
              <w:top w:val="nil"/>
            </w:tcBorders>
            <w:shd w:val="clear" w:color="auto" w:fill="C00000"/>
          </w:tcPr>
          <w:p w14:paraId="4A1972C6" w14:textId="4AA1ACFB" w:rsidR="007E771A" w:rsidRPr="0020559D" w:rsidRDefault="007E771A" w:rsidP="007E771A">
            <w:pPr>
              <w:jc w:val="center"/>
              <w:rPr>
                <w:sz w:val="16"/>
                <w:szCs w:val="16"/>
              </w:rPr>
            </w:pPr>
            <w:r w:rsidRPr="0020559D">
              <w:rPr>
                <w:sz w:val="16"/>
                <w:szCs w:val="16"/>
              </w:rPr>
              <w:t>-72%/-81%/-83%</w:t>
            </w:r>
          </w:p>
        </w:tc>
      </w:tr>
      <w:tr w:rsidR="00EA08BB" w:rsidRPr="00055769" w14:paraId="3DA18B4E" w14:textId="77777777" w:rsidTr="00EA08BB">
        <w:trPr>
          <w:jc w:val="center"/>
        </w:trPr>
        <w:tc>
          <w:tcPr>
            <w:tcW w:w="9634" w:type="dxa"/>
            <w:gridSpan w:val="7"/>
            <w:shd w:val="clear" w:color="auto" w:fill="BFBFBF" w:themeFill="background1" w:themeFillShade="BF"/>
          </w:tcPr>
          <w:p w14:paraId="4A83CECE" w14:textId="35F0EF30" w:rsidR="00EA08BB" w:rsidRPr="00055769" w:rsidRDefault="0047632B" w:rsidP="00EA08BB">
            <w:pPr>
              <w:jc w:val="center"/>
              <w:rPr>
                <w:sz w:val="16"/>
                <w:szCs w:val="16"/>
              </w:rPr>
            </w:pPr>
            <w:r>
              <w:rPr>
                <w:sz w:val="16"/>
                <w:szCs w:val="16"/>
              </w:rPr>
              <w:t>Floor of 1%</w:t>
            </w:r>
          </w:p>
        </w:tc>
      </w:tr>
      <w:tr w:rsidR="0006045C" w:rsidRPr="00055769" w14:paraId="4C78E9B1" w14:textId="77777777" w:rsidTr="0059536B">
        <w:trPr>
          <w:jc w:val="center"/>
        </w:trPr>
        <w:tc>
          <w:tcPr>
            <w:tcW w:w="472" w:type="dxa"/>
            <w:tcBorders>
              <w:top w:val="nil"/>
              <w:bottom w:val="nil"/>
            </w:tcBorders>
          </w:tcPr>
          <w:p w14:paraId="7969FA56" w14:textId="77777777" w:rsidR="0006045C" w:rsidRPr="00055769" w:rsidRDefault="0006045C" w:rsidP="0006045C">
            <w:pPr>
              <w:rPr>
                <w:sz w:val="16"/>
                <w:szCs w:val="16"/>
              </w:rPr>
            </w:pPr>
            <w:r w:rsidRPr="00055769">
              <w:rPr>
                <w:sz w:val="16"/>
                <w:szCs w:val="16"/>
              </w:rPr>
              <w:t>6%</w:t>
            </w:r>
          </w:p>
        </w:tc>
        <w:tc>
          <w:tcPr>
            <w:tcW w:w="1836" w:type="dxa"/>
            <w:tcBorders>
              <w:top w:val="nil"/>
              <w:bottom w:val="nil"/>
            </w:tcBorders>
          </w:tcPr>
          <w:p w14:paraId="71B5AEA0" w14:textId="77777777" w:rsidR="0006045C" w:rsidRPr="00055769" w:rsidRDefault="0006045C" w:rsidP="0006045C">
            <w:pPr>
              <w:rPr>
                <w:sz w:val="16"/>
                <w:szCs w:val="16"/>
              </w:rPr>
            </w:pPr>
            <w:r w:rsidRPr="00055769">
              <w:rPr>
                <w:sz w:val="16"/>
                <w:szCs w:val="16"/>
              </w:rPr>
              <w:t>Without diversification</w:t>
            </w:r>
          </w:p>
        </w:tc>
        <w:tc>
          <w:tcPr>
            <w:tcW w:w="1465" w:type="dxa"/>
            <w:tcBorders>
              <w:top w:val="nil"/>
              <w:bottom w:val="nil"/>
            </w:tcBorders>
            <w:shd w:val="clear" w:color="auto" w:fill="92D050"/>
          </w:tcPr>
          <w:p w14:paraId="61F913DA" w14:textId="7BC0C2CD" w:rsidR="0006045C" w:rsidRPr="00055769" w:rsidRDefault="0006045C" w:rsidP="0006045C">
            <w:pPr>
              <w:jc w:val="center"/>
              <w:rPr>
                <w:sz w:val="16"/>
                <w:szCs w:val="16"/>
              </w:rPr>
            </w:pPr>
            <w:r w:rsidRPr="00055769">
              <w:rPr>
                <w:sz w:val="16"/>
                <w:szCs w:val="16"/>
              </w:rPr>
              <w:t>0%/-9%/-18%</w:t>
            </w:r>
          </w:p>
        </w:tc>
        <w:tc>
          <w:tcPr>
            <w:tcW w:w="1465" w:type="dxa"/>
            <w:tcBorders>
              <w:top w:val="nil"/>
              <w:bottom w:val="nil"/>
            </w:tcBorders>
            <w:shd w:val="clear" w:color="auto" w:fill="92D050"/>
          </w:tcPr>
          <w:p w14:paraId="2B7B8968" w14:textId="64D885C5" w:rsidR="0006045C" w:rsidRPr="00055769" w:rsidRDefault="0006045C" w:rsidP="0006045C">
            <w:pPr>
              <w:jc w:val="center"/>
              <w:rPr>
                <w:sz w:val="16"/>
                <w:szCs w:val="16"/>
              </w:rPr>
            </w:pPr>
            <w:r w:rsidRPr="00055769">
              <w:rPr>
                <w:sz w:val="16"/>
                <w:szCs w:val="16"/>
              </w:rPr>
              <w:t>0%/-</w:t>
            </w:r>
            <w:r>
              <w:rPr>
                <w:sz w:val="16"/>
                <w:szCs w:val="16"/>
              </w:rPr>
              <w:t>17</w:t>
            </w:r>
            <w:r w:rsidRPr="00055769">
              <w:rPr>
                <w:sz w:val="16"/>
                <w:szCs w:val="16"/>
              </w:rPr>
              <w:t>%/-</w:t>
            </w:r>
            <w:r>
              <w:rPr>
                <w:sz w:val="16"/>
                <w:szCs w:val="16"/>
              </w:rPr>
              <w:t>31</w:t>
            </w:r>
            <w:r w:rsidRPr="00055769">
              <w:rPr>
                <w:sz w:val="16"/>
                <w:szCs w:val="16"/>
              </w:rPr>
              <w:t>%</w:t>
            </w:r>
          </w:p>
        </w:tc>
        <w:tc>
          <w:tcPr>
            <w:tcW w:w="1465" w:type="dxa"/>
            <w:tcBorders>
              <w:top w:val="nil"/>
              <w:bottom w:val="nil"/>
            </w:tcBorders>
            <w:shd w:val="clear" w:color="auto" w:fill="92D050"/>
          </w:tcPr>
          <w:p w14:paraId="3D53343F" w14:textId="5F48B4EF" w:rsidR="0006045C" w:rsidRPr="00055769" w:rsidRDefault="0006045C" w:rsidP="0006045C">
            <w:pPr>
              <w:jc w:val="center"/>
              <w:rPr>
                <w:sz w:val="16"/>
                <w:szCs w:val="16"/>
              </w:rPr>
            </w:pPr>
            <w:r w:rsidRPr="00055769">
              <w:rPr>
                <w:sz w:val="16"/>
                <w:szCs w:val="16"/>
              </w:rPr>
              <w:t>0%/-</w:t>
            </w:r>
            <w:r>
              <w:rPr>
                <w:sz w:val="16"/>
                <w:szCs w:val="16"/>
              </w:rPr>
              <w:t>2</w:t>
            </w:r>
            <w:r w:rsidRPr="00055769">
              <w:rPr>
                <w:sz w:val="16"/>
                <w:szCs w:val="16"/>
              </w:rPr>
              <w:t>9%/-</w:t>
            </w:r>
            <w:r>
              <w:rPr>
                <w:sz w:val="16"/>
                <w:szCs w:val="16"/>
              </w:rPr>
              <w:t>47</w:t>
            </w:r>
            <w:r w:rsidRPr="00055769">
              <w:rPr>
                <w:sz w:val="16"/>
                <w:szCs w:val="16"/>
              </w:rPr>
              <w:t>%</w:t>
            </w:r>
          </w:p>
        </w:tc>
        <w:tc>
          <w:tcPr>
            <w:tcW w:w="1465" w:type="dxa"/>
            <w:tcBorders>
              <w:top w:val="nil"/>
              <w:bottom w:val="nil"/>
            </w:tcBorders>
            <w:shd w:val="clear" w:color="auto" w:fill="92D050"/>
          </w:tcPr>
          <w:p w14:paraId="3C082A15" w14:textId="2327FCBC" w:rsidR="0006045C" w:rsidRPr="00055769" w:rsidRDefault="0006045C" w:rsidP="0006045C">
            <w:pPr>
              <w:jc w:val="center"/>
              <w:rPr>
                <w:sz w:val="16"/>
                <w:szCs w:val="16"/>
              </w:rPr>
            </w:pPr>
            <w:r w:rsidRPr="00055769">
              <w:rPr>
                <w:sz w:val="16"/>
                <w:szCs w:val="16"/>
              </w:rPr>
              <w:t>0%/-</w:t>
            </w:r>
            <w:r>
              <w:rPr>
                <w:sz w:val="16"/>
                <w:szCs w:val="16"/>
              </w:rPr>
              <w:t>37</w:t>
            </w:r>
            <w:r w:rsidRPr="00055769">
              <w:rPr>
                <w:sz w:val="16"/>
                <w:szCs w:val="16"/>
              </w:rPr>
              <w:t>%/-</w:t>
            </w:r>
            <w:r>
              <w:rPr>
                <w:sz w:val="16"/>
                <w:szCs w:val="16"/>
              </w:rPr>
              <w:t>55</w:t>
            </w:r>
            <w:r w:rsidRPr="00055769">
              <w:rPr>
                <w:sz w:val="16"/>
                <w:szCs w:val="16"/>
              </w:rPr>
              <w:t>%</w:t>
            </w:r>
          </w:p>
        </w:tc>
        <w:tc>
          <w:tcPr>
            <w:tcW w:w="1466" w:type="dxa"/>
            <w:tcBorders>
              <w:top w:val="nil"/>
              <w:bottom w:val="nil"/>
            </w:tcBorders>
            <w:shd w:val="clear" w:color="auto" w:fill="FFFF00"/>
          </w:tcPr>
          <w:p w14:paraId="20432F43" w14:textId="720F3D90" w:rsidR="0006045C" w:rsidRPr="00055769" w:rsidRDefault="0006045C" w:rsidP="0006045C">
            <w:pPr>
              <w:jc w:val="center"/>
              <w:rPr>
                <w:sz w:val="16"/>
                <w:szCs w:val="16"/>
              </w:rPr>
            </w:pPr>
            <w:r w:rsidRPr="00055769">
              <w:rPr>
                <w:sz w:val="16"/>
                <w:szCs w:val="16"/>
              </w:rPr>
              <w:t>0%/-</w:t>
            </w:r>
            <w:r>
              <w:rPr>
                <w:sz w:val="16"/>
                <w:szCs w:val="16"/>
              </w:rPr>
              <w:t>43</w:t>
            </w:r>
            <w:r w:rsidRPr="00055769">
              <w:rPr>
                <w:sz w:val="16"/>
                <w:szCs w:val="16"/>
              </w:rPr>
              <w:t>%/-</w:t>
            </w:r>
            <w:r>
              <w:rPr>
                <w:sz w:val="16"/>
                <w:szCs w:val="16"/>
              </w:rPr>
              <w:t>60</w:t>
            </w:r>
            <w:r w:rsidRPr="00055769">
              <w:rPr>
                <w:sz w:val="16"/>
                <w:szCs w:val="16"/>
              </w:rPr>
              <w:t>%</w:t>
            </w:r>
          </w:p>
        </w:tc>
      </w:tr>
      <w:tr w:rsidR="0006045C" w:rsidRPr="00055769" w14:paraId="765974BE" w14:textId="77777777" w:rsidTr="0059536B">
        <w:trPr>
          <w:jc w:val="center"/>
        </w:trPr>
        <w:tc>
          <w:tcPr>
            <w:tcW w:w="472" w:type="dxa"/>
            <w:tcBorders>
              <w:top w:val="nil"/>
              <w:bottom w:val="single" w:sz="4" w:space="0" w:color="auto"/>
            </w:tcBorders>
          </w:tcPr>
          <w:p w14:paraId="55AA08A9" w14:textId="77777777" w:rsidR="0006045C" w:rsidRPr="00055769" w:rsidRDefault="0006045C" w:rsidP="0006045C">
            <w:pPr>
              <w:rPr>
                <w:sz w:val="16"/>
                <w:szCs w:val="16"/>
              </w:rPr>
            </w:pPr>
          </w:p>
        </w:tc>
        <w:tc>
          <w:tcPr>
            <w:tcW w:w="1836" w:type="dxa"/>
            <w:tcBorders>
              <w:top w:val="nil"/>
              <w:bottom w:val="single" w:sz="4" w:space="0" w:color="auto"/>
            </w:tcBorders>
          </w:tcPr>
          <w:p w14:paraId="771B21AB" w14:textId="77777777" w:rsidR="0006045C" w:rsidRPr="00055769" w:rsidRDefault="0006045C" w:rsidP="0006045C">
            <w:pPr>
              <w:rPr>
                <w:sz w:val="16"/>
                <w:szCs w:val="16"/>
              </w:rPr>
            </w:pPr>
            <w:r w:rsidRPr="00055769">
              <w:rPr>
                <w:sz w:val="16"/>
                <w:szCs w:val="16"/>
              </w:rPr>
              <w:t>With diversification</w:t>
            </w:r>
          </w:p>
        </w:tc>
        <w:tc>
          <w:tcPr>
            <w:tcW w:w="1465" w:type="dxa"/>
            <w:tcBorders>
              <w:top w:val="nil"/>
              <w:bottom w:val="single" w:sz="4" w:space="0" w:color="auto"/>
            </w:tcBorders>
            <w:shd w:val="clear" w:color="auto" w:fill="92D050"/>
          </w:tcPr>
          <w:p w14:paraId="66E79B00" w14:textId="65284E3F" w:rsidR="0006045C" w:rsidRPr="00055769" w:rsidRDefault="0006045C" w:rsidP="0006045C">
            <w:pPr>
              <w:jc w:val="center"/>
              <w:rPr>
                <w:sz w:val="16"/>
                <w:szCs w:val="16"/>
              </w:rPr>
            </w:pPr>
            <w:r w:rsidRPr="00055769">
              <w:rPr>
                <w:sz w:val="16"/>
                <w:szCs w:val="16"/>
              </w:rPr>
              <w:t>-15%/-23%/-3</w:t>
            </w:r>
            <w:r>
              <w:rPr>
                <w:sz w:val="16"/>
                <w:szCs w:val="16"/>
              </w:rPr>
              <w:t>1</w:t>
            </w:r>
            <w:r w:rsidRPr="00055769">
              <w:rPr>
                <w:sz w:val="16"/>
                <w:szCs w:val="16"/>
              </w:rPr>
              <w:t>%</w:t>
            </w:r>
          </w:p>
        </w:tc>
        <w:tc>
          <w:tcPr>
            <w:tcW w:w="1465" w:type="dxa"/>
            <w:tcBorders>
              <w:top w:val="nil"/>
              <w:bottom w:val="single" w:sz="4" w:space="0" w:color="auto"/>
            </w:tcBorders>
            <w:shd w:val="clear" w:color="auto" w:fill="92D050"/>
          </w:tcPr>
          <w:p w14:paraId="5E322ED5" w14:textId="4A0BBC25" w:rsidR="0006045C" w:rsidRPr="00055769" w:rsidRDefault="0006045C" w:rsidP="0006045C">
            <w:pPr>
              <w:jc w:val="center"/>
              <w:rPr>
                <w:sz w:val="16"/>
                <w:szCs w:val="16"/>
              </w:rPr>
            </w:pPr>
            <w:r w:rsidRPr="00055769">
              <w:rPr>
                <w:sz w:val="16"/>
                <w:szCs w:val="16"/>
              </w:rPr>
              <w:t>-15%/-2</w:t>
            </w:r>
            <w:r>
              <w:rPr>
                <w:sz w:val="16"/>
                <w:szCs w:val="16"/>
              </w:rPr>
              <w:t>9</w:t>
            </w:r>
            <w:r w:rsidRPr="00055769">
              <w:rPr>
                <w:sz w:val="16"/>
                <w:szCs w:val="16"/>
              </w:rPr>
              <w:t>%/-</w:t>
            </w:r>
            <w:r>
              <w:rPr>
                <w:sz w:val="16"/>
                <w:szCs w:val="16"/>
              </w:rPr>
              <w:t>42</w:t>
            </w:r>
            <w:r w:rsidRPr="00055769">
              <w:rPr>
                <w:sz w:val="16"/>
                <w:szCs w:val="16"/>
              </w:rPr>
              <w:t>%</w:t>
            </w:r>
          </w:p>
        </w:tc>
        <w:tc>
          <w:tcPr>
            <w:tcW w:w="1465" w:type="dxa"/>
            <w:tcBorders>
              <w:top w:val="nil"/>
              <w:bottom w:val="single" w:sz="4" w:space="0" w:color="auto"/>
            </w:tcBorders>
            <w:shd w:val="clear" w:color="auto" w:fill="92D050"/>
          </w:tcPr>
          <w:p w14:paraId="463B876E" w14:textId="709DC33E" w:rsidR="0006045C" w:rsidRPr="00055769" w:rsidRDefault="0006045C" w:rsidP="0006045C">
            <w:pPr>
              <w:jc w:val="center"/>
              <w:rPr>
                <w:sz w:val="16"/>
                <w:szCs w:val="16"/>
              </w:rPr>
            </w:pPr>
            <w:r w:rsidRPr="00055769">
              <w:rPr>
                <w:sz w:val="16"/>
                <w:szCs w:val="16"/>
              </w:rPr>
              <w:t>-15%/-</w:t>
            </w:r>
            <w:r>
              <w:rPr>
                <w:sz w:val="16"/>
                <w:szCs w:val="16"/>
              </w:rPr>
              <w:t>39</w:t>
            </w:r>
            <w:r w:rsidRPr="00055769">
              <w:rPr>
                <w:sz w:val="16"/>
                <w:szCs w:val="16"/>
              </w:rPr>
              <w:t>%/-</w:t>
            </w:r>
            <w:r>
              <w:rPr>
                <w:sz w:val="16"/>
                <w:szCs w:val="16"/>
              </w:rPr>
              <w:t>55</w:t>
            </w:r>
            <w:r w:rsidRPr="00055769">
              <w:rPr>
                <w:sz w:val="16"/>
                <w:szCs w:val="16"/>
              </w:rPr>
              <w:t>%</w:t>
            </w:r>
          </w:p>
        </w:tc>
        <w:tc>
          <w:tcPr>
            <w:tcW w:w="1465" w:type="dxa"/>
            <w:tcBorders>
              <w:top w:val="nil"/>
              <w:bottom w:val="single" w:sz="4" w:space="0" w:color="auto"/>
            </w:tcBorders>
            <w:shd w:val="clear" w:color="auto" w:fill="FFFF00"/>
          </w:tcPr>
          <w:p w14:paraId="74C76FEF" w14:textId="42910F05" w:rsidR="0006045C" w:rsidRPr="00055769" w:rsidRDefault="0006045C" w:rsidP="0006045C">
            <w:pPr>
              <w:jc w:val="center"/>
              <w:rPr>
                <w:sz w:val="16"/>
                <w:szCs w:val="16"/>
              </w:rPr>
            </w:pPr>
            <w:r w:rsidRPr="00055769">
              <w:rPr>
                <w:sz w:val="16"/>
                <w:szCs w:val="16"/>
              </w:rPr>
              <w:t>-15%/-</w:t>
            </w:r>
            <w:r>
              <w:rPr>
                <w:sz w:val="16"/>
                <w:szCs w:val="16"/>
              </w:rPr>
              <w:t>47</w:t>
            </w:r>
            <w:r w:rsidRPr="00055769">
              <w:rPr>
                <w:sz w:val="16"/>
                <w:szCs w:val="16"/>
              </w:rPr>
              <w:t>%/-</w:t>
            </w:r>
            <w:r>
              <w:rPr>
                <w:sz w:val="16"/>
                <w:szCs w:val="16"/>
              </w:rPr>
              <w:t>62</w:t>
            </w:r>
            <w:r w:rsidRPr="00055769">
              <w:rPr>
                <w:sz w:val="16"/>
                <w:szCs w:val="16"/>
              </w:rPr>
              <w:t>%</w:t>
            </w:r>
          </w:p>
        </w:tc>
        <w:tc>
          <w:tcPr>
            <w:tcW w:w="1466" w:type="dxa"/>
            <w:tcBorders>
              <w:top w:val="nil"/>
              <w:bottom w:val="single" w:sz="4" w:space="0" w:color="auto"/>
            </w:tcBorders>
            <w:shd w:val="clear" w:color="auto" w:fill="FFC000"/>
          </w:tcPr>
          <w:p w14:paraId="221E1006" w14:textId="4C876235" w:rsidR="0006045C" w:rsidRPr="00055769" w:rsidRDefault="0006045C" w:rsidP="0006045C">
            <w:pPr>
              <w:jc w:val="center"/>
              <w:rPr>
                <w:sz w:val="16"/>
                <w:szCs w:val="16"/>
              </w:rPr>
            </w:pPr>
            <w:r w:rsidRPr="00055769">
              <w:rPr>
                <w:sz w:val="16"/>
                <w:szCs w:val="16"/>
              </w:rPr>
              <w:t>-15%/-</w:t>
            </w:r>
            <w:r>
              <w:rPr>
                <w:sz w:val="16"/>
                <w:szCs w:val="16"/>
              </w:rPr>
              <w:t>52</w:t>
            </w:r>
            <w:r w:rsidRPr="00055769">
              <w:rPr>
                <w:sz w:val="16"/>
                <w:szCs w:val="16"/>
              </w:rPr>
              <w:t>%/-</w:t>
            </w:r>
            <w:r>
              <w:rPr>
                <w:sz w:val="16"/>
                <w:szCs w:val="16"/>
              </w:rPr>
              <w:t>66</w:t>
            </w:r>
            <w:r w:rsidRPr="00055769">
              <w:rPr>
                <w:sz w:val="16"/>
                <w:szCs w:val="16"/>
              </w:rPr>
              <w:t>%</w:t>
            </w:r>
          </w:p>
        </w:tc>
      </w:tr>
      <w:tr w:rsidR="00FC6EED" w:rsidRPr="00055769" w14:paraId="6CB53156" w14:textId="77777777" w:rsidTr="0059536B">
        <w:trPr>
          <w:jc w:val="center"/>
        </w:trPr>
        <w:tc>
          <w:tcPr>
            <w:tcW w:w="472" w:type="dxa"/>
            <w:tcBorders>
              <w:top w:val="single" w:sz="4" w:space="0" w:color="auto"/>
              <w:bottom w:val="nil"/>
            </w:tcBorders>
          </w:tcPr>
          <w:p w14:paraId="60E09090" w14:textId="77777777" w:rsidR="00FC6EED" w:rsidRPr="00055769" w:rsidRDefault="00FC6EED" w:rsidP="00FC6EED">
            <w:pPr>
              <w:rPr>
                <w:sz w:val="16"/>
                <w:szCs w:val="16"/>
              </w:rPr>
            </w:pPr>
            <w:r w:rsidRPr="00055769">
              <w:rPr>
                <w:sz w:val="16"/>
                <w:szCs w:val="16"/>
              </w:rPr>
              <w:t>5%</w:t>
            </w:r>
          </w:p>
        </w:tc>
        <w:tc>
          <w:tcPr>
            <w:tcW w:w="1836" w:type="dxa"/>
            <w:tcBorders>
              <w:top w:val="single" w:sz="4" w:space="0" w:color="auto"/>
              <w:bottom w:val="nil"/>
            </w:tcBorders>
          </w:tcPr>
          <w:p w14:paraId="2216C1C0" w14:textId="77777777" w:rsidR="00FC6EED" w:rsidRPr="00055769" w:rsidRDefault="00FC6EED" w:rsidP="00FC6EED">
            <w:pPr>
              <w:rPr>
                <w:sz w:val="16"/>
                <w:szCs w:val="16"/>
              </w:rPr>
            </w:pPr>
            <w:r w:rsidRPr="00055769">
              <w:rPr>
                <w:sz w:val="16"/>
                <w:szCs w:val="16"/>
              </w:rPr>
              <w:t>Without diversification</w:t>
            </w:r>
          </w:p>
        </w:tc>
        <w:tc>
          <w:tcPr>
            <w:tcW w:w="1465" w:type="dxa"/>
            <w:tcBorders>
              <w:top w:val="single" w:sz="4" w:space="0" w:color="auto"/>
              <w:bottom w:val="nil"/>
            </w:tcBorders>
            <w:shd w:val="clear" w:color="auto" w:fill="92D050"/>
          </w:tcPr>
          <w:p w14:paraId="5E13A9A1" w14:textId="0E69FF0C" w:rsidR="00FC6EED" w:rsidRPr="00055769" w:rsidRDefault="00FC6EED" w:rsidP="00FC6EED">
            <w:pPr>
              <w:jc w:val="center"/>
              <w:rPr>
                <w:sz w:val="16"/>
                <w:szCs w:val="16"/>
              </w:rPr>
            </w:pPr>
            <w:r>
              <w:rPr>
                <w:sz w:val="16"/>
                <w:szCs w:val="16"/>
              </w:rPr>
              <w:t>-17</w:t>
            </w:r>
            <w:r w:rsidRPr="00055769">
              <w:rPr>
                <w:sz w:val="16"/>
                <w:szCs w:val="16"/>
              </w:rPr>
              <w:t>%/-</w:t>
            </w:r>
            <w:r>
              <w:rPr>
                <w:sz w:val="16"/>
                <w:szCs w:val="16"/>
              </w:rPr>
              <w:t>24</w:t>
            </w:r>
            <w:r w:rsidRPr="00055769">
              <w:rPr>
                <w:sz w:val="16"/>
                <w:szCs w:val="16"/>
              </w:rPr>
              <w:t>%/-</w:t>
            </w:r>
            <w:r>
              <w:rPr>
                <w:sz w:val="16"/>
                <w:szCs w:val="16"/>
              </w:rPr>
              <w:t>32</w:t>
            </w:r>
            <w:r w:rsidRPr="00055769">
              <w:rPr>
                <w:sz w:val="16"/>
                <w:szCs w:val="16"/>
              </w:rPr>
              <w:t>%</w:t>
            </w:r>
          </w:p>
        </w:tc>
        <w:tc>
          <w:tcPr>
            <w:tcW w:w="1465" w:type="dxa"/>
            <w:tcBorders>
              <w:top w:val="single" w:sz="4" w:space="0" w:color="auto"/>
              <w:bottom w:val="nil"/>
            </w:tcBorders>
            <w:shd w:val="clear" w:color="auto" w:fill="92D050"/>
          </w:tcPr>
          <w:p w14:paraId="335F7F3F" w14:textId="0FFC22B9" w:rsidR="00FC6EED" w:rsidRPr="00055769" w:rsidRDefault="00FC6EED" w:rsidP="00FC6EED">
            <w:pPr>
              <w:jc w:val="center"/>
              <w:rPr>
                <w:sz w:val="16"/>
                <w:szCs w:val="16"/>
              </w:rPr>
            </w:pPr>
            <w:r>
              <w:rPr>
                <w:sz w:val="16"/>
                <w:szCs w:val="16"/>
              </w:rPr>
              <w:t>-17</w:t>
            </w:r>
            <w:r w:rsidRPr="00055769">
              <w:rPr>
                <w:sz w:val="16"/>
                <w:szCs w:val="16"/>
              </w:rPr>
              <w:t>%/-</w:t>
            </w:r>
            <w:r>
              <w:rPr>
                <w:sz w:val="16"/>
                <w:szCs w:val="16"/>
              </w:rPr>
              <w:t>31</w:t>
            </w:r>
            <w:r w:rsidRPr="00055769">
              <w:rPr>
                <w:sz w:val="16"/>
                <w:szCs w:val="16"/>
              </w:rPr>
              <w:t>%/-</w:t>
            </w:r>
            <w:r>
              <w:rPr>
                <w:sz w:val="16"/>
                <w:szCs w:val="16"/>
              </w:rPr>
              <w:t>43</w:t>
            </w:r>
            <w:r w:rsidRPr="00055769">
              <w:rPr>
                <w:sz w:val="16"/>
                <w:szCs w:val="16"/>
              </w:rPr>
              <w:t>%</w:t>
            </w:r>
          </w:p>
        </w:tc>
        <w:tc>
          <w:tcPr>
            <w:tcW w:w="1465" w:type="dxa"/>
            <w:tcBorders>
              <w:top w:val="single" w:sz="4" w:space="0" w:color="auto"/>
              <w:bottom w:val="nil"/>
            </w:tcBorders>
            <w:shd w:val="clear" w:color="auto" w:fill="92D050"/>
          </w:tcPr>
          <w:p w14:paraId="71A17418" w14:textId="1B65833C" w:rsidR="00FC6EED" w:rsidRPr="00055769" w:rsidRDefault="00FC6EED" w:rsidP="00FC6EED">
            <w:pPr>
              <w:jc w:val="center"/>
              <w:rPr>
                <w:sz w:val="16"/>
                <w:szCs w:val="16"/>
              </w:rPr>
            </w:pPr>
            <w:r>
              <w:rPr>
                <w:sz w:val="16"/>
                <w:szCs w:val="16"/>
              </w:rPr>
              <w:t>-17</w:t>
            </w:r>
            <w:r w:rsidRPr="00055769">
              <w:rPr>
                <w:sz w:val="16"/>
                <w:szCs w:val="16"/>
              </w:rPr>
              <w:t>%/-</w:t>
            </w:r>
            <w:r>
              <w:rPr>
                <w:sz w:val="16"/>
                <w:szCs w:val="16"/>
              </w:rPr>
              <w:t>40</w:t>
            </w:r>
            <w:r w:rsidRPr="00055769">
              <w:rPr>
                <w:sz w:val="16"/>
                <w:szCs w:val="16"/>
              </w:rPr>
              <w:t>%/-</w:t>
            </w:r>
            <w:r>
              <w:rPr>
                <w:sz w:val="16"/>
                <w:szCs w:val="16"/>
              </w:rPr>
              <w:t>55</w:t>
            </w:r>
            <w:r w:rsidRPr="00055769">
              <w:rPr>
                <w:sz w:val="16"/>
                <w:szCs w:val="16"/>
              </w:rPr>
              <w:t>%</w:t>
            </w:r>
          </w:p>
        </w:tc>
        <w:tc>
          <w:tcPr>
            <w:tcW w:w="1465" w:type="dxa"/>
            <w:tcBorders>
              <w:top w:val="single" w:sz="4" w:space="0" w:color="auto"/>
              <w:bottom w:val="nil"/>
            </w:tcBorders>
            <w:shd w:val="clear" w:color="auto" w:fill="FFFF00"/>
          </w:tcPr>
          <w:p w14:paraId="59EF9F40" w14:textId="78B1B053" w:rsidR="00FC6EED" w:rsidRPr="00055769" w:rsidRDefault="00FC6EED" w:rsidP="00FC6EED">
            <w:pPr>
              <w:jc w:val="center"/>
              <w:rPr>
                <w:sz w:val="16"/>
                <w:szCs w:val="16"/>
              </w:rPr>
            </w:pPr>
            <w:r>
              <w:rPr>
                <w:sz w:val="16"/>
                <w:szCs w:val="16"/>
              </w:rPr>
              <w:t>-17</w:t>
            </w:r>
            <w:r w:rsidRPr="00055769">
              <w:rPr>
                <w:sz w:val="16"/>
                <w:szCs w:val="16"/>
              </w:rPr>
              <w:t>%/-</w:t>
            </w:r>
            <w:r>
              <w:rPr>
                <w:sz w:val="16"/>
                <w:szCs w:val="16"/>
              </w:rPr>
              <w:t>47</w:t>
            </w:r>
            <w:r w:rsidRPr="00055769">
              <w:rPr>
                <w:sz w:val="16"/>
                <w:szCs w:val="16"/>
              </w:rPr>
              <w:t>%/-</w:t>
            </w:r>
            <w:r>
              <w:rPr>
                <w:sz w:val="16"/>
                <w:szCs w:val="16"/>
              </w:rPr>
              <w:t>62</w:t>
            </w:r>
            <w:r w:rsidRPr="00055769">
              <w:rPr>
                <w:sz w:val="16"/>
                <w:szCs w:val="16"/>
              </w:rPr>
              <w:t>%</w:t>
            </w:r>
          </w:p>
        </w:tc>
        <w:tc>
          <w:tcPr>
            <w:tcW w:w="1466" w:type="dxa"/>
            <w:tcBorders>
              <w:top w:val="single" w:sz="4" w:space="0" w:color="auto"/>
              <w:bottom w:val="nil"/>
            </w:tcBorders>
            <w:shd w:val="clear" w:color="auto" w:fill="FFFF00"/>
          </w:tcPr>
          <w:p w14:paraId="58BD2EB1" w14:textId="651EF713" w:rsidR="00FC6EED" w:rsidRPr="00055769" w:rsidRDefault="00FC6EED" w:rsidP="00FC6EED">
            <w:pPr>
              <w:jc w:val="center"/>
              <w:rPr>
                <w:sz w:val="16"/>
                <w:szCs w:val="16"/>
              </w:rPr>
            </w:pPr>
            <w:r>
              <w:rPr>
                <w:sz w:val="16"/>
                <w:szCs w:val="16"/>
              </w:rPr>
              <w:t>-17</w:t>
            </w:r>
            <w:r w:rsidRPr="00055769">
              <w:rPr>
                <w:sz w:val="16"/>
                <w:szCs w:val="16"/>
              </w:rPr>
              <w:t>%/-</w:t>
            </w:r>
            <w:r>
              <w:rPr>
                <w:sz w:val="16"/>
                <w:szCs w:val="16"/>
              </w:rPr>
              <w:t>52</w:t>
            </w:r>
            <w:r w:rsidRPr="00055769">
              <w:rPr>
                <w:sz w:val="16"/>
                <w:szCs w:val="16"/>
              </w:rPr>
              <w:t>%/-</w:t>
            </w:r>
            <w:r>
              <w:rPr>
                <w:sz w:val="16"/>
                <w:szCs w:val="16"/>
              </w:rPr>
              <w:t>66</w:t>
            </w:r>
            <w:r w:rsidRPr="00055769">
              <w:rPr>
                <w:sz w:val="16"/>
                <w:szCs w:val="16"/>
              </w:rPr>
              <w:t>%</w:t>
            </w:r>
          </w:p>
        </w:tc>
      </w:tr>
      <w:tr w:rsidR="00FC6EED" w:rsidRPr="00055769" w14:paraId="7AF5C41A" w14:textId="77777777" w:rsidTr="00EA08BB">
        <w:trPr>
          <w:jc w:val="center"/>
        </w:trPr>
        <w:tc>
          <w:tcPr>
            <w:tcW w:w="472" w:type="dxa"/>
            <w:tcBorders>
              <w:top w:val="nil"/>
            </w:tcBorders>
          </w:tcPr>
          <w:p w14:paraId="7E32A5CD" w14:textId="77777777" w:rsidR="00FC6EED" w:rsidRPr="00055769" w:rsidRDefault="00FC6EED" w:rsidP="00FC6EED">
            <w:pPr>
              <w:rPr>
                <w:sz w:val="16"/>
                <w:szCs w:val="16"/>
              </w:rPr>
            </w:pPr>
          </w:p>
        </w:tc>
        <w:tc>
          <w:tcPr>
            <w:tcW w:w="1836" w:type="dxa"/>
            <w:tcBorders>
              <w:top w:val="nil"/>
            </w:tcBorders>
          </w:tcPr>
          <w:p w14:paraId="780FA986" w14:textId="77777777" w:rsidR="00FC6EED" w:rsidRPr="00055769" w:rsidRDefault="00FC6EED" w:rsidP="00FC6EED">
            <w:pPr>
              <w:rPr>
                <w:sz w:val="16"/>
                <w:szCs w:val="16"/>
              </w:rPr>
            </w:pPr>
            <w:r w:rsidRPr="00055769">
              <w:rPr>
                <w:sz w:val="16"/>
                <w:szCs w:val="16"/>
              </w:rPr>
              <w:t>With diversification</w:t>
            </w:r>
          </w:p>
        </w:tc>
        <w:tc>
          <w:tcPr>
            <w:tcW w:w="1465" w:type="dxa"/>
            <w:tcBorders>
              <w:top w:val="nil"/>
            </w:tcBorders>
            <w:shd w:val="clear" w:color="auto" w:fill="FFFF00"/>
          </w:tcPr>
          <w:p w14:paraId="0BE763DB" w14:textId="06663AD8" w:rsidR="00FC6EED" w:rsidRPr="00055769" w:rsidRDefault="00FC6EED" w:rsidP="00FC6EED">
            <w:pPr>
              <w:jc w:val="center"/>
              <w:rPr>
                <w:sz w:val="16"/>
                <w:szCs w:val="16"/>
              </w:rPr>
            </w:pPr>
            <w:r w:rsidRPr="00055769">
              <w:rPr>
                <w:sz w:val="16"/>
                <w:szCs w:val="16"/>
              </w:rPr>
              <w:t>-</w:t>
            </w:r>
            <w:r>
              <w:rPr>
                <w:sz w:val="16"/>
                <w:szCs w:val="16"/>
              </w:rPr>
              <w:t>29</w:t>
            </w:r>
            <w:r w:rsidRPr="00055769">
              <w:rPr>
                <w:sz w:val="16"/>
                <w:szCs w:val="16"/>
              </w:rPr>
              <w:t>%/-</w:t>
            </w:r>
            <w:r>
              <w:rPr>
                <w:sz w:val="16"/>
                <w:szCs w:val="16"/>
              </w:rPr>
              <w:t>36</w:t>
            </w:r>
            <w:r w:rsidRPr="00055769">
              <w:rPr>
                <w:sz w:val="16"/>
                <w:szCs w:val="16"/>
              </w:rPr>
              <w:t>%/-</w:t>
            </w:r>
            <w:r>
              <w:rPr>
                <w:sz w:val="16"/>
                <w:szCs w:val="16"/>
              </w:rPr>
              <w:t>42</w:t>
            </w:r>
            <w:r w:rsidRPr="00055769">
              <w:rPr>
                <w:sz w:val="16"/>
                <w:szCs w:val="16"/>
              </w:rPr>
              <w:t>%</w:t>
            </w:r>
          </w:p>
        </w:tc>
        <w:tc>
          <w:tcPr>
            <w:tcW w:w="1465" w:type="dxa"/>
            <w:tcBorders>
              <w:top w:val="nil"/>
            </w:tcBorders>
            <w:shd w:val="clear" w:color="auto" w:fill="FFFF00"/>
          </w:tcPr>
          <w:p w14:paraId="46EE8ADF" w14:textId="5B8F68C2" w:rsidR="00FC6EED" w:rsidRPr="00055769" w:rsidRDefault="00FC6EED" w:rsidP="00FC6EED">
            <w:pPr>
              <w:jc w:val="center"/>
              <w:rPr>
                <w:sz w:val="16"/>
                <w:szCs w:val="16"/>
              </w:rPr>
            </w:pPr>
            <w:r w:rsidRPr="00055769">
              <w:rPr>
                <w:sz w:val="16"/>
                <w:szCs w:val="16"/>
              </w:rPr>
              <w:t>-</w:t>
            </w:r>
            <w:r>
              <w:rPr>
                <w:sz w:val="16"/>
                <w:szCs w:val="16"/>
              </w:rPr>
              <w:t>29</w:t>
            </w:r>
            <w:r w:rsidRPr="00055769">
              <w:rPr>
                <w:sz w:val="16"/>
                <w:szCs w:val="16"/>
              </w:rPr>
              <w:t>%/-</w:t>
            </w:r>
            <w:r>
              <w:rPr>
                <w:sz w:val="16"/>
                <w:szCs w:val="16"/>
              </w:rPr>
              <w:t>41</w:t>
            </w:r>
            <w:r w:rsidRPr="00055769">
              <w:rPr>
                <w:sz w:val="16"/>
                <w:szCs w:val="16"/>
              </w:rPr>
              <w:t>%/-</w:t>
            </w:r>
            <w:r>
              <w:rPr>
                <w:sz w:val="16"/>
                <w:szCs w:val="16"/>
              </w:rPr>
              <w:t>51</w:t>
            </w:r>
            <w:r w:rsidRPr="00055769">
              <w:rPr>
                <w:sz w:val="16"/>
                <w:szCs w:val="16"/>
              </w:rPr>
              <w:t>%</w:t>
            </w:r>
          </w:p>
        </w:tc>
        <w:tc>
          <w:tcPr>
            <w:tcW w:w="1465" w:type="dxa"/>
            <w:tcBorders>
              <w:top w:val="nil"/>
            </w:tcBorders>
            <w:shd w:val="clear" w:color="auto" w:fill="FFFF00"/>
          </w:tcPr>
          <w:p w14:paraId="48525D56" w14:textId="04031029" w:rsidR="00FC6EED" w:rsidRPr="00055769" w:rsidRDefault="00FC6EED" w:rsidP="00FC6EED">
            <w:pPr>
              <w:jc w:val="center"/>
              <w:rPr>
                <w:sz w:val="16"/>
                <w:szCs w:val="16"/>
              </w:rPr>
            </w:pPr>
            <w:r w:rsidRPr="00055769">
              <w:rPr>
                <w:sz w:val="16"/>
                <w:szCs w:val="16"/>
              </w:rPr>
              <w:t>-</w:t>
            </w:r>
            <w:r>
              <w:rPr>
                <w:sz w:val="16"/>
                <w:szCs w:val="16"/>
              </w:rPr>
              <w:t>29</w:t>
            </w:r>
            <w:r w:rsidRPr="00055769">
              <w:rPr>
                <w:sz w:val="16"/>
                <w:szCs w:val="16"/>
              </w:rPr>
              <w:t>%/-</w:t>
            </w:r>
            <w:r>
              <w:rPr>
                <w:sz w:val="16"/>
                <w:szCs w:val="16"/>
              </w:rPr>
              <w:t>49</w:t>
            </w:r>
            <w:r w:rsidRPr="00055769">
              <w:rPr>
                <w:sz w:val="16"/>
                <w:szCs w:val="16"/>
              </w:rPr>
              <w:t>%/-</w:t>
            </w:r>
            <w:r>
              <w:rPr>
                <w:sz w:val="16"/>
                <w:szCs w:val="16"/>
              </w:rPr>
              <w:t>62</w:t>
            </w:r>
            <w:r w:rsidRPr="00055769">
              <w:rPr>
                <w:sz w:val="16"/>
                <w:szCs w:val="16"/>
              </w:rPr>
              <w:t>%</w:t>
            </w:r>
          </w:p>
        </w:tc>
        <w:tc>
          <w:tcPr>
            <w:tcW w:w="1465" w:type="dxa"/>
            <w:tcBorders>
              <w:top w:val="nil"/>
            </w:tcBorders>
            <w:shd w:val="clear" w:color="auto" w:fill="FFFF00"/>
          </w:tcPr>
          <w:p w14:paraId="1AD37B4B" w14:textId="4C47213A" w:rsidR="00FC6EED" w:rsidRPr="00055769" w:rsidRDefault="00FC6EED" w:rsidP="00FC6EED">
            <w:pPr>
              <w:jc w:val="center"/>
              <w:rPr>
                <w:sz w:val="16"/>
                <w:szCs w:val="16"/>
              </w:rPr>
            </w:pPr>
            <w:r w:rsidRPr="00055769">
              <w:rPr>
                <w:sz w:val="16"/>
                <w:szCs w:val="16"/>
              </w:rPr>
              <w:t>-</w:t>
            </w:r>
            <w:r>
              <w:rPr>
                <w:sz w:val="16"/>
                <w:szCs w:val="16"/>
              </w:rPr>
              <w:t>29</w:t>
            </w:r>
            <w:r w:rsidRPr="00055769">
              <w:rPr>
                <w:sz w:val="16"/>
                <w:szCs w:val="16"/>
              </w:rPr>
              <w:t>%/-</w:t>
            </w:r>
            <w:r>
              <w:rPr>
                <w:sz w:val="16"/>
                <w:szCs w:val="16"/>
              </w:rPr>
              <w:t>55</w:t>
            </w:r>
            <w:r w:rsidRPr="00055769">
              <w:rPr>
                <w:sz w:val="16"/>
                <w:szCs w:val="16"/>
              </w:rPr>
              <w:t>%/-</w:t>
            </w:r>
            <w:r>
              <w:rPr>
                <w:sz w:val="16"/>
                <w:szCs w:val="16"/>
              </w:rPr>
              <w:t>67</w:t>
            </w:r>
            <w:r w:rsidRPr="00055769">
              <w:rPr>
                <w:sz w:val="16"/>
                <w:szCs w:val="16"/>
              </w:rPr>
              <w:t>%</w:t>
            </w:r>
          </w:p>
        </w:tc>
        <w:tc>
          <w:tcPr>
            <w:tcW w:w="1466" w:type="dxa"/>
            <w:tcBorders>
              <w:top w:val="nil"/>
            </w:tcBorders>
            <w:shd w:val="clear" w:color="auto" w:fill="FFC000"/>
          </w:tcPr>
          <w:p w14:paraId="3E2DB7ED" w14:textId="6EB23B13" w:rsidR="00FC6EED" w:rsidRPr="00055769" w:rsidRDefault="00FC6EED" w:rsidP="00FC6EED">
            <w:pPr>
              <w:jc w:val="center"/>
              <w:rPr>
                <w:sz w:val="16"/>
                <w:szCs w:val="16"/>
              </w:rPr>
            </w:pPr>
            <w:r w:rsidRPr="00055769">
              <w:rPr>
                <w:sz w:val="16"/>
                <w:szCs w:val="16"/>
              </w:rPr>
              <w:t>-</w:t>
            </w:r>
            <w:r>
              <w:rPr>
                <w:sz w:val="16"/>
                <w:szCs w:val="16"/>
              </w:rPr>
              <w:t>29</w:t>
            </w:r>
            <w:r w:rsidRPr="00055769">
              <w:rPr>
                <w:sz w:val="16"/>
                <w:szCs w:val="16"/>
              </w:rPr>
              <w:t>%/-</w:t>
            </w:r>
            <w:r>
              <w:rPr>
                <w:sz w:val="16"/>
                <w:szCs w:val="16"/>
              </w:rPr>
              <w:t>60</w:t>
            </w:r>
            <w:r w:rsidRPr="00055769">
              <w:rPr>
                <w:sz w:val="16"/>
                <w:szCs w:val="16"/>
              </w:rPr>
              <w:t>%/-</w:t>
            </w:r>
            <w:r>
              <w:rPr>
                <w:sz w:val="16"/>
                <w:szCs w:val="16"/>
              </w:rPr>
              <w:t>71</w:t>
            </w:r>
            <w:r w:rsidRPr="00055769">
              <w:rPr>
                <w:sz w:val="16"/>
                <w:szCs w:val="16"/>
              </w:rPr>
              <w:t>%</w:t>
            </w:r>
          </w:p>
        </w:tc>
      </w:tr>
      <w:tr w:rsidR="00FC6EED" w:rsidRPr="00055769" w14:paraId="38413E92" w14:textId="77777777" w:rsidTr="00EA08BB">
        <w:trPr>
          <w:jc w:val="center"/>
        </w:trPr>
        <w:tc>
          <w:tcPr>
            <w:tcW w:w="472" w:type="dxa"/>
            <w:tcBorders>
              <w:top w:val="nil"/>
              <w:bottom w:val="nil"/>
            </w:tcBorders>
          </w:tcPr>
          <w:p w14:paraId="417124D0" w14:textId="77777777" w:rsidR="00FC6EED" w:rsidRPr="00055769" w:rsidRDefault="00FC6EED" w:rsidP="00FC6EED">
            <w:pPr>
              <w:rPr>
                <w:sz w:val="16"/>
                <w:szCs w:val="16"/>
              </w:rPr>
            </w:pPr>
            <w:r w:rsidRPr="00055769">
              <w:rPr>
                <w:sz w:val="16"/>
                <w:szCs w:val="16"/>
              </w:rPr>
              <w:t>4%</w:t>
            </w:r>
          </w:p>
        </w:tc>
        <w:tc>
          <w:tcPr>
            <w:tcW w:w="1836" w:type="dxa"/>
            <w:tcBorders>
              <w:top w:val="nil"/>
              <w:bottom w:val="nil"/>
            </w:tcBorders>
          </w:tcPr>
          <w:p w14:paraId="2C9E13B5" w14:textId="77777777" w:rsidR="00FC6EED" w:rsidRPr="00055769" w:rsidRDefault="00FC6EED" w:rsidP="00FC6EED">
            <w:pPr>
              <w:rPr>
                <w:sz w:val="16"/>
                <w:szCs w:val="16"/>
              </w:rPr>
            </w:pPr>
            <w:r w:rsidRPr="00055769">
              <w:rPr>
                <w:sz w:val="16"/>
                <w:szCs w:val="16"/>
              </w:rPr>
              <w:t>Without diversification</w:t>
            </w:r>
          </w:p>
        </w:tc>
        <w:tc>
          <w:tcPr>
            <w:tcW w:w="1465" w:type="dxa"/>
            <w:tcBorders>
              <w:top w:val="nil"/>
              <w:bottom w:val="nil"/>
            </w:tcBorders>
            <w:shd w:val="clear" w:color="auto" w:fill="FFFF00"/>
          </w:tcPr>
          <w:p w14:paraId="4766DFEB" w14:textId="3392F93B" w:rsidR="00FC6EED" w:rsidRPr="00055769" w:rsidRDefault="00FC6EED" w:rsidP="00FC6EED">
            <w:pPr>
              <w:jc w:val="center"/>
              <w:rPr>
                <w:sz w:val="16"/>
                <w:szCs w:val="16"/>
              </w:rPr>
            </w:pPr>
            <w:r>
              <w:rPr>
                <w:sz w:val="16"/>
                <w:szCs w:val="16"/>
              </w:rPr>
              <w:t>-33</w:t>
            </w:r>
            <w:r w:rsidRPr="00055769">
              <w:rPr>
                <w:sz w:val="16"/>
                <w:szCs w:val="16"/>
              </w:rPr>
              <w:t>%/-</w:t>
            </w:r>
            <w:r>
              <w:rPr>
                <w:sz w:val="16"/>
                <w:szCs w:val="16"/>
              </w:rPr>
              <w:t>39</w:t>
            </w:r>
            <w:r w:rsidRPr="00055769">
              <w:rPr>
                <w:sz w:val="16"/>
                <w:szCs w:val="16"/>
              </w:rPr>
              <w:t>%/-</w:t>
            </w:r>
            <w:r>
              <w:rPr>
                <w:sz w:val="16"/>
                <w:szCs w:val="16"/>
              </w:rPr>
              <w:t>46</w:t>
            </w:r>
            <w:r w:rsidRPr="00055769">
              <w:rPr>
                <w:sz w:val="16"/>
                <w:szCs w:val="16"/>
              </w:rPr>
              <w:t>%</w:t>
            </w:r>
          </w:p>
        </w:tc>
        <w:tc>
          <w:tcPr>
            <w:tcW w:w="1465" w:type="dxa"/>
            <w:tcBorders>
              <w:top w:val="nil"/>
              <w:bottom w:val="nil"/>
            </w:tcBorders>
            <w:shd w:val="clear" w:color="auto" w:fill="FFFF00"/>
          </w:tcPr>
          <w:p w14:paraId="50A91A0E" w14:textId="38055F29" w:rsidR="00FC6EED" w:rsidRPr="00055769" w:rsidRDefault="00FC6EED" w:rsidP="00FC6EED">
            <w:pPr>
              <w:jc w:val="center"/>
              <w:rPr>
                <w:sz w:val="16"/>
                <w:szCs w:val="16"/>
              </w:rPr>
            </w:pPr>
            <w:r>
              <w:rPr>
                <w:sz w:val="16"/>
                <w:szCs w:val="16"/>
              </w:rPr>
              <w:t>-33</w:t>
            </w:r>
            <w:r w:rsidRPr="00055769">
              <w:rPr>
                <w:sz w:val="16"/>
                <w:szCs w:val="16"/>
              </w:rPr>
              <w:t>%/-</w:t>
            </w:r>
            <w:r>
              <w:rPr>
                <w:sz w:val="16"/>
                <w:szCs w:val="16"/>
              </w:rPr>
              <w:t>44</w:t>
            </w:r>
            <w:r w:rsidRPr="00055769">
              <w:rPr>
                <w:sz w:val="16"/>
                <w:szCs w:val="16"/>
              </w:rPr>
              <w:t>%/-</w:t>
            </w:r>
            <w:r>
              <w:rPr>
                <w:sz w:val="16"/>
                <w:szCs w:val="16"/>
              </w:rPr>
              <w:t>54</w:t>
            </w:r>
            <w:r w:rsidRPr="00055769">
              <w:rPr>
                <w:sz w:val="16"/>
                <w:szCs w:val="16"/>
              </w:rPr>
              <w:t>%</w:t>
            </w:r>
          </w:p>
        </w:tc>
        <w:tc>
          <w:tcPr>
            <w:tcW w:w="1465" w:type="dxa"/>
            <w:tcBorders>
              <w:top w:val="nil"/>
              <w:bottom w:val="nil"/>
            </w:tcBorders>
            <w:shd w:val="clear" w:color="auto" w:fill="FFFF00"/>
          </w:tcPr>
          <w:p w14:paraId="02596335" w14:textId="22ADB15A" w:rsidR="00FC6EED" w:rsidRPr="00055769" w:rsidRDefault="00FC6EED" w:rsidP="00FC6EED">
            <w:pPr>
              <w:jc w:val="center"/>
              <w:rPr>
                <w:sz w:val="16"/>
                <w:szCs w:val="16"/>
              </w:rPr>
            </w:pPr>
            <w:r>
              <w:rPr>
                <w:sz w:val="16"/>
                <w:szCs w:val="16"/>
              </w:rPr>
              <w:t>-33</w:t>
            </w:r>
            <w:r w:rsidRPr="00055769">
              <w:rPr>
                <w:sz w:val="16"/>
                <w:szCs w:val="16"/>
              </w:rPr>
              <w:t>%/-</w:t>
            </w:r>
            <w:r>
              <w:rPr>
                <w:sz w:val="16"/>
                <w:szCs w:val="16"/>
              </w:rPr>
              <w:t>52</w:t>
            </w:r>
            <w:r w:rsidRPr="00055769">
              <w:rPr>
                <w:sz w:val="16"/>
                <w:szCs w:val="16"/>
              </w:rPr>
              <w:t>%/-</w:t>
            </w:r>
            <w:r>
              <w:rPr>
                <w:sz w:val="16"/>
                <w:szCs w:val="16"/>
              </w:rPr>
              <w:t>63</w:t>
            </w:r>
            <w:r w:rsidRPr="00055769">
              <w:rPr>
                <w:sz w:val="16"/>
                <w:szCs w:val="16"/>
              </w:rPr>
              <w:t>%</w:t>
            </w:r>
          </w:p>
        </w:tc>
        <w:tc>
          <w:tcPr>
            <w:tcW w:w="1465" w:type="dxa"/>
            <w:tcBorders>
              <w:top w:val="nil"/>
              <w:bottom w:val="nil"/>
            </w:tcBorders>
            <w:shd w:val="clear" w:color="auto" w:fill="FFFF00"/>
          </w:tcPr>
          <w:p w14:paraId="3A3F8CBF" w14:textId="3E3ACBC1" w:rsidR="00FC6EED" w:rsidRPr="00055769" w:rsidRDefault="00FC6EED" w:rsidP="00FC6EED">
            <w:pPr>
              <w:jc w:val="center"/>
              <w:rPr>
                <w:sz w:val="16"/>
                <w:szCs w:val="16"/>
              </w:rPr>
            </w:pPr>
            <w:r>
              <w:rPr>
                <w:sz w:val="16"/>
                <w:szCs w:val="16"/>
              </w:rPr>
              <w:t>-33</w:t>
            </w:r>
            <w:r w:rsidRPr="00055769">
              <w:rPr>
                <w:sz w:val="16"/>
                <w:szCs w:val="16"/>
              </w:rPr>
              <w:t>%/-</w:t>
            </w:r>
            <w:r>
              <w:rPr>
                <w:sz w:val="16"/>
                <w:szCs w:val="16"/>
              </w:rPr>
              <w:t>58</w:t>
            </w:r>
            <w:r w:rsidRPr="00055769">
              <w:rPr>
                <w:sz w:val="16"/>
                <w:szCs w:val="16"/>
              </w:rPr>
              <w:t>%/-</w:t>
            </w:r>
            <w:r>
              <w:rPr>
                <w:sz w:val="16"/>
                <w:szCs w:val="16"/>
              </w:rPr>
              <w:t>68</w:t>
            </w:r>
            <w:r w:rsidRPr="00055769">
              <w:rPr>
                <w:sz w:val="16"/>
                <w:szCs w:val="16"/>
              </w:rPr>
              <w:t>%</w:t>
            </w:r>
          </w:p>
        </w:tc>
        <w:tc>
          <w:tcPr>
            <w:tcW w:w="1466" w:type="dxa"/>
            <w:tcBorders>
              <w:top w:val="nil"/>
              <w:bottom w:val="nil"/>
            </w:tcBorders>
            <w:shd w:val="clear" w:color="auto" w:fill="FFC000"/>
          </w:tcPr>
          <w:p w14:paraId="33074079" w14:textId="0EF8F89E" w:rsidR="00FC6EED" w:rsidRPr="00055769" w:rsidRDefault="00FC6EED" w:rsidP="00FC6EED">
            <w:pPr>
              <w:jc w:val="center"/>
              <w:rPr>
                <w:sz w:val="16"/>
                <w:szCs w:val="16"/>
              </w:rPr>
            </w:pPr>
            <w:r>
              <w:rPr>
                <w:sz w:val="16"/>
                <w:szCs w:val="16"/>
              </w:rPr>
              <w:t>-33</w:t>
            </w:r>
            <w:r w:rsidRPr="00055769">
              <w:rPr>
                <w:sz w:val="16"/>
                <w:szCs w:val="16"/>
              </w:rPr>
              <w:t>%/-</w:t>
            </w:r>
            <w:r>
              <w:rPr>
                <w:sz w:val="16"/>
                <w:szCs w:val="16"/>
              </w:rPr>
              <w:t>61</w:t>
            </w:r>
            <w:r w:rsidRPr="00055769">
              <w:rPr>
                <w:sz w:val="16"/>
                <w:szCs w:val="16"/>
              </w:rPr>
              <w:t>%/-</w:t>
            </w:r>
            <w:r>
              <w:rPr>
                <w:sz w:val="16"/>
                <w:szCs w:val="16"/>
              </w:rPr>
              <w:t>71</w:t>
            </w:r>
            <w:r w:rsidRPr="00055769">
              <w:rPr>
                <w:sz w:val="16"/>
                <w:szCs w:val="16"/>
              </w:rPr>
              <w:t>%</w:t>
            </w:r>
          </w:p>
        </w:tc>
      </w:tr>
      <w:tr w:rsidR="00FC6EED" w:rsidRPr="00055769" w14:paraId="5CDEB63D" w14:textId="77777777" w:rsidTr="00EA08BB">
        <w:trPr>
          <w:jc w:val="center"/>
        </w:trPr>
        <w:tc>
          <w:tcPr>
            <w:tcW w:w="472" w:type="dxa"/>
            <w:tcBorders>
              <w:top w:val="nil"/>
            </w:tcBorders>
          </w:tcPr>
          <w:p w14:paraId="3A0A2DFF" w14:textId="77777777" w:rsidR="00FC6EED" w:rsidRPr="00055769" w:rsidRDefault="00FC6EED" w:rsidP="00FC6EED">
            <w:pPr>
              <w:rPr>
                <w:sz w:val="16"/>
                <w:szCs w:val="16"/>
              </w:rPr>
            </w:pPr>
          </w:p>
        </w:tc>
        <w:tc>
          <w:tcPr>
            <w:tcW w:w="1836" w:type="dxa"/>
            <w:tcBorders>
              <w:top w:val="nil"/>
            </w:tcBorders>
          </w:tcPr>
          <w:p w14:paraId="33936A00" w14:textId="77777777" w:rsidR="00FC6EED" w:rsidRPr="00055769" w:rsidRDefault="00FC6EED" w:rsidP="00FC6EED">
            <w:pPr>
              <w:rPr>
                <w:sz w:val="16"/>
                <w:szCs w:val="16"/>
              </w:rPr>
            </w:pPr>
            <w:r w:rsidRPr="00055769">
              <w:rPr>
                <w:sz w:val="16"/>
                <w:szCs w:val="16"/>
              </w:rPr>
              <w:t>With diversification</w:t>
            </w:r>
          </w:p>
        </w:tc>
        <w:tc>
          <w:tcPr>
            <w:tcW w:w="1465" w:type="dxa"/>
            <w:tcBorders>
              <w:top w:val="nil"/>
            </w:tcBorders>
            <w:shd w:val="clear" w:color="auto" w:fill="FFC000"/>
          </w:tcPr>
          <w:p w14:paraId="39565E16" w14:textId="288D3CDE" w:rsidR="00FC6EED" w:rsidRPr="00055769" w:rsidRDefault="00FC6EED" w:rsidP="00FC6EED">
            <w:pPr>
              <w:jc w:val="center"/>
              <w:rPr>
                <w:sz w:val="16"/>
                <w:szCs w:val="16"/>
              </w:rPr>
            </w:pPr>
            <w:r w:rsidRPr="00055769">
              <w:rPr>
                <w:sz w:val="16"/>
                <w:szCs w:val="16"/>
              </w:rPr>
              <w:t>-</w:t>
            </w:r>
            <w:r>
              <w:rPr>
                <w:sz w:val="16"/>
                <w:szCs w:val="16"/>
              </w:rPr>
              <w:t>43</w:t>
            </w:r>
            <w:r w:rsidRPr="00055769">
              <w:rPr>
                <w:sz w:val="16"/>
                <w:szCs w:val="16"/>
              </w:rPr>
              <w:t>%/-</w:t>
            </w:r>
            <w:r>
              <w:rPr>
                <w:sz w:val="16"/>
                <w:szCs w:val="16"/>
              </w:rPr>
              <w:t>49</w:t>
            </w:r>
            <w:r w:rsidRPr="00055769">
              <w:rPr>
                <w:sz w:val="16"/>
                <w:szCs w:val="16"/>
              </w:rPr>
              <w:t>%/-</w:t>
            </w:r>
            <w:r>
              <w:rPr>
                <w:sz w:val="16"/>
                <w:szCs w:val="16"/>
              </w:rPr>
              <w:t>54</w:t>
            </w:r>
            <w:r w:rsidRPr="00055769">
              <w:rPr>
                <w:sz w:val="16"/>
                <w:szCs w:val="16"/>
              </w:rPr>
              <w:t>%</w:t>
            </w:r>
          </w:p>
        </w:tc>
        <w:tc>
          <w:tcPr>
            <w:tcW w:w="1465" w:type="dxa"/>
            <w:tcBorders>
              <w:top w:val="nil"/>
            </w:tcBorders>
            <w:shd w:val="clear" w:color="auto" w:fill="FFC000"/>
          </w:tcPr>
          <w:p w14:paraId="416454E6" w14:textId="2A783DEF" w:rsidR="00FC6EED" w:rsidRPr="00055769" w:rsidRDefault="00FC6EED" w:rsidP="00FC6EED">
            <w:pPr>
              <w:jc w:val="center"/>
              <w:rPr>
                <w:sz w:val="16"/>
                <w:szCs w:val="16"/>
              </w:rPr>
            </w:pPr>
            <w:r w:rsidRPr="00055769">
              <w:rPr>
                <w:sz w:val="16"/>
                <w:szCs w:val="16"/>
              </w:rPr>
              <w:t>-</w:t>
            </w:r>
            <w:r>
              <w:rPr>
                <w:sz w:val="16"/>
                <w:szCs w:val="16"/>
              </w:rPr>
              <w:t>43</w:t>
            </w:r>
            <w:r w:rsidRPr="00055769">
              <w:rPr>
                <w:sz w:val="16"/>
                <w:szCs w:val="16"/>
              </w:rPr>
              <w:t>%/-</w:t>
            </w:r>
            <w:r>
              <w:rPr>
                <w:sz w:val="16"/>
                <w:szCs w:val="16"/>
              </w:rPr>
              <w:t>53</w:t>
            </w:r>
            <w:r w:rsidRPr="00055769">
              <w:rPr>
                <w:sz w:val="16"/>
                <w:szCs w:val="16"/>
              </w:rPr>
              <w:t>%/-</w:t>
            </w:r>
            <w:r>
              <w:rPr>
                <w:sz w:val="16"/>
                <w:szCs w:val="16"/>
              </w:rPr>
              <w:t>61</w:t>
            </w:r>
            <w:r w:rsidRPr="00055769">
              <w:rPr>
                <w:sz w:val="16"/>
                <w:szCs w:val="16"/>
              </w:rPr>
              <w:t>%</w:t>
            </w:r>
          </w:p>
        </w:tc>
        <w:tc>
          <w:tcPr>
            <w:tcW w:w="1465" w:type="dxa"/>
            <w:tcBorders>
              <w:top w:val="nil"/>
            </w:tcBorders>
            <w:shd w:val="clear" w:color="auto" w:fill="FFC000"/>
          </w:tcPr>
          <w:p w14:paraId="4119CC67" w14:textId="0D8DFFF7" w:rsidR="00FC6EED" w:rsidRPr="00055769" w:rsidRDefault="00FC6EED" w:rsidP="00FC6EED">
            <w:pPr>
              <w:jc w:val="center"/>
              <w:rPr>
                <w:sz w:val="16"/>
                <w:szCs w:val="16"/>
              </w:rPr>
            </w:pPr>
            <w:r w:rsidRPr="00055769">
              <w:rPr>
                <w:sz w:val="16"/>
                <w:szCs w:val="16"/>
              </w:rPr>
              <w:t>-</w:t>
            </w:r>
            <w:r>
              <w:rPr>
                <w:sz w:val="16"/>
                <w:szCs w:val="16"/>
              </w:rPr>
              <w:t>43</w:t>
            </w:r>
            <w:r w:rsidRPr="00055769">
              <w:rPr>
                <w:sz w:val="16"/>
                <w:szCs w:val="16"/>
              </w:rPr>
              <w:t>%/-</w:t>
            </w:r>
            <w:r>
              <w:rPr>
                <w:sz w:val="16"/>
                <w:szCs w:val="16"/>
              </w:rPr>
              <w:t>59</w:t>
            </w:r>
            <w:r w:rsidRPr="00055769">
              <w:rPr>
                <w:sz w:val="16"/>
                <w:szCs w:val="16"/>
              </w:rPr>
              <w:t>%/-</w:t>
            </w:r>
            <w:r>
              <w:rPr>
                <w:sz w:val="16"/>
                <w:szCs w:val="16"/>
              </w:rPr>
              <w:t>69</w:t>
            </w:r>
            <w:r w:rsidRPr="00055769">
              <w:rPr>
                <w:sz w:val="16"/>
                <w:szCs w:val="16"/>
              </w:rPr>
              <w:t>%</w:t>
            </w:r>
          </w:p>
        </w:tc>
        <w:tc>
          <w:tcPr>
            <w:tcW w:w="1465" w:type="dxa"/>
            <w:tcBorders>
              <w:top w:val="nil"/>
            </w:tcBorders>
            <w:shd w:val="clear" w:color="auto" w:fill="FFC000"/>
          </w:tcPr>
          <w:p w14:paraId="15C364E3" w14:textId="03F17215" w:rsidR="00FC6EED" w:rsidRPr="00055769" w:rsidRDefault="00FC6EED" w:rsidP="00FC6EED">
            <w:pPr>
              <w:jc w:val="center"/>
              <w:rPr>
                <w:sz w:val="16"/>
                <w:szCs w:val="16"/>
              </w:rPr>
            </w:pPr>
            <w:r w:rsidRPr="00055769">
              <w:rPr>
                <w:sz w:val="16"/>
                <w:szCs w:val="16"/>
              </w:rPr>
              <w:t>-</w:t>
            </w:r>
            <w:r>
              <w:rPr>
                <w:sz w:val="16"/>
                <w:szCs w:val="16"/>
              </w:rPr>
              <w:t>43</w:t>
            </w:r>
            <w:r w:rsidRPr="00055769">
              <w:rPr>
                <w:sz w:val="16"/>
                <w:szCs w:val="16"/>
              </w:rPr>
              <w:t>%/-</w:t>
            </w:r>
            <w:r>
              <w:rPr>
                <w:sz w:val="16"/>
                <w:szCs w:val="16"/>
              </w:rPr>
              <w:t>64</w:t>
            </w:r>
            <w:r w:rsidRPr="00055769">
              <w:rPr>
                <w:sz w:val="16"/>
                <w:szCs w:val="16"/>
              </w:rPr>
              <w:t>%/-</w:t>
            </w:r>
            <w:r>
              <w:rPr>
                <w:sz w:val="16"/>
                <w:szCs w:val="16"/>
              </w:rPr>
              <w:t>73</w:t>
            </w:r>
            <w:r w:rsidRPr="00055769">
              <w:rPr>
                <w:sz w:val="16"/>
                <w:szCs w:val="16"/>
              </w:rPr>
              <w:t>%</w:t>
            </w:r>
          </w:p>
        </w:tc>
        <w:tc>
          <w:tcPr>
            <w:tcW w:w="1466" w:type="dxa"/>
            <w:tcBorders>
              <w:top w:val="nil"/>
            </w:tcBorders>
            <w:shd w:val="clear" w:color="auto" w:fill="FFC000"/>
          </w:tcPr>
          <w:p w14:paraId="0402074D" w14:textId="6196E140" w:rsidR="00FC6EED" w:rsidRPr="00055769" w:rsidRDefault="00FC6EED" w:rsidP="00FC6EED">
            <w:pPr>
              <w:jc w:val="center"/>
              <w:rPr>
                <w:sz w:val="16"/>
                <w:szCs w:val="16"/>
              </w:rPr>
            </w:pPr>
            <w:r w:rsidRPr="00055769">
              <w:rPr>
                <w:sz w:val="16"/>
                <w:szCs w:val="16"/>
              </w:rPr>
              <w:t>-</w:t>
            </w:r>
            <w:r>
              <w:rPr>
                <w:sz w:val="16"/>
                <w:szCs w:val="16"/>
              </w:rPr>
              <w:t>43</w:t>
            </w:r>
            <w:r w:rsidRPr="00055769">
              <w:rPr>
                <w:sz w:val="16"/>
                <w:szCs w:val="16"/>
              </w:rPr>
              <w:t>%/-</w:t>
            </w:r>
            <w:r>
              <w:rPr>
                <w:sz w:val="16"/>
                <w:szCs w:val="16"/>
              </w:rPr>
              <w:t>67</w:t>
            </w:r>
            <w:r w:rsidRPr="00055769">
              <w:rPr>
                <w:sz w:val="16"/>
                <w:szCs w:val="16"/>
              </w:rPr>
              <w:t>%/-</w:t>
            </w:r>
            <w:r>
              <w:rPr>
                <w:sz w:val="16"/>
                <w:szCs w:val="16"/>
              </w:rPr>
              <w:t>75</w:t>
            </w:r>
            <w:r w:rsidRPr="00055769">
              <w:rPr>
                <w:sz w:val="16"/>
                <w:szCs w:val="16"/>
              </w:rPr>
              <w:t>%</w:t>
            </w:r>
          </w:p>
        </w:tc>
      </w:tr>
      <w:tr w:rsidR="00FC6EED" w:rsidRPr="00055769" w14:paraId="4C14BBE0" w14:textId="77777777" w:rsidTr="0059536B">
        <w:trPr>
          <w:jc w:val="center"/>
        </w:trPr>
        <w:tc>
          <w:tcPr>
            <w:tcW w:w="472" w:type="dxa"/>
            <w:tcBorders>
              <w:top w:val="nil"/>
              <w:bottom w:val="nil"/>
            </w:tcBorders>
          </w:tcPr>
          <w:p w14:paraId="670234E0" w14:textId="77777777" w:rsidR="00FC6EED" w:rsidRPr="00055769" w:rsidRDefault="00FC6EED" w:rsidP="00FC6EED">
            <w:pPr>
              <w:rPr>
                <w:sz w:val="16"/>
                <w:szCs w:val="16"/>
              </w:rPr>
            </w:pPr>
            <w:r w:rsidRPr="00055769">
              <w:rPr>
                <w:sz w:val="16"/>
                <w:szCs w:val="16"/>
              </w:rPr>
              <w:t>3%</w:t>
            </w:r>
          </w:p>
        </w:tc>
        <w:tc>
          <w:tcPr>
            <w:tcW w:w="1836" w:type="dxa"/>
            <w:tcBorders>
              <w:top w:val="nil"/>
              <w:bottom w:val="nil"/>
            </w:tcBorders>
          </w:tcPr>
          <w:p w14:paraId="5AB352BC" w14:textId="77777777" w:rsidR="00FC6EED" w:rsidRPr="00055769" w:rsidRDefault="00FC6EED" w:rsidP="00FC6EED">
            <w:pPr>
              <w:rPr>
                <w:sz w:val="16"/>
                <w:szCs w:val="16"/>
              </w:rPr>
            </w:pPr>
            <w:r w:rsidRPr="00055769">
              <w:rPr>
                <w:sz w:val="16"/>
                <w:szCs w:val="16"/>
              </w:rPr>
              <w:t>Without diversification</w:t>
            </w:r>
          </w:p>
        </w:tc>
        <w:tc>
          <w:tcPr>
            <w:tcW w:w="1465" w:type="dxa"/>
            <w:tcBorders>
              <w:top w:val="nil"/>
              <w:bottom w:val="nil"/>
            </w:tcBorders>
            <w:shd w:val="clear" w:color="auto" w:fill="FFC000"/>
          </w:tcPr>
          <w:p w14:paraId="2C79DC93" w14:textId="0C12329E" w:rsidR="00FC6EED" w:rsidRPr="00055769" w:rsidRDefault="00FC6EED" w:rsidP="00FC6EED">
            <w:pPr>
              <w:jc w:val="center"/>
              <w:rPr>
                <w:sz w:val="16"/>
                <w:szCs w:val="16"/>
              </w:rPr>
            </w:pPr>
            <w:r>
              <w:rPr>
                <w:sz w:val="16"/>
                <w:szCs w:val="16"/>
              </w:rPr>
              <w:t>-50</w:t>
            </w:r>
            <w:r w:rsidRPr="00055769">
              <w:rPr>
                <w:sz w:val="16"/>
                <w:szCs w:val="16"/>
              </w:rPr>
              <w:t>%/-</w:t>
            </w:r>
            <w:r>
              <w:rPr>
                <w:sz w:val="16"/>
                <w:szCs w:val="16"/>
              </w:rPr>
              <w:t>55</w:t>
            </w:r>
            <w:r w:rsidRPr="00055769">
              <w:rPr>
                <w:sz w:val="16"/>
                <w:szCs w:val="16"/>
              </w:rPr>
              <w:t>%/-</w:t>
            </w:r>
            <w:r>
              <w:rPr>
                <w:sz w:val="16"/>
                <w:szCs w:val="16"/>
              </w:rPr>
              <w:t>59</w:t>
            </w:r>
            <w:r w:rsidRPr="00055769">
              <w:rPr>
                <w:sz w:val="16"/>
                <w:szCs w:val="16"/>
              </w:rPr>
              <w:t>%</w:t>
            </w:r>
          </w:p>
        </w:tc>
        <w:tc>
          <w:tcPr>
            <w:tcW w:w="1465" w:type="dxa"/>
            <w:tcBorders>
              <w:top w:val="nil"/>
              <w:bottom w:val="nil"/>
            </w:tcBorders>
            <w:shd w:val="clear" w:color="auto" w:fill="FFC000"/>
          </w:tcPr>
          <w:p w14:paraId="5A0FCAEB" w14:textId="507B8BA3" w:rsidR="00FC6EED" w:rsidRPr="00055769" w:rsidRDefault="00FC6EED" w:rsidP="00FC6EED">
            <w:pPr>
              <w:jc w:val="center"/>
              <w:rPr>
                <w:sz w:val="16"/>
                <w:szCs w:val="16"/>
              </w:rPr>
            </w:pPr>
            <w:r>
              <w:rPr>
                <w:sz w:val="16"/>
                <w:szCs w:val="16"/>
              </w:rPr>
              <w:t>-50</w:t>
            </w:r>
            <w:r w:rsidRPr="00055769">
              <w:rPr>
                <w:sz w:val="16"/>
                <w:szCs w:val="16"/>
              </w:rPr>
              <w:t>%/-</w:t>
            </w:r>
            <w:r>
              <w:rPr>
                <w:sz w:val="16"/>
                <w:szCs w:val="16"/>
              </w:rPr>
              <w:t>58</w:t>
            </w:r>
            <w:r w:rsidRPr="00055769">
              <w:rPr>
                <w:sz w:val="16"/>
                <w:szCs w:val="16"/>
              </w:rPr>
              <w:t>%/-</w:t>
            </w:r>
            <w:r>
              <w:rPr>
                <w:sz w:val="16"/>
                <w:szCs w:val="16"/>
              </w:rPr>
              <w:t>65</w:t>
            </w:r>
            <w:r w:rsidRPr="00055769">
              <w:rPr>
                <w:sz w:val="16"/>
                <w:szCs w:val="16"/>
              </w:rPr>
              <w:t>%</w:t>
            </w:r>
          </w:p>
        </w:tc>
        <w:tc>
          <w:tcPr>
            <w:tcW w:w="1465" w:type="dxa"/>
            <w:tcBorders>
              <w:top w:val="nil"/>
              <w:bottom w:val="nil"/>
            </w:tcBorders>
            <w:shd w:val="clear" w:color="auto" w:fill="FFC000"/>
          </w:tcPr>
          <w:p w14:paraId="2AE87935" w14:textId="3086D7A6" w:rsidR="00FC6EED" w:rsidRPr="00055769" w:rsidRDefault="00FC6EED" w:rsidP="00FC6EED">
            <w:pPr>
              <w:jc w:val="center"/>
              <w:rPr>
                <w:sz w:val="16"/>
                <w:szCs w:val="16"/>
              </w:rPr>
            </w:pPr>
            <w:r>
              <w:rPr>
                <w:sz w:val="16"/>
                <w:szCs w:val="16"/>
              </w:rPr>
              <w:t>-50</w:t>
            </w:r>
            <w:r w:rsidRPr="00055769">
              <w:rPr>
                <w:sz w:val="16"/>
                <w:szCs w:val="16"/>
              </w:rPr>
              <w:t>%/-</w:t>
            </w:r>
            <w:r>
              <w:rPr>
                <w:sz w:val="16"/>
                <w:szCs w:val="16"/>
              </w:rPr>
              <w:t>64</w:t>
            </w:r>
            <w:r w:rsidRPr="00055769">
              <w:rPr>
                <w:sz w:val="16"/>
                <w:szCs w:val="16"/>
              </w:rPr>
              <w:t>%/-</w:t>
            </w:r>
            <w:r>
              <w:rPr>
                <w:sz w:val="16"/>
                <w:szCs w:val="16"/>
              </w:rPr>
              <w:t>71</w:t>
            </w:r>
            <w:r w:rsidRPr="00055769">
              <w:rPr>
                <w:sz w:val="16"/>
                <w:szCs w:val="16"/>
              </w:rPr>
              <w:t>%</w:t>
            </w:r>
          </w:p>
        </w:tc>
        <w:tc>
          <w:tcPr>
            <w:tcW w:w="1465" w:type="dxa"/>
            <w:tcBorders>
              <w:top w:val="nil"/>
              <w:bottom w:val="nil"/>
            </w:tcBorders>
            <w:shd w:val="clear" w:color="auto" w:fill="FFC000"/>
          </w:tcPr>
          <w:p w14:paraId="337EA5F2" w14:textId="68C9E7E6" w:rsidR="00FC6EED" w:rsidRPr="00055769" w:rsidRDefault="00FC6EED" w:rsidP="00FC6EED">
            <w:pPr>
              <w:jc w:val="center"/>
              <w:rPr>
                <w:sz w:val="16"/>
                <w:szCs w:val="16"/>
              </w:rPr>
            </w:pPr>
            <w:r>
              <w:rPr>
                <w:sz w:val="16"/>
                <w:szCs w:val="16"/>
              </w:rPr>
              <w:t>-50</w:t>
            </w:r>
            <w:r w:rsidRPr="00055769">
              <w:rPr>
                <w:sz w:val="16"/>
                <w:szCs w:val="16"/>
              </w:rPr>
              <w:t>%/-</w:t>
            </w:r>
            <w:r>
              <w:rPr>
                <w:sz w:val="16"/>
                <w:szCs w:val="16"/>
              </w:rPr>
              <w:t>67</w:t>
            </w:r>
            <w:r w:rsidRPr="00055769">
              <w:rPr>
                <w:sz w:val="16"/>
                <w:szCs w:val="16"/>
              </w:rPr>
              <w:t>%/-</w:t>
            </w:r>
            <w:r>
              <w:rPr>
                <w:sz w:val="16"/>
                <w:szCs w:val="16"/>
              </w:rPr>
              <w:t>74</w:t>
            </w:r>
            <w:r w:rsidRPr="00055769">
              <w:rPr>
                <w:sz w:val="16"/>
                <w:szCs w:val="16"/>
              </w:rPr>
              <w:t>%</w:t>
            </w:r>
          </w:p>
        </w:tc>
        <w:tc>
          <w:tcPr>
            <w:tcW w:w="1466" w:type="dxa"/>
            <w:tcBorders>
              <w:top w:val="nil"/>
              <w:bottom w:val="nil"/>
            </w:tcBorders>
            <w:shd w:val="clear" w:color="auto" w:fill="C00000"/>
          </w:tcPr>
          <w:p w14:paraId="1CB0F787" w14:textId="48C7234B" w:rsidR="00FC6EED" w:rsidRPr="00055769" w:rsidRDefault="00FC6EED" w:rsidP="00FC6EED">
            <w:pPr>
              <w:jc w:val="center"/>
              <w:rPr>
                <w:sz w:val="16"/>
                <w:szCs w:val="16"/>
              </w:rPr>
            </w:pPr>
            <w:r>
              <w:rPr>
                <w:sz w:val="16"/>
                <w:szCs w:val="16"/>
              </w:rPr>
              <w:t>-50</w:t>
            </w:r>
            <w:r w:rsidRPr="00055769">
              <w:rPr>
                <w:sz w:val="16"/>
                <w:szCs w:val="16"/>
              </w:rPr>
              <w:t>%/-</w:t>
            </w:r>
            <w:r>
              <w:rPr>
                <w:sz w:val="16"/>
                <w:szCs w:val="16"/>
              </w:rPr>
              <w:t>70</w:t>
            </w:r>
            <w:r w:rsidRPr="00055769">
              <w:rPr>
                <w:sz w:val="16"/>
                <w:szCs w:val="16"/>
              </w:rPr>
              <w:t>%/-</w:t>
            </w:r>
            <w:r>
              <w:rPr>
                <w:sz w:val="16"/>
                <w:szCs w:val="16"/>
              </w:rPr>
              <w:t>76</w:t>
            </w:r>
            <w:r w:rsidRPr="00055769">
              <w:rPr>
                <w:sz w:val="16"/>
                <w:szCs w:val="16"/>
              </w:rPr>
              <w:t>%</w:t>
            </w:r>
          </w:p>
        </w:tc>
      </w:tr>
      <w:tr w:rsidR="00FC6EED" w:rsidRPr="00055769" w14:paraId="17D75CE9" w14:textId="77777777" w:rsidTr="00EA08BB">
        <w:trPr>
          <w:jc w:val="center"/>
        </w:trPr>
        <w:tc>
          <w:tcPr>
            <w:tcW w:w="472" w:type="dxa"/>
            <w:tcBorders>
              <w:top w:val="nil"/>
            </w:tcBorders>
          </w:tcPr>
          <w:p w14:paraId="5278654D" w14:textId="77777777" w:rsidR="00FC6EED" w:rsidRPr="00055769" w:rsidRDefault="00FC6EED" w:rsidP="00FC6EED">
            <w:pPr>
              <w:rPr>
                <w:sz w:val="16"/>
                <w:szCs w:val="16"/>
              </w:rPr>
            </w:pPr>
          </w:p>
        </w:tc>
        <w:tc>
          <w:tcPr>
            <w:tcW w:w="1836" w:type="dxa"/>
            <w:tcBorders>
              <w:top w:val="nil"/>
            </w:tcBorders>
          </w:tcPr>
          <w:p w14:paraId="6FD32E82" w14:textId="77777777" w:rsidR="00FC6EED" w:rsidRPr="00055769" w:rsidRDefault="00FC6EED" w:rsidP="00FC6EED">
            <w:pPr>
              <w:rPr>
                <w:sz w:val="16"/>
                <w:szCs w:val="16"/>
              </w:rPr>
            </w:pPr>
            <w:r w:rsidRPr="00055769">
              <w:rPr>
                <w:sz w:val="16"/>
                <w:szCs w:val="16"/>
              </w:rPr>
              <w:t>With diversification</w:t>
            </w:r>
          </w:p>
        </w:tc>
        <w:tc>
          <w:tcPr>
            <w:tcW w:w="1465" w:type="dxa"/>
            <w:tcBorders>
              <w:top w:val="nil"/>
            </w:tcBorders>
            <w:shd w:val="clear" w:color="auto" w:fill="C00000"/>
          </w:tcPr>
          <w:p w14:paraId="13AC34E1" w14:textId="141262B0" w:rsidR="00FC6EED" w:rsidRPr="00055769" w:rsidRDefault="00FC6EED" w:rsidP="00FC6EED">
            <w:pPr>
              <w:jc w:val="center"/>
              <w:rPr>
                <w:sz w:val="16"/>
                <w:szCs w:val="16"/>
              </w:rPr>
            </w:pPr>
            <w:r w:rsidRPr="00055769">
              <w:rPr>
                <w:sz w:val="16"/>
                <w:szCs w:val="16"/>
              </w:rPr>
              <w:t>-</w:t>
            </w:r>
            <w:r>
              <w:rPr>
                <w:sz w:val="16"/>
                <w:szCs w:val="16"/>
              </w:rPr>
              <w:t>58</w:t>
            </w:r>
            <w:r w:rsidRPr="00055769">
              <w:rPr>
                <w:sz w:val="16"/>
                <w:szCs w:val="16"/>
              </w:rPr>
              <w:t>%/-</w:t>
            </w:r>
            <w:r>
              <w:rPr>
                <w:sz w:val="16"/>
                <w:szCs w:val="16"/>
              </w:rPr>
              <w:t>61</w:t>
            </w:r>
            <w:r w:rsidRPr="00055769">
              <w:rPr>
                <w:sz w:val="16"/>
                <w:szCs w:val="16"/>
              </w:rPr>
              <w:t>%/-</w:t>
            </w:r>
            <w:r>
              <w:rPr>
                <w:sz w:val="16"/>
                <w:szCs w:val="16"/>
              </w:rPr>
              <w:t>65</w:t>
            </w:r>
            <w:r w:rsidRPr="00055769">
              <w:rPr>
                <w:sz w:val="16"/>
                <w:szCs w:val="16"/>
              </w:rPr>
              <w:t>%</w:t>
            </w:r>
          </w:p>
        </w:tc>
        <w:tc>
          <w:tcPr>
            <w:tcW w:w="1465" w:type="dxa"/>
            <w:tcBorders>
              <w:top w:val="nil"/>
            </w:tcBorders>
            <w:shd w:val="clear" w:color="auto" w:fill="C00000"/>
          </w:tcPr>
          <w:p w14:paraId="507554C2" w14:textId="11396152" w:rsidR="00FC6EED" w:rsidRPr="00055769" w:rsidRDefault="00FC6EED" w:rsidP="00FC6EED">
            <w:pPr>
              <w:jc w:val="center"/>
              <w:rPr>
                <w:sz w:val="16"/>
                <w:szCs w:val="16"/>
              </w:rPr>
            </w:pPr>
            <w:r w:rsidRPr="00055769">
              <w:rPr>
                <w:sz w:val="16"/>
                <w:szCs w:val="16"/>
              </w:rPr>
              <w:t>-</w:t>
            </w:r>
            <w:r>
              <w:rPr>
                <w:sz w:val="16"/>
                <w:szCs w:val="16"/>
              </w:rPr>
              <w:t>58</w:t>
            </w:r>
            <w:r w:rsidRPr="00055769">
              <w:rPr>
                <w:sz w:val="16"/>
                <w:szCs w:val="16"/>
              </w:rPr>
              <w:t>%/-</w:t>
            </w:r>
            <w:r>
              <w:rPr>
                <w:sz w:val="16"/>
                <w:szCs w:val="16"/>
              </w:rPr>
              <w:t>65</w:t>
            </w:r>
            <w:r w:rsidRPr="00055769">
              <w:rPr>
                <w:sz w:val="16"/>
                <w:szCs w:val="16"/>
              </w:rPr>
              <w:t>%/-</w:t>
            </w:r>
            <w:r>
              <w:rPr>
                <w:sz w:val="16"/>
                <w:szCs w:val="16"/>
              </w:rPr>
              <w:t>70</w:t>
            </w:r>
            <w:r w:rsidRPr="00055769">
              <w:rPr>
                <w:sz w:val="16"/>
                <w:szCs w:val="16"/>
              </w:rPr>
              <w:t>%</w:t>
            </w:r>
          </w:p>
        </w:tc>
        <w:tc>
          <w:tcPr>
            <w:tcW w:w="1465" w:type="dxa"/>
            <w:tcBorders>
              <w:top w:val="nil"/>
            </w:tcBorders>
            <w:shd w:val="clear" w:color="auto" w:fill="C00000"/>
          </w:tcPr>
          <w:p w14:paraId="40417915" w14:textId="6977989F" w:rsidR="00FC6EED" w:rsidRPr="00055769" w:rsidRDefault="00FC6EED" w:rsidP="00FC6EED">
            <w:pPr>
              <w:jc w:val="center"/>
              <w:rPr>
                <w:sz w:val="16"/>
                <w:szCs w:val="16"/>
              </w:rPr>
            </w:pPr>
            <w:r w:rsidRPr="00055769">
              <w:rPr>
                <w:sz w:val="16"/>
                <w:szCs w:val="16"/>
              </w:rPr>
              <w:t>-</w:t>
            </w:r>
            <w:r>
              <w:rPr>
                <w:sz w:val="16"/>
                <w:szCs w:val="16"/>
              </w:rPr>
              <w:t>58</w:t>
            </w:r>
            <w:r w:rsidRPr="00055769">
              <w:rPr>
                <w:sz w:val="16"/>
                <w:szCs w:val="16"/>
              </w:rPr>
              <w:t>%/-</w:t>
            </w:r>
            <w:r>
              <w:rPr>
                <w:sz w:val="16"/>
                <w:szCs w:val="16"/>
              </w:rPr>
              <w:t>69</w:t>
            </w:r>
            <w:r w:rsidRPr="00055769">
              <w:rPr>
                <w:sz w:val="16"/>
                <w:szCs w:val="16"/>
              </w:rPr>
              <w:t>%/-</w:t>
            </w:r>
            <w:r>
              <w:rPr>
                <w:sz w:val="16"/>
                <w:szCs w:val="16"/>
              </w:rPr>
              <w:t>76</w:t>
            </w:r>
            <w:r w:rsidRPr="00055769">
              <w:rPr>
                <w:sz w:val="16"/>
                <w:szCs w:val="16"/>
              </w:rPr>
              <w:t>%</w:t>
            </w:r>
          </w:p>
        </w:tc>
        <w:tc>
          <w:tcPr>
            <w:tcW w:w="1465" w:type="dxa"/>
            <w:tcBorders>
              <w:top w:val="nil"/>
            </w:tcBorders>
            <w:shd w:val="clear" w:color="auto" w:fill="C00000"/>
          </w:tcPr>
          <w:p w14:paraId="2ACEF5F8" w14:textId="219E04D0" w:rsidR="00FC6EED" w:rsidRPr="00055769" w:rsidRDefault="00FC6EED" w:rsidP="00FC6EED">
            <w:pPr>
              <w:jc w:val="center"/>
              <w:rPr>
                <w:sz w:val="16"/>
                <w:szCs w:val="16"/>
              </w:rPr>
            </w:pPr>
            <w:r w:rsidRPr="00055769">
              <w:rPr>
                <w:sz w:val="16"/>
                <w:szCs w:val="16"/>
              </w:rPr>
              <w:t>-</w:t>
            </w:r>
            <w:r>
              <w:rPr>
                <w:sz w:val="16"/>
                <w:szCs w:val="16"/>
              </w:rPr>
              <w:t>58</w:t>
            </w:r>
            <w:r w:rsidRPr="00055769">
              <w:rPr>
                <w:sz w:val="16"/>
                <w:szCs w:val="16"/>
              </w:rPr>
              <w:t>%/-</w:t>
            </w:r>
            <w:r>
              <w:rPr>
                <w:sz w:val="16"/>
                <w:szCs w:val="16"/>
              </w:rPr>
              <w:t>72</w:t>
            </w:r>
            <w:r w:rsidRPr="00055769">
              <w:rPr>
                <w:sz w:val="16"/>
                <w:szCs w:val="16"/>
              </w:rPr>
              <w:t>%/-</w:t>
            </w:r>
            <w:r>
              <w:rPr>
                <w:sz w:val="16"/>
                <w:szCs w:val="16"/>
              </w:rPr>
              <w:t>78</w:t>
            </w:r>
            <w:r w:rsidRPr="00055769">
              <w:rPr>
                <w:sz w:val="16"/>
                <w:szCs w:val="16"/>
              </w:rPr>
              <w:t>%</w:t>
            </w:r>
          </w:p>
        </w:tc>
        <w:tc>
          <w:tcPr>
            <w:tcW w:w="1466" w:type="dxa"/>
            <w:tcBorders>
              <w:top w:val="nil"/>
            </w:tcBorders>
            <w:shd w:val="clear" w:color="auto" w:fill="C00000"/>
          </w:tcPr>
          <w:p w14:paraId="60BEEEAD" w14:textId="1AA1C386" w:rsidR="00FC6EED" w:rsidRPr="00055769" w:rsidRDefault="00FC6EED" w:rsidP="00FC6EED">
            <w:pPr>
              <w:jc w:val="center"/>
              <w:rPr>
                <w:sz w:val="16"/>
                <w:szCs w:val="16"/>
              </w:rPr>
            </w:pPr>
            <w:r w:rsidRPr="00055769">
              <w:rPr>
                <w:sz w:val="16"/>
                <w:szCs w:val="16"/>
              </w:rPr>
              <w:t>-</w:t>
            </w:r>
            <w:r>
              <w:rPr>
                <w:sz w:val="16"/>
                <w:szCs w:val="16"/>
              </w:rPr>
              <w:t>58</w:t>
            </w:r>
            <w:r w:rsidRPr="00055769">
              <w:rPr>
                <w:sz w:val="16"/>
                <w:szCs w:val="16"/>
              </w:rPr>
              <w:t>%/-</w:t>
            </w:r>
            <w:r>
              <w:rPr>
                <w:sz w:val="16"/>
                <w:szCs w:val="16"/>
              </w:rPr>
              <w:t>74</w:t>
            </w:r>
            <w:r w:rsidRPr="00055769">
              <w:rPr>
                <w:sz w:val="16"/>
                <w:szCs w:val="16"/>
              </w:rPr>
              <w:t>%/-</w:t>
            </w:r>
            <w:r>
              <w:rPr>
                <w:sz w:val="16"/>
                <w:szCs w:val="16"/>
              </w:rPr>
              <w:t>80</w:t>
            </w:r>
            <w:r w:rsidRPr="00055769">
              <w:rPr>
                <w:sz w:val="16"/>
                <w:szCs w:val="16"/>
              </w:rPr>
              <w:t>%</w:t>
            </w:r>
          </w:p>
        </w:tc>
      </w:tr>
      <w:tr w:rsidR="00FC6EED" w:rsidRPr="00055769" w14:paraId="5CD66C2D" w14:textId="77777777" w:rsidTr="00EA08BB">
        <w:trPr>
          <w:jc w:val="center"/>
        </w:trPr>
        <w:tc>
          <w:tcPr>
            <w:tcW w:w="472" w:type="dxa"/>
            <w:tcBorders>
              <w:top w:val="nil"/>
              <w:bottom w:val="nil"/>
            </w:tcBorders>
          </w:tcPr>
          <w:p w14:paraId="3C140600" w14:textId="77777777" w:rsidR="00FC6EED" w:rsidRPr="00055769" w:rsidRDefault="00FC6EED" w:rsidP="00FC6EED">
            <w:pPr>
              <w:rPr>
                <w:sz w:val="16"/>
                <w:szCs w:val="16"/>
              </w:rPr>
            </w:pPr>
            <w:r w:rsidRPr="00055769">
              <w:rPr>
                <w:sz w:val="16"/>
                <w:szCs w:val="16"/>
              </w:rPr>
              <w:t>2%</w:t>
            </w:r>
          </w:p>
        </w:tc>
        <w:tc>
          <w:tcPr>
            <w:tcW w:w="1836" w:type="dxa"/>
            <w:tcBorders>
              <w:top w:val="nil"/>
              <w:bottom w:val="nil"/>
            </w:tcBorders>
          </w:tcPr>
          <w:p w14:paraId="6737000B" w14:textId="77777777" w:rsidR="00FC6EED" w:rsidRPr="00055769" w:rsidRDefault="00FC6EED" w:rsidP="00FC6EED">
            <w:pPr>
              <w:rPr>
                <w:sz w:val="16"/>
                <w:szCs w:val="16"/>
              </w:rPr>
            </w:pPr>
            <w:r w:rsidRPr="00055769">
              <w:rPr>
                <w:sz w:val="16"/>
                <w:szCs w:val="16"/>
              </w:rPr>
              <w:t>Without diversification</w:t>
            </w:r>
          </w:p>
        </w:tc>
        <w:tc>
          <w:tcPr>
            <w:tcW w:w="1465" w:type="dxa"/>
            <w:tcBorders>
              <w:top w:val="nil"/>
              <w:bottom w:val="nil"/>
            </w:tcBorders>
            <w:shd w:val="clear" w:color="auto" w:fill="C00000"/>
          </w:tcPr>
          <w:p w14:paraId="4409A23A" w14:textId="391E4AA2" w:rsidR="00FC6EED" w:rsidRPr="00055769" w:rsidRDefault="00FC6EED" w:rsidP="00FC6EED">
            <w:pPr>
              <w:jc w:val="center"/>
              <w:rPr>
                <w:sz w:val="16"/>
                <w:szCs w:val="16"/>
              </w:rPr>
            </w:pPr>
            <w:r w:rsidRPr="00055769">
              <w:rPr>
                <w:sz w:val="16"/>
                <w:szCs w:val="16"/>
              </w:rPr>
              <w:t>-67%/-70%/-73%</w:t>
            </w:r>
          </w:p>
        </w:tc>
        <w:tc>
          <w:tcPr>
            <w:tcW w:w="1465" w:type="dxa"/>
            <w:tcBorders>
              <w:top w:val="nil"/>
              <w:bottom w:val="nil"/>
            </w:tcBorders>
            <w:shd w:val="clear" w:color="auto" w:fill="C00000"/>
          </w:tcPr>
          <w:p w14:paraId="40A16B0E" w14:textId="5A220DC7" w:rsidR="00FC6EED" w:rsidRPr="00055769" w:rsidRDefault="00FC6EED" w:rsidP="00FC6EED">
            <w:pPr>
              <w:jc w:val="center"/>
              <w:rPr>
                <w:sz w:val="16"/>
                <w:szCs w:val="16"/>
              </w:rPr>
            </w:pPr>
            <w:r w:rsidRPr="00055769">
              <w:rPr>
                <w:sz w:val="16"/>
                <w:szCs w:val="16"/>
              </w:rPr>
              <w:t>-67%/-72%/-76%</w:t>
            </w:r>
          </w:p>
        </w:tc>
        <w:tc>
          <w:tcPr>
            <w:tcW w:w="1465" w:type="dxa"/>
            <w:tcBorders>
              <w:top w:val="nil"/>
              <w:bottom w:val="nil"/>
            </w:tcBorders>
            <w:shd w:val="clear" w:color="auto" w:fill="C00000"/>
          </w:tcPr>
          <w:p w14:paraId="0B94C5B7" w14:textId="67777ED5" w:rsidR="00FC6EED" w:rsidRPr="00055769" w:rsidRDefault="00FC6EED" w:rsidP="00FC6EED">
            <w:pPr>
              <w:jc w:val="center"/>
              <w:rPr>
                <w:sz w:val="16"/>
                <w:szCs w:val="16"/>
              </w:rPr>
            </w:pPr>
            <w:r w:rsidRPr="00055769">
              <w:rPr>
                <w:sz w:val="16"/>
                <w:szCs w:val="16"/>
              </w:rPr>
              <w:t>-67%/-75%/-79%</w:t>
            </w:r>
          </w:p>
        </w:tc>
        <w:tc>
          <w:tcPr>
            <w:tcW w:w="1465" w:type="dxa"/>
            <w:tcBorders>
              <w:top w:val="nil"/>
              <w:bottom w:val="nil"/>
            </w:tcBorders>
            <w:shd w:val="clear" w:color="auto" w:fill="C00000"/>
          </w:tcPr>
          <w:p w14:paraId="6571B7D9" w14:textId="6E498EAA" w:rsidR="00FC6EED" w:rsidRPr="00055769" w:rsidRDefault="00FC6EED" w:rsidP="00FC6EED">
            <w:pPr>
              <w:jc w:val="center"/>
              <w:rPr>
                <w:sz w:val="16"/>
                <w:szCs w:val="16"/>
              </w:rPr>
            </w:pPr>
            <w:r w:rsidRPr="00055769">
              <w:rPr>
                <w:sz w:val="16"/>
                <w:szCs w:val="16"/>
              </w:rPr>
              <w:t>-67%/-77%/-80%</w:t>
            </w:r>
          </w:p>
        </w:tc>
        <w:tc>
          <w:tcPr>
            <w:tcW w:w="1466" w:type="dxa"/>
            <w:tcBorders>
              <w:top w:val="nil"/>
              <w:bottom w:val="nil"/>
            </w:tcBorders>
            <w:shd w:val="clear" w:color="auto" w:fill="C00000"/>
          </w:tcPr>
          <w:p w14:paraId="56A6ECC7" w14:textId="16F2EF12" w:rsidR="00FC6EED" w:rsidRPr="00055769" w:rsidRDefault="00FC6EED" w:rsidP="00FC6EED">
            <w:pPr>
              <w:jc w:val="center"/>
              <w:rPr>
                <w:sz w:val="16"/>
                <w:szCs w:val="16"/>
              </w:rPr>
            </w:pPr>
            <w:r w:rsidRPr="00055769">
              <w:rPr>
                <w:sz w:val="16"/>
                <w:szCs w:val="16"/>
              </w:rPr>
              <w:t>-67%/-78%/-80%</w:t>
            </w:r>
          </w:p>
        </w:tc>
      </w:tr>
      <w:tr w:rsidR="00FC6EED" w:rsidRPr="00055769" w14:paraId="2E2C4AC3" w14:textId="77777777" w:rsidTr="00EA08BB">
        <w:trPr>
          <w:jc w:val="center"/>
        </w:trPr>
        <w:tc>
          <w:tcPr>
            <w:tcW w:w="472" w:type="dxa"/>
            <w:tcBorders>
              <w:top w:val="nil"/>
            </w:tcBorders>
          </w:tcPr>
          <w:p w14:paraId="2900EB0B" w14:textId="77777777" w:rsidR="00FC6EED" w:rsidRPr="00055769" w:rsidRDefault="00FC6EED" w:rsidP="00FC6EED">
            <w:pPr>
              <w:rPr>
                <w:sz w:val="16"/>
                <w:szCs w:val="16"/>
              </w:rPr>
            </w:pPr>
          </w:p>
        </w:tc>
        <w:tc>
          <w:tcPr>
            <w:tcW w:w="1836" w:type="dxa"/>
            <w:tcBorders>
              <w:top w:val="nil"/>
            </w:tcBorders>
          </w:tcPr>
          <w:p w14:paraId="2345BFAB" w14:textId="77777777" w:rsidR="00FC6EED" w:rsidRPr="00055769" w:rsidRDefault="00FC6EED" w:rsidP="00FC6EED">
            <w:pPr>
              <w:rPr>
                <w:sz w:val="16"/>
                <w:szCs w:val="16"/>
              </w:rPr>
            </w:pPr>
            <w:r w:rsidRPr="00055769">
              <w:rPr>
                <w:sz w:val="16"/>
                <w:szCs w:val="16"/>
              </w:rPr>
              <w:t>With diversification</w:t>
            </w:r>
          </w:p>
        </w:tc>
        <w:tc>
          <w:tcPr>
            <w:tcW w:w="1465" w:type="dxa"/>
            <w:tcBorders>
              <w:top w:val="nil"/>
            </w:tcBorders>
            <w:shd w:val="clear" w:color="auto" w:fill="C00000"/>
          </w:tcPr>
          <w:p w14:paraId="45D6BF37" w14:textId="00CA3AD1" w:rsidR="00FC6EED" w:rsidRPr="00055769" w:rsidRDefault="00FC6EED" w:rsidP="00FC6EED">
            <w:pPr>
              <w:jc w:val="center"/>
              <w:rPr>
                <w:sz w:val="16"/>
                <w:szCs w:val="16"/>
              </w:rPr>
            </w:pPr>
            <w:r w:rsidRPr="00055769">
              <w:rPr>
                <w:sz w:val="16"/>
                <w:szCs w:val="16"/>
              </w:rPr>
              <w:t>-72%/-74%/-77%</w:t>
            </w:r>
          </w:p>
        </w:tc>
        <w:tc>
          <w:tcPr>
            <w:tcW w:w="1465" w:type="dxa"/>
            <w:tcBorders>
              <w:top w:val="nil"/>
            </w:tcBorders>
            <w:shd w:val="clear" w:color="auto" w:fill="C00000"/>
          </w:tcPr>
          <w:p w14:paraId="5A726E61" w14:textId="693F1D05" w:rsidR="00FC6EED" w:rsidRPr="00055769" w:rsidRDefault="00FC6EED" w:rsidP="00FC6EED">
            <w:pPr>
              <w:jc w:val="center"/>
              <w:rPr>
                <w:sz w:val="16"/>
                <w:szCs w:val="16"/>
              </w:rPr>
            </w:pPr>
            <w:r w:rsidRPr="00055769">
              <w:rPr>
                <w:sz w:val="16"/>
                <w:szCs w:val="16"/>
              </w:rPr>
              <w:t>-72%/-76%/-79%</w:t>
            </w:r>
          </w:p>
        </w:tc>
        <w:tc>
          <w:tcPr>
            <w:tcW w:w="1465" w:type="dxa"/>
            <w:tcBorders>
              <w:top w:val="nil"/>
            </w:tcBorders>
            <w:shd w:val="clear" w:color="auto" w:fill="C00000"/>
          </w:tcPr>
          <w:p w14:paraId="7301716D" w14:textId="35493264" w:rsidR="00FC6EED" w:rsidRPr="00055769" w:rsidRDefault="00FC6EED" w:rsidP="00FC6EED">
            <w:pPr>
              <w:jc w:val="center"/>
              <w:rPr>
                <w:sz w:val="16"/>
                <w:szCs w:val="16"/>
              </w:rPr>
            </w:pPr>
            <w:r w:rsidRPr="00055769">
              <w:rPr>
                <w:sz w:val="16"/>
                <w:szCs w:val="16"/>
              </w:rPr>
              <w:t>-72%/-79%/-82%</w:t>
            </w:r>
          </w:p>
        </w:tc>
        <w:tc>
          <w:tcPr>
            <w:tcW w:w="1465" w:type="dxa"/>
            <w:tcBorders>
              <w:top w:val="nil"/>
            </w:tcBorders>
            <w:shd w:val="clear" w:color="auto" w:fill="C00000"/>
          </w:tcPr>
          <w:p w14:paraId="19695BE9" w14:textId="541F0902" w:rsidR="00FC6EED" w:rsidRPr="00055769" w:rsidRDefault="00FC6EED" w:rsidP="00FC6EED">
            <w:pPr>
              <w:jc w:val="center"/>
              <w:rPr>
                <w:sz w:val="16"/>
                <w:szCs w:val="16"/>
              </w:rPr>
            </w:pPr>
            <w:r w:rsidRPr="00055769">
              <w:rPr>
                <w:sz w:val="16"/>
                <w:szCs w:val="16"/>
              </w:rPr>
              <w:t>-72%/-80%/-83%</w:t>
            </w:r>
          </w:p>
        </w:tc>
        <w:tc>
          <w:tcPr>
            <w:tcW w:w="1466" w:type="dxa"/>
            <w:tcBorders>
              <w:top w:val="nil"/>
            </w:tcBorders>
            <w:shd w:val="clear" w:color="auto" w:fill="C00000"/>
          </w:tcPr>
          <w:p w14:paraId="79F7B01D" w14:textId="45A97408" w:rsidR="00FC6EED" w:rsidRPr="00055769" w:rsidRDefault="00FC6EED" w:rsidP="00FC6EED">
            <w:pPr>
              <w:jc w:val="center"/>
              <w:rPr>
                <w:sz w:val="16"/>
                <w:szCs w:val="16"/>
              </w:rPr>
            </w:pPr>
            <w:r w:rsidRPr="00055769">
              <w:rPr>
                <w:sz w:val="16"/>
                <w:szCs w:val="16"/>
              </w:rPr>
              <w:t>-72%/-81%/-83%</w:t>
            </w:r>
          </w:p>
        </w:tc>
      </w:tr>
      <w:tr w:rsidR="00FC6EED" w:rsidRPr="00055769" w14:paraId="76D275D8" w14:textId="77777777" w:rsidTr="00DF2157">
        <w:trPr>
          <w:jc w:val="center"/>
        </w:trPr>
        <w:tc>
          <w:tcPr>
            <w:tcW w:w="9634" w:type="dxa"/>
            <w:gridSpan w:val="7"/>
            <w:shd w:val="clear" w:color="auto" w:fill="BFBFBF" w:themeFill="background1" w:themeFillShade="BF"/>
          </w:tcPr>
          <w:p w14:paraId="24589ED7" w14:textId="7714CEFD" w:rsidR="00FC6EED" w:rsidRPr="00055769" w:rsidRDefault="0047632B" w:rsidP="00FC6EED">
            <w:pPr>
              <w:jc w:val="center"/>
              <w:rPr>
                <w:sz w:val="16"/>
                <w:szCs w:val="16"/>
              </w:rPr>
            </w:pPr>
            <w:r>
              <w:rPr>
                <w:sz w:val="16"/>
                <w:szCs w:val="16"/>
              </w:rPr>
              <w:t>No floor</w:t>
            </w:r>
          </w:p>
        </w:tc>
      </w:tr>
      <w:tr w:rsidR="00FC6EED" w:rsidRPr="00055769" w14:paraId="7DA107DE" w14:textId="77777777" w:rsidTr="0059536B">
        <w:trPr>
          <w:jc w:val="center"/>
        </w:trPr>
        <w:tc>
          <w:tcPr>
            <w:tcW w:w="472" w:type="dxa"/>
            <w:tcBorders>
              <w:top w:val="nil"/>
              <w:bottom w:val="nil"/>
            </w:tcBorders>
          </w:tcPr>
          <w:p w14:paraId="02FFD436" w14:textId="77777777" w:rsidR="00FC6EED" w:rsidRPr="00055769" w:rsidRDefault="00FC6EED" w:rsidP="00FC6EED">
            <w:pPr>
              <w:rPr>
                <w:sz w:val="16"/>
                <w:szCs w:val="16"/>
              </w:rPr>
            </w:pPr>
            <w:r w:rsidRPr="00055769">
              <w:rPr>
                <w:sz w:val="16"/>
                <w:szCs w:val="16"/>
              </w:rPr>
              <w:t>6%</w:t>
            </w:r>
          </w:p>
        </w:tc>
        <w:tc>
          <w:tcPr>
            <w:tcW w:w="1836" w:type="dxa"/>
            <w:tcBorders>
              <w:top w:val="nil"/>
              <w:bottom w:val="nil"/>
            </w:tcBorders>
          </w:tcPr>
          <w:p w14:paraId="2B7CCF18" w14:textId="77777777" w:rsidR="00FC6EED" w:rsidRPr="00055769" w:rsidRDefault="00FC6EED" w:rsidP="00FC6EED">
            <w:pPr>
              <w:rPr>
                <w:sz w:val="16"/>
                <w:szCs w:val="16"/>
              </w:rPr>
            </w:pPr>
            <w:r w:rsidRPr="00055769">
              <w:rPr>
                <w:sz w:val="16"/>
                <w:szCs w:val="16"/>
              </w:rPr>
              <w:t>Without diversification</w:t>
            </w:r>
          </w:p>
        </w:tc>
        <w:tc>
          <w:tcPr>
            <w:tcW w:w="1465" w:type="dxa"/>
            <w:tcBorders>
              <w:top w:val="nil"/>
              <w:bottom w:val="nil"/>
            </w:tcBorders>
            <w:shd w:val="clear" w:color="auto" w:fill="92D050"/>
          </w:tcPr>
          <w:p w14:paraId="6E219D64" w14:textId="5DE56F85" w:rsidR="00FC6EED" w:rsidRPr="00055769" w:rsidRDefault="00FC6EED" w:rsidP="00FC6EED">
            <w:pPr>
              <w:jc w:val="center"/>
              <w:rPr>
                <w:sz w:val="16"/>
                <w:szCs w:val="16"/>
              </w:rPr>
            </w:pPr>
            <w:r w:rsidRPr="00055769">
              <w:rPr>
                <w:sz w:val="16"/>
                <w:szCs w:val="16"/>
              </w:rPr>
              <w:t>0%/-9%/-18%</w:t>
            </w:r>
          </w:p>
        </w:tc>
        <w:tc>
          <w:tcPr>
            <w:tcW w:w="1465" w:type="dxa"/>
            <w:tcBorders>
              <w:top w:val="nil"/>
              <w:bottom w:val="nil"/>
            </w:tcBorders>
            <w:shd w:val="clear" w:color="auto" w:fill="92D050"/>
          </w:tcPr>
          <w:p w14:paraId="1A9FF5B9" w14:textId="45F4347B" w:rsidR="00FC6EED" w:rsidRPr="00055769" w:rsidRDefault="00FC6EED" w:rsidP="00FC6EED">
            <w:pPr>
              <w:jc w:val="center"/>
              <w:rPr>
                <w:sz w:val="16"/>
                <w:szCs w:val="16"/>
              </w:rPr>
            </w:pPr>
            <w:r w:rsidRPr="00055769">
              <w:rPr>
                <w:sz w:val="16"/>
                <w:szCs w:val="16"/>
              </w:rPr>
              <w:t>0%/-</w:t>
            </w:r>
            <w:r>
              <w:rPr>
                <w:sz w:val="16"/>
                <w:szCs w:val="16"/>
              </w:rPr>
              <w:t>17</w:t>
            </w:r>
            <w:r w:rsidRPr="00055769">
              <w:rPr>
                <w:sz w:val="16"/>
                <w:szCs w:val="16"/>
              </w:rPr>
              <w:t>%/-</w:t>
            </w:r>
            <w:r>
              <w:rPr>
                <w:sz w:val="16"/>
                <w:szCs w:val="16"/>
              </w:rPr>
              <w:t>31</w:t>
            </w:r>
            <w:r w:rsidRPr="00055769">
              <w:rPr>
                <w:sz w:val="16"/>
                <w:szCs w:val="16"/>
              </w:rPr>
              <w:t>%</w:t>
            </w:r>
          </w:p>
        </w:tc>
        <w:tc>
          <w:tcPr>
            <w:tcW w:w="1465" w:type="dxa"/>
            <w:tcBorders>
              <w:top w:val="nil"/>
              <w:bottom w:val="nil"/>
            </w:tcBorders>
            <w:shd w:val="clear" w:color="auto" w:fill="92D050"/>
          </w:tcPr>
          <w:p w14:paraId="05A27F5F" w14:textId="021A563D" w:rsidR="00FC6EED" w:rsidRPr="00055769" w:rsidRDefault="00FC6EED" w:rsidP="00FC6EED">
            <w:pPr>
              <w:jc w:val="center"/>
              <w:rPr>
                <w:sz w:val="16"/>
                <w:szCs w:val="16"/>
              </w:rPr>
            </w:pPr>
            <w:r w:rsidRPr="00055769">
              <w:rPr>
                <w:sz w:val="16"/>
                <w:szCs w:val="16"/>
              </w:rPr>
              <w:t>0%/-</w:t>
            </w:r>
            <w:r>
              <w:rPr>
                <w:sz w:val="16"/>
                <w:szCs w:val="16"/>
              </w:rPr>
              <w:t>2</w:t>
            </w:r>
            <w:r w:rsidRPr="00055769">
              <w:rPr>
                <w:sz w:val="16"/>
                <w:szCs w:val="16"/>
              </w:rPr>
              <w:t>9%/-</w:t>
            </w:r>
            <w:r>
              <w:rPr>
                <w:sz w:val="16"/>
                <w:szCs w:val="16"/>
              </w:rPr>
              <w:t>4</w:t>
            </w:r>
            <w:r w:rsidR="001953D8">
              <w:rPr>
                <w:sz w:val="16"/>
                <w:szCs w:val="16"/>
              </w:rPr>
              <w:t>8</w:t>
            </w:r>
            <w:r w:rsidRPr="00055769">
              <w:rPr>
                <w:sz w:val="16"/>
                <w:szCs w:val="16"/>
              </w:rPr>
              <w:t>%</w:t>
            </w:r>
          </w:p>
        </w:tc>
        <w:tc>
          <w:tcPr>
            <w:tcW w:w="1465" w:type="dxa"/>
            <w:tcBorders>
              <w:top w:val="nil"/>
              <w:bottom w:val="nil"/>
            </w:tcBorders>
            <w:shd w:val="clear" w:color="auto" w:fill="FFFF00"/>
          </w:tcPr>
          <w:p w14:paraId="45FD05BA" w14:textId="1E5A3654" w:rsidR="00FC6EED" w:rsidRPr="00055769" w:rsidRDefault="00FC6EED" w:rsidP="00FC6EED">
            <w:pPr>
              <w:jc w:val="center"/>
              <w:rPr>
                <w:sz w:val="16"/>
                <w:szCs w:val="16"/>
              </w:rPr>
            </w:pPr>
            <w:r w:rsidRPr="00055769">
              <w:rPr>
                <w:sz w:val="16"/>
                <w:szCs w:val="16"/>
              </w:rPr>
              <w:t>0%/-</w:t>
            </w:r>
            <w:r>
              <w:rPr>
                <w:sz w:val="16"/>
                <w:szCs w:val="16"/>
              </w:rPr>
              <w:t>37</w:t>
            </w:r>
            <w:r w:rsidRPr="00055769">
              <w:rPr>
                <w:sz w:val="16"/>
                <w:szCs w:val="16"/>
              </w:rPr>
              <w:t>%/-</w:t>
            </w:r>
            <w:r>
              <w:rPr>
                <w:sz w:val="16"/>
                <w:szCs w:val="16"/>
              </w:rPr>
              <w:t>55</w:t>
            </w:r>
            <w:r w:rsidRPr="00055769">
              <w:rPr>
                <w:sz w:val="16"/>
                <w:szCs w:val="16"/>
              </w:rPr>
              <w:t>%</w:t>
            </w:r>
          </w:p>
        </w:tc>
        <w:tc>
          <w:tcPr>
            <w:tcW w:w="1466" w:type="dxa"/>
            <w:tcBorders>
              <w:top w:val="nil"/>
              <w:bottom w:val="nil"/>
            </w:tcBorders>
            <w:shd w:val="clear" w:color="auto" w:fill="FFC000"/>
          </w:tcPr>
          <w:p w14:paraId="16D17C7A" w14:textId="05E2E7EC" w:rsidR="00FC6EED" w:rsidRPr="00055769" w:rsidRDefault="00FC6EED" w:rsidP="00FC6EED">
            <w:pPr>
              <w:jc w:val="center"/>
              <w:rPr>
                <w:sz w:val="16"/>
                <w:szCs w:val="16"/>
              </w:rPr>
            </w:pPr>
            <w:r w:rsidRPr="00055769">
              <w:rPr>
                <w:sz w:val="16"/>
                <w:szCs w:val="16"/>
              </w:rPr>
              <w:t>0%/-</w:t>
            </w:r>
            <w:r>
              <w:rPr>
                <w:sz w:val="16"/>
                <w:szCs w:val="16"/>
              </w:rPr>
              <w:t>43</w:t>
            </w:r>
            <w:r w:rsidRPr="00055769">
              <w:rPr>
                <w:sz w:val="16"/>
                <w:szCs w:val="16"/>
              </w:rPr>
              <w:t>%/-</w:t>
            </w:r>
            <w:r>
              <w:rPr>
                <w:sz w:val="16"/>
                <w:szCs w:val="16"/>
              </w:rPr>
              <w:t>60</w:t>
            </w:r>
            <w:r w:rsidRPr="00055769">
              <w:rPr>
                <w:sz w:val="16"/>
                <w:szCs w:val="16"/>
              </w:rPr>
              <w:t>%</w:t>
            </w:r>
          </w:p>
        </w:tc>
      </w:tr>
      <w:tr w:rsidR="00FC6EED" w:rsidRPr="00055769" w14:paraId="4C4271AC" w14:textId="77777777" w:rsidTr="0059536B">
        <w:trPr>
          <w:jc w:val="center"/>
        </w:trPr>
        <w:tc>
          <w:tcPr>
            <w:tcW w:w="472" w:type="dxa"/>
            <w:tcBorders>
              <w:top w:val="nil"/>
              <w:bottom w:val="single" w:sz="4" w:space="0" w:color="auto"/>
            </w:tcBorders>
          </w:tcPr>
          <w:p w14:paraId="25B7CEA7" w14:textId="77777777" w:rsidR="00FC6EED" w:rsidRPr="00055769" w:rsidRDefault="00FC6EED" w:rsidP="00FC6EED">
            <w:pPr>
              <w:rPr>
                <w:sz w:val="16"/>
                <w:szCs w:val="16"/>
              </w:rPr>
            </w:pPr>
          </w:p>
        </w:tc>
        <w:tc>
          <w:tcPr>
            <w:tcW w:w="1836" w:type="dxa"/>
            <w:tcBorders>
              <w:top w:val="nil"/>
              <w:bottom w:val="single" w:sz="4" w:space="0" w:color="auto"/>
            </w:tcBorders>
          </w:tcPr>
          <w:p w14:paraId="177FB204" w14:textId="77777777" w:rsidR="00FC6EED" w:rsidRPr="00055769" w:rsidRDefault="00FC6EED" w:rsidP="00FC6EED">
            <w:pPr>
              <w:rPr>
                <w:sz w:val="16"/>
                <w:szCs w:val="16"/>
              </w:rPr>
            </w:pPr>
            <w:r w:rsidRPr="00055769">
              <w:rPr>
                <w:sz w:val="16"/>
                <w:szCs w:val="16"/>
              </w:rPr>
              <w:t>With diversification</w:t>
            </w:r>
          </w:p>
        </w:tc>
        <w:tc>
          <w:tcPr>
            <w:tcW w:w="1465" w:type="dxa"/>
            <w:tcBorders>
              <w:top w:val="nil"/>
              <w:bottom w:val="single" w:sz="4" w:space="0" w:color="auto"/>
            </w:tcBorders>
            <w:shd w:val="clear" w:color="auto" w:fill="92D050"/>
          </w:tcPr>
          <w:p w14:paraId="18DCF2A9" w14:textId="6CE7ED12" w:rsidR="00FC6EED" w:rsidRPr="00055769" w:rsidRDefault="00FC6EED" w:rsidP="00FC6EED">
            <w:pPr>
              <w:jc w:val="center"/>
              <w:rPr>
                <w:sz w:val="16"/>
                <w:szCs w:val="16"/>
              </w:rPr>
            </w:pPr>
            <w:r w:rsidRPr="00055769">
              <w:rPr>
                <w:sz w:val="16"/>
                <w:szCs w:val="16"/>
              </w:rPr>
              <w:t>-15%/-23%/-3</w:t>
            </w:r>
            <w:r>
              <w:rPr>
                <w:sz w:val="16"/>
                <w:szCs w:val="16"/>
              </w:rPr>
              <w:t>1</w:t>
            </w:r>
            <w:r w:rsidRPr="00055769">
              <w:rPr>
                <w:sz w:val="16"/>
                <w:szCs w:val="16"/>
              </w:rPr>
              <w:t>%</w:t>
            </w:r>
          </w:p>
        </w:tc>
        <w:tc>
          <w:tcPr>
            <w:tcW w:w="1465" w:type="dxa"/>
            <w:tcBorders>
              <w:top w:val="nil"/>
              <w:bottom w:val="single" w:sz="4" w:space="0" w:color="auto"/>
            </w:tcBorders>
            <w:shd w:val="clear" w:color="auto" w:fill="92D050"/>
          </w:tcPr>
          <w:p w14:paraId="6F560180" w14:textId="187ECF6A" w:rsidR="00FC6EED" w:rsidRPr="00055769" w:rsidRDefault="00FC6EED" w:rsidP="00FC6EED">
            <w:pPr>
              <w:jc w:val="center"/>
              <w:rPr>
                <w:sz w:val="16"/>
                <w:szCs w:val="16"/>
              </w:rPr>
            </w:pPr>
            <w:r w:rsidRPr="00055769">
              <w:rPr>
                <w:sz w:val="16"/>
                <w:szCs w:val="16"/>
              </w:rPr>
              <w:t>-15%/-2</w:t>
            </w:r>
            <w:r>
              <w:rPr>
                <w:sz w:val="16"/>
                <w:szCs w:val="16"/>
              </w:rPr>
              <w:t>9</w:t>
            </w:r>
            <w:r w:rsidRPr="00055769">
              <w:rPr>
                <w:sz w:val="16"/>
                <w:szCs w:val="16"/>
              </w:rPr>
              <w:t>%/-</w:t>
            </w:r>
            <w:r>
              <w:rPr>
                <w:sz w:val="16"/>
                <w:szCs w:val="16"/>
              </w:rPr>
              <w:t>42</w:t>
            </w:r>
            <w:r w:rsidRPr="00055769">
              <w:rPr>
                <w:sz w:val="16"/>
                <w:szCs w:val="16"/>
              </w:rPr>
              <w:t>%</w:t>
            </w:r>
          </w:p>
        </w:tc>
        <w:tc>
          <w:tcPr>
            <w:tcW w:w="1465" w:type="dxa"/>
            <w:tcBorders>
              <w:top w:val="nil"/>
              <w:bottom w:val="single" w:sz="4" w:space="0" w:color="auto"/>
            </w:tcBorders>
            <w:shd w:val="clear" w:color="auto" w:fill="92D050"/>
          </w:tcPr>
          <w:p w14:paraId="51848FF9" w14:textId="748B4478" w:rsidR="00FC6EED" w:rsidRPr="00055769" w:rsidRDefault="00FC6EED" w:rsidP="00FC6EED">
            <w:pPr>
              <w:jc w:val="center"/>
              <w:rPr>
                <w:sz w:val="16"/>
                <w:szCs w:val="16"/>
              </w:rPr>
            </w:pPr>
            <w:r w:rsidRPr="00055769">
              <w:rPr>
                <w:sz w:val="16"/>
                <w:szCs w:val="16"/>
              </w:rPr>
              <w:t>-15%/-</w:t>
            </w:r>
            <w:r>
              <w:rPr>
                <w:sz w:val="16"/>
                <w:szCs w:val="16"/>
              </w:rPr>
              <w:t>39</w:t>
            </w:r>
            <w:r w:rsidRPr="00055769">
              <w:rPr>
                <w:sz w:val="16"/>
                <w:szCs w:val="16"/>
              </w:rPr>
              <w:t>%/-</w:t>
            </w:r>
            <w:r>
              <w:rPr>
                <w:sz w:val="16"/>
                <w:szCs w:val="16"/>
              </w:rPr>
              <w:t>5</w:t>
            </w:r>
            <w:r w:rsidR="001953D8">
              <w:rPr>
                <w:sz w:val="16"/>
                <w:szCs w:val="16"/>
              </w:rPr>
              <w:t>6</w:t>
            </w:r>
            <w:r w:rsidRPr="00055769">
              <w:rPr>
                <w:sz w:val="16"/>
                <w:szCs w:val="16"/>
              </w:rPr>
              <w:t>%</w:t>
            </w:r>
          </w:p>
        </w:tc>
        <w:tc>
          <w:tcPr>
            <w:tcW w:w="1465" w:type="dxa"/>
            <w:tcBorders>
              <w:top w:val="nil"/>
              <w:bottom w:val="single" w:sz="4" w:space="0" w:color="auto"/>
            </w:tcBorders>
            <w:shd w:val="clear" w:color="auto" w:fill="FFFF00"/>
          </w:tcPr>
          <w:p w14:paraId="659422B0" w14:textId="020A0FB3" w:rsidR="00FC6EED" w:rsidRPr="00055769" w:rsidRDefault="00FC6EED" w:rsidP="00FC6EED">
            <w:pPr>
              <w:jc w:val="center"/>
              <w:rPr>
                <w:sz w:val="16"/>
                <w:szCs w:val="16"/>
              </w:rPr>
            </w:pPr>
            <w:r w:rsidRPr="00055769">
              <w:rPr>
                <w:sz w:val="16"/>
                <w:szCs w:val="16"/>
              </w:rPr>
              <w:t>-15%/-</w:t>
            </w:r>
            <w:r>
              <w:rPr>
                <w:sz w:val="16"/>
                <w:szCs w:val="16"/>
              </w:rPr>
              <w:t>47</w:t>
            </w:r>
            <w:r w:rsidRPr="00055769">
              <w:rPr>
                <w:sz w:val="16"/>
                <w:szCs w:val="16"/>
              </w:rPr>
              <w:t>%/-</w:t>
            </w:r>
            <w:r>
              <w:rPr>
                <w:sz w:val="16"/>
                <w:szCs w:val="16"/>
              </w:rPr>
              <w:t>62</w:t>
            </w:r>
            <w:r w:rsidRPr="00055769">
              <w:rPr>
                <w:sz w:val="16"/>
                <w:szCs w:val="16"/>
              </w:rPr>
              <w:t>%</w:t>
            </w:r>
          </w:p>
        </w:tc>
        <w:tc>
          <w:tcPr>
            <w:tcW w:w="1466" w:type="dxa"/>
            <w:tcBorders>
              <w:top w:val="nil"/>
              <w:bottom w:val="single" w:sz="4" w:space="0" w:color="auto"/>
            </w:tcBorders>
            <w:shd w:val="clear" w:color="auto" w:fill="FFC000"/>
          </w:tcPr>
          <w:p w14:paraId="7F03B4F7" w14:textId="5709003F" w:rsidR="00FC6EED" w:rsidRPr="00055769" w:rsidRDefault="00FC6EED" w:rsidP="00FC6EED">
            <w:pPr>
              <w:jc w:val="center"/>
              <w:rPr>
                <w:sz w:val="16"/>
                <w:szCs w:val="16"/>
              </w:rPr>
            </w:pPr>
            <w:r w:rsidRPr="00055769">
              <w:rPr>
                <w:sz w:val="16"/>
                <w:szCs w:val="16"/>
              </w:rPr>
              <w:t>-15%/-</w:t>
            </w:r>
            <w:r>
              <w:rPr>
                <w:sz w:val="16"/>
                <w:szCs w:val="16"/>
              </w:rPr>
              <w:t>52</w:t>
            </w:r>
            <w:r w:rsidRPr="00055769">
              <w:rPr>
                <w:sz w:val="16"/>
                <w:szCs w:val="16"/>
              </w:rPr>
              <w:t>%/-</w:t>
            </w:r>
            <w:r>
              <w:rPr>
                <w:sz w:val="16"/>
                <w:szCs w:val="16"/>
              </w:rPr>
              <w:t>66</w:t>
            </w:r>
            <w:r w:rsidRPr="00055769">
              <w:rPr>
                <w:sz w:val="16"/>
                <w:szCs w:val="16"/>
              </w:rPr>
              <w:t>%</w:t>
            </w:r>
          </w:p>
        </w:tc>
      </w:tr>
      <w:tr w:rsidR="00FC6EED" w:rsidRPr="00055769" w14:paraId="2F73FFBE" w14:textId="77777777" w:rsidTr="0059536B">
        <w:trPr>
          <w:jc w:val="center"/>
        </w:trPr>
        <w:tc>
          <w:tcPr>
            <w:tcW w:w="472" w:type="dxa"/>
            <w:tcBorders>
              <w:top w:val="single" w:sz="4" w:space="0" w:color="auto"/>
              <w:bottom w:val="nil"/>
            </w:tcBorders>
          </w:tcPr>
          <w:p w14:paraId="2C0FBCC3" w14:textId="77777777" w:rsidR="00FC6EED" w:rsidRPr="00055769" w:rsidRDefault="00FC6EED" w:rsidP="00FC6EED">
            <w:pPr>
              <w:rPr>
                <w:sz w:val="16"/>
                <w:szCs w:val="16"/>
              </w:rPr>
            </w:pPr>
            <w:r w:rsidRPr="00055769">
              <w:rPr>
                <w:sz w:val="16"/>
                <w:szCs w:val="16"/>
              </w:rPr>
              <w:t>5%</w:t>
            </w:r>
          </w:p>
        </w:tc>
        <w:tc>
          <w:tcPr>
            <w:tcW w:w="1836" w:type="dxa"/>
            <w:tcBorders>
              <w:top w:val="single" w:sz="4" w:space="0" w:color="auto"/>
              <w:bottom w:val="nil"/>
            </w:tcBorders>
          </w:tcPr>
          <w:p w14:paraId="72C9402E" w14:textId="77777777" w:rsidR="00FC6EED" w:rsidRPr="00055769" w:rsidRDefault="00FC6EED" w:rsidP="00FC6EED">
            <w:pPr>
              <w:rPr>
                <w:sz w:val="16"/>
                <w:szCs w:val="16"/>
              </w:rPr>
            </w:pPr>
            <w:r w:rsidRPr="00055769">
              <w:rPr>
                <w:sz w:val="16"/>
                <w:szCs w:val="16"/>
              </w:rPr>
              <w:t>Without diversification</w:t>
            </w:r>
          </w:p>
        </w:tc>
        <w:tc>
          <w:tcPr>
            <w:tcW w:w="1465" w:type="dxa"/>
            <w:tcBorders>
              <w:top w:val="single" w:sz="4" w:space="0" w:color="auto"/>
              <w:bottom w:val="nil"/>
            </w:tcBorders>
            <w:shd w:val="clear" w:color="auto" w:fill="92D050"/>
          </w:tcPr>
          <w:p w14:paraId="2DB01F85" w14:textId="0F5B4FE7" w:rsidR="00FC6EED" w:rsidRPr="00055769" w:rsidRDefault="00FC6EED" w:rsidP="00FC6EED">
            <w:pPr>
              <w:jc w:val="center"/>
              <w:rPr>
                <w:sz w:val="16"/>
                <w:szCs w:val="16"/>
              </w:rPr>
            </w:pPr>
            <w:r>
              <w:rPr>
                <w:sz w:val="16"/>
                <w:szCs w:val="16"/>
              </w:rPr>
              <w:t>-17</w:t>
            </w:r>
            <w:r w:rsidRPr="00055769">
              <w:rPr>
                <w:sz w:val="16"/>
                <w:szCs w:val="16"/>
              </w:rPr>
              <w:t>%/-</w:t>
            </w:r>
            <w:r>
              <w:rPr>
                <w:sz w:val="16"/>
                <w:szCs w:val="16"/>
              </w:rPr>
              <w:t>24</w:t>
            </w:r>
            <w:r w:rsidRPr="00055769">
              <w:rPr>
                <w:sz w:val="16"/>
                <w:szCs w:val="16"/>
              </w:rPr>
              <w:t>%/-</w:t>
            </w:r>
            <w:r>
              <w:rPr>
                <w:sz w:val="16"/>
                <w:szCs w:val="16"/>
              </w:rPr>
              <w:t>32</w:t>
            </w:r>
            <w:r w:rsidRPr="00055769">
              <w:rPr>
                <w:sz w:val="16"/>
                <w:szCs w:val="16"/>
              </w:rPr>
              <w:t>%</w:t>
            </w:r>
          </w:p>
        </w:tc>
        <w:tc>
          <w:tcPr>
            <w:tcW w:w="1465" w:type="dxa"/>
            <w:tcBorders>
              <w:top w:val="single" w:sz="4" w:space="0" w:color="auto"/>
              <w:bottom w:val="nil"/>
            </w:tcBorders>
            <w:shd w:val="clear" w:color="auto" w:fill="92D050"/>
          </w:tcPr>
          <w:p w14:paraId="58B60011" w14:textId="3D150152" w:rsidR="00FC6EED" w:rsidRPr="00055769" w:rsidRDefault="00FC6EED" w:rsidP="00FC6EED">
            <w:pPr>
              <w:jc w:val="center"/>
              <w:rPr>
                <w:sz w:val="16"/>
                <w:szCs w:val="16"/>
              </w:rPr>
            </w:pPr>
            <w:r>
              <w:rPr>
                <w:sz w:val="16"/>
                <w:szCs w:val="16"/>
              </w:rPr>
              <w:t>-17</w:t>
            </w:r>
            <w:r w:rsidRPr="00055769">
              <w:rPr>
                <w:sz w:val="16"/>
                <w:szCs w:val="16"/>
              </w:rPr>
              <w:t>%/-</w:t>
            </w:r>
            <w:r>
              <w:rPr>
                <w:sz w:val="16"/>
                <w:szCs w:val="16"/>
              </w:rPr>
              <w:t>31</w:t>
            </w:r>
            <w:r w:rsidRPr="00055769">
              <w:rPr>
                <w:sz w:val="16"/>
                <w:szCs w:val="16"/>
              </w:rPr>
              <w:t>%/-</w:t>
            </w:r>
            <w:r>
              <w:rPr>
                <w:sz w:val="16"/>
                <w:szCs w:val="16"/>
              </w:rPr>
              <w:t>43</w:t>
            </w:r>
            <w:r w:rsidRPr="00055769">
              <w:rPr>
                <w:sz w:val="16"/>
                <w:szCs w:val="16"/>
              </w:rPr>
              <w:t>%</w:t>
            </w:r>
          </w:p>
        </w:tc>
        <w:tc>
          <w:tcPr>
            <w:tcW w:w="1465" w:type="dxa"/>
            <w:tcBorders>
              <w:top w:val="single" w:sz="4" w:space="0" w:color="auto"/>
              <w:bottom w:val="nil"/>
            </w:tcBorders>
            <w:shd w:val="clear" w:color="auto" w:fill="FFFF00"/>
          </w:tcPr>
          <w:p w14:paraId="592D6258" w14:textId="1C29E312" w:rsidR="00FC6EED" w:rsidRPr="00055769" w:rsidRDefault="00FC6EED" w:rsidP="00FC6EED">
            <w:pPr>
              <w:jc w:val="center"/>
              <w:rPr>
                <w:sz w:val="16"/>
                <w:szCs w:val="16"/>
              </w:rPr>
            </w:pPr>
            <w:r>
              <w:rPr>
                <w:sz w:val="16"/>
                <w:szCs w:val="16"/>
              </w:rPr>
              <w:t>-17</w:t>
            </w:r>
            <w:r w:rsidRPr="00055769">
              <w:rPr>
                <w:sz w:val="16"/>
                <w:szCs w:val="16"/>
              </w:rPr>
              <w:t>%/-</w:t>
            </w:r>
            <w:r>
              <w:rPr>
                <w:sz w:val="16"/>
                <w:szCs w:val="16"/>
              </w:rPr>
              <w:t>40</w:t>
            </w:r>
            <w:r w:rsidRPr="00055769">
              <w:rPr>
                <w:sz w:val="16"/>
                <w:szCs w:val="16"/>
              </w:rPr>
              <w:t>%/-</w:t>
            </w:r>
            <w:r>
              <w:rPr>
                <w:sz w:val="16"/>
                <w:szCs w:val="16"/>
              </w:rPr>
              <w:t>5</w:t>
            </w:r>
            <w:r w:rsidR="001953D8">
              <w:rPr>
                <w:sz w:val="16"/>
                <w:szCs w:val="16"/>
              </w:rPr>
              <w:t>7</w:t>
            </w:r>
            <w:r w:rsidRPr="00055769">
              <w:rPr>
                <w:sz w:val="16"/>
                <w:szCs w:val="16"/>
              </w:rPr>
              <w:t>%</w:t>
            </w:r>
          </w:p>
        </w:tc>
        <w:tc>
          <w:tcPr>
            <w:tcW w:w="1465" w:type="dxa"/>
            <w:tcBorders>
              <w:top w:val="single" w:sz="4" w:space="0" w:color="auto"/>
              <w:bottom w:val="nil"/>
            </w:tcBorders>
            <w:shd w:val="clear" w:color="auto" w:fill="FFC000"/>
          </w:tcPr>
          <w:p w14:paraId="3D229F76" w14:textId="66A79BA8" w:rsidR="00FC6EED" w:rsidRPr="00055769" w:rsidRDefault="00FC6EED" w:rsidP="00FC6EED">
            <w:pPr>
              <w:jc w:val="center"/>
              <w:rPr>
                <w:sz w:val="16"/>
                <w:szCs w:val="16"/>
              </w:rPr>
            </w:pPr>
            <w:r>
              <w:rPr>
                <w:sz w:val="16"/>
                <w:szCs w:val="16"/>
              </w:rPr>
              <w:t>-17</w:t>
            </w:r>
            <w:r w:rsidRPr="00055769">
              <w:rPr>
                <w:sz w:val="16"/>
                <w:szCs w:val="16"/>
              </w:rPr>
              <w:t>%/-</w:t>
            </w:r>
            <w:r>
              <w:rPr>
                <w:sz w:val="16"/>
                <w:szCs w:val="16"/>
              </w:rPr>
              <w:t>47</w:t>
            </w:r>
            <w:r w:rsidRPr="00055769">
              <w:rPr>
                <w:sz w:val="16"/>
                <w:szCs w:val="16"/>
              </w:rPr>
              <w:t>%/-</w:t>
            </w:r>
            <w:r>
              <w:rPr>
                <w:sz w:val="16"/>
                <w:szCs w:val="16"/>
              </w:rPr>
              <w:t>62</w:t>
            </w:r>
            <w:r w:rsidRPr="00055769">
              <w:rPr>
                <w:sz w:val="16"/>
                <w:szCs w:val="16"/>
              </w:rPr>
              <w:t>%</w:t>
            </w:r>
          </w:p>
        </w:tc>
        <w:tc>
          <w:tcPr>
            <w:tcW w:w="1466" w:type="dxa"/>
            <w:tcBorders>
              <w:top w:val="single" w:sz="4" w:space="0" w:color="auto"/>
              <w:bottom w:val="nil"/>
            </w:tcBorders>
            <w:shd w:val="clear" w:color="auto" w:fill="FFC000"/>
          </w:tcPr>
          <w:p w14:paraId="744C555E" w14:textId="470B6142" w:rsidR="00FC6EED" w:rsidRPr="00055769" w:rsidRDefault="00FC6EED" w:rsidP="00FC6EED">
            <w:pPr>
              <w:jc w:val="center"/>
              <w:rPr>
                <w:sz w:val="16"/>
                <w:szCs w:val="16"/>
              </w:rPr>
            </w:pPr>
            <w:r>
              <w:rPr>
                <w:sz w:val="16"/>
                <w:szCs w:val="16"/>
              </w:rPr>
              <w:t>-17</w:t>
            </w:r>
            <w:r w:rsidRPr="00055769">
              <w:rPr>
                <w:sz w:val="16"/>
                <w:szCs w:val="16"/>
              </w:rPr>
              <w:t>%/-</w:t>
            </w:r>
            <w:r>
              <w:rPr>
                <w:sz w:val="16"/>
                <w:szCs w:val="16"/>
              </w:rPr>
              <w:t>52</w:t>
            </w:r>
            <w:r w:rsidRPr="00055769">
              <w:rPr>
                <w:sz w:val="16"/>
                <w:szCs w:val="16"/>
              </w:rPr>
              <w:t>%/-</w:t>
            </w:r>
            <w:r>
              <w:rPr>
                <w:sz w:val="16"/>
                <w:szCs w:val="16"/>
              </w:rPr>
              <w:t>66</w:t>
            </w:r>
            <w:r w:rsidRPr="00055769">
              <w:rPr>
                <w:sz w:val="16"/>
                <w:szCs w:val="16"/>
              </w:rPr>
              <w:t>%</w:t>
            </w:r>
          </w:p>
        </w:tc>
      </w:tr>
      <w:tr w:rsidR="00FC6EED" w:rsidRPr="00055769" w14:paraId="64F1E432" w14:textId="77777777" w:rsidTr="0059536B">
        <w:trPr>
          <w:jc w:val="center"/>
        </w:trPr>
        <w:tc>
          <w:tcPr>
            <w:tcW w:w="472" w:type="dxa"/>
            <w:tcBorders>
              <w:top w:val="nil"/>
            </w:tcBorders>
          </w:tcPr>
          <w:p w14:paraId="1026FAF6" w14:textId="77777777" w:rsidR="00FC6EED" w:rsidRPr="00055769" w:rsidRDefault="00FC6EED" w:rsidP="00FC6EED">
            <w:pPr>
              <w:rPr>
                <w:sz w:val="16"/>
                <w:szCs w:val="16"/>
              </w:rPr>
            </w:pPr>
          </w:p>
        </w:tc>
        <w:tc>
          <w:tcPr>
            <w:tcW w:w="1836" w:type="dxa"/>
            <w:tcBorders>
              <w:top w:val="nil"/>
            </w:tcBorders>
          </w:tcPr>
          <w:p w14:paraId="4276682A" w14:textId="77777777" w:rsidR="00FC6EED" w:rsidRPr="00055769" w:rsidRDefault="00FC6EED" w:rsidP="00FC6EED">
            <w:pPr>
              <w:rPr>
                <w:sz w:val="16"/>
                <w:szCs w:val="16"/>
              </w:rPr>
            </w:pPr>
            <w:r w:rsidRPr="00055769">
              <w:rPr>
                <w:sz w:val="16"/>
                <w:szCs w:val="16"/>
              </w:rPr>
              <w:t>With diversification</w:t>
            </w:r>
          </w:p>
        </w:tc>
        <w:tc>
          <w:tcPr>
            <w:tcW w:w="1465" w:type="dxa"/>
            <w:tcBorders>
              <w:top w:val="nil"/>
            </w:tcBorders>
            <w:shd w:val="clear" w:color="auto" w:fill="FFFF00"/>
          </w:tcPr>
          <w:p w14:paraId="5386E0F5" w14:textId="1A9F0A07" w:rsidR="00FC6EED" w:rsidRPr="00055769" w:rsidRDefault="00FC6EED" w:rsidP="00FC6EED">
            <w:pPr>
              <w:jc w:val="center"/>
              <w:rPr>
                <w:sz w:val="16"/>
                <w:szCs w:val="16"/>
              </w:rPr>
            </w:pPr>
            <w:r w:rsidRPr="00055769">
              <w:rPr>
                <w:sz w:val="16"/>
                <w:szCs w:val="16"/>
              </w:rPr>
              <w:t>-</w:t>
            </w:r>
            <w:r>
              <w:rPr>
                <w:sz w:val="16"/>
                <w:szCs w:val="16"/>
              </w:rPr>
              <w:t>29</w:t>
            </w:r>
            <w:r w:rsidRPr="00055769">
              <w:rPr>
                <w:sz w:val="16"/>
                <w:szCs w:val="16"/>
              </w:rPr>
              <w:t>%/-</w:t>
            </w:r>
            <w:r>
              <w:rPr>
                <w:sz w:val="16"/>
                <w:szCs w:val="16"/>
              </w:rPr>
              <w:t>36</w:t>
            </w:r>
            <w:r w:rsidRPr="00055769">
              <w:rPr>
                <w:sz w:val="16"/>
                <w:szCs w:val="16"/>
              </w:rPr>
              <w:t>%/-</w:t>
            </w:r>
            <w:r>
              <w:rPr>
                <w:sz w:val="16"/>
                <w:szCs w:val="16"/>
              </w:rPr>
              <w:t>42</w:t>
            </w:r>
            <w:r w:rsidRPr="00055769">
              <w:rPr>
                <w:sz w:val="16"/>
                <w:szCs w:val="16"/>
              </w:rPr>
              <w:t>%</w:t>
            </w:r>
          </w:p>
        </w:tc>
        <w:tc>
          <w:tcPr>
            <w:tcW w:w="1465" w:type="dxa"/>
            <w:tcBorders>
              <w:top w:val="nil"/>
            </w:tcBorders>
            <w:shd w:val="clear" w:color="auto" w:fill="FFFF00"/>
          </w:tcPr>
          <w:p w14:paraId="7870FEB4" w14:textId="62507B58" w:rsidR="00FC6EED" w:rsidRPr="00055769" w:rsidRDefault="00FC6EED" w:rsidP="00FC6EED">
            <w:pPr>
              <w:jc w:val="center"/>
              <w:rPr>
                <w:sz w:val="16"/>
                <w:szCs w:val="16"/>
              </w:rPr>
            </w:pPr>
            <w:r w:rsidRPr="00055769">
              <w:rPr>
                <w:sz w:val="16"/>
                <w:szCs w:val="16"/>
              </w:rPr>
              <w:t>-</w:t>
            </w:r>
            <w:r>
              <w:rPr>
                <w:sz w:val="16"/>
                <w:szCs w:val="16"/>
              </w:rPr>
              <w:t>29</w:t>
            </w:r>
            <w:r w:rsidRPr="00055769">
              <w:rPr>
                <w:sz w:val="16"/>
                <w:szCs w:val="16"/>
              </w:rPr>
              <w:t>%/-</w:t>
            </w:r>
            <w:r>
              <w:rPr>
                <w:sz w:val="16"/>
                <w:szCs w:val="16"/>
              </w:rPr>
              <w:t>41</w:t>
            </w:r>
            <w:r w:rsidRPr="00055769">
              <w:rPr>
                <w:sz w:val="16"/>
                <w:szCs w:val="16"/>
              </w:rPr>
              <w:t>%/-</w:t>
            </w:r>
            <w:r>
              <w:rPr>
                <w:sz w:val="16"/>
                <w:szCs w:val="16"/>
              </w:rPr>
              <w:t>51</w:t>
            </w:r>
            <w:r w:rsidRPr="00055769">
              <w:rPr>
                <w:sz w:val="16"/>
                <w:szCs w:val="16"/>
              </w:rPr>
              <w:t>%</w:t>
            </w:r>
          </w:p>
        </w:tc>
        <w:tc>
          <w:tcPr>
            <w:tcW w:w="1465" w:type="dxa"/>
            <w:tcBorders>
              <w:top w:val="nil"/>
            </w:tcBorders>
            <w:shd w:val="clear" w:color="auto" w:fill="FFC000"/>
          </w:tcPr>
          <w:p w14:paraId="21E82838" w14:textId="705A01EC" w:rsidR="00FC6EED" w:rsidRPr="00055769" w:rsidRDefault="00FC6EED" w:rsidP="00FC6EED">
            <w:pPr>
              <w:jc w:val="center"/>
              <w:rPr>
                <w:sz w:val="16"/>
                <w:szCs w:val="16"/>
              </w:rPr>
            </w:pPr>
            <w:r w:rsidRPr="00055769">
              <w:rPr>
                <w:sz w:val="16"/>
                <w:szCs w:val="16"/>
              </w:rPr>
              <w:t>-</w:t>
            </w:r>
            <w:r>
              <w:rPr>
                <w:sz w:val="16"/>
                <w:szCs w:val="16"/>
              </w:rPr>
              <w:t>29</w:t>
            </w:r>
            <w:r w:rsidRPr="00055769">
              <w:rPr>
                <w:sz w:val="16"/>
                <w:szCs w:val="16"/>
              </w:rPr>
              <w:t>%/-</w:t>
            </w:r>
            <w:r w:rsidR="001953D8">
              <w:rPr>
                <w:sz w:val="16"/>
                <w:szCs w:val="16"/>
              </w:rPr>
              <w:t>50</w:t>
            </w:r>
            <w:r w:rsidRPr="00055769">
              <w:rPr>
                <w:sz w:val="16"/>
                <w:szCs w:val="16"/>
              </w:rPr>
              <w:t>%/-</w:t>
            </w:r>
            <w:r>
              <w:rPr>
                <w:sz w:val="16"/>
                <w:szCs w:val="16"/>
              </w:rPr>
              <w:t>6</w:t>
            </w:r>
            <w:r w:rsidR="001953D8">
              <w:rPr>
                <w:sz w:val="16"/>
                <w:szCs w:val="16"/>
              </w:rPr>
              <w:t>3</w:t>
            </w:r>
            <w:r w:rsidRPr="00055769">
              <w:rPr>
                <w:sz w:val="16"/>
                <w:szCs w:val="16"/>
              </w:rPr>
              <w:t>%</w:t>
            </w:r>
          </w:p>
        </w:tc>
        <w:tc>
          <w:tcPr>
            <w:tcW w:w="1465" w:type="dxa"/>
            <w:tcBorders>
              <w:top w:val="nil"/>
            </w:tcBorders>
            <w:shd w:val="clear" w:color="auto" w:fill="FFC000"/>
          </w:tcPr>
          <w:p w14:paraId="625BA450" w14:textId="330202D8" w:rsidR="00FC6EED" w:rsidRPr="00055769" w:rsidRDefault="00FC6EED" w:rsidP="00FC6EED">
            <w:pPr>
              <w:jc w:val="center"/>
              <w:rPr>
                <w:sz w:val="16"/>
                <w:szCs w:val="16"/>
              </w:rPr>
            </w:pPr>
            <w:r w:rsidRPr="00055769">
              <w:rPr>
                <w:sz w:val="16"/>
                <w:szCs w:val="16"/>
              </w:rPr>
              <w:t>-</w:t>
            </w:r>
            <w:r>
              <w:rPr>
                <w:sz w:val="16"/>
                <w:szCs w:val="16"/>
              </w:rPr>
              <w:t>29</w:t>
            </w:r>
            <w:r w:rsidRPr="00055769">
              <w:rPr>
                <w:sz w:val="16"/>
                <w:szCs w:val="16"/>
              </w:rPr>
              <w:t>%/-</w:t>
            </w:r>
            <w:r>
              <w:rPr>
                <w:sz w:val="16"/>
                <w:szCs w:val="16"/>
              </w:rPr>
              <w:t>55</w:t>
            </w:r>
            <w:r w:rsidRPr="00055769">
              <w:rPr>
                <w:sz w:val="16"/>
                <w:szCs w:val="16"/>
              </w:rPr>
              <w:t>%/-</w:t>
            </w:r>
            <w:r>
              <w:rPr>
                <w:sz w:val="16"/>
                <w:szCs w:val="16"/>
              </w:rPr>
              <w:t>67</w:t>
            </w:r>
            <w:r w:rsidRPr="00055769">
              <w:rPr>
                <w:sz w:val="16"/>
                <w:szCs w:val="16"/>
              </w:rPr>
              <w:t>%</w:t>
            </w:r>
          </w:p>
        </w:tc>
        <w:tc>
          <w:tcPr>
            <w:tcW w:w="1466" w:type="dxa"/>
            <w:tcBorders>
              <w:top w:val="nil"/>
            </w:tcBorders>
            <w:shd w:val="clear" w:color="auto" w:fill="FFC000"/>
          </w:tcPr>
          <w:p w14:paraId="70BB8533" w14:textId="6F33F23B" w:rsidR="00FC6EED" w:rsidRPr="00055769" w:rsidRDefault="00FC6EED" w:rsidP="00FC6EED">
            <w:pPr>
              <w:jc w:val="center"/>
              <w:rPr>
                <w:sz w:val="16"/>
                <w:szCs w:val="16"/>
              </w:rPr>
            </w:pPr>
            <w:r w:rsidRPr="00055769">
              <w:rPr>
                <w:sz w:val="16"/>
                <w:szCs w:val="16"/>
              </w:rPr>
              <w:t>-</w:t>
            </w:r>
            <w:r>
              <w:rPr>
                <w:sz w:val="16"/>
                <w:szCs w:val="16"/>
              </w:rPr>
              <w:t>29</w:t>
            </w:r>
            <w:r w:rsidRPr="00055769">
              <w:rPr>
                <w:sz w:val="16"/>
                <w:szCs w:val="16"/>
              </w:rPr>
              <w:t>%/-</w:t>
            </w:r>
            <w:r>
              <w:rPr>
                <w:sz w:val="16"/>
                <w:szCs w:val="16"/>
              </w:rPr>
              <w:t>60</w:t>
            </w:r>
            <w:r w:rsidRPr="00055769">
              <w:rPr>
                <w:sz w:val="16"/>
                <w:szCs w:val="16"/>
              </w:rPr>
              <w:t>%/-</w:t>
            </w:r>
            <w:r>
              <w:rPr>
                <w:sz w:val="16"/>
                <w:szCs w:val="16"/>
              </w:rPr>
              <w:t>71</w:t>
            </w:r>
            <w:r w:rsidRPr="00055769">
              <w:rPr>
                <w:sz w:val="16"/>
                <w:szCs w:val="16"/>
              </w:rPr>
              <w:t>%</w:t>
            </w:r>
          </w:p>
        </w:tc>
      </w:tr>
      <w:tr w:rsidR="00FC6EED" w:rsidRPr="00055769" w14:paraId="0DE2626B" w14:textId="77777777" w:rsidTr="0059536B">
        <w:trPr>
          <w:jc w:val="center"/>
        </w:trPr>
        <w:tc>
          <w:tcPr>
            <w:tcW w:w="472" w:type="dxa"/>
            <w:tcBorders>
              <w:top w:val="nil"/>
              <w:bottom w:val="nil"/>
            </w:tcBorders>
          </w:tcPr>
          <w:p w14:paraId="2ECC36F2" w14:textId="77777777" w:rsidR="00FC6EED" w:rsidRPr="00055769" w:rsidRDefault="00FC6EED" w:rsidP="00FC6EED">
            <w:pPr>
              <w:rPr>
                <w:sz w:val="16"/>
                <w:szCs w:val="16"/>
              </w:rPr>
            </w:pPr>
            <w:r w:rsidRPr="00055769">
              <w:rPr>
                <w:sz w:val="16"/>
                <w:szCs w:val="16"/>
              </w:rPr>
              <w:t>4%</w:t>
            </w:r>
          </w:p>
        </w:tc>
        <w:tc>
          <w:tcPr>
            <w:tcW w:w="1836" w:type="dxa"/>
            <w:tcBorders>
              <w:top w:val="nil"/>
              <w:bottom w:val="nil"/>
            </w:tcBorders>
          </w:tcPr>
          <w:p w14:paraId="6B64A127" w14:textId="77777777" w:rsidR="00FC6EED" w:rsidRPr="00055769" w:rsidRDefault="00FC6EED" w:rsidP="00FC6EED">
            <w:pPr>
              <w:rPr>
                <w:sz w:val="16"/>
                <w:szCs w:val="16"/>
              </w:rPr>
            </w:pPr>
            <w:r w:rsidRPr="00055769">
              <w:rPr>
                <w:sz w:val="16"/>
                <w:szCs w:val="16"/>
              </w:rPr>
              <w:t>Without diversification</w:t>
            </w:r>
          </w:p>
        </w:tc>
        <w:tc>
          <w:tcPr>
            <w:tcW w:w="1465" w:type="dxa"/>
            <w:tcBorders>
              <w:top w:val="nil"/>
              <w:bottom w:val="nil"/>
            </w:tcBorders>
            <w:shd w:val="clear" w:color="auto" w:fill="FFFF00"/>
          </w:tcPr>
          <w:p w14:paraId="0E873AB3" w14:textId="36E0B280" w:rsidR="00FC6EED" w:rsidRPr="00055769" w:rsidRDefault="00FC6EED" w:rsidP="00FC6EED">
            <w:pPr>
              <w:jc w:val="center"/>
              <w:rPr>
                <w:sz w:val="16"/>
                <w:szCs w:val="16"/>
              </w:rPr>
            </w:pPr>
            <w:r>
              <w:rPr>
                <w:sz w:val="16"/>
                <w:szCs w:val="16"/>
              </w:rPr>
              <w:t>-33</w:t>
            </w:r>
            <w:r w:rsidRPr="00055769">
              <w:rPr>
                <w:sz w:val="16"/>
                <w:szCs w:val="16"/>
              </w:rPr>
              <w:t>%/-</w:t>
            </w:r>
            <w:r>
              <w:rPr>
                <w:sz w:val="16"/>
                <w:szCs w:val="16"/>
              </w:rPr>
              <w:t>39</w:t>
            </w:r>
            <w:r w:rsidRPr="00055769">
              <w:rPr>
                <w:sz w:val="16"/>
                <w:szCs w:val="16"/>
              </w:rPr>
              <w:t>%/-</w:t>
            </w:r>
            <w:r>
              <w:rPr>
                <w:sz w:val="16"/>
                <w:szCs w:val="16"/>
              </w:rPr>
              <w:t>46</w:t>
            </w:r>
            <w:r w:rsidRPr="00055769">
              <w:rPr>
                <w:sz w:val="16"/>
                <w:szCs w:val="16"/>
              </w:rPr>
              <w:t>%</w:t>
            </w:r>
          </w:p>
        </w:tc>
        <w:tc>
          <w:tcPr>
            <w:tcW w:w="1465" w:type="dxa"/>
            <w:tcBorders>
              <w:top w:val="nil"/>
              <w:bottom w:val="nil"/>
            </w:tcBorders>
            <w:shd w:val="clear" w:color="auto" w:fill="FFFF00"/>
          </w:tcPr>
          <w:p w14:paraId="74E39D4C" w14:textId="652CB615" w:rsidR="00FC6EED" w:rsidRPr="00055769" w:rsidRDefault="00FC6EED" w:rsidP="00FC6EED">
            <w:pPr>
              <w:jc w:val="center"/>
              <w:rPr>
                <w:sz w:val="16"/>
                <w:szCs w:val="16"/>
              </w:rPr>
            </w:pPr>
            <w:r>
              <w:rPr>
                <w:sz w:val="16"/>
                <w:szCs w:val="16"/>
              </w:rPr>
              <w:t>-33</w:t>
            </w:r>
            <w:r w:rsidRPr="00055769">
              <w:rPr>
                <w:sz w:val="16"/>
                <w:szCs w:val="16"/>
              </w:rPr>
              <w:t>%/-</w:t>
            </w:r>
            <w:r>
              <w:rPr>
                <w:sz w:val="16"/>
                <w:szCs w:val="16"/>
              </w:rPr>
              <w:t>44</w:t>
            </w:r>
            <w:r w:rsidRPr="00055769">
              <w:rPr>
                <w:sz w:val="16"/>
                <w:szCs w:val="16"/>
              </w:rPr>
              <w:t>%/-</w:t>
            </w:r>
            <w:r>
              <w:rPr>
                <w:sz w:val="16"/>
                <w:szCs w:val="16"/>
              </w:rPr>
              <w:t>54</w:t>
            </w:r>
            <w:r w:rsidRPr="00055769">
              <w:rPr>
                <w:sz w:val="16"/>
                <w:szCs w:val="16"/>
              </w:rPr>
              <w:t>%</w:t>
            </w:r>
          </w:p>
        </w:tc>
        <w:tc>
          <w:tcPr>
            <w:tcW w:w="1465" w:type="dxa"/>
            <w:tcBorders>
              <w:top w:val="nil"/>
              <w:bottom w:val="nil"/>
            </w:tcBorders>
            <w:shd w:val="clear" w:color="auto" w:fill="FFC000"/>
          </w:tcPr>
          <w:p w14:paraId="5B165642" w14:textId="10C1E8E8" w:rsidR="00FC6EED" w:rsidRPr="00055769" w:rsidRDefault="00FC6EED" w:rsidP="00FC6EED">
            <w:pPr>
              <w:jc w:val="center"/>
              <w:rPr>
                <w:sz w:val="16"/>
                <w:szCs w:val="16"/>
              </w:rPr>
            </w:pPr>
            <w:r>
              <w:rPr>
                <w:sz w:val="16"/>
                <w:szCs w:val="16"/>
              </w:rPr>
              <w:t>-33</w:t>
            </w:r>
            <w:r w:rsidRPr="00055769">
              <w:rPr>
                <w:sz w:val="16"/>
                <w:szCs w:val="16"/>
              </w:rPr>
              <w:t>%/-</w:t>
            </w:r>
            <w:r>
              <w:rPr>
                <w:sz w:val="16"/>
                <w:szCs w:val="16"/>
              </w:rPr>
              <w:t>52</w:t>
            </w:r>
            <w:r w:rsidRPr="00055769">
              <w:rPr>
                <w:sz w:val="16"/>
                <w:szCs w:val="16"/>
              </w:rPr>
              <w:t>%/-</w:t>
            </w:r>
            <w:r>
              <w:rPr>
                <w:sz w:val="16"/>
                <w:szCs w:val="16"/>
              </w:rPr>
              <w:t>6</w:t>
            </w:r>
            <w:r w:rsidR="001953D8">
              <w:rPr>
                <w:sz w:val="16"/>
                <w:szCs w:val="16"/>
              </w:rPr>
              <w:t>5</w:t>
            </w:r>
            <w:r w:rsidRPr="00055769">
              <w:rPr>
                <w:sz w:val="16"/>
                <w:szCs w:val="16"/>
              </w:rPr>
              <w:t>%</w:t>
            </w:r>
          </w:p>
        </w:tc>
        <w:tc>
          <w:tcPr>
            <w:tcW w:w="1465" w:type="dxa"/>
            <w:tcBorders>
              <w:top w:val="nil"/>
              <w:bottom w:val="nil"/>
            </w:tcBorders>
            <w:shd w:val="clear" w:color="auto" w:fill="FFC000"/>
          </w:tcPr>
          <w:p w14:paraId="02F80051" w14:textId="11407CB8" w:rsidR="00FC6EED" w:rsidRPr="00055769" w:rsidRDefault="00FC6EED" w:rsidP="00FC6EED">
            <w:pPr>
              <w:jc w:val="center"/>
              <w:rPr>
                <w:sz w:val="16"/>
                <w:szCs w:val="16"/>
              </w:rPr>
            </w:pPr>
            <w:r>
              <w:rPr>
                <w:sz w:val="16"/>
                <w:szCs w:val="16"/>
              </w:rPr>
              <w:t>-33</w:t>
            </w:r>
            <w:r w:rsidRPr="00055769">
              <w:rPr>
                <w:sz w:val="16"/>
                <w:szCs w:val="16"/>
              </w:rPr>
              <w:t>%/-</w:t>
            </w:r>
            <w:r>
              <w:rPr>
                <w:sz w:val="16"/>
                <w:szCs w:val="16"/>
              </w:rPr>
              <w:t>58</w:t>
            </w:r>
            <w:r w:rsidRPr="00055769">
              <w:rPr>
                <w:sz w:val="16"/>
                <w:szCs w:val="16"/>
              </w:rPr>
              <w:t>%/-</w:t>
            </w:r>
            <w:r>
              <w:rPr>
                <w:sz w:val="16"/>
                <w:szCs w:val="16"/>
              </w:rPr>
              <w:t>68</w:t>
            </w:r>
            <w:r w:rsidRPr="00055769">
              <w:rPr>
                <w:sz w:val="16"/>
                <w:szCs w:val="16"/>
              </w:rPr>
              <w:t>%</w:t>
            </w:r>
          </w:p>
        </w:tc>
        <w:tc>
          <w:tcPr>
            <w:tcW w:w="1466" w:type="dxa"/>
            <w:tcBorders>
              <w:top w:val="nil"/>
              <w:bottom w:val="nil"/>
            </w:tcBorders>
            <w:shd w:val="clear" w:color="auto" w:fill="FFC000"/>
          </w:tcPr>
          <w:p w14:paraId="7F30CAD6" w14:textId="71FD5983" w:rsidR="00FC6EED" w:rsidRPr="00055769" w:rsidRDefault="00FC6EED" w:rsidP="00FC6EED">
            <w:pPr>
              <w:jc w:val="center"/>
              <w:rPr>
                <w:sz w:val="16"/>
                <w:szCs w:val="16"/>
              </w:rPr>
            </w:pPr>
            <w:r>
              <w:rPr>
                <w:sz w:val="16"/>
                <w:szCs w:val="16"/>
              </w:rPr>
              <w:t>-33</w:t>
            </w:r>
            <w:r w:rsidRPr="00055769">
              <w:rPr>
                <w:sz w:val="16"/>
                <w:szCs w:val="16"/>
              </w:rPr>
              <w:t>%/-</w:t>
            </w:r>
            <w:r>
              <w:rPr>
                <w:sz w:val="16"/>
                <w:szCs w:val="16"/>
              </w:rPr>
              <w:t>61</w:t>
            </w:r>
            <w:r w:rsidRPr="00055769">
              <w:rPr>
                <w:sz w:val="16"/>
                <w:szCs w:val="16"/>
              </w:rPr>
              <w:t>%/-</w:t>
            </w:r>
            <w:r>
              <w:rPr>
                <w:sz w:val="16"/>
                <w:szCs w:val="16"/>
              </w:rPr>
              <w:t>71</w:t>
            </w:r>
            <w:r w:rsidRPr="00055769">
              <w:rPr>
                <w:sz w:val="16"/>
                <w:szCs w:val="16"/>
              </w:rPr>
              <w:t>%</w:t>
            </w:r>
          </w:p>
        </w:tc>
      </w:tr>
      <w:tr w:rsidR="00FC6EED" w:rsidRPr="00055769" w14:paraId="174E3266" w14:textId="77777777" w:rsidTr="0059536B">
        <w:trPr>
          <w:jc w:val="center"/>
        </w:trPr>
        <w:tc>
          <w:tcPr>
            <w:tcW w:w="472" w:type="dxa"/>
            <w:tcBorders>
              <w:top w:val="nil"/>
            </w:tcBorders>
          </w:tcPr>
          <w:p w14:paraId="40E651DA" w14:textId="77777777" w:rsidR="00FC6EED" w:rsidRPr="00055769" w:rsidRDefault="00FC6EED" w:rsidP="00FC6EED">
            <w:pPr>
              <w:rPr>
                <w:sz w:val="16"/>
                <w:szCs w:val="16"/>
              </w:rPr>
            </w:pPr>
          </w:p>
        </w:tc>
        <w:tc>
          <w:tcPr>
            <w:tcW w:w="1836" w:type="dxa"/>
            <w:tcBorders>
              <w:top w:val="nil"/>
            </w:tcBorders>
          </w:tcPr>
          <w:p w14:paraId="5EDEEDC3" w14:textId="77777777" w:rsidR="00FC6EED" w:rsidRPr="00055769" w:rsidRDefault="00FC6EED" w:rsidP="00FC6EED">
            <w:pPr>
              <w:rPr>
                <w:sz w:val="16"/>
                <w:szCs w:val="16"/>
              </w:rPr>
            </w:pPr>
            <w:r w:rsidRPr="00055769">
              <w:rPr>
                <w:sz w:val="16"/>
                <w:szCs w:val="16"/>
              </w:rPr>
              <w:t>With diversification</w:t>
            </w:r>
          </w:p>
        </w:tc>
        <w:tc>
          <w:tcPr>
            <w:tcW w:w="1465" w:type="dxa"/>
            <w:tcBorders>
              <w:top w:val="nil"/>
            </w:tcBorders>
            <w:shd w:val="clear" w:color="auto" w:fill="FFC000"/>
          </w:tcPr>
          <w:p w14:paraId="29543C51" w14:textId="1F5FD90C" w:rsidR="00FC6EED" w:rsidRPr="00055769" w:rsidRDefault="00FC6EED" w:rsidP="00FC6EED">
            <w:pPr>
              <w:jc w:val="center"/>
              <w:rPr>
                <w:sz w:val="16"/>
                <w:szCs w:val="16"/>
              </w:rPr>
            </w:pPr>
            <w:r w:rsidRPr="00055769">
              <w:rPr>
                <w:sz w:val="16"/>
                <w:szCs w:val="16"/>
              </w:rPr>
              <w:t>-</w:t>
            </w:r>
            <w:r>
              <w:rPr>
                <w:sz w:val="16"/>
                <w:szCs w:val="16"/>
              </w:rPr>
              <w:t>43</w:t>
            </w:r>
            <w:r w:rsidRPr="00055769">
              <w:rPr>
                <w:sz w:val="16"/>
                <w:szCs w:val="16"/>
              </w:rPr>
              <w:t>%/-</w:t>
            </w:r>
            <w:r>
              <w:rPr>
                <w:sz w:val="16"/>
                <w:szCs w:val="16"/>
              </w:rPr>
              <w:t>49</w:t>
            </w:r>
            <w:r w:rsidRPr="00055769">
              <w:rPr>
                <w:sz w:val="16"/>
                <w:szCs w:val="16"/>
              </w:rPr>
              <w:t>%/-</w:t>
            </w:r>
            <w:r>
              <w:rPr>
                <w:sz w:val="16"/>
                <w:szCs w:val="16"/>
              </w:rPr>
              <w:t>54</w:t>
            </w:r>
            <w:r w:rsidRPr="00055769">
              <w:rPr>
                <w:sz w:val="16"/>
                <w:szCs w:val="16"/>
              </w:rPr>
              <w:t>%</w:t>
            </w:r>
          </w:p>
        </w:tc>
        <w:tc>
          <w:tcPr>
            <w:tcW w:w="1465" w:type="dxa"/>
            <w:tcBorders>
              <w:top w:val="nil"/>
            </w:tcBorders>
            <w:shd w:val="clear" w:color="auto" w:fill="FFC000"/>
          </w:tcPr>
          <w:p w14:paraId="1F9AA72D" w14:textId="3B166EE9" w:rsidR="00FC6EED" w:rsidRPr="00055769" w:rsidRDefault="00FC6EED" w:rsidP="00FC6EED">
            <w:pPr>
              <w:jc w:val="center"/>
              <w:rPr>
                <w:sz w:val="16"/>
                <w:szCs w:val="16"/>
              </w:rPr>
            </w:pPr>
            <w:r w:rsidRPr="00055769">
              <w:rPr>
                <w:sz w:val="16"/>
                <w:szCs w:val="16"/>
              </w:rPr>
              <w:t>-</w:t>
            </w:r>
            <w:r>
              <w:rPr>
                <w:sz w:val="16"/>
                <w:szCs w:val="16"/>
              </w:rPr>
              <w:t>43</w:t>
            </w:r>
            <w:r w:rsidRPr="00055769">
              <w:rPr>
                <w:sz w:val="16"/>
                <w:szCs w:val="16"/>
              </w:rPr>
              <w:t>%/-</w:t>
            </w:r>
            <w:r>
              <w:rPr>
                <w:sz w:val="16"/>
                <w:szCs w:val="16"/>
              </w:rPr>
              <w:t>53</w:t>
            </w:r>
            <w:r w:rsidRPr="00055769">
              <w:rPr>
                <w:sz w:val="16"/>
                <w:szCs w:val="16"/>
              </w:rPr>
              <w:t>%/-</w:t>
            </w:r>
            <w:r>
              <w:rPr>
                <w:sz w:val="16"/>
                <w:szCs w:val="16"/>
              </w:rPr>
              <w:t>61</w:t>
            </w:r>
            <w:r w:rsidRPr="00055769">
              <w:rPr>
                <w:sz w:val="16"/>
                <w:szCs w:val="16"/>
              </w:rPr>
              <w:t>%</w:t>
            </w:r>
          </w:p>
        </w:tc>
        <w:tc>
          <w:tcPr>
            <w:tcW w:w="1465" w:type="dxa"/>
            <w:tcBorders>
              <w:top w:val="nil"/>
            </w:tcBorders>
            <w:shd w:val="clear" w:color="auto" w:fill="FFC000"/>
          </w:tcPr>
          <w:p w14:paraId="0B0C2239" w14:textId="36A69EF0" w:rsidR="00FC6EED" w:rsidRPr="00055769" w:rsidRDefault="00FC6EED" w:rsidP="00FC6EED">
            <w:pPr>
              <w:jc w:val="center"/>
              <w:rPr>
                <w:sz w:val="16"/>
                <w:szCs w:val="16"/>
              </w:rPr>
            </w:pPr>
            <w:r w:rsidRPr="00055769">
              <w:rPr>
                <w:sz w:val="16"/>
                <w:szCs w:val="16"/>
              </w:rPr>
              <w:t>-</w:t>
            </w:r>
            <w:r>
              <w:rPr>
                <w:sz w:val="16"/>
                <w:szCs w:val="16"/>
              </w:rPr>
              <w:t>43</w:t>
            </w:r>
            <w:r w:rsidRPr="00055769">
              <w:rPr>
                <w:sz w:val="16"/>
                <w:szCs w:val="16"/>
              </w:rPr>
              <w:t>%/-</w:t>
            </w:r>
            <w:r w:rsidR="001953D8">
              <w:rPr>
                <w:sz w:val="16"/>
                <w:szCs w:val="16"/>
              </w:rPr>
              <w:t>60</w:t>
            </w:r>
            <w:r w:rsidRPr="00055769">
              <w:rPr>
                <w:sz w:val="16"/>
                <w:szCs w:val="16"/>
              </w:rPr>
              <w:t>%/-</w:t>
            </w:r>
            <w:r w:rsidR="001953D8">
              <w:rPr>
                <w:sz w:val="16"/>
                <w:szCs w:val="16"/>
              </w:rPr>
              <w:t>70</w:t>
            </w:r>
            <w:r w:rsidRPr="00055769">
              <w:rPr>
                <w:sz w:val="16"/>
                <w:szCs w:val="16"/>
              </w:rPr>
              <w:t>%</w:t>
            </w:r>
          </w:p>
        </w:tc>
        <w:tc>
          <w:tcPr>
            <w:tcW w:w="1465" w:type="dxa"/>
            <w:tcBorders>
              <w:top w:val="nil"/>
            </w:tcBorders>
            <w:shd w:val="clear" w:color="auto" w:fill="FFC000"/>
          </w:tcPr>
          <w:p w14:paraId="6B899303" w14:textId="186118DA" w:rsidR="00FC6EED" w:rsidRPr="00055769" w:rsidRDefault="00FC6EED" w:rsidP="00FC6EED">
            <w:pPr>
              <w:jc w:val="center"/>
              <w:rPr>
                <w:sz w:val="16"/>
                <w:szCs w:val="16"/>
              </w:rPr>
            </w:pPr>
            <w:r w:rsidRPr="00055769">
              <w:rPr>
                <w:sz w:val="16"/>
                <w:szCs w:val="16"/>
              </w:rPr>
              <w:t>-</w:t>
            </w:r>
            <w:r>
              <w:rPr>
                <w:sz w:val="16"/>
                <w:szCs w:val="16"/>
              </w:rPr>
              <w:t>43</w:t>
            </w:r>
            <w:r w:rsidRPr="00055769">
              <w:rPr>
                <w:sz w:val="16"/>
                <w:szCs w:val="16"/>
              </w:rPr>
              <w:t>%/-</w:t>
            </w:r>
            <w:r>
              <w:rPr>
                <w:sz w:val="16"/>
                <w:szCs w:val="16"/>
              </w:rPr>
              <w:t>64</w:t>
            </w:r>
            <w:r w:rsidRPr="00055769">
              <w:rPr>
                <w:sz w:val="16"/>
                <w:szCs w:val="16"/>
              </w:rPr>
              <w:t>%/-</w:t>
            </w:r>
            <w:r>
              <w:rPr>
                <w:sz w:val="16"/>
                <w:szCs w:val="16"/>
              </w:rPr>
              <w:t>73</w:t>
            </w:r>
            <w:r w:rsidRPr="00055769">
              <w:rPr>
                <w:sz w:val="16"/>
                <w:szCs w:val="16"/>
              </w:rPr>
              <w:t>%</w:t>
            </w:r>
          </w:p>
        </w:tc>
        <w:tc>
          <w:tcPr>
            <w:tcW w:w="1466" w:type="dxa"/>
            <w:tcBorders>
              <w:top w:val="nil"/>
            </w:tcBorders>
            <w:shd w:val="clear" w:color="auto" w:fill="C00000"/>
          </w:tcPr>
          <w:p w14:paraId="17D9BDAC" w14:textId="60031A57" w:rsidR="00FC6EED" w:rsidRPr="00055769" w:rsidRDefault="00FC6EED" w:rsidP="00FC6EED">
            <w:pPr>
              <w:jc w:val="center"/>
              <w:rPr>
                <w:sz w:val="16"/>
                <w:szCs w:val="16"/>
              </w:rPr>
            </w:pPr>
            <w:r w:rsidRPr="00055769">
              <w:rPr>
                <w:sz w:val="16"/>
                <w:szCs w:val="16"/>
              </w:rPr>
              <w:t>-</w:t>
            </w:r>
            <w:r>
              <w:rPr>
                <w:sz w:val="16"/>
                <w:szCs w:val="16"/>
              </w:rPr>
              <w:t>43</w:t>
            </w:r>
            <w:r w:rsidRPr="00055769">
              <w:rPr>
                <w:sz w:val="16"/>
                <w:szCs w:val="16"/>
              </w:rPr>
              <w:t>%/-</w:t>
            </w:r>
            <w:r>
              <w:rPr>
                <w:sz w:val="16"/>
                <w:szCs w:val="16"/>
              </w:rPr>
              <w:t>67</w:t>
            </w:r>
            <w:r w:rsidRPr="00055769">
              <w:rPr>
                <w:sz w:val="16"/>
                <w:szCs w:val="16"/>
              </w:rPr>
              <w:t>%/-</w:t>
            </w:r>
            <w:r>
              <w:rPr>
                <w:sz w:val="16"/>
                <w:szCs w:val="16"/>
              </w:rPr>
              <w:t>75</w:t>
            </w:r>
            <w:r w:rsidRPr="00055769">
              <w:rPr>
                <w:sz w:val="16"/>
                <w:szCs w:val="16"/>
              </w:rPr>
              <w:t>%</w:t>
            </w:r>
          </w:p>
        </w:tc>
      </w:tr>
      <w:tr w:rsidR="00FC6EED" w:rsidRPr="00055769" w14:paraId="1D36EA3A" w14:textId="77777777" w:rsidTr="0059536B">
        <w:trPr>
          <w:jc w:val="center"/>
        </w:trPr>
        <w:tc>
          <w:tcPr>
            <w:tcW w:w="472" w:type="dxa"/>
            <w:tcBorders>
              <w:top w:val="nil"/>
              <w:bottom w:val="nil"/>
            </w:tcBorders>
          </w:tcPr>
          <w:p w14:paraId="2DF02E66" w14:textId="77777777" w:rsidR="00FC6EED" w:rsidRPr="00055769" w:rsidRDefault="00FC6EED" w:rsidP="00FC6EED">
            <w:pPr>
              <w:rPr>
                <w:sz w:val="16"/>
                <w:szCs w:val="16"/>
              </w:rPr>
            </w:pPr>
            <w:r w:rsidRPr="00055769">
              <w:rPr>
                <w:sz w:val="16"/>
                <w:szCs w:val="16"/>
              </w:rPr>
              <w:t>3%</w:t>
            </w:r>
          </w:p>
        </w:tc>
        <w:tc>
          <w:tcPr>
            <w:tcW w:w="1836" w:type="dxa"/>
            <w:tcBorders>
              <w:top w:val="nil"/>
              <w:bottom w:val="nil"/>
            </w:tcBorders>
          </w:tcPr>
          <w:p w14:paraId="7230D37F" w14:textId="77777777" w:rsidR="00FC6EED" w:rsidRPr="00055769" w:rsidRDefault="00FC6EED" w:rsidP="00FC6EED">
            <w:pPr>
              <w:rPr>
                <w:sz w:val="16"/>
                <w:szCs w:val="16"/>
              </w:rPr>
            </w:pPr>
            <w:r w:rsidRPr="00055769">
              <w:rPr>
                <w:sz w:val="16"/>
                <w:szCs w:val="16"/>
              </w:rPr>
              <w:t>Without diversification</w:t>
            </w:r>
          </w:p>
        </w:tc>
        <w:tc>
          <w:tcPr>
            <w:tcW w:w="1465" w:type="dxa"/>
            <w:tcBorders>
              <w:top w:val="nil"/>
              <w:bottom w:val="nil"/>
            </w:tcBorders>
            <w:shd w:val="clear" w:color="auto" w:fill="FFC000"/>
          </w:tcPr>
          <w:p w14:paraId="562EA42C" w14:textId="72166FD1" w:rsidR="00FC6EED" w:rsidRPr="00055769" w:rsidRDefault="00FC6EED" w:rsidP="00FC6EED">
            <w:pPr>
              <w:jc w:val="center"/>
              <w:rPr>
                <w:sz w:val="16"/>
                <w:szCs w:val="16"/>
              </w:rPr>
            </w:pPr>
            <w:r>
              <w:rPr>
                <w:sz w:val="16"/>
                <w:szCs w:val="16"/>
              </w:rPr>
              <w:t>-50</w:t>
            </w:r>
            <w:r w:rsidRPr="00055769">
              <w:rPr>
                <w:sz w:val="16"/>
                <w:szCs w:val="16"/>
              </w:rPr>
              <w:t>%/-</w:t>
            </w:r>
            <w:r>
              <w:rPr>
                <w:sz w:val="16"/>
                <w:szCs w:val="16"/>
              </w:rPr>
              <w:t>55</w:t>
            </w:r>
            <w:r w:rsidRPr="00055769">
              <w:rPr>
                <w:sz w:val="16"/>
                <w:szCs w:val="16"/>
              </w:rPr>
              <w:t>%/-</w:t>
            </w:r>
            <w:r>
              <w:rPr>
                <w:sz w:val="16"/>
                <w:szCs w:val="16"/>
              </w:rPr>
              <w:t>59</w:t>
            </w:r>
            <w:r w:rsidRPr="00055769">
              <w:rPr>
                <w:sz w:val="16"/>
                <w:szCs w:val="16"/>
              </w:rPr>
              <w:t>%</w:t>
            </w:r>
          </w:p>
        </w:tc>
        <w:tc>
          <w:tcPr>
            <w:tcW w:w="1465" w:type="dxa"/>
            <w:tcBorders>
              <w:top w:val="nil"/>
              <w:bottom w:val="nil"/>
            </w:tcBorders>
            <w:shd w:val="clear" w:color="auto" w:fill="FFC000"/>
          </w:tcPr>
          <w:p w14:paraId="565D21B2" w14:textId="03D02543" w:rsidR="00FC6EED" w:rsidRPr="00055769" w:rsidRDefault="00FC6EED" w:rsidP="00FC6EED">
            <w:pPr>
              <w:jc w:val="center"/>
              <w:rPr>
                <w:sz w:val="16"/>
                <w:szCs w:val="16"/>
              </w:rPr>
            </w:pPr>
            <w:r>
              <w:rPr>
                <w:sz w:val="16"/>
                <w:szCs w:val="16"/>
              </w:rPr>
              <w:t>-50</w:t>
            </w:r>
            <w:r w:rsidRPr="00055769">
              <w:rPr>
                <w:sz w:val="16"/>
                <w:szCs w:val="16"/>
              </w:rPr>
              <w:t>%/-</w:t>
            </w:r>
            <w:r>
              <w:rPr>
                <w:sz w:val="16"/>
                <w:szCs w:val="16"/>
              </w:rPr>
              <w:t>58</w:t>
            </w:r>
            <w:r w:rsidRPr="00055769">
              <w:rPr>
                <w:sz w:val="16"/>
                <w:szCs w:val="16"/>
              </w:rPr>
              <w:t>%/-</w:t>
            </w:r>
            <w:r>
              <w:rPr>
                <w:sz w:val="16"/>
                <w:szCs w:val="16"/>
              </w:rPr>
              <w:t>6</w:t>
            </w:r>
            <w:r w:rsidR="001953D8">
              <w:rPr>
                <w:sz w:val="16"/>
                <w:szCs w:val="16"/>
              </w:rPr>
              <w:t>6</w:t>
            </w:r>
            <w:r w:rsidRPr="00055769">
              <w:rPr>
                <w:sz w:val="16"/>
                <w:szCs w:val="16"/>
              </w:rPr>
              <w:t>%</w:t>
            </w:r>
          </w:p>
        </w:tc>
        <w:tc>
          <w:tcPr>
            <w:tcW w:w="1465" w:type="dxa"/>
            <w:tcBorders>
              <w:top w:val="nil"/>
              <w:bottom w:val="nil"/>
            </w:tcBorders>
            <w:shd w:val="clear" w:color="auto" w:fill="FFC000"/>
          </w:tcPr>
          <w:p w14:paraId="4DE29137" w14:textId="05599AF9" w:rsidR="00FC6EED" w:rsidRPr="00055769" w:rsidRDefault="00FC6EED" w:rsidP="00FC6EED">
            <w:pPr>
              <w:jc w:val="center"/>
              <w:rPr>
                <w:sz w:val="16"/>
                <w:szCs w:val="16"/>
              </w:rPr>
            </w:pPr>
            <w:r>
              <w:rPr>
                <w:sz w:val="16"/>
                <w:szCs w:val="16"/>
              </w:rPr>
              <w:t>-50</w:t>
            </w:r>
            <w:r w:rsidRPr="00055769">
              <w:rPr>
                <w:sz w:val="16"/>
                <w:szCs w:val="16"/>
              </w:rPr>
              <w:t>%/-</w:t>
            </w:r>
            <w:r>
              <w:rPr>
                <w:sz w:val="16"/>
                <w:szCs w:val="16"/>
              </w:rPr>
              <w:t>64</w:t>
            </w:r>
            <w:r w:rsidRPr="00055769">
              <w:rPr>
                <w:sz w:val="16"/>
                <w:szCs w:val="16"/>
              </w:rPr>
              <w:t>%/-</w:t>
            </w:r>
            <w:r>
              <w:rPr>
                <w:sz w:val="16"/>
                <w:szCs w:val="16"/>
              </w:rPr>
              <w:t>7</w:t>
            </w:r>
            <w:r w:rsidR="001953D8">
              <w:rPr>
                <w:sz w:val="16"/>
                <w:szCs w:val="16"/>
              </w:rPr>
              <w:t>4</w:t>
            </w:r>
            <w:r w:rsidRPr="00055769">
              <w:rPr>
                <w:sz w:val="16"/>
                <w:szCs w:val="16"/>
              </w:rPr>
              <w:t>%</w:t>
            </w:r>
          </w:p>
        </w:tc>
        <w:tc>
          <w:tcPr>
            <w:tcW w:w="1465" w:type="dxa"/>
            <w:tcBorders>
              <w:top w:val="nil"/>
              <w:bottom w:val="nil"/>
            </w:tcBorders>
            <w:shd w:val="clear" w:color="auto" w:fill="C00000"/>
          </w:tcPr>
          <w:p w14:paraId="07E9C5DF" w14:textId="5147FDF1" w:rsidR="00FC6EED" w:rsidRPr="00055769" w:rsidRDefault="00FC6EED" w:rsidP="00FC6EED">
            <w:pPr>
              <w:jc w:val="center"/>
              <w:rPr>
                <w:sz w:val="16"/>
                <w:szCs w:val="16"/>
              </w:rPr>
            </w:pPr>
            <w:r>
              <w:rPr>
                <w:sz w:val="16"/>
                <w:szCs w:val="16"/>
              </w:rPr>
              <w:t>-50</w:t>
            </w:r>
            <w:r w:rsidRPr="00055769">
              <w:rPr>
                <w:sz w:val="16"/>
                <w:szCs w:val="16"/>
              </w:rPr>
              <w:t>%/-</w:t>
            </w:r>
            <w:r>
              <w:rPr>
                <w:sz w:val="16"/>
                <w:szCs w:val="16"/>
              </w:rPr>
              <w:t>67</w:t>
            </w:r>
            <w:r w:rsidRPr="00055769">
              <w:rPr>
                <w:sz w:val="16"/>
                <w:szCs w:val="16"/>
              </w:rPr>
              <w:t>%/-</w:t>
            </w:r>
            <w:r>
              <w:rPr>
                <w:sz w:val="16"/>
                <w:szCs w:val="16"/>
              </w:rPr>
              <w:t>74</w:t>
            </w:r>
            <w:r w:rsidRPr="00055769">
              <w:rPr>
                <w:sz w:val="16"/>
                <w:szCs w:val="16"/>
              </w:rPr>
              <w:t>%</w:t>
            </w:r>
          </w:p>
        </w:tc>
        <w:tc>
          <w:tcPr>
            <w:tcW w:w="1466" w:type="dxa"/>
            <w:tcBorders>
              <w:top w:val="nil"/>
              <w:bottom w:val="nil"/>
            </w:tcBorders>
            <w:shd w:val="clear" w:color="auto" w:fill="C00000"/>
          </w:tcPr>
          <w:p w14:paraId="2E58BC27" w14:textId="51E5E470" w:rsidR="00FC6EED" w:rsidRPr="00055769" w:rsidRDefault="00FC6EED" w:rsidP="00FC6EED">
            <w:pPr>
              <w:jc w:val="center"/>
              <w:rPr>
                <w:sz w:val="16"/>
                <w:szCs w:val="16"/>
              </w:rPr>
            </w:pPr>
            <w:r>
              <w:rPr>
                <w:sz w:val="16"/>
                <w:szCs w:val="16"/>
              </w:rPr>
              <w:t>-50</w:t>
            </w:r>
            <w:r w:rsidRPr="00055769">
              <w:rPr>
                <w:sz w:val="16"/>
                <w:szCs w:val="16"/>
              </w:rPr>
              <w:t>%/-</w:t>
            </w:r>
            <w:r>
              <w:rPr>
                <w:sz w:val="16"/>
                <w:szCs w:val="16"/>
              </w:rPr>
              <w:t>70</w:t>
            </w:r>
            <w:r w:rsidRPr="00055769">
              <w:rPr>
                <w:sz w:val="16"/>
                <w:szCs w:val="16"/>
              </w:rPr>
              <w:t>%/-</w:t>
            </w:r>
            <w:r>
              <w:rPr>
                <w:sz w:val="16"/>
                <w:szCs w:val="16"/>
              </w:rPr>
              <w:t>76</w:t>
            </w:r>
            <w:r w:rsidRPr="00055769">
              <w:rPr>
                <w:sz w:val="16"/>
                <w:szCs w:val="16"/>
              </w:rPr>
              <w:t>%</w:t>
            </w:r>
          </w:p>
        </w:tc>
      </w:tr>
      <w:tr w:rsidR="00FC6EED" w:rsidRPr="00055769" w14:paraId="24238943" w14:textId="77777777" w:rsidTr="00DF2157">
        <w:trPr>
          <w:jc w:val="center"/>
        </w:trPr>
        <w:tc>
          <w:tcPr>
            <w:tcW w:w="472" w:type="dxa"/>
            <w:tcBorders>
              <w:top w:val="nil"/>
            </w:tcBorders>
          </w:tcPr>
          <w:p w14:paraId="5EC4868A" w14:textId="77777777" w:rsidR="00FC6EED" w:rsidRPr="00055769" w:rsidRDefault="00FC6EED" w:rsidP="00FC6EED">
            <w:pPr>
              <w:rPr>
                <w:sz w:val="16"/>
                <w:szCs w:val="16"/>
              </w:rPr>
            </w:pPr>
          </w:p>
        </w:tc>
        <w:tc>
          <w:tcPr>
            <w:tcW w:w="1836" w:type="dxa"/>
            <w:tcBorders>
              <w:top w:val="nil"/>
            </w:tcBorders>
          </w:tcPr>
          <w:p w14:paraId="346A434F" w14:textId="77777777" w:rsidR="00FC6EED" w:rsidRPr="00055769" w:rsidRDefault="00FC6EED" w:rsidP="00FC6EED">
            <w:pPr>
              <w:rPr>
                <w:sz w:val="16"/>
                <w:szCs w:val="16"/>
              </w:rPr>
            </w:pPr>
            <w:r w:rsidRPr="00055769">
              <w:rPr>
                <w:sz w:val="16"/>
                <w:szCs w:val="16"/>
              </w:rPr>
              <w:t>With diversification</w:t>
            </w:r>
          </w:p>
        </w:tc>
        <w:tc>
          <w:tcPr>
            <w:tcW w:w="1465" w:type="dxa"/>
            <w:tcBorders>
              <w:top w:val="nil"/>
            </w:tcBorders>
            <w:shd w:val="clear" w:color="auto" w:fill="C00000"/>
          </w:tcPr>
          <w:p w14:paraId="6BA50C1B" w14:textId="7B79727A" w:rsidR="00FC6EED" w:rsidRPr="00055769" w:rsidRDefault="00FC6EED" w:rsidP="00FC6EED">
            <w:pPr>
              <w:jc w:val="center"/>
              <w:rPr>
                <w:sz w:val="16"/>
                <w:szCs w:val="16"/>
              </w:rPr>
            </w:pPr>
            <w:r w:rsidRPr="00055769">
              <w:rPr>
                <w:sz w:val="16"/>
                <w:szCs w:val="16"/>
              </w:rPr>
              <w:t>-</w:t>
            </w:r>
            <w:r>
              <w:rPr>
                <w:sz w:val="16"/>
                <w:szCs w:val="16"/>
              </w:rPr>
              <w:t>58</w:t>
            </w:r>
            <w:r w:rsidRPr="00055769">
              <w:rPr>
                <w:sz w:val="16"/>
                <w:szCs w:val="16"/>
              </w:rPr>
              <w:t>%/-</w:t>
            </w:r>
            <w:r>
              <w:rPr>
                <w:sz w:val="16"/>
                <w:szCs w:val="16"/>
              </w:rPr>
              <w:t>61</w:t>
            </w:r>
            <w:r w:rsidRPr="00055769">
              <w:rPr>
                <w:sz w:val="16"/>
                <w:szCs w:val="16"/>
              </w:rPr>
              <w:t>%/-</w:t>
            </w:r>
            <w:r>
              <w:rPr>
                <w:sz w:val="16"/>
                <w:szCs w:val="16"/>
              </w:rPr>
              <w:t>65</w:t>
            </w:r>
            <w:r w:rsidRPr="00055769">
              <w:rPr>
                <w:sz w:val="16"/>
                <w:szCs w:val="16"/>
              </w:rPr>
              <w:t>%</w:t>
            </w:r>
          </w:p>
        </w:tc>
        <w:tc>
          <w:tcPr>
            <w:tcW w:w="1465" w:type="dxa"/>
            <w:tcBorders>
              <w:top w:val="nil"/>
            </w:tcBorders>
            <w:shd w:val="clear" w:color="auto" w:fill="C00000"/>
          </w:tcPr>
          <w:p w14:paraId="35CE62EB" w14:textId="14C835CB" w:rsidR="00FC6EED" w:rsidRPr="00055769" w:rsidRDefault="00FC6EED" w:rsidP="00FC6EED">
            <w:pPr>
              <w:jc w:val="center"/>
              <w:rPr>
                <w:sz w:val="16"/>
                <w:szCs w:val="16"/>
              </w:rPr>
            </w:pPr>
            <w:r w:rsidRPr="00055769">
              <w:rPr>
                <w:sz w:val="16"/>
                <w:szCs w:val="16"/>
              </w:rPr>
              <w:t>-</w:t>
            </w:r>
            <w:r>
              <w:rPr>
                <w:sz w:val="16"/>
                <w:szCs w:val="16"/>
              </w:rPr>
              <w:t>58</w:t>
            </w:r>
            <w:r w:rsidRPr="00055769">
              <w:rPr>
                <w:sz w:val="16"/>
                <w:szCs w:val="16"/>
              </w:rPr>
              <w:t>%/-</w:t>
            </w:r>
            <w:r>
              <w:rPr>
                <w:sz w:val="16"/>
                <w:szCs w:val="16"/>
              </w:rPr>
              <w:t>65</w:t>
            </w:r>
            <w:r w:rsidRPr="00055769">
              <w:rPr>
                <w:sz w:val="16"/>
                <w:szCs w:val="16"/>
              </w:rPr>
              <w:t>%/-</w:t>
            </w:r>
            <w:r>
              <w:rPr>
                <w:sz w:val="16"/>
                <w:szCs w:val="16"/>
              </w:rPr>
              <w:t>7</w:t>
            </w:r>
            <w:r w:rsidR="001953D8">
              <w:rPr>
                <w:sz w:val="16"/>
                <w:szCs w:val="16"/>
              </w:rPr>
              <w:t>1</w:t>
            </w:r>
            <w:r w:rsidRPr="00055769">
              <w:rPr>
                <w:sz w:val="16"/>
                <w:szCs w:val="16"/>
              </w:rPr>
              <w:t>%</w:t>
            </w:r>
          </w:p>
        </w:tc>
        <w:tc>
          <w:tcPr>
            <w:tcW w:w="1465" w:type="dxa"/>
            <w:tcBorders>
              <w:top w:val="nil"/>
            </w:tcBorders>
            <w:shd w:val="clear" w:color="auto" w:fill="C00000"/>
          </w:tcPr>
          <w:p w14:paraId="49B595A1" w14:textId="23108D0D" w:rsidR="00FC6EED" w:rsidRPr="00055769" w:rsidRDefault="00FC6EED" w:rsidP="00FC6EED">
            <w:pPr>
              <w:jc w:val="center"/>
              <w:rPr>
                <w:sz w:val="16"/>
                <w:szCs w:val="16"/>
              </w:rPr>
            </w:pPr>
            <w:r w:rsidRPr="00055769">
              <w:rPr>
                <w:sz w:val="16"/>
                <w:szCs w:val="16"/>
              </w:rPr>
              <w:t>-</w:t>
            </w:r>
            <w:r>
              <w:rPr>
                <w:sz w:val="16"/>
                <w:szCs w:val="16"/>
              </w:rPr>
              <w:t>58</w:t>
            </w:r>
            <w:r w:rsidRPr="00055769">
              <w:rPr>
                <w:sz w:val="16"/>
                <w:szCs w:val="16"/>
              </w:rPr>
              <w:t>%/-</w:t>
            </w:r>
            <w:r w:rsidR="001953D8">
              <w:rPr>
                <w:sz w:val="16"/>
                <w:szCs w:val="16"/>
              </w:rPr>
              <w:t>70</w:t>
            </w:r>
            <w:r w:rsidRPr="00055769">
              <w:rPr>
                <w:sz w:val="16"/>
                <w:szCs w:val="16"/>
              </w:rPr>
              <w:t>%/-</w:t>
            </w:r>
            <w:r>
              <w:rPr>
                <w:sz w:val="16"/>
                <w:szCs w:val="16"/>
              </w:rPr>
              <w:t>7</w:t>
            </w:r>
            <w:r w:rsidR="001953D8">
              <w:rPr>
                <w:sz w:val="16"/>
                <w:szCs w:val="16"/>
              </w:rPr>
              <w:t>8</w:t>
            </w:r>
            <w:r w:rsidRPr="00055769">
              <w:rPr>
                <w:sz w:val="16"/>
                <w:szCs w:val="16"/>
              </w:rPr>
              <w:t>%</w:t>
            </w:r>
          </w:p>
        </w:tc>
        <w:tc>
          <w:tcPr>
            <w:tcW w:w="1465" w:type="dxa"/>
            <w:tcBorders>
              <w:top w:val="nil"/>
            </w:tcBorders>
            <w:shd w:val="clear" w:color="auto" w:fill="C00000"/>
          </w:tcPr>
          <w:p w14:paraId="563A2D89" w14:textId="7752195C" w:rsidR="00FC6EED" w:rsidRPr="00055769" w:rsidRDefault="00FC6EED" w:rsidP="00FC6EED">
            <w:pPr>
              <w:jc w:val="center"/>
              <w:rPr>
                <w:sz w:val="16"/>
                <w:szCs w:val="16"/>
              </w:rPr>
            </w:pPr>
            <w:r w:rsidRPr="00055769">
              <w:rPr>
                <w:sz w:val="16"/>
                <w:szCs w:val="16"/>
              </w:rPr>
              <w:t>-</w:t>
            </w:r>
            <w:r>
              <w:rPr>
                <w:sz w:val="16"/>
                <w:szCs w:val="16"/>
              </w:rPr>
              <w:t>58</w:t>
            </w:r>
            <w:r w:rsidRPr="00055769">
              <w:rPr>
                <w:sz w:val="16"/>
                <w:szCs w:val="16"/>
              </w:rPr>
              <w:t>%/-</w:t>
            </w:r>
            <w:r>
              <w:rPr>
                <w:sz w:val="16"/>
                <w:szCs w:val="16"/>
              </w:rPr>
              <w:t>72</w:t>
            </w:r>
            <w:r w:rsidRPr="00055769">
              <w:rPr>
                <w:sz w:val="16"/>
                <w:szCs w:val="16"/>
              </w:rPr>
              <w:t>%/-</w:t>
            </w:r>
            <w:r>
              <w:rPr>
                <w:sz w:val="16"/>
                <w:szCs w:val="16"/>
              </w:rPr>
              <w:t>78</w:t>
            </w:r>
            <w:r w:rsidRPr="00055769">
              <w:rPr>
                <w:sz w:val="16"/>
                <w:szCs w:val="16"/>
              </w:rPr>
              <w:t>%</w:t>
            </w:r>
          </w:p>
        </w:tc>
        <w:tc>
          <w:tcPr>
            <w:tcW w:w="1466" w:type="dxa"/>
            <w:tcBorders>
              <w:top w:val="nil"/>
            </w:tcBorders>
            <w:shd w:val="clear" w:color="auto" w:fill="C00000"/>
          </w:tcPr>
          <w:p w14:paraId="10F1B7C4" w14:textId="23A3D5DC" w:rsidR="00FC6EED" w:rsidRPr="00055769" w:rsidRDefault="00FC6EED" w:rsidP="00FC6EED">
            <w:pPr>
              <w:jc w:val="center"/>
              <w:rPr>
                <w:sz w:val="16"/>
                <w:szCs w:val="16"/>
              </w:rPr>
            </w:pPr>
            <w:r w:rsidRPr="00055769">
              <w:rPr>
                <w:sz w:val="16"/>
                <w:szCs w:val="16"/>
              </w:rPr>
              <w:t>-</w:t>
            </w:r>
            <w:r>
              <w:rPr>
                <w:sz w:val="16"/>
                <w:szCs w:val="16"/>
              </w:rPr>
              <w:t>58</w:t>
            </w:r>
            <w:r w:rsidRPr="00055769">
              <w:rPr>
                <w:sz w:val="16"/>
                <w:szCs w:val="16"/>
              </w:rPr>
              <w:t>%/-</w:t>
            </w:r>
            <w:r>
              <w:rPr>
                <w:sz w:val="16"/>
                <w:szCs w:val="16"/>
              </w:rPr>
              <w:t>74</w:t>
            </w:r>
            <w:r w:rsidRPr="00055769">
              <w:rPr>
                <w:sz w:val="16"/>
                <w:szCs w:val="16"/>
              </w:rPr>
              <w:t>%/-</w:t>
            </w:r>
            <w:r>
              <w:rPr>
                <w:sz w:val="16"/>
                <w:szCs w:val="16"/>
              </w:rPr>
              <w:t>80</w:t>
            </w:r>
            <w:r w:rsidRPr="00055769">
              <w:rPr>
                <w:sz w:val="16"/>
                <w:szCs w:val="16"/>
              </w:rPr>
              <w:t>%</w:t>
            </w:r>
          </w:p>
        </w:tc>
      </w:tr>
      <w:tr w:rsidR="00FC6EED" w:rsidRPr="00055769" w14:paraId="54354F44" w14:textId="77777777" w:rsidTr="00DF2157">
        <w:trPr>
          <w:jc w:val="center"/>
        </w:trPr>
        <w:tc>
          <w:tcPr>
            <w:tcW w:w="472" w:type="dxa"/>
            <w:tcBorders>
              <w:top w:val="nil"/>
              <w:bottom w:val="nil"/>
            </w:tcBorders>
          </w:tcPr>
          <w:p w14:paraId="02558584" w14:textId="77777777" w:rsidR="00FC6EED" w:rsidRPr="00055769" w:rsidRDefault="00FC6EED" w:rsidP="00FC6EED">
            <w:pPr>
              <w:rPr>
                <w:sz w:val="16"/>
                <w:szCs w:val="16"/>
              </w:rPr>
            </w:pPr>
            <w:r w:rsidRPr="00055769">
              <w:rPr>
                <w:sz w:val="16"/>
                <w:szCs w:val="16"/>
              </w:rPr>
              <w:t>2%</w:t>
            </w:r>
          </w:p>
        </w:tc>
        <w:tc>
          <w:tcPr>
            <w:tcW w:w="1836" w:type="dxa"/>
            <w:tcBorders>
              <w:top w:val="nil"/>
              <w:bottom w:val="nil"/>
            </w:tcBorders>
          </w:tcPr>
          <w:p w14:paraId="25EFD8F2" w14:textId="77777777" w:rsidR="00FC6EED" w:rsidRPr="00055769" w:rsidRDefault="00FC6EED" w:rsidP="00FC6EED">
            <w:pPr>
              <w:rPr>
                <w:sz w:val="16"/>
                <w:szCs w:val="16"/>
              </w:rPr>
            </w:pPr>
            <w:r w:rsidRPr="00055769">
              <w:rPr>
                <w:sz w:val="16"/>
                <w:szCs w:val="16"/>
              </w:rPr>
              <w:t>Without diversification</w:t>
            </w:r>
          </w:p>
        </w:tc>
        <w:tc>
          <w:tcPr>
            <w:tcW w:w="1465" w:type="dxa"/>
            <w:tcBorders>
              <w:top w:val="nil"/>
              <w:bottom w:val="nil"/>
            </w:tcBorders>
            <w:shd w:val="clear" w:color="auto" w:fill="C00000"/>
          </w:tcPr>
          <w:p w14:paraId="7D627409" w14:textId="5F502114" w:rsidR="00FC6EED" w:rsidRPr="00055769" w:rsidRDefault="00FC6EED" w:rsidP="00FC6EED">
            <w:pPr>
              <w:jc w:val="center"/>
              <w:rPr>
                <w:sz w:val="16"/>
                <w:szCs w:val="16"/>
              </w:rPr>
            </w:pPr>
            <w:r w:rsidRPr="00055769">
              <w:rPr>
                <w:sz w:val="16"/>
                <w:szCs w:val="16"/>
              </w:rPr>
              <w:t>-67%/-70%/-73%</w:t>
            </w:r>
          </w:p>
        </w:tc>
        <w:tc>
          <w:tcPr>
            <w:tcW w:w="1465" w:type="dxa"/>
            <w:tcBorders>
              <w:top w:val="nil"/>
              <w:bottom w:val="nil"/>
            </w:tcBorders>
            <w:shd w:val="clear" w:color="auto" w:fill="C00000"/>
          </w:tcPr>
          <w:p w14:paraId="450A6FFC" w14:textId="0E02217C" w:rsidR="00FC6EED" w:rsidRPr="00055769" w:rsidRDefault="00FC6EED" w:rsidP="00FC6EED">
            <w:pPr>
              <w:jc w:val="center"/>
              <w:rPr>
                <w:sz w:val="16"/>
                <w:szCs w:val="16"/>
              </w:rPr>
            </w:pPr>
            <w:r w:rsidRPr="00055769">
              <w:rPr>
                <w:sz w:val="16"/>
                <w:szCs w:val="16"/>
              </w:rPr>
              <w:t>-67%/-72%/-7</w:t>
            </w:r>
            <w:r w:rsidR="001953D8">
              <w:rPr>
                <w:sz w:val="16"/>
                <w:szCs w:val="16"/>
              </w:rPr>
              <w:t>7</w:t>
            </w:r>
            <w:r w:rsidRPr="00055769">
              <w:rPr>
                <w:sz w:val="16"/>
                <w:szCs w:val="16"/>
              </w:rPr>
              <w:t>%</w:t>
            </w:r>
          </w:p>
        </w:tc>
        <w:tc>
          <w:tcPr>
            <w:tcW w:w="1465" w:type="dxa"/>
            <w:tcBorders>
              <w:top w:val="nil"/>
              <w:bottom w:val="nil"/>
            </w:tcBorders>
            <w:shd w:val="clear" w:color="auto" w:fill="C00000"/>
          </w:tcPr>
          <w:p w14:paraId="3C76F3FC" w14:textId="11278BF2" w:rsidR="00FC6EED" w:rsidRPr="00055769" w:rsidRDefault="00FC6EED" w:rsidP="00FC6EED">
            <w:pPr>
              <w:jc w:val="center"/>
              <w:rPr>
                <w:sz w:val="16"/>
                <w:szCs w:val="16"/>
              </w:rPr>
            </w:pPr>
            <w:r w:rsidRPr="00055769">
              <w:rPr>
                <w:sz w:val="16"/>
                <w:szCs w:val="16"/>
              </w:rPr>
              <w:t>-67%/-7</w:t>
            </w:r>
            <w:r w:rsidR="001953D8">
              <w:rPr>
                <w:sz w:val="16"/>
                <w:szCs w:val="16"/>
              </w:rPr>
              <w:t>6</w:t>
            </w:r>
            <w:r w:rsidRPr="00055769">
              <w:rPr>
                <w:sz w:val="16"/>
                <w:szCs w:val="16"/>
              </w:rPr>
              <w:t>%/-</w:t>
            </w:r>
            <w:r w:rsidR="001953D8">
              <w:rPr>
                <w:sz w:val="16"/>
                <w:szCs w:val="16"/>
              </w:rPr>
              <w:t>83</w:t>
            </w:r>
            <w:r w:rsidRPr="00055769">
              <w:rPr>
                <w:sz w:val="16"/>
                <w:szCs w:val="16"/>
              </w:rPr>
              <w:t>%</w:t>
            </w:r>
          </w:p>
        </w:tc>
        <w:tc>
          <w:tcPr>
            <w:tcW w:w="1465" w:type="dxa"/>
            <w:tcBorders>
              <w:top w:val="nil"/>
              <w:bottom w:val="nil"/>
            </w:tcBorders>
            <w:shd w:val="clear" w:color="auto" w:fill="C00000"/>
          </w:tcPr>
          <w:p w14:paraId="3A7AD16E" w14:textId="4AC5A18E" w:rsidR="00FC6EED" w:rsidRPr="00055769" w:rsidRDefault="00FC6EED" w:rsidP="00FC6EED">
            <w:pPr>
              <w:jc w:val="center"/>
              <w:rPr>
                <w:sz w:val="16"/>
                <w:szCs w:val="16"/>
              </w:rPr>
            </w:pPr>
            <w:r w:rsidRPr="00055769">
              <w:rPr>
                <w:sz w:val="16"/>
                <w:szCs w:val="16"/>
              </w:rPr>
              <w:t>-67%/-77%/-80%</w:t>
            </w:r>
          </w:p>
        </w:tc>
        <w:tc>
          <w:tcPr>
            <w:tcW w:w="1466" w:type="dxa"/>
            <w:tcBorders>
              <w:top w:val="nil"/>
              <w:bottom w:val="nil"/>
            </w:tcBorders>
            <w:shd w:val="clear" w:color="auto" w:fill="C00000"/>
          </w:tcPr>
          <w:p w14:paraId="14C13C5C" w14:textId="1AD3A9D1" w:rsidR="00FC6EED" w:rsidRPr="00055769" w:rsidRDefault="00FC6EED" w:rsidP="00FC6EED">
            <w:pPr>
              <w:jc w:val="center"/>
              <w:rPr>
                <w:sz w:val="16"/>
                <w:szCs w:val="16"/>
              </w:rPr>
            </w:pPr>
            <w:r w:rsidRPr="00055769">
              <w:rPr>
                <w:sz w:val="16"/>
                <w:szCs w:val="16"/>
              </w:rPr>
              <w:t>-67%/-78%/-80%</w:t>
            </w:r>
          </w:p>
        </w:tc>
      </w:tr>
      <w:tr w:rsidR="00FC6EED" w:rsidRPr="00055769" w14:paraId="21E3B9A2" w14:textId="77777777" w:rsidTr="00DF2157">
        <w:trPr>
          <w:jc w:val="center"/>
        </w:trPr>
        <w:tc>
          <w:tcPr>
            <w:tcW w:w="472" w:type="dxa"/>
            <w:tcBorders>
              <w:top w:val="nil"/>
            </w:tcBorders>
          </w:tcPr>
          <w:p w14:paraId="1C2EC63D" w14:textId="77777777" w:rsidR="00FC6EED" w:rsidRPr="00055769" w:rsidRDefault="00FC6EED" w:rsidP="00FC6EED">
            <w:pPr>
              <w:rPr>
                <w:sz w:val="16"/>
                <w:szCs w:val="16"/>
              </w:rPr>
            </w:pPr>
          </w:p>
        </w:tc>
        <w:tc>
          <w:tcPr>
            <w:tcW w:w="1836" w:type="dxa"/>
            <w:tcBorders>
              <w:top w:val="nil"/>
            </w:tcBorders>
          </w:tcPr>
          <w:p w14:paraId="4977C02A" w14:textId="77777777" w:rsidR="00FC6EED" w:rsidRPr="00055769" w:rsidRDefault="00FC6EED" w:rsidP="00FC6EED">
            <w:pPr>
              <w:rPr>
                <w:sz w:val="16"/>
                <w:szCs w:val="16"/>
              </w:rPr>
            </w:pPr>
            <w:r w:rsidRPr="00055769">
              <w:rPr>
                <w:sz w:val="16"/>
                <w:szCs w:val="16"/>
              </w:rPr>
              <w:t>With diversification</w:t>
            </w:r>
          </w:p>
        </w:tc>
        <w:tc>
          <w:tcPr>
            <w:tcW w:w="1465" w:type="dxa"/>
            <w:tcBorders>
              <w:top w:val="nil"/>
            </w:tcBorders>
            <w:shd w:val="clear" w:color="auto" w:fill="C00000"/>
          </w:tcPr>
          <w:p w14:paraId="1213F955" w14:textId="4526799D" w:rsidR="00FC6EED" w:rsidRPr="00055769" w:rsidRDefault="00FC6EED" w:rsidP="00FC6EED">
            <w:pPr>
              <w:jc w:val="center"/>
              <w:rPr>
                <w:sz w:val="16"/>
                <w:szCs w:val="16"/>
              </w:rPr>
            </w:pPr>
            <w:r w:rsidRPr="00055769">
              <w:rPr>
                <w:sz w:val="16"/>
                <w:szCs w:val="16"/>
              </w:rPr>
              <w:t>-72%/-74%/-77%</w:t>
            </w:r>
          </w:p>
        </w:tc>
        <w:tc>
          <w:tcPr>
            <w:tcW w:w="1465" w:type="dxa"/>
            <w:tcBorders>
              <w:top w:val="nil"/>
            </w:tcBorders>
            <w:shd w:val="clear" w:color="auto" w:fill="C00000"/>
          </w:tcPr>
          <w:p w14:paraId="2350DED7" w14:textId="30ACC8FD" w:rsidR="00FC6EED" w:rsidRPr="00055769" w:rsidRDefault="00FC6EED" w:rsidP="00FC6EED">
            <w:pPr>
              <w:jc w:val="center"/>
              <w:rPr>
                <w:sz w:val="16"/>
                <w:szCs w:val="16"/>
              </w:rPr>
            </w:pPr>
            <w:r w:rsidRPr="00055769">
              <w:rPr>
                <w:sz w:val="16"/>
                <w:szCs w:val="16"/>
              </w:rPr>
              <w:t>-72%/-76%/-</w:t>
            </w:r>
            <w:r w:rsidR="001953D8">
              <w:rPr>
                <w:sz w:val="16"/>
                <w:szCs w:val="16"/>
              </w:rPr>
              <w:t>81</w:t>
            </w:r>
            <w:r w:rsidRPr="00055769">
              <w:rPr>
                <w:sz w:val="16"/>
                <w:szCs w:val="16"/>
              </w:rPr>
              <w:t>%</w:t>
            </w:r>
          </w:p>
        </w:tc>
        <w:tc>
          <w:tcPr>
            <w:tcW w:w="1465" w:type="dxa"/>
            <w:tcBorders>
              <w:top w:val="nil"/>
            </w:tcBorders>
            <w:shd w:val="clear" w:color="auto" w:fill="C00000"/>
          </w:tcPr>
          <w:p w14:paraId="708190FB" w14:textId="4A06F283" w:rsidR="00FC6EED" w:rsidRPr="00055769" w:rsidRDefault="00FC6EED" w:rsidP="00FC6EED">
            <w:pPr>
              <w:jc w:val="center"/>
              <w:rPr>
                <w:sz w:val="16"/>
                <w:szCs w:val="16"/>
              </w:rPr>
            </w:pPr>
            <w:r w:rsidRPr="00055769">
              <w:rPr>
                <w:sz w:val="16"/>
                <w:szCs w:val="16"/>
              </w:rPr>
              <w:t>-72%/-</w:t>
            </w:r>
            <w:r w:rsidR="001953D8">
              <w:rPr>
                <w:sz w:val="16"/>
                <w:szCs w:val="16"/>
              </w:rPr>
              <w:t>80</w:t>
            </w:r>
            <w:r w:rsidRPr="00055769">
              <w:rPr>
                <w:sz w:val="16"/>
                <w:szCs w:val="16"/>
              </w:rPr>
              <w:t>%/-8</w:t>
            </w:r>
            <w:r w:rsidR="001953D8">
              <w:rPr>
                <w:sz w:val="16"/>
                <w:szCs w:val="16"/>
              </w:rPr>
              <w:t>5</w:t>
            </w:r>
            <w:r w:rsidRPr="00055769">
              <w:rPr>
                <w:sz w:val="16"/>
                <w:szCs w:val="16"/>
              </w:rPr>
              <w:t>%</w:t>
            </w:r>
          </w:p>
        </w:tc>
        <w:tc>
          <w:tcPr>
            <w:tcW w:w="1465" w:type="dxa"/>
            <w:tcBorders>
              <w:top w:val="nil"/>
            </w:tcBorders>
            <w:shd w:val="clear" w:color="auto" w:fill="C00000"/>
          </w:tcPr>
          <w:p w14:paraId="35A3D3D6" w14:textId="577660C6" w:rsidR="00FC6EED" w:rsidRPr="00055769" w:rsidRDefault="00FC6EED" w:rsidP="00FC6EED">
            <w:pPr>
              <w:jc w:val="center"/>
              <w:rPr>
                <w:sz w:val="16"/>
                <w:szCs w:val="16"/>
              </w:rPr>
            </w:pPr>
            <w:r w:rsidRPr="00055769">
              <w:rPr>
                <w:sz w:val="16"/>
                <w:szCs w:val="16"/>
              </w:rPr>
              <w:t>-72%/-80%/-83%</w:t>
            </w:r>
          </w:p>
        </w:tc>
        <w:tc>
          <w:tcPr>
            <w:tcW w:w="1466" w:type="dxa"/>
            <w:tcBorders>
              <w:top w:val="nil"/>
            </w:tcBorders>
            <w:shd w:val="clear" w:color="auto" w:fill="C00000"/>
          </w:tcPr>
          <w:p w14:paraId="69028CE2" w14:textId="736B65B1" w:rsidR="00FC6EED" w:rsidRPr="00055769" w:rsidRDefault="00FC6EED" w:rsidP="00FC6EED">
            <w:pPr>
              <w:jc w:val="center"/>
              <w:rPr>
                <w:sz w:val="16"/>
                <w:szCs w:val="16"/>
              </w:rPr>
            </w:pPr>
            <w:r w:rsidRPr="00055769">
              <w:rPr>
                <w:sz w:val="16"/>
                <w:szCs w:val="16"/>
              </w:rPr>
              <w:t>-72%/-81%/-83%</w:t>
            </w:r>
          </w:p>
        </w:tc>
      </w:tr>
    </w:tbl>
    <w:p w14:paraId="5F4430BA" w14:textId="3FF602A6" w:rsidR="00EA08BB" w:rsidRDefault="00EA08BB" w:rsidP="00945D0C"/>
    <w:tbl>
      <w:tblPr>
        <w:tblStyle w:val="Mriekatabuky"/>
        <w:tblW w:w="0" w:type="auto"/>
        <w:tblLook w:val="04A0" w:firstRow="1" w:lastRow="0" w:firstColumn="1" w:lastColumn="0" w:noHBand="0" w:noVBand="1"/>
      </w:tblPr>
      <w:tblGrid>
        <w:gridCol w:w="3114"/>
        <w:gridCol w:w="5902"/>
      </w:tblGrid>
      <w:tr w:rsidR="00DF2157" w14:paraId="7A8EF134" w14:textId="77777777" w:rsidTr="0059536B">
        <w:tc>
          <w:tcPr>
            <w:tcW w:w="3114" w:type="dxa"/>
            <w:shd w:val="clear" w:color="auto" w:fill="92D050"/>
          </w:tcPr>
          <w:p w14:paraId="0D725B23" w14:textId="77777777" w:rsidR="00DF2157" w:rsidRDefault="00DF2157" w:rsidP="00945D0C"/>
        </w:tc>
        <w:tc>
          <w:tcPr>
            <w:tcW w:w="5902" w:type="dxa"/>
          </w:tcPr>
          <w:p w14:paraId="771EFAF8" w14:textId="172E1C14" w:rsidR="00DF2157" w:rsidRDefault="00953849" w:rsidP="00945D0C">
            <w:r>
              <w:t>Very L</w:t>
            </w:r>
            <w:r w:rsidR="00DF2157">
              <w:t>ikely</w:t>
            </w:r>
          </w:p>
        </w:tc>
      </w:tr>
      <w:tr w:rsidR="00DF2157" w14:paraId="78E274D5" w14:textId="77777777" w:rsidTr="0059536B">
        <w:tc>
          <w:tcPr>
            <w:tcW w:w="3114" w:type="dxa"/>
            <w:shd w:val="clear" w:color="auto" w:fill="FFFF00"/>
          </w:tcPr>
          <w:p w14:paraId="58C8547F" w14:textId="77777777" w:rsidR="00DF2157" w:rsidRDefault="00DF2157" w:rsidP="00945D0C"/>
        </w:tc>
        <w:tc>
          <w:tcPr>
            <w:tcW w:w="5902" w:type="dxa"/>
          </w:tcPr>
          <w:p w14:paraId="185E68AD" w14:textId="66906C0A" w:rsidR="00DF2157" w:rsidRDefault="00953849" w:rsidP="00945D0C">
            <w:r>
              <w:t>Likely</w:t>
            </w:r>
          </w:p>
        </w:tc>
      </w:tr>
      <w:tr w:rsidR="00DF2157" w14:paraId="1B4E4EF5" w14:textId="77777777" w:rsidTr="0059536B">
        <w:tc>
          <w:tcPr>
            <w:tcW w:w="3114" w:type="dxa"/>
            <w:shd w:val="clear" w:color="auto" w:fill="FFC000"/>
          </w:tcPr>
          <w:p w14:paraId="22A9143B" w14:textId="77777777" w:rsidR="00DF2157" w:rsidRDefault="00DF2157" w:rsidP="00945D0C"/>
        </w:tc>
        <w:tc>
          <w:tcPr>
            <w:tcW w:w="5902" w:type="dxa"/>
          </w:tcPr>
          <w:p w14:paraId="4B79D0DB" w14:textId="4C5E4C9C" w:rsidR="00DF2157" w:rsidRDefault="00953849" w:rsidP="00945D0C">
            <w:r>
              <w:t>Possible</w:t>
            </w:r>
          </w:p>
        </w:tc>
      </w:tr>
      <w:tr w:rsidR="00DF2157" w14:paraId="16FBD984" w14:textId="77777777" w:rsidTr="0059536B">
        <w:tc>
          <w:tcPr>
            <w:tcW w:w="3114" w:type="dxa"/>
            <w:shd w:val="clear" w:color="auto" w:fill="C00000"/>
          </w:tcPr>
          <w:p w14:paraId="2637C7F9" w14:textId="77777777" w:rsidR="00DF2157" w:rsidRDefault="00DF2157" w:rsidP="00945D0C"/>
        </w:tc>
        <w:tc>
          <w:tcPr>
            <w:tcW w:w="5902" w:type="dxa"/>
          </w:tcPr>
          <w:p w14:paraId="44FF736C" w14:textId="21EE1B89" w:rsidR="00DF2157" w:rsidRDefault="00953849" w:rsidP="00945D0C">
            <w:r>
              <w:t>Unlikely</w:t>
            </w:r>
          </w:p>
        </w:tc>
      </w:tr>
    </w:tbl>
    <w:p w14:paraId="5BD067DB" w14:textId="77777777" w:rsidR="00EA08BB" w:rsidRPr="00945D0C" w:rsidRDefault="00EA08BB" w:rsidP="00945D0C"/>
    <w:p w14:paraId="58A9A0B7" w14:textId="4BD1C0B4" w:rsidR="00624EC4" w:rsidRDefault="00624EC4" w:rsidP="0059536B">
      <w:pPr>
        <w:pStyle w:val="Nadpis1"/>
      </w:pPr>
      <w:r>
        <w:lastRenderedPageBreak/>
        <w:br w:type="page"/>
      </w:r>
    </w:p>
    <w:p w14:paraId="49A65A72" w14:textId="7382C105" w:rsidR="00CC5A6E" w:rsidRDefault="00CC5A6E" w:rsidP="00772D1B">
      <w:pPr>
        <w:pStyle w:val="Nadpis1"/>
      </w:pPr>
      <w:r>
        <w:lastRenderedPageBreak/>
        <w:t>Appendix 1: Derivation of maximum possible risk margin</w:t>
      </w:r>
    </w:p>
    <w:p w14:paraId="0DE8B3C4" w14:textId="77777777" w:rsidR="00CC5A6E" w:rsidRDefault="00CC5A6E" w:rsidP="00CC5A6E">
      <w:r>
        <w:t>With no floor, the use of a tapering parameter results in the following formula for the risk margin:</w:t>
      </w:r>
    </w:p>
    <w:p w14:paraId="33450C58" w14:textId="77777777" w:rsidR="00CC5A6E" w:rsidRDefault="00CC5A6E" w:rsidP="00CC5A6E">
      <w:pPr>
        <w:rPr>
          <w:rFonts w:eastAsiaTheme="minorEastAsia"/>
        </w:rPr>
      </w:pPr>
      <m:oMathPara>
        <m:oMath>
          <m:r>
            <w:rPr>
              <w:rFonts w:ascii="Cambria Math" w:hAnsi="Cambria Math"/>
            </w:rPr>
            <m:t>RM=CoC∙</m:t>
          </m:r>
          <m:nary>
            <m:naryPr>
              <m:chr m:val="∑"/>
              <m:limLoc m:val="undOvr"/>
              <m:supHide m:val="1"/>
              <m:ctrlPr>
                <w:rPr>
                  <w:rFonts w:ascii="Cambria Math" w:hAnsi="Cambria Math"/>
                  <w:i/>
                </w:rPr>
              </m:ctrlPr>
            </m:naryPr>
            <m:sub>
              <m:r>
                <w:rPr>
                  <w:rFonts w:ascii="Cambria Math" w:hAnsi="Cambria Math"/>
                </w:rPr>
                <m:t>t≥0</m:t>
              </m:r>
            </m:sub>
            <m:sup/>
            <m:e>
              <m:f>
                <m:fPr>
                  <m:ctrlPr>
                    <w:rPr>
                      <w:rFonts w:ascii="Cambria Math" w:hAnsi="Cambria Math"/>
                      <w:i/>
                    </w:rPr>
                  </m:ctrlPr>
                </m:fPr>
                <m:num>
                  <m:r>
                    <w:rPr>
                      <w:rFonts w:ascii="Cambria Math" w:hAnsi="Cambria Math"/>
                    </w:rPr>
                    <m:t>SCR</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w:rPr>
                          <w:rFonts w:ascii="Cambria Math" w:hAnsi="Cambria Math"/>
                        </w:rPr>
                        <m:t>λ</m:t>
                      </m:r>
                    </m:e>
                    <m:sup>
                      <m:r>
                        <w:rPr>
                          <w:rFonts w:ascii="Cambria Math" w:hAnsi="Cambria Math"/>
                        </w:rPr>
                        <m:t>t</m:t>
                      </m:r>
                    </m:sup>
                  </m:sSup>
                </m:num>
                <m:den>
                  <m:sSup>
                    <m:sSupPr>
                      <m:ctrlPr>
                        <w:rPr>
                          <w:rFonts w:ascii="Cambria Math" w:hAnsi="Cambria Math"/>
                          <w:i/>
                        </w:rPr>
                      </m:ctrlPr>
                    </m:sSupPr>
                    <m:e>
                      <m:d>
                        <m:dPr>
                          <m:ctrlPr>
                            <w:rPr>
                              <w:rFonts w:ascii="Cambria Math" w:hAnsi="Cambria Math"/>
                              <w:i/>
                            </w:rPr>
                          </m:ctrlPr>
                        </m:dPr>
                        <m:e>
                          <m:r>
                            <w:rPr>
                              <w:rFonts w:ascii="Cambria Math" w:hAnsi="Cambria Math"/>
                            </w:rPr>
                            <m:t>1+r</m:t>
                          </m:r>
                          <m:d>
                            <m:dPr>
                              <m:ctrlPr>
                                <w:rPr>
                                  <w:rFonts w:ascii="Cambria Math" w:hAnsi="Cambria Math"/>
                                  <w:i/>
                                </w:rPr>
                              </m:ctrlPr>
                            </m:dPr>
                            <m:e>
                              <m:r>
                                <w:rPr>
                                  <w:rFonts w:ascii="Cambria Math" w:hAnsi="Cambria Math"/>
                                </w:rPr>
                                <m:t>t+1</m:t>
                              </m:r>
                            </m:e>
                          </m:d>
                        </m:e>
                      </m:d>
                    </m:e>
                    <m:sup>
                      <m:r>
                        <w:rPr>
                          <w:rFonts w:ascii="Cambria Math" w:hAnsi="Cambria Math"/>
                        </w:rPr>
                        <m:t>t+1</m:t>
                      </m:r>
                    </m:sup>
                  </m:sSup>
                </m:den>
              </m:f>
            </m:e>
          </m:nary>
        </m:oMath>
      </m:oMathPara>
    </w:p>
    <w:p w14:paraId="7AF750E6" w14:textId="77777777" w:rsidR="00CC5A6E" w:rsidRDefault="00CC5A6E" w:rsidP="00CC5A6E"/>
    <w:p w14:paraId="7CE78BF3" w14:textId="77777777" w:rsidR="00CC5A6E" w:rsidRDefault="00CC5A6E" w:rsidP="00CC5A6E">
      <w:r>
        <w:t xml:space="preserve">If we assume a non-increasing SCR over time, the maximum possible value of the risk margin for a product with term to maturity of T occurs when the SCR remains constant in each time period. If we then assume a constant interest rate </w:t>
      </w:r>
      <m:oMath>
        <m:r>
          <w:rPr>
            <w:rFonts w:ascii="Cambria Math" w:hAnsi="Cambria Math"/>
          </w:rPr>
          <m:t>r</m:t>
        </m:r>
      </m:oMath>
      <w:r>
        <w:t>, this means that the risk margin can be seen as a geometric series:</w:t>
      </w:r>
    </w:p>
    <w:p w14:paraId="59F0E7FB" w14:textId="77777777" w:rsidR="00CC5A6E" w:rsidRPr="003F786F" w:rsidRDefault="00CC5A6E" w:rsidP="00CC5A6E">
      <w:pPr>
        <w:rPr>
          <w:rFonts w:eastAsiaTheme="minorEastAsia"/>
        </w:rPr>
      </w:pPr>
      <m:oMathPara>
        <m:oMath>
          <m:r>
            <w:rPr>
              <w:rFonts w:ascii="Cambria Math" w:hAnsi="Cambria Math"/>
            </w:rPr>
            <m:t>RM=CoC∙</m:t>
          </m:r>
          <m:nary>
            <m:naryPr>
              <m:chr m:val="∑"/>
              <m:limLoc m:val="undOvr"/>
              <m:supHide m:val="1"/>
              <m:ctrlPr>
                <w:rPr>
                  <w:rFonts w:ascii="Cambria Math" w:hAnsi="Cambria Math"/>
                  <w:i/>
                </w:rPr>
              </m:ctrlPr>
            </m:naryPr>
            <m:sub>
              <m:r>
                <w:rPr>
                  <w:rFonts w:ascii="Cambria Math" w:hAnsi="Cambria Math"/>
                </w:rPr>
                <m:t>t≥0</m:t>
              </m:r>
            </m:sub>
            <m:sup/>
            <m:e>
              <m:f>
                <m:fPr>
                  <m:ctrlPr>
                    <w:rPr>
                      <w:rFonts w:ascii="Cambria Math" w:hAnsi="Cambria Math"/>
                      <w:i/>
                    </w:rPr>
                  </m:ctrlPr>
                </m:fPr>
                <m:num>
                  <m:r>
                    <w:rPr>
                      <w:rFonts w:ascii="Cambria Math" w:hAnsi="Cambria Math"/>
                    </w:rPr>
                    <m:t>SCR∙</m:t>
                  </m:r>
                  <m:sSup>
                    <m:sSupPr>
                      <m:ctrlPr>
                        <w:rPr>
                          <w:rFonts w:ascii="Cambria Math" w:hAnsi="Cambria Math"/>
                          <w:i/>
                        </w:rPr>
                      </m:ctrlPr>
                    </m:sSupPr>
                    <m:e>
                      <m:r>
                        <w:rPr>
                          <w:rFonts w:ascii="Cambria Math" w:hAnsi="Cambria Math"/>
                        </w:rPr>
                        <m:t>λ</m:t>
                      </m:r>
                    </m:e>
                    <m:sup>
                      <m:r>
                        <w:rPr>
                          <w:rFonts w:ascii="Cambria Math" w:hAnsi="Cambria Math"/>
                        </w:rPr>
                        <m:t>t</m:t>
                      </m:r>
                    </m:sup>
                  </m:sSup>
                </m:num>
                <m:den>
                  <m:sSup>
                    <m:sSupPr>
                      <m:ctrlPr>
                        <w:rPr>
                          <w:rFonts w:ascii="Cambria Math" w:hAnsi="Cambria Math"/>
                          <w:i/>
                        </w:rPr>
                      </m:ctrlPr>
                    </m:sSupPr>
                    <m:e>
                      <m:d>
                        <m:dPr>
                          <m:ctrlPr>
                            <w:rPr>
                              <w:rFonts w:ascii="Cambria Math" w:hAnsi="Cambria Math"/>
                              <w:i/>
                            </w:rPr>
                          </m:ctrlPr>
                        </m:dPr>
                        <m:e>
                          <m:r>
                            <w:rPr>
                              <w:rFonts w:ascii="Cambria Math" w:hAnsi="Cambria Math"/>
                            </w:rPr>
                            <m:t>1+r</m:t>
                          </m:r>
                        </m:e>
                      </m:d>
                    </m:e>
                    <m:sup>
                      <m:r>
                        <w:rPr>
                          <w:rFonts w:ascii="Cambria Math" w:hAnsi="Cambria Math"/>
                        </w:rPr>
                        <m:t>t+1</m:t>
                      </m:r>
                    </m:sup>
                  </m:sSup>
                </m:den>
              </m:f>
            </m:e>
          </m:nary>
        </m:oMath>
      </m:oMathPara>
    </w:p>
    <w:p w14:paraId="0A006805" w14:textId="77777777" w:rsidR="00CC5A6E" w:rsidRPr="003F786F" w:rsidRDefault="00CC5A6E" w:rsidP="00CC5A6E">
      <w:pPr>
        <w:rPr>
          <w:rFonts w:eastAsiaTheme="minorEastAsia"/>
        </w:rPr>
      </w:pPr>
      <m:oMathPara>
        <m:oMath>
          <m:r>
            <w:rPr>
              <w:rFonts w:ascii="Cambria Math" w:hAnsi="Cambria Math"/>
            </w:rPr>
            <m:t>=CoC∙SCR∙</m:t>
          </m:r>
          <m:sSup>
            <m:sSupPr>
              <m:ctrlPr>
                <w:rPr>
                  <w:rFonts w:ascii="Cambria Math" w:hAnsi="Cambria Math"/>
                  <w:i/>
                </w:rPr>
              </m:ctrlPr>
            </m:sSupPr>
            <m:e>
              <m:d>
                <m:dPr>
                  <m:ctrlPr>
                    <w:rPr>
                      <w:rFonts w:ascii="Cambria Math" w:hAnsi="Cambria Math"/>
                      <w:i/>
                    </w:rPr>
                  </m:ctrlPr>
                </m:dPr>
                <m:e>
                  <m:r>
                    <w:rPr>
                      <w:rFonts w:ascii="Cambria Math" w:hAnsi="Cambria Math"/>
                    </w:rPr>
                    <m:t>1+r</m:t>
                  </m:r>
                </m:e>
              </m:d>
            </m:e>
            <m:sup>
              <m:r>
                <w:rPr>
                  <w:rFonts w:ascii="Cambria Math" w:hAnsi="Cambria Math"/>
                </w:rPr>
                <m:t>-1</m:t>
              </m:r>
            </m:sup>
          </m:sSup>
          <m:r>
            <w:rPr>
              <w:rFonts w:ascii="Cambria Math" w:hAnsi="Cambria Math"/>
            </w:rPr>
            <m:t>∙</m:t>
          </m:r>
          <m:nary>
            <m:naryPr>
              <m:chr m:val="∑"/>
              <m:limLoc m:val="undOvr"/>
              <m:supHide m:val="1"/>
              <m:ctrlPr>
                <w:rPr>
                  <w:rFonts w:ascii="Cambria Math" w:hAnsi="Cambria Math"/>
                  <w:i/>
                </w:rPr>
              </m:ctrlPr>
            </m:naryPr>
            <m:sub>
              <m:r>
                <w:rPr>
                  <w:rFonts w:ascii="Cambria Math" w:hAnsi="Cambria Math"/>
                </w:rPr>
                <m:t>t≥0</m:t>
              </m:r>
            </m:sub>
            <m:sup/>
            <m:e>
              <m:f>
                <m:fPr>
                  <m:ctrlPr>
                    <w:rPr>
                      <w:rFonts w:ascii="Cambria Math" w:hAnsi="Cambria Math"/>
                      <w:i/>
                    </w:rPr>
                  </m:ctrlPr>
                </m:fPr>
                <m:num>
                  <m:sSup>
                    <m:sSupPr>
                      <m:ctrlPr>
                        <w:rPr>
                          <w:rFonts w:ascii="Cambria Math" w:hAnsi="Cambria Math"/>
                          <w:i/>
                        </w:rPr>
                      </m:ctrlPr>
                    </m:sSupPr>
                    <m:e>
                      <m:r>
                        <w:rPr>
                          <w:rFonts w:ascii="Cambria Math" w:hAnsi="Cambria Math"/>
                        </w:rPr>
                        <m:t>λ</m:t>
                      </m:r>
                    </m:e>
                    <m:sup>
                      <m:r>
                        <w:rPr>
                          <w:rFonts w:ascii="Cambria Math" w:hAnsi="Cambria Math"/>
                        </w:rPr>
                        <m:t>t</m:t>
                      </m:r>
                    </m:sup>
                  </m:sSup>
                </m:num>
                <m:den>
                  <m:sSup>
                    <m:sSupPr>
                      <m:ctrlPr>
                        <w:rPr>
                          <w:rFonts w:ascii="Cambria Math" w:hAnsi="Cambria Math"/>
                          <w:i/>
                        </w:rPr>
                      </m:ctrlPr>
                    </m:sSupPr>
                    <m:e>
                      <m:d>
                        <m:dPr>
                          <m:ctrlPr>
                            <w:rPr>
                              <w:rFonts w:ascii="Cambria Math" w:hAnsi="Cambria Math"/>
                              <w:i/>
                            </w:rPr>
                          </m:ctrlPr>
                        </m:dPr>
                        <m:e>
                          <m:r>
                            <w:rPr>
                              <w:rFonts w:ascii="Cambria Math" w:hAnsi="Cambria Math"/>
                            </w:rPr>
                            <m:t>1+r</m:t>
                          </m:r>
                        </m:e>
                      </m:d>
                    </m:e>
                    <m:sup>
                      <m:r>
                        <w:rPr>
                          <w:rFonts w:ascii="Cambria Math" w:hAnsi="Cambria Math"/>
                        </w:rPr>
                        <m:t>t</m:t>
                      </m:r>
                    </m:sup>
                  </m:sSup>
                </m:den>
              </m:f>
            </m:e>
          </m:nary>
        </m:oMath>
      </m:oMathPara>
    </w:p>
    <w:p w14:paraId="4CA34781" w14:textId="77777777" w:rsidR="00CC5A6E" w:rsidRPr="003F786F" w:rsidRDefault="00CC5A6E" w:rsidP="00CC5A6E">
      <w:pPr>
        <w:rPr>
          <w:rFonts w:eastAsiaTheme="minorEastAsia"/>
        </w:rPr>
      </w:pPr>
      <m:oMathPara>
        <m:oMath>
          <m:r>
            <w:rPr>
              <w:rFonts w:ascii="Cambria Math" w:hAnsi="Cambria Math"/>
            </w:rPr>
            <m:t>=a+ap+a</m:t>
          </m:r>
          <m:sSup>
            <m:sSupPr>
              <m:ctrlPr>
                <w:rPr>
                  <w:rFonts w:ascii="Cambria Math" w:hAnsi="Cambria Math"/>
                  <w:i/>
                </w:rPr>
              </m:ctrlPr>
            </m:sSupPr>
            <m:e>
              <m:r>
                <w:rPr>
                  <w:rFonts w:ascii="Cambria Math" w:hAnsi="Cambria Math"/>
                </w:rPr>
                <m:t>p</m:t>
              </m:r>
            </m:e>
            <m:sup>
              <m:r>
                <w:rPr>
                  <w:rFonts w:ascii="Cambria Math" w:hAnsi="Cambria Math"/>
                </w:rPr>
                <m:t>2</m:t>
              </m:r>
            </m:sup>
          </m:sSup>
          <m:r>
            <w:rPr>
              <w:rFonts w:ascii="Cambria Math" w:hAnsi="Cambria Math"/>
            </w:rPr>
            <m:t>+a</m:t>
          </m:r>
          <m:sSup>
            <m:sSupPr>
              <m:ctrlPr>
                <w:rPr>
                  <w:rFonts w:ascii="Cambria Math" w:hAnsi="Cambria Math"/>
                  <w:i/>
                </w:rPr>
              </m:ctrlPr>
            </m:sSupPr>
            <m:e>
              <m:r>
                <w:rPr>
                  <w:rFonts w:ascii="Cambria Math" w:hAnsi="Cambria Math"/>
                </w:rPr>
                <m:t>p</m:t>
              </m:r>
            </m:e>
            <m:sup>
              <m:r>
                <w:rPr>
                  <w:rFonts w:ascii="Cambria Math" w:hAnsi="Cambria Math"/>
                </w:rPr>
                <m:t>3</m:t>
              </m:r>
            </m:sup>
          </m:sSup>
          <m:r>
            <w:rPr>
              <w:rFonts w:ascii="Cambria Math" w:hAnsi="Cambria Math"/>
            </w:rPr>
            <m:t>+…</m:t>
          </m:r>
        </m:oMath>
      </m:oMathPara>
    </w:p>
    <w:p w14:paraId="2EFB08D7" w14:textId="77777777" w:rsidR="00CC5A6E" w:rsidRDefault="00CC5A6E" w:rsidP="00CC5A6E">
      <w:pPr>
        <w:rPr>
          <w:rFonts w:eastAsiaTheme="minorEastAsia"/>
        </w:rPr>
      </w:pPr>
      <w:r>
        <w:rPr>
          <w:rFonts w:eastAsiaTheme="minorEastAsia"/>
        </w:rPr>
        <w:t>where:</w:t>
      </w:r>
    </w:p>
    <w:p w14:paraId="6F8EE5F0" w14:textId="77777777" w:rsidR="00CC5A6E" w:rsidRPr="003F786F" w:rsidRDefault="00CC5A6E" w:rsidP="00CC5A6E">
      <w:pPr>
        <w:rPr>
          <w:rFonts w:eastAsiaTheme="minorEastAsia"/>
        </w:rPr>
      </w:pPr>
      <m:oMathPara>
        <m:oMath>
          <m:r>
            <w:rPr>
              <w:rFonts w:ascii="Cambria Math" w:hAnsi="Cambria Math"/>
            </w:rPr>
            <m:t>a=CoC∙SCR∙</m:t>
          </m:r>
          <m:sSup>
            <m:sSupPr>
              <m:ctrlPr>
                <w:rPr>
                  <w:rFonts w:ascii="Cambria Math" w:hAnsi="Cambria Math"/>
                  <w:i/>
                </w:rPr>
              </m:ctrlPr>
            </m:sSupPr>
            <m:e>
              <m:d>
                <m:dPr>
                  <m:ctrlPr>
                    <w:rPr>
                      <w:rFonts w:ascii="Cambria Math" w:hAnsi="Cambria Math"/>
                      <w:i/>
                    </w:rPr>
                  </m:ctrlPr>
                </m:dPr>
                <m:e>
                  <m:r>
                    <w:rPr>
                      <w:rFonts w:ascii="Cambria Math" w:hAnsi="Cambria Math"/>
                    </w:rPr>
                    <m:t>1+r</m:t>
                  </m:r>
                </m:e>
              </m:d>
            </m:e>
            <m:sup>
              <m:r>
                <w:rPr>
                  <w:rFonts w:ascii="Cambria Math" w:hAnsi="Cambria Math"/>
                </w:rPr>
                <m:t>-1</m:t>
              </m:r>
            </m:sup>
          </m:sSup>
        </m:oMath>
      </m:oMathPara>
    </w:p>
    <w:p w14:paraId="58180D1D" w14:textId="77777777" w:rsidR="00CC5A6E" w:rsidRPr="003F786F" w:rsidRDefault="00CC5A6E" w:rsidP="00CC5A6E">
      <w:pPr>
        <w:rPr>
          <w:rFonts w:eastAsiaTheme="minorEastAsia"/>
        </w:rPr>
      </w:pPr>
      <m:oMathPara>
        <m:oMath>
          <m:r>
            <w:rPr>
              <w:rFonts w:ascii="Cambria Math" w:hAnsi="Cambria Math"/>
            </w:rPr>
            <m:t>p=</m:t>
          </m:r>
          <m:f>
            <m:fPr>
              <m:ctrlPr>
                <w:rPr>
                  <w:rFonts w:ascii="Cambria Math" w:hAnsi="Cambria Math"/>
                  <w:i/>
                </w:rPr>
              </m:ctrlPr>
            </m:fPr>
            <m:num>
              <m:r>
                <w:rPr>
                  <w:rFonts w:ascii="Cambria Math" w:hAnsi="Cambria Math"/>
                </w:rPr>
                <m:t>λ</m:t>
              </m:r>
            </m:num>
            <m:den>
              <m:d>
                <m:dPr>
                  <m:ctrlPr>
                    <w:rPr>
                      <w:rFonts w:ascii="Cambria Math" w:hAnsi="Cambria Math"/>
                      <w:i/>
                    </w:rPr>
                  </m:ctrlPr>
                </m:dPr>
                <m:e>
                  <m:r>
                    <w:rPr>
                      <w:rFonts w:ascii="Cambria Math" w:hAnsi="Cambria Math"/>
                    </w:rPr>
                    <m:t>1+r</m:t>
                  </m:r>
                </m:e>
              </m:d>
            </m:den>
          </m:f>
        </m:oMath>
      </m:oMathPara>
    </w:p>
    <w:p w14:paraId="2DBC0527" w14:textId="77777777" w:rsidR="00CC5A6E" w:rsidRDefault="00CC5A6E" w:rsidP="00CC5A6E">
      <w:pPr>
        <w:rPr>
          <w:rFonts w:eastAsiaTheme="minorEastAsia"/>
        </w:rPr>
      </w:pPr>
      <w:r>
        <w:rPr>
          <w:rFonts w:eastAsiaTheme="minorEastAsia"/>
        </w:rPr>
        <w:t xml:space="preserve">The solution for any geometric series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d>
          <m:dPr>
            <m:ctrlPr>
              <w:rPr>
                <w:rFonts w:ascii="Cambria Math" w:eastAsiaTheme="minorEastAsia" w:hAnsi="Cambria Math"/>
                <w:i/>
              </w:rPr>
            </m:ctrlPr>
          </m:dPr>
          <m:e>
            <m:r>
              <w:rPr>
                <w:rFonts w:ascii="Cambria Math" w:eastAsiaTheme="minorEastAsia" w:hAnsi="Cambria Math"/>
              </w:rPr>
              <m:t>a,p</m:t>
            </m:r>
          </m:e>
        </m:d>
      </m:oMath>
      <w:r>
        <w:rPr>
          <w:rFonts w:eastAsiaTheme="minorEastAsia"/>
        </w:rPr>
        <w:t xml:space="preserve"> i.e. with such parameters </w:t>
      </w:r>
      <m:oMath>
        <m:r>
          <w:rPr>
            <w:rFonts w:ascii="Cambria Math" w:hAnsi="Cambria Math"/>
          </w:rPr>
          <m:t>a</m:t>
        </m:r>
      </m:oMath>
      <w:r>
        <w:rPr>
          <w:rFonts w:eastAsiaTheme="minorEastAsia"/>
        </w:rPr>
        <w:t xml:space="preserve"> and </w:t>
      </w:r>
      <m:oMath>
        <m:r>
          <w:rPr>
            <w:rFonts w:ascii="Cambria Math" w:hAnsi="Cambria Math"/>
          </w:rPr>
          <m:t>p</m:t>
        </m:r>
      </m:oMath>
      <w:r>
        <w:rPr>
          <w:rFonts w:eastAsiaTheme="minorEastAsia"/>
        </w:rPr>
        <w:t xml:space="preserve"> and finite time T, is given as:</w:t>
      </w:r>
    </w:p>
    <w:p w14:paraId="211E6710" w14:textId="77777777" w:rsidR="00CC5A6E" w:rsidRPr="008C008D" w:rsidRDefault="006B3EDC" w:rsidP="00CC5A6E">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d>
            <m:dPr>
              <m:ctrlPr>
                <w:rPr>
                  <w:rFonts w:ascii="Cambria Math" w:eastAsiaTheme="minorEastAsia" w:hAnsi="Cambria Math"/>
                  <w:i/>
                </w:rPr>
              </m:ctrlPr>
            </m:dPr>
            <m:e>
              <m:r>
                <w:rPr>
                  <w:rFonts w:ascii="Cambria Math" w:eastAsiaTheme="minorEastAsia" w:hAnsi="Cambria Math"/>
                </w:rPr>
                <m:t>a,p</m:t>
              </m:r>
            </m:e>
          </m:d>
          <m:r>
            <w:rPr>
              <w:rFonts w:ascii="Cambria Math" w:eastAsiaTheme="minorEastAsia" w:hAnsi="Cambria Math"/>
            </w:rPr>
            <m:t>=a</m:t>
          </m:r>
          <m:f>
            <m:fPr>
              <m:ctrlPr>
                <w:rPr>
                  <w:rFonts w:ascii="Cambria Math" w:eastAsiaTheme="minorEastAsia" w:hAnsi="Cambria Math"/>
                  <w:i/>
                </w:rPr>
              </m:ctrlPr>
            </m:fPr>
            <m:num>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p</m:t>
                  </m:r>
                </m:e>
                <m:sup>
                  <m:r>
                    <w:rPr>
                      <w:rFonts w:ascii="Cambria Math" w:eastAsiaTheme="minorEastAsia" w:hAnsi="Cambria Math"/>
                    </w:rPr>
                    <m:t>T</m:t>
                  </m:r>
                </m:sup>
              </m:sSup>
            </m:num>
            <m:den>
              <m:r>
                <w:rPr>
                  <w:rFonts w:ascii="Cambria Math" w:eastAsiaTheme="minorEastAsia" w:hAnsi="Cambria Math"/>
                </w:rPr>
                <m:t>1-p</m:t>
              </m:r>
            </m:den>
          </m:f>
        </m:oMath>
      </m:oMathPara>
    </w:p>
    <w:p w14:paraId="266485A4" w14:textId="77777777" w:rsidR="00CC5A6E" w:rsidRDefault="00CC5A6E" w:rsidP="00CC5A6E">
      <w:pPr>
        <w:rPr>
          <w:rFonts w:eastAsiaTheme="minorEastAsia"/>
        </w:rPr>
      </w:pPr>
      <w:r>
        <w:rPr>
          <w:rFonts w:eastAsiaTheme="minorEastAsia"/>
        </w:rPr>
        <w:t xml:space="preserve">In the limit, as </w:t>
      </w:r>
      <m:oMath>
        <m:r>
          <w:rPr>
            <w:rFonts w:ascii="Cambria Math" w:eastAsiaTheme="minorEastAsia" w:hAnsi="Cambria Math"/>
          </w:rPr>
          <m:t>T</m:t>
        </m:r>
      </m:oMath>
      <w:r>
        <w:rPr>
          <w:rFonts w:eastAsiaTheme="minorEastAsia"/>
        </w:rPr>
        <w:t xml:space="preserve"> tends to infinity, for </w:t>
      </w:r>
      <m:oMath>
        <m:d>
          <m:dPr>
            <m:begChr m:val="|"/>
            <m:endChr m:val="|"/>
            <m:ctrlPr>
              <w:rPr>
                <w:rFonts w:ascii="Cambria Math" w:eastAsiaTheme="minorEastAsia" w:hAnsi="Cambria Math"/>
                <w:i/>
              </w:rPr>
            </m:ctrlPr>
          </m:dPr>
          <m:e>
            <m:r>
              <w:rPr>
                <w:rFonts w:ascii="Cambria Math" w:eastAsiaTheme="minorEastAsia" w:hAnsi="Cambria Math"/>
              </w:rPr>
              <m:t>p</m:t>
            </m:r>
          </m:e>
        </m:d>
        <m:r>
          <w:rPr>
            <w:rFonts w:ascii="Cambria Math" w:eastAsiaTheme="minorEastAsia" w:hAnsi="Cambria Math"/>
          </w:rPr>
          <m:t>&lt;1</m:t>
        </m:r>
      </m:oMath>
      <w:r>
        <w:rPr>
          <w:rFonts w:eastAsiaTheme="minorEastAsia"/>
        </w:rPr>
        <w:t>, the solution becomes:</w:t>
      </w:r>
    </w:p>
    <w:p w14:paraId="79679A39" w14:textId="77777777" w:rsidR="00CC5A6E" w:rsidRPr="008C008D" w:rsidRDefault="006B3EDC" w:rsidP="00CC5A6E">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m:t>
              </m:r>
            </m:sub>
          </m:sSub>
          <m:d>
            <m:dPr>
              <m:ctrlPr>
                <w:rPr>
                  <w:rFonts w:ascii="Cambria Math" w:eastAsiaTheme="minorEastAsia" w:hAnsi="Cambria Math"/>
                  <w:i/>
                </w:rPr>
              </m:ctrlPr>
            </m:dPr>
            <m:e>
              <m:r>
                <w:rPr>
                  <w:rFonts w:ascii="Cambria Math" w:eastAsiaTheme="minorEastAsia" w:hAnsi="Cambria Math"/>
                </w:rPr>
                <m:t>a,p</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1-p</m:t>
              </m:r>
            </m:den>
          </m:f>
        </m:oMath>
      </m:oMathPara>
    </w:p>
    <w:p w14:paraId="16947F03" w14:textId="77777777" w:rsidR="00CC5A6E" w:rsidRDefault="00CC5A6E" w:rsidP="00CC5A6E">
      <w:pPr>
        <w:rPr>
          <w:rFonts w:eastAsiaTheme="minorEastAsia"/>
        </w:rPr>
      </w:pPr>
      <w:r>
        <w:rPr>
          <w:rFonts w:eastAsiaTheme="minorEastAsia"/>
        </w:rPr>
        <w:t>In the risk margin calculation, the value of the risk margin for an infinite product becomes:</w:t>
      </w:r>
    </w:p>
    <w:p w14:paraId="59D944C5" w14:textId="77777777" w:rsidR="00CC5A6E" w:rsidRPr="003F786F" w:rsidRDefault="006B3EDC" w:rsidP="00CC5A6E">
      <w:pPr>
        <w:rPr>
          <w:rFonts w:eastAsiaTheme="minorEastAsia"/>
        </w:rPr>
      </w:pPr>
      <m:oMathPara>
        <m:oMath>
          <m:f>
            <m:fPr>
              <m:ctrlPr>
                <w:rPr>
                  <w:rFonts w:ascii="Cambria Math" w:hAnsi="Cambria Math"/>
                  <w:i/>
                </w:rPr>
              </m:ctrlPr>
            </m:fPr>
            <m:num>
              <m:r>
                <w:rPr>
                  <w:rFonts w:ascii="Cambria Math" w:hAnsi="Cambria Math"/>
                </w:rPr>
                <m:t>CoC∙SCR∙</m:t>
              </m:r>
              <m:sSup>
                <m:sSupPr>
                  <m:ctrlPr>
                    <w:rPr>
                      <w:rFonts w:ascii="Cambria Math" w:hAnsi="Cambria Math"/>
                      <w:i/>
                    </w:rPr>
                  </m:ctrlPr>
                </m:sSupPr>
                <m:e>
                  <m:d>
                    <m:dPr>
                      <m:ctrlPr>
                        <w:rPr>
                          <w:rFonts w:ascii="Cambria Math" w:hAnsi="Cambria Math"/>
                          <w:i/>
                        </w:rPr>
                      </m:ctrlPr>
                    </m:dPr>
                    <m:e>
                      <m:r>
                        <w:rPr>
                          <w:rFonts w:ascii="Cambria Math" w:hAnsi="Cambria Math"/>
                        </w:rPr>
                        <m:t>1+r</m:t>
                      </m:r>
                    </m:e>
                  </m:d>
                </m:e>
                <m:sup>
                  <m:r>
                    <w:rPr>
                      <w:rFonts w:ascii="Cambria Math" w:hAnsi="Cambria Math"/>
                    </w:rPr>
                    <m:t>-1</m:t>
                  </m:r>
                </m:sup>
              </m:sSup>
            </m:num>
            <m:den>
              <m:r>
                <w:rPr>
                  <w:rFonts w:ascii="Cambria Math" w:hAnsi="Cambria Math"/>
                </w:rPr>
                <m:t>1-</m:t>
              </m:r>
              <m:f>
                <m:fPr>
                  <m:ctrlPr>
                    <w:rPr>
                      <w:rFonts w:ascii="Cambria Math" w:hAnsi="Cambria Math"/>
                      <w:i/>
                    </w:rPr>
                  </m:ctrlPr>
                </m:fPr>
                <m:num>
                  <m:r>
                    <w:rPr>
                      <w:rFonts w:ascii="Cambria Math" w:hAnsi="Cambria Math"/>
                    </w:rPr>
                    <m:t>λ</m:t>
                  </m:r>
                </m:num>
                <m:den>
                  <m:d>
                    <m:dPr>
                      <m:ctrlPr>
                        <w:rPr>
                          <w:rFonts w:ascii="Cambria Math" w:hAnsi="Cambria Math"/>
                          <w:i/>
                        </w:rPr>
                      </m:ctrlPr>
                    </m:dPr>
                    <m:e>
                      <m:r>
                        <w:rPr>
                          <w:rFonts w:ascii="Cambria Math" w:hAnsi="Cambria Math"/>
                        </w:rPr>
                        <m:t>1+r</m:t>
                      </m:r>
                    </m:e>
                  </m:d>
                </m:den>
              </m:f>
            </m:den>
          </m:f>
          <m:r>
            <w:rPr>
              <w:rFonts w:ascii="Cambria Math" w:eastAsiaTheme="minorEastAsia" w:hAnsi="Cambria Math"/>
            </w:rPr>
            <m:t>=</m:t>
          </m:r>
          <m:f>
            <m:fPr>
              <m:ctrlPr>
                <w:rPr>
                  <w:rFonts w:ascii="Cambria Math" w:hAnsi="Cambria Math"/>
                  <w:i/>
                </w:rPr>
              </m:ctrlPr>
            </m:fPr>
            <m:num>
              <m:r>
                <w:rPr>
                  <w:rFonts w:ascii="Cambria Math" w:hAnsi="Cambria Math"/>
                </w:rPr>
                <m:t>CoC∙SCR</m:t>
              </m:r>
            </m:num>
            <m:den>
              <m:r>
                <w:rPr>
                  <w:rFonts w:ascii="Cambria Math" w:hAnsi="Cambria Math"/>
                </w:rPr>
                <m:t>1+r-λ</m:t>
              </m:r>
            </m:den>
          </m:f>
        </m:oMath>
      </m:oMathPara>
    </w:p>
    <w:p w14:paraId="7F30199F" w14:textId="77777777" w:rsidR="00CC5A6E" w:rsidRDefault="00CC5A6E" w:rsidP="00CC5A6E">
      <w:pPr>
        <w:rPr>
          <w:rFonts w:eastAsiaTheme="minorEastAsia"/>
        </w:rPr>
      </w:pPr>
      <w:r>
        <w:rPr>
          <w:rFonts w:eastAsiaTheme="minorEastAsia"/>
        </w:rPr>
        <w:t>Assuming non-negative interest rates, and expressing this as a proportion of SCR, the maximum possible value for the risk margin for a certain cost of capital rate and lambda parameter is then:</w:t>
      </w:r>
    </w:p>
    <w:p w14:paraId="7353E3B7" w14:textId="6AFC993C" w:rsidR="00CC5A6E" w:rsidRPr="003F786F" w:rsidRDefault="006B3EDC" w:rsidP="00CC5A6E">
      <w:pPr>
        <w:rPr>
          <w:rFonts w:eastAsiaTheme="minorEastAsia"/>
        </w:rPr>
      </w:pPr>
      <m:oMathPara>
        <m:oMath>
          <m:f>
            <m:fPr>
              <m:ctrlPr>
                <w:rPr>
                  <w:rFonts w:ascii="Cambria Math" w:hAnsi="Cambria Math"/>
                  <w:i/>
                </w:rPr>
              </m:ctrlPr>
            </m:fPr>
            <m:num>
              <m:r>
                <w:rPr>
                  <w:rFonts w:ascii="Cambria Math" w:hAnsi="Cambria Math"/>
                </w:rPr>
                <m:t>CoC</m:t>
              </m:r>
            </m:num>
            <m:den>
              <m:r>
                <w:rPr>
                  <w:rFonts w:ascii="Cambria Math" w:hAnsi="Cambria Math"/>
                </w:rPr>
                <m:t>1-λ</m:t>
              </m:r>
            </m:den>
          </m:f>
        </m:oMath>
      </m:oMathPara>
    </w:p>
    <w:p w14:paraId="17261DB3" w14:textId="77777777" w:rsidR="00CC5A6E" w:rsidRDefault="00CC5A6E" w:rsidP="00CC5A6E">
      <w:r>
        <w:t>A similar logic can also be applied for finite products.</w:t>
      </w:r>
    </w:p>
    <w:p w14:paraId="722DB1A6" w14:textId="6684FE8C" w:rsidR="00CC5A6E" w:rsidRPr="003F786F" w:rsidRDefault="00CC5A6E" w:rsidP="00CC5A6E">
      <w:pPr>
        <w:pStyle w:val="Nadpis1"/>
        <w:rPr>
          <w:rFonts w:asciiTheme="minorHAnsi" w:eastAsiaTheme="minorEastAsia" w:hAnsiTheme="minorHAnsi" w:cstheme="minorBidi"/>
        </w:rPr>
      </w:pPr>
      <w:r>
        <w:lastRenderedPageBreak/>
        <w:t>Appendix 2: Maximum possible risk margin and maximum possible change for finite products</w:t>
      </w:r>
    </w:p>
    <w:p w14:paraId="36373D90" w14:textId="3B65317F" w:rsidR="00054C8F" w:rsidRDefault="00054C8F" w:rsidP="00CC5A6E">
      <w:r>
        <w:t xml:space="preserve">Following on from the main text, the tables below provide maximum possible values for the risk margin as a percentage of SCR, and maximum sensitivities of this with respect to a 1% change in interest rates for different combinations of the </w:t>
      </w:r>
      <w:proofErr w:type="spellStart"/>
      <w:r>
        <w:t>CoC</w:t>
      </w:r>
      <w:proofErr w:type="spellEnd"/>
      <w:r>
        <w:t xml:space="preserve"> rate and EIOPA’s lambda parameter. We can see that reductions in both measures are able to reduce the</w:t>
      </w:r>
      <w:r w:rsidR="004C10D4">
        <w:t>se maximum values, and hence reduce risks from pro-cyclicality, while the lambda parameter is more effective in achieving this for longer-term products where excessive levels and volatilities are most prevalent.</w:t>
      </w:r>
    </w:p>
    <w:p w14:paraId="441743A2" w14:textId="050EF340" w:rsidR="00772D1B" w:rsidRDefault="00772D1B" w:rsidP="00772D1B">
      <w:pPr>
        <w:pStyle w:val="Nadpis2"/>
      </w:pPr>
      <w:r>
        <w:t>A. One-year product</w:t>
      </w:r>
    </w:p>
    <w:p w14:paraId="4B8A8361" w14:textId="299680F2" w:rsidR="00772D1B" w:rsidRPr="00CE6C01" w:rsidRDefault="00772D1B" w:rsidP="00772D1B">
      <w:pPr>
        <w:rPr>
          <w:b/>
          <w:bCs/>
          <w:u w:val="single"/>
        </w:rPr>
      </w:pPr>
      <w:r w:rsidRPr="00CE6C01">
        <w:rPr>
          <w:b/>
          <w:bCs/>
          <w:u w:val="single"/>
        </w:rPr>
        <w:t>Maximum possible value of the risk margin</w:t>
      </w:r>
      <w:r>
        <w:rPr>
          <w:b/>
          <w:bCs/>
          <w:u w:val="single"/>
        </w:rPr>
        <w:t xml:space="preserve"> (as a percentage of SCR)</w:t>
      </w:r>
    </w:p>
    <w:tbl>
      <w:tblPr>
        <w:tblStyle w:val="Mriekatabuky"/>
        <w:tblW w:w="0" w:type="auto"/>
        <w:tblLook w:val="04A0" w:firstRow="1" w:lastRow="0" w:firstColumn="1" w:lastColumn="0" w:noHBand="0" w:noVBand="1"/>
      </w:tblPr>
      <w:tblGrid>
        <w:gridCol w:w="1512"/>
        <w:gridCol w:w="1504"/>
        <w:gridCol w:w="1500"/>
        <w:gridCol w:w="1499"/>
        <w:gridCol w:w="1501"/>
        <w:gridCol w:w="1500"/>
      </w:tblGrid>
      <w:tr w:rsidR="00772D1B" w14:paraId="249247B1" w14:textId="77777777" w:rsidTr="00054C8F">
        <w:tc>
          <w:tcPr>
            <w:tcW w:w="1512" w:type="dxa"/>
          </w:tcPr>
          <w:p w14:paraId="1BDEFECD" w14:textId="77777777" w:rsidR="00772D1B" w:rsidRDefault="00772D1B" w:rsidP="00793FA5">
            <w:proofErr w:type="spellStart"/>
            <w:r>
              <w:t>CoC</w:t>
            </w:r>
            <w:proofErr w:type="spellEnd"/>
            <w:r>
              <w:t xml:space="preserve"> / lambda</w:t>
            </w:r>
          </w:p>
        </w:tc>
        <w:tc>
          <w:tcPr>
            <w:tcW w:w="1504" w:type="dxa"/>
          </w:tcPr>
          <w:p w14:paraId="54E1BACA" w14:textId="77777777" w:rsidR="00772D1B" w:rsidRDefault="00772D1B" w:rsidP="00793FA5">
            <w:pPr>
              <w:jc w:val="center"/>
            </w:pPr>
            <w:r>
              <w:t>0.975</w:t>
            </w:r>
          </w:p>
        </w:tc>
        <w:tc>
          <w:tcPr>
            <w:tcW w:w="1500" w:type="dxa"/>
          </w:tcPr>
          <w:p w14:paraId="72C7B9B0" w14:textId="77777777" w:rsidR="00772D1B" w:rsidRDefault="00772D1B" w:rsidP="00793FA5">
            <w:pPr>
              <w:jc w:val="center"/>
            </w:pPr>
            <w:r>
              <w:t>0.95</w:t>
            </w:r>
          </w:p>
        </w:tc>
        <w:tc>
          <w:tcPr>
            <w:tcW w:w="1499" w:type="dxa"/>
          </w:tcPr>
          <w:p w14:paraId="732B7AC3" w14:textId="77777777" w:rsidR="00772D1B" w:rsidRDefault="00772D1B" w:rsidP="00793FA5">
            <w:pPr>
              <w:jc w:val="center"/>
            </w:pPr>
            <w:r>
              <w:t>0.9</w:t>
            </w:r>
          </w:p>
        </w:tc>
        <w:tc>
          <w:tcPr>
            <w:tcW w:w="1501" w:type="dxa"/>
          </w:tcPr>
          <w:p w14:paraId="66118558" w14:textId="77777777" w:rsidR="00772D1B" w:rsidRDefault="00772D1B" w:rsidP="00793FA5">
            <w:pPr>
              <w:jc w:val="center"/>
            </w:pPr>
            <w:r>
              <w:t>0.85</w:t>
            </w:r>
          </w:p>
        </w:tc>
        <w:tc>
          <w:tcPr>
            <w:tcW w:w="1500" w:type="dxa"/>
          </w:tcPr>
          <w:p w14:paraId="49358092" w14:textId="77777777" w:rsidR="00772D1B" w:rsidRDefault="00772D1B" w:rsidP="00793FA5">
            <w:pPr>
              <w:jc w:val="center"/>
            </w:pPr>
            <w:r>
              <w:t>0.8</w:t>
            </w:r>
          </w:p>
        </w:tc>
      </w:tr>
      <w:tr w:rsidR="00054C8F" w14:paraId="1A5F42EB" w14:textId="77777777" w:rsidTr="00054C8F">
        <w:tc>
          <w:tcPr>
            <w:tcW w:w="1512" w:type="dxa"/>
          </w:tcPr>
          <w:p w14:paraId="1AD5254C" w14:textId="77777777" w:rsidR="00054C8F" w:rsidRDefault="00054C8F" w:rsidP="00054C8F">
            <w:r>
              <w:t>6%</w:t>
            </w:r>
          </w:p>
        </w:tc>
        <w:tc>
          <w:tcPr>
            <w:tcW w:w="1504" w:type="dxa"/>
          </w:tcPr>
          <w:p w14:paraId="7E049FD5" w14:textId="2044D8A3" w:rsidR="00054C8F" w:rsidRDefault="00054C8F" w:rsidP="00054C8F">
            <w:pPr>
              <w:jc w:val="center"/>
            </w:pPr>
            <w:r>
              <w:t>6%</w:t>
            </w:r>
          </w:p>
        </w:tc>
        <w:tc>
          <w:tcPr>
            <w:tcW w:w="1500" w:type="dxa"/>
          </w:tcPr>
          <w:p w14:paraId="1274BCAC" w14:textId="0E90560A" w:rsidR="00054C8F" w:rsidRDefault="00054C8F" w:rsidP="00054C8F">
            <w:pPr>
              <w:jc w:val="center"/>
            </w:pPr>
            <w:r>
              <w:t>6%</w:t>
            </w:r>
          </w:p>
        </w:tc>
        <w:tc>
          <w:tcPr>
            <w:tcW w:w="1499" w:type="dxa"/>
          </w:tcPr>
          <w:p w14:paraId="2376C391" w14:textId="5BA2C008" w:rsidR="00054C8F" w:rsidRDefault="00054C8F" w:rsidP="00054C8F">
            <w:pPr>
              <w:jc w:val="center"/>
            </w:pPr>
            <w:r>
              <w:t>6%</w:t>
            </w:r>
          </w:p>
        </w:tc>
        <w:tc>
          <w:tcPr>
            <w:tcW w:w="1501" w:type="dxa"/>
          </w:tcPr>
          <w:p w14:paraId="1E39442E" w14:textId="32DB2448" w:rsidR="00054C8F" w:rsidRDefault="00054C8F" w:rsidP="00054C8F">
            <w:pPr>
              <w:jc w:val="center"/>
            </w:pPr>
            <w:r>
              <w:t>6%</w:t>
            </w:r>
          </w:p>
        </w:tc>
        <w:tc>
          <w:tcPr>
            <w:tcW w:w="1500" w:type="dxa"/>
          </w:tcPr>
          <w:p w14:paraId="15F95C86" w14:textId="0A27BC46" w:rsidR="00054C8F" w:rsidRDefault="00054C8F" w:rsidP="00054C8F">
            <w:pPr>
              <w:jc w:val="center"/>
            </w:pPr>
            <w:r>
              <w:t>6%</w:t>
            </w:r>
          </w:p>
        </w:tc>
      </w:tr>
      <w:tr w:rsidR="00054C8F" w14:paraId="23E7DE8A" w14:textId="77777777" w:rsidTr="00054C8F">
        <w:tc>
          <w:tcPr>
            <w:tcW w:w="1512" w:type="dxa"/>
          </w:tcPr>
          <w:p w14:paraId="5396FABA" w14:textId="77777777" w:rsidR="00054C8F" w:rsidRDefault="00054C8F" w:rsidP="00054C8F">
            <w:r>
              <w:t>5%</w:t>
            </w:r>
          </w:p>
        </w:tc>
        <w:tc>
          <w:tcPr>
            <w:tcW w:w="1504" w:type="dxa"/>
          </w:tcPr>
          <w:p w14:paraId="621D84BD" w14:textId="4C6DCA06" w:rsidR="00054C8F" w:rsidRDefault="00054C8F" w:rsidP="00054C8F">
            <w:pPr>
              <w:jc w:val="center"/>
            </w:pPr>
            <w:r>
              <w:t>5%</w:t>
            </w:r>
          </w:p>
        </w:tc>
        <w:tc>
          <w:tcPr>
            <w:tcW w:w="1500" w:type="dxa"/>
          </w:tcPr>
          <w:p w14:paraId="217A3854" w14:textId="32F3787A" w:rsidR="00054C8F" w:rsidRDefault="00054C8F" w:rsidP="00054C8F">
            <w:pPr>
              <w:jc w:val="center"/>
            </w:pPr>
            <w:r>
              <w:t>5%</w:t>
            </w:r>
          </w:p>
        </w:tc>
        <w:tc>
          <w:tcPr>
            <w:tcW w:w="1499" w:type="dxa"/>
          </w:tcPr>
          <w:p w14:paraId="68CFB70B" w14:textId="62D9076C" w:rsidR="00054C8F" w:rsidRDefault="00054C8F" w:rsidP="00054C8F">
            <w:pPr>
              <w:jc w:val="center"/>
            </w:pPr>
            <w:r>
              <w:t>5%</w:t>
            </w:r>
          </w:p>
        </w:tc>
        <w:tc>
          <w:tcPr>
            <w:tcW w:w="1501" w:type="dxa"/>
          </w:tcPr>
          <w:p w14:paraId="03AE1A9C" w14:textId="09A9D749" w:rsidR="00054C8F" w:rsidRDefault="00054C8F" w:rsidP="00054C8F">
            <w:pPr>
              <w:jc w:val="center"/>
            </w:pPr>
            <w:r>
              <w:t>5%</w:t>
            </w:r>
          </w:p>
        </w:tc>
        <w:tc>
          <w:tcPr>
            <w:tcW w:w="1500" w:type="dxa"/>
          </w:tcPr>
          <w:p w14:paraId="493F7E94" w14:textId="796C82E9" w:rsidR="00054C8F" w:rsidRDefault="00054C8F" w:rsidP="00054C8F">
            <w:pPr>
              <w:jc w:val="center"/>
            </w:pPr>
            <w:r>
              <w:t>5%</w:t>
            </w:r>
          </w:p>
        </w:tc>
      </w:tr>
      <w:tr w:rsidR="00054C8F" w14:paraId="3F562926" w14:textId="77777777" w:rsidTr="00054C8F">
        <w:tc>
          <w:tcPr>
            <w:tcW w:w="1512" w:type="dxa"/>
          </w:tcPr>
          <w:p w14:paraId="115127C2" w14:textId="77777777" w:rsidR="00054C8F" w:rsidRDefault="00054C8F" w:rsidP="00054C8F">
            <w:r>
              <w:t>4%</w:t>
            </w:r>
          </w:p>
        </w:tc>
        <w:tc>
          <w:tcPr>
            <w:tcW w:w="1504" w:type="dxa"/>
          </w:tcPr>
          <w:p w14:paraId="716EE5DC" w14:textId="2FADE12D" w:rsidR="00054C8F" w:rsidRDefault="00054C8F" w:rsidP="00054C8F">
            <w:pPr>
              <w:jc w:val="center"/>
            </w:pPr>
            <w:r>
              <w:t>4%</w:t>
            </w:r>
          </w:p>
        </w:tc>
        <w:tc>
          <w:tcPr>
            <w:tcW w:w="1500" w:type="dxa"/>
          </w:tcPr>
          <w:p w14:paraId="46752574" w14:textId="66B247C9" w:rsidR="00054C8F" w:rsidRDefault="00054C8F" w:rsidP="00054C8F">
            <w:pPr>
              <w:jc w:val="center"/>
            </w:pPr>
            <w:r>
              <w:t>4%</w:t>
            </w:r>
          </w:p>
        </w:tc>
        <w:tc>
          <w:tcPr>
            <w:tcW w:w="1499" w:type="dxa"/>
          </w:tcPr>
          <w:p w14:paraId="172AA8C9" w14:textId="57B39E56" w:rsidR="00054C8F" w:rsidRDefault="00054C8F" w:rsidP="00054C8F">
            <w:pPr>
              <w:jc w:val="center"/>
            </w:pPr>
            <w:r>
              <w:t>4%</w:t>
            </w:r>
          </w:p>
        </w:tc>
        <w:tc>
          <w:tcPr>
            <w:tcW w:w="1501" w:type="dxa"/>
          </w:tcPr>
          <w:p w14:paraId="5A99F219" w14:textId="580D2E70" w:rsidR="00054C8F" w:rsidRDefault="00054C8F" w:rsidP="00054C8F">
            <w:pPr>
              <w:jc w:val="center"/>
            </w:pPr>
            <w:r>
              <w:t>4%</w:t>
            </w:r>
          </w:p>
        </w:tc>
        <w:tc>
          <w:tcPr>
            <w:tcW w:w="1500" w:type="dxa"/>
          </w:tcPr>
          <w:p w14:paraId="5EE98312" w14:textId="09AE1CE0" w:rsidR="00054C8F" w:rsidRDefault="00054C8F" w:rsidP="00054C8F">
            <w:pPr>
              <w:jc w:val="center"/>
            </w:pPr>
            <w:r>
              <w:t>4%</w:t>
            </w:r>
          </w:p>
        </w:tc>
      </w:tr>
      <w:tr w:rsidR="00054C8F" w14:paraId="6E230670" w14:textId="77777777" w:rsidTr="00054C8F">
        <w:tc>
          <w:tcPr>
            <w:tcW w:w="1512" w:type="dxa"/>
          </w:tcPr>
          <w:p w14:paraId="677567F3" w14:textId="77777777" w:rsidR="00054C8F" w:rsidRDefault="00054C8F" w:rsidP="00054C8F">
            <w:r>
              <w:t>3%</w:t>
            </w:r>
          </w:p>
        </w:tc>
        <w:tc>
          <w:tcPr>
            <w:tcW w:w="1504" w:type="dxa"/>
          </w:tcPr>
          <w:p w14:paraId="1E21CA9E" w14:textId="30EF6564" w:rsidR="00054C8F" w:rsidRDefault="00054C8F" w:rsidP="00054C8F">
            <w:pPr>
              <w:jc w:val="center"/>
            </w:pPr>
            <w:r>
              <w:t>3%</w:t>
            </w:r>
          </w:p>
        </w:tc>
        <w:tc>
          <w:tcPr>
            <w:tcW w:w="1500" w:type="dxa"/>
          </w:tcPr>
          <w:p w14:paraId="1166D41C" w14:textId="15E18ADF" w:rsidR="00054C8F" w:rsidRDefault="00054C8F" w:rsidP="00054C8F">
            <w:pPr>
              <w:jc w:val="center"/>
            </w:pPr>
            <w:r>
              <w:t>3%</w:t>
            </w:r>
          </w:p>
        </w:tc>
        <w:tc>
          <w:tcPr>
            <w:tcW w:w="1499" w:type="dxa"/>
          </w:tcPr>
          <w:p w14:paraId="30E3FF4E" w14:textId="1EAED39B" w:rsidR="00054C8F" w:rsidRDefault="00054C8F" w:rsidP="00054C8F">
            <w:pPr>
              <w:jc w:val="center"/>
            </w:pPr>
            <w:r>
              <w:t>3%</w:t>
            </w:r>
          </w:p>
        </w:tc>
        <w:tc>
          <w:tcPr>
            <w:tcW w:w="1501" w:type="dxa"/>
          </w:tcPr>
          <w:p w14:paraId="35C6119A" w14:textId="0ACCDE62" w:rsidR="00054C8F" w:rsidRDefault="00054C8F" w:rsidP="00054C8F">
            <w:pPr>
              <w:jc w:val="center"/>
            </w:pPr>
            <w:r>
              <w:t>3%</w:t>
            </w:r>
          </w:p>
        </w:tc>
        <w:tc>
          <w:tcPr>
            <w:tcW w:w="1500" w:type="dxa"/>
          </w:tcPr>
          <w:p w14:paraId="0A9E189D" w14:textId="60351B38" w:rsidR="00054C8F" w:rsidRDefault="00054C8F" w:rsidP="00054C8F">
            <w:pPr>
              <w:jc w:val="center"/>
            </w:pPr>
            <w:r>
              <w:t>3%</w:t>
            </w:r>
          </w:p>
        </w:tc>
      </w:tr>
      <w:tr w:rsidR="00054C8F" w14:paraId="666E2CB2" w14:textId="77777777" w:rsidTr="00054C8F">
        <w:tc>
          <w:tcPr>
            <w:tcW w:w="1512" w:type="dxa"/>
          </w:tcPr>
          <w:p w14:paraId="50BAFADC" w14:textId="77777777" w:rsidR="00054C8F" w:rsidRDefault="00054C8F" w:rsidP="00054C8F">
            <w:r>
              <w:t>2%</w:t>
            </w:r>
          </w:p>
        </w:tc>
        <w:tc>
          <w:tcPr>
            <w:tcW w:w="1504" w:type="dxa"/>
          </w:tcPr>
          <w:p w14:paraId="3036B3A6" w14:textId="60B2ECB7" w:rsidR="00054C8F" w:rsidRDefault="00054C8F" w:rsidP="00054C8F">
            <w:pPr>
              <w:jc w:val="center"/>
            </w:pPr>
            <w:r>
              <w:t>2%</w:t>
            </w:r>
          </w:p>
        </w:tc>
        <w:tc>
          <w:tcPr>
            <w:tcW w:w="1500" w:type="dxa"/>
          </w:tcPr>
          <w:p w14:paraId="3D96A618" w14:textId="79F590F5" w:rsidR="00054C8F" w:rsidRDefault="00054C8F" w:rsidP="00054C8F">
            <w:pPr>
              <w:jc w:val="center"/>
            </w:pPr>
            <w:r>
              <w:t>2%</w:t>
            </w:r>
          </w:p>
        </w:tc>
        <w:tc>
          <w:tcPr>
            <w:tcW w:w="1499" w:type="dxa"/>
          </w:tcPr>
          <w:p w14:paraId="576EC8CC" w14:textId="64B27AB2" w:rsidR="00054C8F" w:rsidRDefault="00054C8F" w:rsidP="00054C8F">
            <w:pPr>
              <w:jc w:val="center"/>
            </w:pPr>
            <w:r>
              <w:t>2%</w:t>
            </w:r>
          </w:p>
        </w:tc>
        <w:tc>
          <w:tcPr>
            <w:tcW w:w="1501" w:type="dxa"/>
          </w:tcPr>
          <w:p w14:paraId="501A3165" w14:textId="5FDFC82C" w:rsidR="00054C8F" w:rsidRDefault="00054C8F" w:rsidP="00054C8F">
            <w:pPr>
              <w:jc w:val="center"/>
            </w:pPr>
            <w:r>
              <w:t>2%</w:t>
            </w:r>
          </w:p>
        </w:tc>
        <w:tc>
          <w:tcPr>
            <w:tcW w:w="1500" w:type="dxa"/>
          </w:tcPr>
          <w:p w14:paraId="17E5D020" w14:textId="01E1D93A" w:rsidR="00054C8F" w:rsidRDefault="00054C8F" w:rsidP="00054C8F">
            <w:pPr>
              <w:jc w:val="center"/>
            </w:pPr>
            <w:r>
              <w:t>2%</w:t>
            </w:r>
          </w:p>
        </w:tc>
      </w:tr>
    </w:tbl>
    <w:p w14:paraId="2BB59709" w14:textId="77777777" w:rsidR="00772D1B" w:rsidRDefault="00772D1B" w:rsidP="00772D1B">
      <w:pPr>
        <w:pStyle w:val="Nadpis2"/>
      </w:pPr>
    </w:p>
    <w:p w14:paraId="706FFD19" w14:textId="0DDD7B37" w:rsidR="00772D1B" w:rsidRPr="00CE6C01" w:rsidRDefault="00772D1B" w:rsidP="00772D1B">
      <w:pPr>
        <w:rPr>
          <w:b/>
          <w:bCs/>
          <w:u w:val="single"/>
        </w:rPr>
      </w:pPr>
      <w:r w:rsidRPr="00CE6C01">
        <w:rPr>
          <w:b/>
          <w:bCs/>
          <w:u w:val="single"/>
        </w:rPr>
        <w:t xml:space="preserve">Maximum sensitivity of risk margin </w:t>
      </w:r>
      <w:r>
        <w:rPr>
          <w:b/>
          <w:bCs/>
          <w:u w:val="single"/>
        </w:rPr>
        <w:t>to</w:t>
      </w:r>
      <w:r w:rsidRPr="00CE6C01">
        <w:rPr>
          <w:b/>
          <w:bCs/>
          <w:u w:val="single"/>
        </w:rPr>
        <w:t xml:space="preserve"> 1% </w:t>
      </w:r>
      <w:r>
        <w:rPr>
          <w:b/>
          <w:bCs/>
          <w:u w:val="single"/>
        </w:rPr>
        <w:t>fall</w:t>
      </w:r>
      <w:r w:rsidRPr="00CE6C01">
        <w:rPr>
          <w:b/>
          <w:bCs/>
          <w:u w:val="single"/>
        </w:rPr>
        <w:t xml:space="preserve"> in interest rates</w:t>
      </w:r>
      <w:r>
        <w:rPr>
          <w:b/>
          <w:bCs/>
          <w:u w:val="single"/>
        </w:rPr>
        <w:t xml:space="preserve"> (as a percentage of SCR)</w:t>
      </w:r>
    </w:p>
    <w:tbl>
      <w:tblPr>
        <w:tblStyle w:val="Mriekatabuky"/>
        <w:tblW w:w="0" w:type="auto"/>
        <w:tblLook w:val="04A0" w:firstRow="1" w:lastRow="0" w:firstColumn="1" w:lastColumn="0" w:noHBand="0" w:noVBand="1"/>
      </w:tblPr>
      <w:tblGrid>
        <w:gridCol w:w="1509"/>
        <w:gridCol w:w="1505"/>
        <w:gridCol w:w="1500"/>
        <w:gridCol w:w="1500"/>
        <w:gridCol w:w="1501"/>
        <w:gridCol w:w="1501"/>
      </w:tblGrid>
      <w:tr w:rsidR="00772D1B" w14:paraId="6AFBF287" w14:textId="77777777" w:rsidTr="00066087">
        <w:tc>
          <w:tcPr>
            <w:tcW w:w="1509" w:type="dxa"/>
          </w:tcPr>
          <w:p w14:paraId="134D9734" w14:textId="77777777" w:rsidR="00772D1B" w:rsidRDefault="00772D1B" w:rsidP="00793FA5">
            <w:proofErr w:type="spellStart"/>
            <w:r>
              <w:t>CoC</w:t>
            </w:r>
            <w:proofErr w:type="spellEnd"/>
            <w:r>
              <w:t xml:space="preserve"> / lambda</w:t>
            </w:r>
          </w:p>
        </w:tc>
        <w:tc>
          <w:tcPr>
            <w:tcW w:w="1505" w:type="dxa"/>
          </w:tcPr>
          <w:p w14:paraId="22AE67C1" w14:textId="77777777" w:rsidR="00772D1B" w:rsidRDefault="00772D1B" w:rsidP="00793FA5">
            <w:pPr>
              <w:jc w:val="center"/>
            </w:pPr>
            <w:r>
              <w:t>0.975</w:t>
            </w:r>
          </w:p>
        </w:tc>
        <w:tc>
          <w:tcPr>
            <w:tcW w:w="1500" w:type="dxa"/>
          </w:tcPr>
          <w:p w14:paraId="17CF23FE" w14:textId="77777777" w:rsidR="00772D1B" w:rsidRDefault="00772D1B" w:rsidP="00793FA5">
            <w:pPr>
              <w:jc w:val="center"/>
            </w:pPr>
            <w:r>
              <w:t>0.95</w:t>
            </w:r>
          </w:p>
        </w:tc>
        <w:tc>
          <w:tcPr>
            <w:tcW w:w="1500" w:type="dxa"/>
          </w:tcPr>
          <w:p w14:paraId="00A488B1" w14:textId="77777777" w:rsidR="00772D1B" w:rsidRDefault="00772D1B" w:rsidP="00793FA5">
            <w:pPr>
              <w:jc w:val="center"/>
            </w:pPr>
            <w:r>
              <w:t>0.9</w:t>
            </w:r>
          </w:p>
        </w:tc>
        <w:tc>
          <w:tcPr>
            <w:tcW w:w="1501" w:type="dxa"/>
          </w:tcPr>
          <w:p w14:paraId="431C915E" w14:textId="77777777" w:rsidR="00772D1B" w:rsidRDefault="00772D1B" w:rsidP="00793FA5">
            <w:pPr>
              <w:jc w:val="center"/>
            </w:pPr>
            <w:r>
              <w:t>0.85</w:t>
            </w:r>
          </w:p>
        </w:tc>
        <w:tc>
          <w:tcPr>
            <w:tcW w:w="1501" w:type="dxa"/>
          </w:tcPr>
          <w:p w14:paraId="3A019D4A" w14:textId="77777777" w:rsidR="00772D1B" w:rsidRDefault="00772D1B" w:rsidP="00793FA5">
            <w:pPr>
              <w:jc w:val="center"/>
            </w:pPr>
            <w:r>
              <w:t>0.8</w:t>
            </w:r>
          </w:p>
        </w:tc>
      </w:tr>
      <w:tr w:rsidR="00054C8F" w14:paraId="51B00E2E" w14:textId="77777777" w:rsidTr="00054C8F">
        <w:tc>
          <w:tcPr>
            <w:tcW w:w="1509" w:type="dxa"/>
          </w:tcPr>
          <w:p w14:paraId="5E940C4B" w14:textId="77777777" w:rsidR="00054C8F" w:rsidRDefault="00054C8F" w:rsidP="00054C8F">
            <w:r>
              <w:t>6%</w:t>
            </w:r>
          </w:p>
        </w:tc>
        <w:tc>
          <w:tcPr>
            <w:tcW w:w="1505" w:type="dxa"/>
          </w:tcPr>
          <w:p w14:paraId="70A87EC5" w14:textId="441EF271" w:rsidR="00054C8F" w:rsidRDefault="00054C8F" w:rsidP="00054C8F">
            <w:pPr>
              <w:jc w:val="center"/>
            </w:pPr>
            <w:r>
              <w:t>0.06</w:t>
            </w:r>
            <w:r w:rsidRPr="00770CB5">
              <w:t>%</w:t>
            </w:r>
          </w:p>
        </w:tc>
        <w:tc>
          <w:tcPr>
            <w:tcW w:w="1500" w:type="dxa"/>
          </w:tcPr>
          <w:p w14:paraId="0B14507E" w14:textId="2D9A2FC4" w:rsidR="00054C8F" w:rsidRDefault="00054C8F" w:rsidP="00054C8F">
            <w:pPr>
              <w:jc w:val="center"/>
            </w:pPr>
            <w:r>
              <w:t>0.06</w:t>
            </w:r>
            <w:r w:rsidRPr="00770CB5">
              <w:t>%</w:t>
            </w:r>
          </w:p>
        </w:tc>
        <w:tc>
          <w:tcPr>
            <w:tcW w:w="1500" w:type="dxa"/>
          </w:tcPr>
          <w:p w14:paraId="2560AE3E" w14:textId="7E005DB1" w:rsidR="00054C8F" w:rsidRDefault="00054C8F" w:rsidP="00054C8F">
            <w:pPr>
              <w:jc w:val="center"/>
            </w:pPr>
            <w:r>
              <w:t>0.06</w:t>
            </w:r>
            <w:r w:rsidRPr="00770CB5">
              <w:t>%</w:t>
            </w:r>
          </w:p>
        </w:tc>
        <w:tc>
          <w:tcPr>
            <w:tcW w:w="1501" w:type="dxa"/>
          </w:tcPr>
          <w:p w14:paraId="09094A68" w14:textId="67B7F132" w:rsidR="00054C8F" w:rsidRDefault="00054C8F" w:rsidP="00054C8F">
            <w:pPr>
              <w:jc w:val="center"/>
            </w:pPr>
            <w:r>
              <w:t>0.06</w:t>
            </w:r>
            <w:r w:rsidRPr="00770CB5">
              <w:t>%</w:t>
            </w:r>
          </w:p>
        </w:tc>
        <w:tc>
          <w:tcPr>
            <w:tcW w:w="1501" w:type="dxa"/>
          </w:tcPr>
          <w:p w14:paraId="44782F01" w14:textId="3F2CE0F7" w:rsidR="00054C8F" w:rsidRDefault="00054C8F" w:rsidP="00054C8F">
            <w:pPr>
              <w:jc w:val="center"/>
            </w:pPr>
            <w:r>
              <w:t>0.06</w:t>
            </w:r>
            <w:r w:rsidRPr="00770CB5">
              <w:t>%</w:t>
            </w:r>
          </w:p>
        </w:tc>
      </w:tr>
      <w:tr w:rsidR="00054C8F" w14:paraId="2F80DB07" w14:textId="77777777" w:rsidTr="00054C8F">
        <w:tc>
          <w:tcPr>
            <w:tcW w:w="1509" w:type="dxa"/>
          </w:tcPr>
          <w:p w14:paraId="6A1CEC3A" w14:textId="77777777" w:rsidR="00054C8F" w:rsidRDefault="00054C8F" w:rsidP="00054C8F">
            <w:r>
              <w:t>5%</w:t>
            </w:r>
          </w:p>
        </w:tc>
        <w:tc>
          <w:tcPr>
            <w:tcW w:w="1505" w:type="dxa"/>
          </w:tcPr>
          <w:p w14:paraId="729F4E06" w14:textId="79785E28" w:rsidR="00054C8F" w:rsidRDefault="00054C8F" w:rsidP="00054C8F">
            <w:pPr>
              <w:jc w:val="center"/>
            </w:pPr>
            <w:r>
              <w:t>0.05</w:t>
            </w:r>
            <w:r w:rsidRPr="00770CB5">
              <w:t>%</w:t>
            </w:r>
          </w:p>
        </w:tc>
        <w:tc>
          <w:tcPr>
            <w:tcW w:w="1500" w:type="dxa"/>
          </w:tcPr>
          <w:p w14:paraId="64813E07" w14:textId="2AE944AF" w:rsidR="00054C8F" w:rsidRDefault="00054C8F" w:rsidP="00054C8F">
            <w:pPr>
              <w:jc w:val="center"/>
            </w:pPr>
            <w:r>
              <w:t>0.05</w:t>
            </w:r>
            <w:r w:rsidRPr="00770CB5">
              <w:t>%</w:t>
            </w:r>
          </w:p>
        </w:tc>
        <w:tc>
          <w:tcPr>
            <w:tcW w:w="1500" w:type="dxa"/>
          </w:tcPr>
          <w:p w14:paraId="4D358A81" w14:textId="5A22A412" w:rsidR="00054C8F" w:rsidRDefault="00054C8F" w:rsidP="00054C8F">
            <w:pPr>
              <w:jc w:val="center"/>
            </w:pPr>
            <w:r>
              <w:t>0.05</w:t>
            </w:r>
            <w:r w:rsidRPr="00770CB5">
              <w:t>%</w:t>
            </w:r>
          </w:p>
        </w:tc>
        <w:tc>
          <w:tcPr>
            <w:tcW w:w="1501" w:type="dxa"/>
          </w:tcPr>
          <w:p w14:paraId="1A0F4949" w14:textId="7DF903DC" w:rsidR="00054C8F" w:rsidRDefault="00054C8F" w:rsidP="00054C8F">
            <w:pPr>
              <w:jc w:val="center"/>
            </w:pPr>
            <w:r>
              <w:t>0.05</w:t>
            </w:r>
            <w:r w:rsidRPr="00770CB5">
              <w:t>%</w:t>
            </w:r>
          </w:p>
        </w:tc>
        <w:tc>
          <w:tcPr>
            <w:tcW w:w="1501" w:type="dxa"/>
          </w:tcPr>
          <w:p w14:paraId="577B47DD" w14:textId="2F4F6668" w:rsidR="00054C8F" w:rsidRDefault="00054C8F" w:rsidP="00054C8F">
            <w:pPr>
              <w:jc w:val="center"/>
            </w:pPr>
            <w:r>
              <w:t>0.05</w:t>
            </w:r>
            <w:r w:rsidRPr="00770CB5">
              <w:t>%</w:t>
            </w:r>
          </w:p>
        </w:tc>
      </w:tr>
      <w:tr w:rsidR="00054C8F" w14:paraId="3442695F" w14:textId="77777777" w:rsidTr="00054C8F">
        <w:tc>
          <w:tcPr>
            <w:tcW w:w="1509" w:type="dxa"/>
          </w:tcPr>
          <w:p w14:paraId="7D5F6B0A" w14:textId="77777777" w:rsidR="00054C8F" w:rsidRDefault="00054C8F" w:rsidP="00054C8F">
            <w:r>
              <w:t>4%</w:t>
            </w:r>
          </w:p>
        </w:tc>
        <w:tc>
          <w:tcPr>
            <w:tcW w:w="1505" w:type="dxa"/>
          </w:tcPr>
          <w:p w14:paraId="509A541F" w14:textId="664F0404" w:rsidR="00054C8F" w:rsidRDefault="00054C8F" w:rsidP="00054C8F">
            <w:pPr>
              <w:jc w:val="center"/>
            </w:pPr>
            <w:r>
              <w:t>0.04</w:t>
            </w:r>
            <w:r w:rsidRPr="00770CB5">
              <w:t>%</w:t>
            </w:r>
          </w:p>
        </w:tc>
        <w:tc>
          <w:tcPr>
            <w:tcW w:w="1500" w:type="dxa"/>
          </w:tcPr>
          <w:p w14:paraId="4B99FBE8" w14:textId="67F442E0" w:rsidR="00054C8F" w:rsidRDefault="00054C8F" w:rsidP="00054C8F">
            <w:pPr>
              <w:jc w:val="center"/>
            </w:pPr>
            <w:r>
              <w:t>0.04</w:t>
            </w:r>
            <w:r w:rsidRPr="00770CB5">
              <w:t>%</w:t>
            </w:r>
          </w:p>
        </w:tc>
        <w:tc>
          <w:tcPr>
            <w:tcW w:w="1500" w:type="dxa"/>
          </w:tcPr>
          <w:p w14:paraId="6D61DA88" w14:textId="00042895" w:rsidR="00054C8F" w:rsidRDefault="00054C8F" w:rsidP="00054C8F">
            <w:pPr>
              <w:jc w:val="center"/>
            </w:pPr>
            <w:r>
              <w:t>0.04</w:t>
            </w:r>
            <w:r w:rsidRPr="00770CB5">
              <w:t>%</w:t>
            </w:r>
          </w:p>
        </w:tc>
        <w:tc>
          <w:tcPr>
            <w:tcW w:w="1501" w:type="dxa"/>
          </w:tcPr>
          <w:p w14:paraId="5E0978C8" w14:textId="3BE50545" w:rsidR="00054C8F" w:rsidRDefault="00054C8F" w:rsidP="00054C8F">
            <w:pPr>
              <w:jc w:val="center"/>
            </w:pPr>
            <w:r>
              <w:t>0.04</w:t>
            </w:r>
            <w:r w:rsidRPr="00770CB5">
              <w:t>%</w:t>
            </w:r>
          </w:p>
        </w:tc>
        <w:tc>
          <w:tcPr>
            <w:tcW w:w="1501" w:type="dxa"/>
          </w:tcPr>
          <w:p w14:paraId="2C6B87B8" w14:textId="5D279C32" w:rsidR="00054C8F" w:rsidRDefault="00054C8F" w:rsidP="00054C8F">
            <w:pPr>
              <w:jc w:val="center"/>
            </w:pPr>
            <w:r>
              <w:t>0.04</w:t>
            </w:r>
            <w:r w:rsidRPr="00770CB5">
              <w:t>%</w:t>
            </w:r>
          </w:p>
        </w:tc>
      </w:tr>
      <w:tr w:rsidR="00054C8F" w14:paraId="1162AA31" w14:textId="77777777" w:rsidTr="00054C8F">
        <w:tc>
          <w:tcPr>
            <w:tcW w:w="1509" w:type="dxa"/>
          </w:tcPr>
          <w:p w14:paraId="72D13EF2" w14:textId="77777777" w:rsidR="00054C8F" w:rsidRDefault="00054C8F" w:rsidP="00054C8F">
            <w:r>
              <w:t>3%</w:t>
            </w:r>
          </w:p>
        </w:tc>
        <w:tc>
          <w:tcPr>
            <w:tcW w:w="1505" w:type="dxa"/>
          </w:tcPr>
          <w:p w14:paraId="6068B728" w14:textId="5002DBC0" w:rsidR="00054C8F" w:rsidRDefault="00054C8F" w:rsidP="00054C8F">
            <w:pPr>
              <w:jc w:val="center"/>
            </w:pPr>
            <w:r>
              <w:t>0.03</w:t>
            </w:r>
            <w:r w:rsidRPr="00770CB5">
              <w:t>%</w:t>
            </w:r>
          </w:p>
        </w:tc>
        <w:tc>
          <w:tcPr>
            <w:tcW w:w="1500" w:type="dxa"/>
          </w:tcPr>
          <w:p w14:paraId="2C477371" w14:textId="38897BED" w:rsidR="00054C8F" w:rsidRDefault="00054C8F" w:rsidP="00054C8F">
            <w:pPr>
              <w:jc w:val="center"/>
            </w:pPr>
            <w:r>
              <w:t>0.03</w:t>
            </w:r>
            <w:r w:rsidRPr="00770CB5">
              <w:t>%</w:t>
            </w:r>
          </w:p>
        </w:tc>
        <w:tc>
          <w:tcPr>
            <w:tcW w:w="1500" w:type="dxa"/>
          </w:tcPr>
          <w:p w14:paraId="4C247DD5" w14:textId="7FEA9BED" w:rsidR="00054C8F" w:rsidRDefault="00054C8F" w:rsidP="00054C8F">
            <w:pPr>
              <w:jc w:val="center"/>
            </w:pPr>
            <w:r>
              <w:t>0.03</w:t>
            </w:r>
            <w:r w:rsidRPr="00770CB5">
              <w:t>%</w:t>
            </w:r>
          </w:p>
        </w:tc>
        <w:tc>
          <w:tcPr>
            <w:tcW w:w="1501" w:type="dxa"/>
          </w:tcPr>
          <w:p w14:paraId="2EFC2EAB" w14:textId="4C767B9F" w:rsidR="00054C8F" w:rsidRDefault="00054C8F" w:rsidP="00054C8F">
            <w:pPr>
              <w:jc w:val="center"/>
            </w:pPr>
            <w:r>
              <w:t>0.03</w:t>
            </w:r>
            <w:r w:rsidRPr="00770CB5">
              <w:t>%</w:t>
            </w:r>
          </w:p>
        </w:tc>
        <w:tc>
          <w:tcPr>
            <w:tcW w:w="1501" w:type="dxa"/>
          </w:tcPr>
          <w:p w14:paraId="1B972B3E" w14:textId="1CFA4E0B" w:rsidR="00054C8F" w:rsidRDefault="00054C8F" w:rsidP="00054C8F">
            <w:pPr>
              <w:jc w:val="center"/>
            </w:pPr>
            <w:r>
              <w:t>0.03</w:t>
            </w:r>
            <w:r w:rsidRPr="00770CB5">
              <w:t>%</w:t>
            </w:r>
          </w:p>
        </w:tc>
      </w:tr>
      <w:tr w:rsidR="00054C8F" w14:paraId="5040F0DF" w14:textId="77777777" w:rsidTr="00054C8F">
        <w:tc>
          <w:tcPr>
            <w:tcW w:w="1509" w:type="dxa"/>
          </w:tcPr>
          <w:p w14:paraId="1127C3EA" w14:textId="77777777" w:rsidR="00054C8F" w:rsidRDefault="00054C8F" w:rsidP="00054C8F">
            <w:r>
              <w:t>2%</w:t>
            </w:r>
          </w:p>
        </w:tc>
        <w:tc>
          <w:tcPr>
            <w:tcW w:w="1505" w:type="dxa"/>
          </w:tcPr>
          <w:p w14:paraId="3D939EA2" w14:textId="44FFCDB9" w:rsidR="00054C8F" w:rsidRDefault="00054C8F" w:rsidP="00054C8F">
            <w:pPr>
              <w:jc w:val="center"/>
            </w:pPr>
            <w:r>
              <w:t>0.02</w:t>
            </w:r>
            <w:r w:rsidRPr="00770CB5">
              <w:t>%</w:t>
            </w:r>
          </w:p>
        </w:tc>
        <w:tc>
          <w:tcPr>
            <w:tcW w:w="1500" w:type="dxa"/>
          </w:tcPr>
          <w:p w14:paraId="63397049" w14:textId="7266838F" w:rsidR="00054C8F" w:rsidRDefault="00054C8F" w:rsidP="00054C8F">
            <w:pPr>
              <w:jc w:val="center"/>
            </w:pPr>
            <w:r>
              <w:t>0.02</w:t>
            </w:r>
            <w:r w:rsidRPr="00770CB5">
              <w:t>%</w:t>
            </w:r>
          </w:p>
        </w:tc>
        <w:tc>
          <w:tcPr>
            <w:tcW w:w="1500" w:type="dxa"/>
          </w:tcPr>
          <w:p w14:paraId="2D958CA4" w14:textId="07E0BFDB" w:rsidR="00054C8F" w:rsidRDefault="00054C8F" w:rsidP="00054C8F">
            <w:pPr>
              <w:jc w:val="center"/>
            </w:pPr>
            <w:r>
              <w:t>0.02</w:t>
            </w:r>
            <w:r w:rsidRPr="00770CB5">
              <w:t>%</w:t>
            </w:r>
          </w:p>
        </w:tc>
        <w:tc>
          <w:tcPr>
            <w:tcW w:w="1501" w:type="dxa"/>
          </w:tcPr>
          <w:p w14:paraId="5D414D89" w14:textId="2B8464C8" w:rsidR="00054C8F" w:rsidRDefault="00054C8F" w:rsidP="00054C8F">
            <w:pPr>
              <w:jc w:val="center"/>
            </w:pPr>
            <w:r>
              <w:t>0.02</w:t>
            </w:r>
            <w:r w:rsidRPr="00770CB5">
              <w:t>%</w:t>
            </w:r>
          </w:p>
        </w:tc>
        <w:tc>
          <w:tcPr>
            <w:tcW w:w="1501" w:type="dxa"/>
          </w:tcPr>
          <w:p w14:paraId="2D48786E" w14:textId="41D61FB6" w:rsidR="00054C8F" w:rsidRDefault="00054C8F" w:rsidP="00054C8F">
            <w:pPr>
              <w:jc w:val="center"/>
            </w:pPr>
            <w:r>
              <w:t>0.02</w:t>
            </w:r>
            <w:r w:rsidRPr="00770CB5">
              <w:t>%</w:t>
            </w:r>
          </w:p>
        </w:tc>
      </w:tr>
    </w:tbl>
    <w:p w14:paraId="66657DD7" w14:textId="77777777" w:rsidR="00772D1B" w:rsidRDefault="00772D1B" w:rsidP="00772D1B">
      <w:pPr>
        <w:pStyle w:val="Nadpis2"/>
      </w:pPr>
    </w:p>
    <w:p w14:paraId="5E999159" w14:textId="7F1247AF" w:rsidR="00772D1B" w:rsidRDefault="00772D1B" w:rsidP="00772D1B">
      <w:pPr>
        <w:pStyle w:val="Nadpis2"/>
      </w:pPr>
      <w:r>
        <w:t>B. Five-year product</w:t>
      </w:r>
    </w:p>
    <w:p w14:paraId="4469E0EB" w14:textId="7B550200" w:rsidR="00772D1B" w:rsidRPr="00CE6C01" w:rsidRDefault="00772D1B" w:rsidP="00772D1B">
      <w:pPr>
        <w:rPr>
          <w:b/>
          <w:bCs/>
          <w:u w:val="single"/>
        </w:rPr>
      </w:pPr>
      <w:r w:rsidRPr="00CE6C01">
        <w:rPr>
          <w:b/>
          <w:bCs/>
          <w:u w:val="single"/>
        </w:rPr>
        <w:t>Maximum possible value of the risk margin</w:t>
      </w:r>
      <w:r>
        <w:rPr>
          <w:b/>
          <w:bCs/>
          <w:u w:val="single"/>
        </w:rPr>
        <w:t xml:space="preserve"> (as a percentage of SCR)</w:t>
      </w:r>
    </w:p>
    <w:tbl>
      <w:tblPr>
        <w:tblStyle w:val="Mriekatabuky"/>
        <w:tblW w:w="0" w:type="auto"/>
        <w:tblLook w:val="04A0" w:firstRow="1" w:lastRow="0" w:firstColumn="1" w:lastColumn="0" w:noHBand="0" w:noVBand="1"/>
      </w:tblPr>
      <w:tblGrid>
        <w:gridCol w:w="1512"/>
        <w:gridCol w:w="1504"/>
        <w:gridCol w:w="1500"/>
        <w:gridCol w:w="1499"/>
        <w:gridCol w:w="1501"/>
        <w:gridCol w:w="1500"/>
      </w:tblGrid>
      <w:tr w:rsidR="00772D1B" w14:paraId="6CEFAC2B" w14:textId="77777777" w:rsidTr="00054C8F">
        <w:tc>
          <w:tcPr>
            <w:tcW w:w="1512" w:type="dxa"/>
          </w:tcPr>
          <w:p w14:paraId="2CE66C31" w14:textId="77777777" w:rsidR="00772D1B" w:rsidRDefault="00772D1B" w:rsidP="00793FA5">
            <w:proofErr w:type="spellStart"/>
            <w:r>
              <w:t>CoC</w:t>
            </w:r>
            <w:proofErr w:type="spellEnd"/>
            <w:r>
              <w:t xml:space="preserve"> / lambda</w:t>
            </w:r>
          </w:p>
        </w:tc>
        <w:tc>
          <w:tcPr>
            <w:tcW w:w="1504" w:type="dxa"/>
          </w:tcPr>
          <w:p w14:paraId="1ED15EF5" w14:textId="77777777" w:rsidR="00772D1B" w:rsidRDefault="00772D1B" w:rsidP="00793FA5">
            <w:pPr>
              <w:jc w:val="center"/>
            </w:pPr>
            <w:r>
              <w:t>0.975</w:t>
            </w:r>
          </w:p>
        </w:tc>
        <w:tc>
          <w:tcPr>
            <w:tcW w:w="1500" w:type="dxa"/>
          </w:tcPr>
          <w:p w14:paraId="61349799" w14:textId="77777777" w:rsidR="00772D1B" w:rsidRDefault="00772D1B" w:rsidP="00793FA5">
            <w:pPr>
              <w:jc w:val="center"/>
            </w:pPr>
            <w:r>
              <w:t>0.95</w:t>
            </w:r>
          </w:p>
        </w:tc>
        <w:tc>
          <w:tcPr>
            <w:tcW w:w="1499" w:type="dxa"/>
          </w:tcPr>
          <w:p w14:paraId="39A8A412" w14:textId="77777777" w:rsidR="00772D1B" w:rsidRDefault="00772D1B" w:rsidP="00793FA5">
            <w:pPr>
              <w:jc w:val="center"/>
            </w:pPr>
            <w:r>
              <w:t>0.9</w:t>
            </w:r>
          </w:p>
        </w:tc>
        <w:tc>
          <w:tcPr>
            <w:tcW w:w="1501" w:type="dxa"/>
          </w:tcPr>
          <w:p w14:paraId="15AB1810" w14:textId="77777777" w:rsidR="00772D1B" w:rsidRDefault="00772D1B" w:rsidP="00793FA5">
            <w:pPr>
              <w:jc w:val="center"/>
            </w:pPr>
            <w:r>
              <w:t>0.85</w:t>
            </w:r>
          </w:p>
        </w:tc>
        <w:tc>
          <w:tcPr>
            <w:tcW w:w="1500" w:type="dxa"/>
          </w:tcPr>
          <w:p w14:paraId="5FC6E944" w14:textId="77777777" w:rsidR="00772D1B" w:rsidRDefault="00772D1B" w:rsidP="00793FA5">
            <w:pPr>
              <w:jc w:val="center"/>
            </w:pPr>
            <w:r>
              <w:t>0.8</w:t>
            </w:r>
          </w:p>
        </w:tc>
      </w:tr>
      <w:tr w:rsidR="00054C8F" w14:paraId="5FEA6D2D" w14:textId="77777777" w:rsidTr="00054C8F">
        <w:tc>
          <w:tcPr>
            <w:tcW w:w="1512" w:type="dxa"/>
          </w:tcPr>
          <w:p w14:paraId="41ACDEFD" w14:textId="77777777" w:rsidR="00054C8F" w:rsidRDefault="00054C8F" w:rsidP="00054C8F">
            <w:r>
              <w:t>6%</w:t>
            </w:r>
          </w:p>
        </w:tc>
        <w:tc>
          <w:tcPr>
            <w:tcW w:w="1504" w:type="dxa"/>
          </w:tcPr>
          <w:p w14:paraId="1FF36302" w14:textId="0E55E446" w:rsidR="00054C8F" w:rsidRDefault="00054C8F" w:rsidP="00054C8F">
            <w:pPr>
              <w:jc w:val="center"/>
            </w:pPr>
            <w:r>
              <w:t>29%</w:t>
            </w:r>
          </w:p>
        </w:tc>
        <w:tc>
          <w:tcPr>
            <w:tcW w:w="1500" w:type="dxa"/>
          </w:tcPr>
          <w:p w14:paraId="572A080F" w14:textId="4E6C1830" w:rsidR="00054C8F" w:rsidRDefault="00054C8F" w:rsidP="00054C8F">
            <w:pPr>
              <w:jc w:val="center"/>
            </w:pPr>
            <w:r>
              <w:t>27%</w:t>
            </w:r>
          </w:p>
        </w:tc>
        <w:tc>
          <w:tcPr>
            <w:tcW w:w="1499" w:type="dxa"/>
          </w:tcPr>
          <w:p w14:paraId="02841A78" w14:textId="3750CA4D" w:rsidR="00054C8F" w:rsidRDefault="00054C8F" w:rsidP="00054C8F">
            <w:pPr>
              <w:jc w:val="center"/>
            </w:pPr>
            <w:r>
              <w:t>25%</w:t>
            </w:r>
          </w:p>
        </w:tc>
        <w:tc>
          <w:tcPr>
            <w:tcW w:w="1501" w:type="dxa"/>
          </w:tcPr>
          <w:p w14:paraId="20F81A1A" w14:textId="1D78273A" w:rsidR="00054C8F" w:rsidRDefault="00054C8F" w:rsidP="00054C8F">
            <w:pPr>
              <w:jc w:val="center"/>
            </w:pPr>
            <w:r>
              <w:t>22%</w:t>
            </w:r>
          </w:p>
        </w:tc>
        <w:tc>
          <w:tcPr>
            <w:tcW w:w="1500" w:type="dxa"/>
          </w:tcPr>
          <w:p w14:paraId="690E2D3D" w14:textId="224472A4" w:rsidR="00054C8F" w:rsidRDefault="00054C8F" w:rsidP="00054C8F">
            <w:pPr>
              <w:jc w:val="center"/>
            </w:pPr>
            <w:r>
              <w:t>20%</w:t>
            </w:r>
          </w:p>
        </w:tc>
      </w:tr>
      <w:tr w:rsidR="00054C8F" w14:paraId="532241A5" w14:textId="77777777" w:rsidTr="00054C8F">
        <w:tc>
          <w:tcPr>
            <w:tcW w:w="1512" w:type="dxa"/>
          </w:tcPr>
          <w:p w14:paraId="3F6B4664" w14:textId="77777777" w:rsidR="00054C8F" w:rsidRDefault="00054C8F" w:rsidP="00054C8F">
            <w:r>
              <w:t>5%</w:t>
            </w:r>
          </w:p>
        </w:tc>
        <w:tc>
          <w:tcPr>
            <w:tcW w:w="1504" w:type="dxa"/>
          </w:tcPr>
          <w:p w14:paraId="11784B83" w14:textId="2891A033" w:rsidR="00054C8F" w:rsidRDefault="00054C8F" w:rsidP="00054C8F">
            <w:pPr>
              <w:jc w:val="center"/>
            </w:pPr>
            <w:r>
              <w:t>24%</w:t>
            </w:r>
          </w:p>
        </w:tc>
        <w:tc>
          <w:tcPr>
            <w:tcW w:w="1500" w:type="dxa"/>
          </w:tcPr>
          <w:p w14:paraId="4EF5AA9E" w14:textId="320B9E50" w:rsidR="00054C8F" w:rsidRDefault="00054C8F" w:rsidP="00054C8F">
            <w:pPr>
              <w:jc w:val="center"/>
            </w:pPr>
            <w:r>
              <w:t>23%</w:t>
            </w:r>
          </w:p>
        </w:tc>
        <w:tc>
          <w:tcPr>
            <w:tcW w:w="1499" w:type="dxa"/>
          </w:tcPr>
          <w:p w14:paraId="419F5AEC" w14:textId="5CF8B0F5" w:rsidR="00054C8F" w:rsidRDefault="00054C8F" w:rsidP="00054C8F">
            <w:pPr>
              <w:jc w:val="center"/>
            </w:pPr>
            <w:r>
              <w:t>20%</w:t>
            </w:r>
          </w:p>
        </w:tc>
        <w:tc>
          <w:tcPr>
            <w:tcW w:w="1501" w:type="dxa"/>
          </w:tcPr>
          <w:p w14:paraId="196FDC50" w14:textId="12AC7F55" w:rsidR="00054C8F" w:rsidRDefault="00054C8F" w:rsidP="00054C8F">
            <w:pPr>
              <w:jc w:val="center"/>
            </w:pPr>
            <w:r>
              <w:t>19%</w:t>
            </w:r>
          </w:p>
        </w:tc>
        <w:tc>
          <w:tcPr>
            <w:tcW w:w="1500" w:type="dxa"/>
          </w:tcPr>
          <w:p w14:paraId="7363B4F6" w14:textId="7E9AF14A" w:rsidR="00054C8F" w:rsidRDefault="00054C8F" w:rsidP="00054C8F">
            <w:pPr>
              <w:jc w:val="center"/>
            </w:pPr>
            <w:r>
              <w:t>17%</w:t>
            </w:r>
          </w:p>
        </w:tc>
      </w:tr>
      <w:tr w:rsidR="00054C8F" w14:paraId="340E292D" w14:textId="77777777" w:rsidTr="00054C8F">
        <w:tc>
          <w:tcPr>
            <w:tcW w:w="1512" w:type="dxa"/>
          </w:tcPr>
          <w:p w14:paraId="643D2F94" w14:textId="77777777" w:rsidR="00054C8F" w:rsidRDefault="00054C8F" w:rsidP="00054C8F">
            <w:r>
              <w:t>4%</w:t>
            </w:r>
          </w:p>
        </w:tc>
        <w:tc>
          <w:tcPr>
            <w:tcW w:w="1504" w:type="dxa"/>
          </w:tcPr>
          <w:p w14:paraId="1A573C66" w14:textId="36A3B142" w:rsidR="00054C8F" w:rsidRDefault="00054C8F" w:rsidP="00054C8F">
            <w:pPr>
              <w:jc w:val="center"/>
            </w:pPr>
            <w:r>
              <w:t>19%</w:t>
            </w:r>
          </w:p>
        </w:tc>
        <w:tc>
          <w:tcPr>
            <w:tcW w:w="1500" w:type="dxa"/>
          </w:tcPr>
          <w:p w14:paraId="1FB4E3A8" w14:textId="62AA4801" w:rsidR="00054C8F" w:rsidRDefault="00054C8F" w:rsidP="00054C8F">
            <w:pPr>
              <w:jc w:val="center"/>
            </w:pPr>
            <w:r>
              <w:t>18%</w:t>
            </w:r>
          </w:p>
        </w:tc>
        <w:tc>
          <w:tcPr>
            <w:tcW w:w="1499" w:type="dxa"/>
          </w:tcPr>
          <w:p w14:paraId="798E6C42" w14:textId="4178A7DD" w:rsidR="00054C8F" w:rsidRDefault="00054C8F" w:rsidP="00054C8F">
            <w:pPr>
              <w:jc w:val="center"/>
            </w:pPr>
            <w:r>
              <w:t>16%</w:t>
            </w:r>
          </w:p>
        </w:tc>
        <w:tc>
          <w:tcPr>
            <w:tcW w:w="1501" w:type="dxa"/>
          </w:tcPr>
          <w:p w14:paraId="67DC2413" w14:textId="7F8C6BD2" w:rsidR="00054C8F" w:rsidRDefault="00054C8F" w:rsidP="00054C8F">
            <w:pPr>
              <w:jc w:val="center"/>
            </w:pPr>
            <w:r>
              <w:t>15%</w:t>
            </w:r>
          </w:p>
        </w:tc>
        <w:tc>
          <w:tcPr>
            <w:tcW w:w="1500" w:type="dxa"/>
          </w:tcPr>
          <w:p w14:paraId="0360CFBD" w14:textId="1E9B4B17" w:rsidR="00054C8F" w:rsidRDefault="00054C8F" w:rsidP="00054C8F">
            <w:pPr>
              <w:jc w:val="center"/>
            </w:pPr>
            <w:r>
              <w:t>13%</w:t>
            </w:r>
          </w:p>
        </w:tc>
      </w:tr>
      <w:tr w:rsidR="00054C8F" w14:paraId="17BE9D97" w14:textId="77777777" w:rsidTr="00054C8F">
        <w:tc>
          <w:tcPr>
            <w:tcW w:w="1512" w:type="dxa"/>
          </w:tcPr>
          <w:p w14:paraId="1E4E80EF" w14:textId="77777777" w:rsidR="00054C8F" w:rsidRDefault="00054C8F" w:rsidP="00054C8F">
            <w:r>
              <w:t>3%</w:t>
            </w:r>
          </w:p>
        </w:tc>
        <w:tc>
          <w:tcPr>
            <w:tcW w:w="1504" w:type="dxa"/>
          </w:tcPr>
          <w:p w14:paraId="44B525A5" w14:textId="1E5CEBE1" w:rsidR="00054C8F" w:rsidRDefault="00054C8F" w:rsidP="00054C8F">
            <w:pPr>
              <w:jc w:val="center"/>
            </w:pPr>
            <w:r>
              <w:t>14%</w:t>
            </w:r>
          </w:p>
        </w:tc>
        <w:tc>
          <w:tcPr>
            <w:tcW w:w="1500" w:type="dxa"/>
          </w:tcPr>
          <w:p w14:paraId="7471F617" w14:textId="4562E7A6" w:rsidR="00054C8F" w:rsidRDefault="00054C8F" w:rsidP="00054C8F">
            <w:pPr>
              <w:jc w:val="center"/>
            </w:pPr>
            <w:r>
              <w:t>14%</w:t>
            </w:r>
          </w:p>
        </w:tc>
        <w:tc>
          <w:tcPr>
            <w:tcW w:w="1499" w:type="dxa"/>
          </w:tcPr>
          <w:p w14:paraId="52FAD7AD" w14:textId="62418CCB" w:rsidR="00054C8F" w:rsidRDefault="00054C8F" w:rsidP="00054C8F">
            <w:pPr>
              <w:jc w:val="center"/>
            </w:pPr>
            <w:r>
              <w:t>12%</w:t>
            </w:r>
          </w:p>
        </w:tc>
        <w:tc>
          <w:tcPr>
            <w:tcW w:w="1501" w:type="dxa"/>
          </w:tcPr>
          <w:p w14:paraId="7C30E37B" w14:textId="7D6588AF" w:rsidR="00054C8F" w:rsidRDefault="00054C8F" w:rsidP="00054C8F">
            <w:pPr>
              <w:jc w:val="center"/>
            </w:pPr>
            <w:r>
              <w:t>11%</w:t>
            </w:r>
          </w:p>
        </w:tc>
        <w:tc>
          <w:tcPr>
            <w:tcW w:w="1500" w:type="dxa"/>
          </w:tcPr>
          <w:p w14:paraId="7A93EB81" w14:textId="7A1FA22D" w:rsidR="00054C8F" w:rsidRDefault="00054C8F" w:rsidP="00054C8F">
            <w:pPr>
              <w:jc w:val="center"/>
            </w:pPr>
            <w:r>
              <w:t>10%</w:t>
            </w:r>
          </w:p>
        </w:tc>
      </w:tr>
      <w:tr w:rsidR="00054C8F" w14:paraId="6C5C4D05" w14:textId="77777777" w:rsidTr="00054C8F">
        <w:tc>
          <w:tcPr>
            <w:tcW w:w="1512" w:type="dxa"/>
          </w:tcPr>
          <w:p w14:paraId="06B068B9" w14:textId="77777777" w:rsidR="00054C8F" w:rsidRDefault="00054C8F" w:rsidP="00054C8F">
            <w:r>
              <w:t>2%</w:t>
            </w:r>
          </w:p>
        </w:tc>
        <w:tc>
          <w:tcPr>
            <w:tcW w:w="1504" w:type="dxa"/>
          </w:tcPr>
          <w:p w14:paraId="38AE43E5" w14:textId="28CAFDAA" w:rsidR="00054C8F" w:rsidRDefault="00054C8F" w:rsidP="00054C8F">
            <w:pPr>
              <w:jc w:val="center"/>
            </w:pPr>
            <w:r>
              <w:t>10%</w:t>
            </w:r>
          </w:p>
        </w:tc>
        <w:tc>
          <w:tcPr>
            <w:tcW w:w="1500" w:type="dxa"/>
          </w:tcPr>
          <w:p w14:paraId="106F74FF" w14:textId="7E5DAD28" w:rsidR="00054C8F" w:rsidRDefault="00054C8F" w:rsidP="00054C8F">
            <w:pPr>
              <w:jc w:val="center"/>
            </w:pPr>
            <w:r>
              <w:t>9%</w:t>
            </w:r>
          </w:p>
        </w:tc>
        <w:tc>
          <w:tcPr>
            <w:tcW w:w="1499" w:type="dxa"/>
          </w:tcPr>
          <w:p w14:paraId="1EE81515" w14:textId="07C33EA9" w:rsidR="00054C8F" w:rsidRDefault="00054C8F" w:rsidP="00054C8F">
            <w:pPr>
              <w:jc w:val="center"/>
            </w:pPr>
            <w:r>
              <w:t>8%</w:t>
            </w:r>
          </w:p>
        </w:tc>
        <w:tc>
          <w:tcPr>
            <w:tcW w:w="1501" w:type="dxa"/>
          </w:tcPr>
          <w:p w14:paraId="487D942E" w14:textId="3B39A4D9" w:rsidR="00054C8F" w:rsidRDefault="00054C8F" w:rsidP="00054C8F">
            <w:pPr>
              <w:jc w:val="center"/>
            </w:pPr>
            <w:r>
              <w:t>7%</w:t>
            </w:r>
          </w:p>
        </w:tc>
        <w:tc>
          <w:tcPr>
            <w:tcW w:w="1500" w:type="dxa"/>
          </w:tcPr>
          <w:p w14:paraId="14AA827A" w14:textId="2A9D8A8A" w:rsidR="00054C8F" w:rsidRDefault="00054C8F" w:rsidP="00054C8F">
            <w:pPr>
              <w:jc w:val="center"/>
            </w:pPr>
            <w:r>
              <w:t>7%</w:t>
            </w:r>
          </w:p>
        </w:tc>
      </w:tr>
    </w:tbl>
    <w:p w14:paraId="2C03BCB1" w14:textId="77777777" w:rsidR="00772D1B" w:rsidRDefault="00772D1B" w:rsidP="00772D1B">
      <w:pPr>
        <w:pStyle w:val="Nadpis2"/>
      </w:pPr>
    </w:p>
    <w:p w14:paraId="266AA027" w14:textId="073ABCE7" w:rsidR="00772D1B" w:rsidRPr="00CE6C01" w:rsidRDefault="00772D1B" w:rsidP="00772D1B">
      <w:pPr>
        <w:rPr>
          <w:b/>
          <w:bCs/>
          <w:u w:val="single"/>
        </w:rPr>
      </w:pPr>
      <w:r w:rsidRPr="00CE6C01">
        <w:rPr>
          <w:b/>
          <w:bCs/>
          <w:u w:val="single"/>
        </w:rPr>
        <w:t xml:space="preserve">Maximum sensitivity of risk margin </w:t>
      </w:r>
      <w:r>
        <w:rPr>
          <w:b/>
          <w:bCs/>
          <w:u w:val="single"/>
        </w:rPr>
        <w:t>to</w:t>
      </w:r>
      <w:r w:rsidRPr="00CE6C01">
        <w:rPr>
          <w:b/>
          <w:bCs/>
          <w:u w:val="single"/>
        </w:rPr>
        <w:t xml:space="preserve"> 1% </w:t>
      </w:r>
      <w:r>
        <w:rPr>
          <w:b/>
          <w:bCs/>
          <w:u w:val="single"/>
        </w:rPr>
        <w:t>fall</w:t>
      </w:r>
      <w:r w:rsidRPr="00CE6C01">
        <w:rPr>
          <w:b/>
          <w:bCs/>
          <w:u w:val="single"/>
        </w:rPr>
        <w:t xml:space="preserve"> in interest rates</w:t>
      </w:r>
      <w:r>
        <w:rPr>
          <w:b/>
          <w:bCs/>
          <w:u w:val="single"/>
        </w:rPr>
        <w:t xml:space="preserve"> (as a percentage of SCR)</w:t>
      </w:r>
    </w:p>
    <w:tbl>
      <w:tblPr>
        <w:tblStyle w:val="Mriekatabuky"/>
        <w:tblW w:w="0" w:type="auto"/>
        <w:tblLook w:val="04A0" w:firstRow="1" w:lastRow="0" w:firstColumn="1" w:lastColumn="0" w:noHBand="0" w:noVBand="1"/>
      </w:tblPr>
      <w:tblGrid>
        <w:gridCol w:w="1511"/>
        <w:gridCol w:w="1503"/>
        <w:gridCol w:w="1500"/>
        <w:gridCol w:w="1500"/>
        <w:gridCol w:w="1501"/>
        <w:gridCol w:w="1501"/>
      </w:tblGrid>
      <w:tr w:rsidR="00772D1B" w14:paraId="4649BE8E" w14:textId="77777777" w:rsidTr="00066087">
        <w:tc>
          <w:tcPr>
            <w:tcW w:w="1511" w:type="dxa"/>
          </w:tcPr>
          <w:p w14:paraId="638EC771" w14:textId="77777777" w:rsidR="00772D1B" w:rsidRDefault="00772D1B" w:rsidP="00793FA5">
            <w:proofErr w:type="spellStart"/>
            <w:r>
              <w:t>CoC</w:t>
            </w:r>
            <w:proofErr w:type="spellEnd"/>
            <w:r>
              <w:t xml:space="preserve"> / lambda</w:t>
            </w:r>
          </w:p>
        </w:tc>
        <w:tc>
          <w:tcPr>
            <w:tcW w:w="1503" w:type="dxa"/>
          </w:tcPr>
          <w:p w14:paraId="77861AA1" w14:textId="77777777" w:rsidR="00772D1B" w:rsidRDefault="00772D1B" w:rsidP="00793FA5">
            <w:pPr>
              <w:jc w:val="center"/>
            </w:pPr>
            <w:r>
              <w:t>0.975</w:t>
            </w:r>
          </w:p>
        </w:tc>
        <w:tc>
          <w:tcPr>
            <w:tcW w:w="1500" w:type="dxa"/>
          </w:tcPr>
          <w:p w14:paraId="6EB897DC" w14:textId="77777777" w:rsidR="00772D1B" w:rsidRDefault="00772D1B" w:rsidP="00793FA5">
            <w:pPr>
              <w:jc w:val="center"/>
            </w:pPr>
            <w:r>
              <w:t>0.95</w:t>
            </w:r>
          </w:p>
        </w:tc>
        <w:tc>
          <w:tcPr>
            <w:tcW w:w="1500" w:type="dxa"/>
          </w:tcPr>
          <w:p w14:paraId="3AA6B90D" w14:textId="77777777" w:rsidR="00772D1B" w:rsidRDefault="00772D1B" w:rsidP="00793FA5">
            <w:pPr>
              <w:jc w:val="center"/>
            </w:pPr>
            <w:r>
              <w:t>0.9</w:t>
            </w:r>
          </w:p>
        </w:tc>
        <w:tc>
          <w:tcPr>
            <w:tcW w:w="1501" w:type="dxa"/>
          </w:tcPr>
          <w:p w14:paraId="2915F161" w14:textId="77777777" w:rsidR="00772D1B" w:rsidRDefault="00772D1B" w:rsidP="00793FA5">
            <w:pPr>
              <w:jc w:val="center"/>
            </w:pPr>
            <w:r>
              <w:t>0.85</w:t>
            </w:r>
          </w:p>
        </w:tc>
        <w:tc>
          <w:tcPr>
            <w:tcW w:w="1501" w:type="dxa"/>
          </w:tcPr>
          <w:p w14:paraId="49D9DEEB" w14:textId="77777777" w:rsidR="00772D1B" w:rsidRDefault="00772D1B" w:rsidP="00793FA5">
            <w:pPr>
              <w:jc w:val="center"/>
            </w:pPr>
            <w:r>
              <w:t>0.8</w:t>
            </w:r>
          </w:p>
        </w:tc>
      </w:tr>
      <w:tr w:rsidR="00054C8F" w14:paraId="5A86114C" w14:textId="77777777" w:rsidTr="00054C8F">
        <w:tc>
          <w:tcPr>
            <w:tcW w:w="1511" w:type="dxa"/>
          </w:tcPr>
          <w:p w14:paraId="1620179E" w14:textId="77777777" w:rsidR="00054C8F" w:rsidRDefault="00054C8F" w:rsidP="00054C8F">
            <w:r>
              <w:t>6%</w:t>
            </w:r>
          </w:p>
        </w:tc>
        <w:tc>
          <w:tcPr>
            <w:tcW w:w="1503" w:type="dxa"/>
          </w:tcPr>
          <w:p w14:paraId="6836CD8E" w14:textId="39E7C896" w:rsidR="00054C8F" w:rsidRDefault="00054C8F" w:rsidP="00054C8F">
            <w:pPr>
              <w:jc w:val="center"/>
            </w:pPr>
            <w:r>
              <w:t>0.8%</w:t>
            </w:r>
          </w:p>
        </w:tc>
        <w:tc>
          <w:tcPr>
            <w:tcW w:w="1500" w:type="dxa"/>
          </w:tcPr>
          <w:p w14:paraId="1978B387" w14:textId="73A38A62" w:rsidR="00054C8F" w:rsidRDefault="00054C8F" w:rsidP="00054C8F">
            <w:pPr>
              <w:jc w:val="center"/>
            </w:pPr>
            <w:r>
              <w:t>0.8%</w:t>
            </w:r>
          </w:p>
        </w:tc>
        <w:tc>
          <w:tcPr>
            <w:tcW w:w="1500" w:type="dxa"/>
          </w:tcPr>
          <w:p w14:paraId="468C0DF2" w14:textId="73DA3EBF" w:rsidR="00054C8F" w:rsidRDefault="00054C8F" w:rsidP="00054C8F">
            <w:pPr>
              <w:jc w:val="center"/>
            </w:pPr>
            <w:r>
              <w:t>0.7%</w:t>
            </w:r>
          </w:p>
        </w:tc>
        <w:tc>
          <w:tcPr>
            <w:tcW w:w="1501" w:type="dxa"/>
          </w:tcPr>
          <w:p w14:paraId="05FFD6D5" w14:textId="7EE1475A" w:rsidR="00054C8F" w:rsidRDefault="00054C8F" w:rsidP="00054C8F">
            <w:pPr>
              <w:jc w:val="center"/>
            </w:pPr>
            <w:r>
              <w:t>0.6%</w:t>
            </w:r>
          </w:p>
        </w:tc>
        <w:tc>
          <w:tcPr>
            <w:tcW w:w="1501" w:type="dxa"/>
          </w:tcPr>
          <w:p w14:paraId="42E15BA8" w14:textId="672531BD" w:rsidR="00054C8F" w:rsidRDefault="00054C8F" w:rsidP="00054C8F">
            <w:pPr>
              <w:jc w:val="center"/>
            </w:pPr>
            <w:r>
              <w:t>0.5%</w:t>
            </w:r>
          </w:p>
        </w:tc>
      </w:tr>
      <w:tr w:rsidR="00054C8F" w14:paraId="6B767542" w14:textId="77777777" w:rsidTr="00054C8F">
        <w:tc>
          <w:tcPr>
            <w:tcW w:w="1511" w:type="dxa"/>
          </w:tcPr>
          <w:p w14:paraId="64528592" w14:textId="77777777" w:rsidR="00054C8F" w:rsidRDefault="00054C8F" w:rsidP="00054C8F">
            <w:r>
              <w:t>5%</w:t>
            </w:r>
          </w:p>
        </w:tc>
        <w:tc>
          <w:tcPr>
            <w:tcW w:w="1503" w:type="dxa"/>
          </w:tcPr>
          <w:p w14:paraId="4CDB20A2" w14:textId="1CDAC18A" w:rsidR="00054C8F" w:rsidRDefault="00054C8F" w:rsidP="00054C8F">
            <w:pPr>
              <w:jc w:val="center"/>
            </w:pPr>
            <w:r>
              <w:t>0.7%</w:t>
            </w:r>
          </w:p>
        </w:tc>
        <w:tc>
          <w:tcPr>
            <w:tcW w:w="1500" w:type="dxa"/>
          </w:tcPr>
          <w:p w14:paraId="0D7FC497" w14:textId="7A1454BD" w:rsidR="00054C8F" w:rsidRDefault="00054C8F" w:rsidP="00054C8F">
            <w:pPr>
              <w:jc w:val="center"/>
            </w:pPr>
            <w:r>
              <w:t>0.6%</w:t>
            </w:r>
          </w:p>
        </w:tc>
        <w:tc>
          <w:tcPr>
            <w:tcW w:w="1500" w:type="dxa"/>
          </w:tcPr>
          <w:p w14:paraId="79A5913F" w14:textId="2B5943C5" w:rsidR="00054C8F" w:rsidRDefault="00054C8F" w:rsidP="00054C8F">
            <w:pPr>
              <w:jc w:val="center"/>
            </w:pPr>
            <w:r>
              <w:t>0.6%</w:t>
            </w:r>
          </w:p>
        </w:tc>
        <w:tc>
          <w:tcPr>
            <w:tcW w:w="1501" w:type="dxa"/>
          </w:tcPr>
          <w:p w14:paraId="5FC20729" w14:textId="23824353" w:rsidR="00054C8F" w:rsidRDefault="00054C8F" w:rsidP="00054C8F">
            <w:pPr>
              <w:jc w:val="center"/>
            </w:pPr>
            <w:r>
              <w:t>0.5%</w:t>
            </w:r>
          </w:p>
        </w:tc>
        <w:tc>
          <w:tcPr>
            <w:tcW w:w="1501" w:type="dxa"/>
          </w:tcPr>
          <w:p w14:paraId="319991AD" w14:textId="3115978B" w:rsidR="00054C8F" w:rsidRDefault="00054C8F" w:rsidP="00054C8F">
            <w:pPr>
              <w:jc w:val="center"/>
            </w:pPr>
            <w:r>
              <w:t>0.4%</w:t>
            </w:r>
          </w:p>
        </w:tc>
      </w:tr>
      <w:tr w:rsidR="00054C8F" w14:paraId="37A30D8B" w14:textId="77777777" w:rsidTr="00054C8F">
        <w:tc>
          <w:tcPr>
            <w:tcW w:w="1511" w:type="dxa"/>
          </w:tcPr>
          <w:p w14:paraId="3A7D55E5" w14:textId="77777777" w:rsidR="00054C8F" w:rsidRDefault="00054C8F" w:rsidP="00054C8F">
            <w:r>
              <w:t>4%</w:t>
            </w:r>
          </w:p>
        </w:tc>
        <w:tc>
          <w:tcPr>
            <w:tcW w:w="1503" w:type="dxa"/>
          </w:tcPr>
          <w:p w14:paraId="755501D6" w14:textId="310FACEF" w:rsidR="00054C8F" w:rsidRDefault="00054C8F" w:rsidP="00054C8F">
            <w:pPr>
              <w:jc w:val="center"/>
            </w:pPr>
            <w:r>
              <w:t>0.5%</w:t>
            </w:r>
          </w:p>
        </w:tc>
        <w:tc>
          <w:tcPr>
            <w:tcW w:w="1500" w:type="dxa"/>
          </w:tcPr>
          <w:p w14:paraId="5934722A" w14:textId="1ACE188C" w:rsidR="00054C8F" w:rsidRDefault="00054C8F" w:rsidP="00054C8F">
            <w:pPr>
              <w:jc w:val="center"/>
            </w:pPr>
            <w:r>
              <w:t>0.5%</w:t>
            </w:r>
          </w:p>
        </w:tc>
        <w:tc>
          <w:tcPr>
            <w:tcW w:w="1500" w:type="dxa"/>
          </w:tcPr>
          <w:p w14:paraId="4C0CA62D" w14:textId="0580B1D6" w:rsidR="00054C8F" w:rsidRDefault="00054C8F" w:rsidP="00054C8F">
            <w:pPr>
              <w:jc w:val="center"/>
            </w:pPr>
            <w:r>
              <w:t>0.4%</w:t>
            </w:r>
          </w:p>
        </w:tc>
        <w:tc>
          <w:tcPr>
            <w:tcW w:w="1501" w:type="dxa"/>
          </w:tcPr>
          <w:p w14:paraId="1C4FDBED" w14:textId="3D8D1644" w:rsidR="00054C8F" w:rsidRDefault="00054C8F" w:rsidP="00054C8F">
            <w:pPr>
              <w:jc w:val="center"/>
            </w:pPr>
            <w:r>
              <w:t>0.4%</w:t>
            </w:r>
          </w:p>
        </w:tc>
        <w:tc>
          <w:tcPr>
            <w:tcW w:w="1501" w:type="dxa"/>
          </w:tcPr>
          <w:p w14:paraId="3EB4C2D4" w14:textId="7E3FA41E" w:rsidR="00054C8F" w:rsidRDefault="00054C8F" w:rsidP="00054C8F">
            <w:pPr>
              <w:jc w:val="center"/>
            </w:pPr>
            <w:r>
              <w:t>0.3%</w:t>
            </w:r>
          </w:p>
        </w:tc>
      </w:tr>
      <w:tr w:rsidR="00054C8F" w14:paraId="793DCD21" w14:textId="77777777" w:rsidTr="00054C8F">
        <w:tc>
          <w:tcPr>
            <w:tcW w:w="1511" w:type="dxa"/>
          </w:tcPr>
          <w:p w14:paraId="054B4EC3" w14:textId="77777777" w:rsidR="00054C8F" w:rsidRDefault="00054C8F" w:rsidP="00054C8F">
            <w:r>
              <w:t>3%</w:t>
            </w:r>
          </w:p>
        </w:tc>
        <w:tc>
          <w:tcPr>
            <w:tcW w:w="1503" w:type="dxa"/>
          </w:tcPr>
          <w:p w14:paraId="35194A55" w14:textId="4E02AF1A" w:rsidR="00054C8F" w:rsidRDefault="00054C8F" w:rsidP="00054C8F">
            <w:pPr>
              <w:jc w:val="center"/>
            </w:pPr>
            <w:r>
              <w:t>0.4%</w:t>
            </w:r>
          </w:p>
        </w:tc>
        <w:tc>
          <w:tcPr>
            <w:tcW w:w="1500" w:type="dxa"/>
          </w:tcPr>
          <w:p w14:paraId="26458143" w14:textId="7266AF97" w:rsidR="00054C8F" w:rsidRDefault="00054C8F" w:rsidP="00054C8F">
            <w:pPr>
              <w:jc w:val="center"/>
            </w:pPr>
            <w:r>
              <w:t>0.4%</w:t>
            </w:r>
          </w:p>
        </w:tc>
        <w:tc>
          <w:tcPr>
            <w:tcW w:w="1500" w:type="dxa"/>
          </w:tcPr>
          <w:p w14:paraId="537CADC6" w14:textId="2870285D" w:rsidR="00054C8F" w:rsidRDefault="00054C8F" w:rsidP="00054C8F">
            <w:pPr>
              <w:jc w:val="center"/>
            </w:pPr>
            <w:r>
              <w:t>0.3%</w:t>
            </w:r>
          </w:p>
        </w:tc>
        <w:tc>
          <w:tcPr>
            <w:tcW w:w="1501" w:type="dxa"/>
          </w:tcPr>
          <w:p w14:paraId="712354E0" w14:textId="21965FD1" w:rsidR="00054C8F" w:rsidRDefault="00054C8F" w:rsidP="00054C8F">
            <w:pPr>
              <w:jc w:val="center"/>
            </w:pPr>
            <w:r>
              <w:t>0.3%</w:t>
            </w:r>
          </w:p>
        </w:tc>
        <w:tc>
          <w:tcPr>
            <w:tcW w:w="1501" w:type="dxa"/>
          </w:tcPr>
          <w:p w14:paraId="737C0E4E" w14:textId="5C94B0C8" w:rsidR="00054C8F" w:rsidRDefault="00054C8F" w:rsidP="00054C8F">
            <w:pPr>
              <w:jc w:val="center"/>
            </w:pPr>
            <w:r>
              <w:t>0.3%</w:t>
            </w:r>
          </w:p>
        </w:tc>
      </w:tr>
      <w:tr w:rsidR="00054C8F" w14:paraId="4C248105" w14:textId="77777777" w:rsidTr="00054C8F">
        <w:tc>
          <w:tcPr>
            <w:tcW w:w="1511" w:type="dxa"/>
          </w:tcPr>
          <w:p w14:paraId="52F36280" w14:textId="77777777" w:rsidR="00054C8F" w:rsidRDefault="00054C8F" w:rsidP="00054C8F">
            <w:r>
              <w:t>2%</w:t>
            </w:r>
          </w:p>
        </w:tc>
        <w:tc>
          <w:tcPr>
            <w:tcW w:w="1503" w:type="dxa"/>
          </w:tcPr>
          <w:p w14:paraId="5E16978C" w14:textId="3E6267F8" w:rsidR="00054C8F" w:rsidRDefault="00054C8F" w:rsidP="00054C8F">
            <w:pPr>
              <w:jc w:val="center"/>
            </w:pPr>
            <w:r>
              <w:t>0.3%</w:t>
            </w:r>
          </w:p>
        </w:tc>
        <w:tc>
          <w:tcPr>
            <w:tcW w:w="1500" w:type="dxa"/>
          </w:tcPr>
          <w:p w14:paraId="23C0C7E7" w14:textId="72462DF0" w:rsidR="00054C8F" w:rsidRDefault="00054C8F" w:rsidP="00054C8F">
            <w:pPr>
              <w:jc w:val="center"/>
            </w:pPr>
            <w:r>
              <w:t>0.3%</w:t>
            </w:r>
          </w:p>
        </w:tc>
        <w:tc>
          <w:tcPr>
            <w:tcW w:w="1500" w:type="dxa"/>
          </w:tcPr>
          <w:p w14:paraId="35C1ADEE" w14:textId="5175AA03" w:rsidR="00054C8F" w:rsidRDefault="00054C8F" w:rsidP="00054C8F">
            <w:pPr>
              <w:jc w:val="center"/>
            </w:pPr>
            <w:r>
              <w:t>0.2%</w:t>
            </w:r>
          </w:p>
        </w:tc>
        <w:tc>
          <w:tcPr>
            <w:tcW w:w="1501" w:type="dxa"/>
          </w:tcPr>
          <w:p w14:paraId="623A4219" w14:textId="351645AF" w:rsidR="00054C8F" w:rsidRDefault="00054C8F" w:rsidP="00054C8F">
            <w:pPr>
              <w:jc w:val="center"/>
            </w:pPr>
            <w:r>
              <w:t>0.2%</w:t>
            </w:r>
          </w:p>
        </w:tc>
        <w:tc>
          <w:tcPr>
            <w:tcW w:w="1501" w:type="dxa"/>
          </w:tcPr>
          <w:p w14:paraId="7006B396" w14:textId="3FCB19E7" w:rsidR="00054C8F" w:rsidRDefault="00054C8F" w:rsidP="00054C8F">
            <w:pPr>
              <w:jc w:val="center"/>
            </w:pPr>
            <w:r>
              <w:t>0.2%</w:t>
            </w:r>
          </w:p>
        </w:tc>
      </w:tr>
    </w:tbl>
    <w:p w14:paraId="2F767CA7" w14:textId="77777777" w:rsidR="00772D1B" w:rsidRDefault="00772D1B" w:rsidP="00772D1B">
      <w:pPr>
        <w:pStyle w:val="Nadpis2"/>
      </w:pPr>
    </w:p>
    <w:p w14:paraId="07620965" w14:textId="30145668" w:rsidR="00CC5A6E" w:rsidRDefault="00772D1B" w:rsidP="00CC5A6E">
      <w:pPr>
        <w:pStyle w:val="Nadpis2"/>
      </w:pPr>
      <w:r>
        <w:t>C</w:t>
      </w:r>
      <w:r w:rsidR="00CC5A6E">
        <w:t>. Ten-year product</w:t>
      </w:r>
    </w:p>
    <w:p w14:paraId="570F16E5" w14:textId="6B5A9D14" w:rsidR="00CC5A6E" w:rsidRPr="00CE6C01" w:rsidRDefault="00274B9E" w:rsidP="00CC5A6E">
      <w:pPr>
        <w:rPr>
          <w:b/>
          <w:bCs/>
          <w:u w:val="single"/>
        </w:rPr>
      </w:pPr>
      <w:r w:rsidRPr="00CE6C01">
        <w:rPr>
          <w:b/>
          <w:bCs/>
          <w:u w:val="single"/>
        </w:rPr>
        <w:t>Maximum possible value of the risk margin</w:t>
      </w:r>
      <w:r>
        <w:rPr>
          <w:b/>
          <w:bCs/>
          <w:u w:val="single"/>
        </w:rPr>
        <w:t xml:space="preserve"> (as a percentage of SCR)</w:t>
      </w:r>
    </w:p>
    <w:tbl>
      <w:tblPr>
        <w:tblStyle w:val="Mriekatabuky"/>
        <w:tblW w:w="0" w:type="auto"/>
        <w:tblLook w:val="04A0" w:firstRow="1" w:lastRow="0" w:firstColumn="1" w:lastColumn="0" w:noHBand="0" w:noVBand="1"/>
      </w:tblPr>
      <w:tblGrid>
        <w:gridCol w:w="1512"/>
        <w:gridCol w:w="1504"/>
        <w:gridCol w:w="1500"/>
        <w:gridCol w:w="1499"/>
        <w:gridCol w:w="1501"/>
        <w:gridCol w:w="1500"/>
      </w:tblGrid>
      <w:tr w:rsidR="00CC5A6E" w14:paraId="6D04A49C" w14:textId="77777777" w:rsidTr="009A2787">
        <w:tc>
          <w:tcPr>
            <w:tcW w:w="1540" w:type="dxa"/>
          </w:tcPr>
          <w:p w14:paraId="78EE39A9" w14:textId="77777777" w:rsidR="00CC5A6E" w:rsidRDefault="00CC5A6E" w:rsidP="00430DD7">
            <w:proofErr w:type="spellStart"/>
            <w:r>
              <w:lastRenderedPageBreak/>
              <w:t>CoC</w:t>
            </w:r>
            <w:proofErr w:type="spellEnd"/>
            <w:r>
              <w:t xml:space="preserve"> / lambda</w:t>
            </w:r>
          </w:p>
        </w:tc>
        <w:tc>
          <w:tcPr>
            <w:tcW w:w="1540" w:type="dxa"/>
          </w:tcPr>
          <w:p w14:paraId="66270CDE" w14:textId="77777777" w:rsidR="00CC5A6E" w:rsidRDefault="00CC5A6E" w:rsidP="00430DD7">
            <w:pPr>
              <w:jc w:val="center"/>
            </w:pPr>
            <w:r>
              <w:t>0.975</w:t>
            </w:r>
          </w:p>
        </w:tc>
        <w:tc>
          <w:tcPr>
            <w:tcW w:w="1540" w:type="dxa"/>
          </w:tcPr>
          <w:p w14:paraId="03257FE3" w14:textId="77777777" w:rsidR="00CC5A6E" w:rsidRDefault="00CC5A6E" w:rsidP="00430DD7">
            <w:pPr>
              <w:jc w:val="center"/>
            </w:pPr>
            <w:r>
              <w:t>0.95</w:t>
            </w:r>
          </w:p>
        </w:tc>
        <w:tc>
          <w:tcPr>
            <w:tcW w:w="1540" w:type="dxa"/>
          </w:tcPr>
          <w:p w14:paraId="50A7D5C5" w14:textId="77777777" w:rsidR="00CC5A6E" w:rsidRDefault="00CC5A6E" w:rsidP="00430DD7">
            <w:pPr>
              <w:jc w:val="center"/>
            </w:pPr>
            <w:r>
              <w:t>0.9</w:t>
            </w:r>
          </w:p>
        </w:tc>
        <w:tc>
          <w:tcPr>
            <w:tcW w:w="1541" w:type="dxa"/>
          </w:tcPr>
          <w:p w14:paraId="51C0CA26" w14:textId="77777777" w:rsidR="00CC5A6E" w:rsidRDefault="00CC5A6E" w:rsidP="00430DD7">
            <w:pPr>
              <w:jc w:val="center"/>
            </w:pPr>
            <w:r>
              <w:t>0.85</w:t>
            </w:r>
          </w:p>
        </w:tc>
        <w:tc>
          <w:tcPr>
            <w:tcW w:w="1541" w:type="dxa"/>
          </w:tcPr>
          <w:p w14:paraId="6C17EDA4" w14:textId="77777777" w:rsidR="00CC5A6E" w:rsidRDefault="00CC5A6E" w:rsidP="00430DD7">
            <w:pPr>
              <w:jc w:val="center"/>
            </w:pPr>
            <w:r>
              <w:t>0.8</w:t>
            </w:r>
          </w:p>
        </w:tc>
      </w:tr>
      <w:tr w:rsidR="00CC5A6E" w14:paraId="71873468" w14:textId="77777777" w:rsidTr="009A2787">
        <w:tc>
          <w:tcPr>
            <w:tcW w:w="1540" w:type="dxa"/>
          </w:tcPr>
          <w:p w14:paraId="662BF493" w14:textId="77777777" w:rsidR="00CC5A6E" w:rsidRDefault="00CC5A6E" w:rsidP="00430DD7">
            <w:r>
              <w:t>6%</w:t>
            </w:r>
          </w:p>
        </w:tc>
        <w:tc>
          <w:tcPr>
            <w:tcW w:w="1540" w:type="dxa"/>
          </w:tcPr>
          <w:p w14:paraId="3F5287A4" w14:textId="77777777" w:rsidR="00CC5A6E" w:rsidRDefault="00CC5A6E" w:rsidP="00430DD7">
            <w:pPr>
              <w:jc w:val="center"/>
            </w:pPr>
            <w:r>
              <w:t>54%</w:t>
            </w:r>
          </w:p>
        </w:tc>
        <w:tc>
          <w:tcPr>
            <w:tcW w:w="1540" w:type="dxa"/>
          </w:tcPr>
          <w:p w14:paraId="5C2A690E" w14:textId="77777777" w:rsidR="00CC5A6E" w:rsidRDefault="00CC5A6E" w:rsidP="00430DD7">
            <w:pPr>
              <w:jc w:val="center"/>
            </w:pPr>
            <w:r>
              <w:t>48%</w:t>
            </w:r>
          </w:p>
        </w:tc>
        <w:tc>
          <w:tcPr>
            <w:tcW w:w="1540" w:type="dxa"/>
          </w:tcPr>
          <w:p w14:paraId="620D2D0E" w14:textId="77777777" w:rsidR="00CC5A6E" w:rsidRDefault="00CC5A6E" w:rsidP="00430DD7">
            <w:pPr>
              <w:jc w:val="center"/>
            </w:pPr>
            <w:r>
              <w:t>39%</w:t>
            </w:r>
          </w:p>
        </w:tc>
        <w:tc>
          <w:tcPr>
            <w:tcW w:w="1541" w:type="dxa"/>
          </w:tcPr>
          <w:p w14:paraId="2E864C4D" w14:textId="77777777" w:rsidR="00CC5A6E" w:rsidRDefault="00CC5A6E" w:rsidP="00430DD7">
            <w:pPr>
              <w:jc w:val="center"/>
            </w:pPr>
            <w:r>
              <w:t>32%</w:t>
            </w:r>
          </w:p>
        </w:tc>
        <w:tc>
          <w:tcPr>
            <w:tcW w:w="1541" w:type="dxa"/>
          </w:tcPr>
          <w:p w14:paraId="7129F41F" w14:textId="77777777" w:rsidR="00CC5A6E" w:rsidRDefault="00CC5A6E" w:rsidP="00430DD7">
            <w:pPr>
              <w:jc w:val="center"/>
            </w:pPr>
            <w:r>
              <w:t>27%</w:t>
            </w:r>
          </w:p>
        </w:tc>
      </w:tr>
      <w:tr w:rsidR="00CC5A6E" w14:paraId="1882C862" w14:textId="77777777" w:rsidTr="009A2787">
        <w:tc>
          <w:tcPr>
            <w:tcW w:w="1540" w:type="dxa"/>
          </w:tcPr>
          <w:p w14:paraId="6AF27064" w14:textId="77777777" w:rsidR="00CC5A6E" w:rsidRDefault="00CC5A6E" w:rsidP="00430DD7">
            <w:r>
              <w:t>5%</w:t>
            </w:r>
          </w:p>
        </w:tc>
        <w:tc>
          <w:tcPr>
            <w:tcW w:w="1540" w:type="dxa"/>
          </w:tcPr>
          <w:p w14:paraId="71CE9AD8" w14:textId="77777777" w:rsidR="00CC5A6E" w:rsidRDefault="00CC5A6E" w:rsidP="00430DD7">
            <w:pPr>
              <w:jc w:val="center"/>
            </w:pPr>
            <w:r>
              <w:t>45%</w:t>
            </w:r>
          </w:p>
        </w:tc>
        <w:tc>
          <w:tcPr>
            <w:tcW w:w="1540" w:type="dxa"/>
          </w:tcPr>
          <w:p w14:paraId="1E174DAD" w14:textId="77777777" w:rsidR="00CC5A6E" w:rsidRDefault="00CC5A6E" w:rsidP="00430DD7">
            <w:pPr>
              <w:jc w:val="center"/>
            </w:pPr>
            <w:r>
              <w:t>40%</w:t>
            </w:r>
          </w:p>
        </w:tc>
        <w:tc>
          <w:tcPr>
            <w:tcW w:w="1540" w:type="dxa"/>
          </w:tcPr>
          <w:p w14:paraId="7F0BAD67" w14:textId="77777777" w:rsidR="00CC5A6E" w:rsidRDefault="00CC5A6E" w:rsidP="00430DD7">
            <w:pPr>
              <w:jc w:val="center"/>
            </w:pPr>
            <w:r>
              <w:t>33%</w:t>
            </w:r>
          </w:p>
        </w:tc>
        <w:tc>
          <w:tcPr>
            <w:tcW w:w="1541" w:type="dxa"/>
          </w:tcPr>
          <w:p w14:paraId="7E083429" w14:textId="77777777" w:rsidR="00CC5A6E" w:rsidRDefault="00CC5A6E" w:rsidP="00430DD7">
            <w:pPr>
              <w:jc w:val="center"/>
            </w:pPr>
            <w:r>
              <w:t>27%</w:t>
            </w:r>
          </w:p>
        </w:tc>
        <w:tc>
          <w:tcPr>
            <w:tcW w:w="1541" w:type="dxa"/>
          </w:tcPr>
          <w:p w14:paraId="1BC610E4" w14:textId="77777777" w:rsidR="00CC5A6E" w:rsidRDefault="00CC5A6E" w:rsidP="00430DD7">
            <w:pPr>
              <w:jc w:val="center"/>
            </w:pPr>
            <w:r>
              <w:t>22%</w:t>
            </w:r>
          </w:p>
        </w:tc>
      </w:tr>
      <w:tr w:rsidR="00CC5A6E" w14:paraId="65655448" w14:textId="77777777" w:rsidTr="009A2787">
        <w:tc>
          <w:tcPr>
            <w:tcW w:w="1540" w:type="dxa"/>
          </w:tcPr>
          <w:p w14:paraId="6C4E0B00" w14:textId="77777777" w:rsidR="00CC5A6E" w:rsidRDefault="00CC5A6E" w:rsidP="00430DD7">
            <w:r>
              <w:t>4%</w:t>
            </w:r>
          </w:p>
        </w:tc>
        <w:tc>
          <w:tcPr>
            <w:tcW w:w="1540" w:type="dxa"/>
          </w:tcPr>
          <w:p w14:paraId="0908F012" w14:textId="77777777" w:rsidR="00CC5A6E" w:rsidRDefault="00CC5A6E" w:rsidP="00430DD7">
            <w:pPr>
              <w:jc w:val="center"/>
            </w:pPr>
            <w:r>
              <w:t>36%</w:t>
            </w:r>
          </w:p>
        </w:tc>
        <w:tc>
          <w:tcPr>
            <w:tcW w:w="1540" w:type="dxa"/>
          </w:tcPr>
          <w:p w14:paraId="36EE99C3" w14:textId="77777777" w:rsidR="00CC5A6E" w:rsidRDefault="00CC5A6E" w:rsidP="00430DD7">
            <w:pPr>
              <w:jc w:val="center"/>
            </w:pPr>
            <w:r>
              <w:t>32%</w:t>
            </w:r>
          </w:p>
        </w:tc>
        <w:tc>
          <w:tcPr>
            <w:tcW w:w="1540" w:type="dxa"/>
          </w:tcPr>
          <w:p w14:paraId="7A8DA2A8" w14:textId="77777777" w:rsidR="00CC5A6E" w:rsidRDefault="00CC5A6E" w:rsidP="00430DD7">
            <w:pPr>
              <w:jc w:val="center"/>
            </w:pPr>
            <w:r>
              <w:t>26%</w:t>
            </w:r>
          </w:p>
        </w:tc>
        <w:tc>
          <w:tcPr>
            <w:tcW w:w="1541" w:type="dxa"/>
          </w:tcPr>
          <w:p w14:paraId="26A5F88D" w14:textId="77777777" w:rsidR="00CC5A6E" w:rsidRDefault="00CC5A6E" w:rsidP="00430DD7">
            <w:pPr>
              <w:jc w:val="center"/>
            </w:pPr>
            <w:r>
              <w:t>21%</w:t>
            </w:r>
          </w:p>
        </w:tc>
        <w:tc>
          <w:tcPr>
            <w:tcW w:w="1541" w:type="dxa"/>
          </w:tcPr>
          <w:p w14:paraId="483CF3E4" w14:textId="77777777" w:rsidR="00CC5A6E" w:rsidRDefault="00CC5A6E" w:rsidP="00430DD7">
            <w:pPr>
              <w:jc w:val="center"/>
            </w:pPr>
            <w:r>
              <w:t>18%</w:t>
            </w:r>
          </w:p>
        </w:tc>
      </w:tr>
      <w:tr w:rsidR="00CC5A6E" w14:paraId="5E26B589" w14:textId="77777777" w:rsidTr="009A2787">
        <w:tc>
          <w:tcPr>
            <w:tcW w:w="1540" w:type="dxa"/>
          </w:tcPr>
          <w:p w14:paraId="7B5F41EB" w14:textId="77777777" w:rsidR="00CC5A6E" w:rsidRDefault="00CC5A6E" w:rsidP="00430DD7">
            <w:r>
              <w:t>3%</w:t>
            </w:r>
          </w:p>
        </w:tc>
        <w:tc>
          <w:tcPr>
            <w:tcW w:w="1540" w:type="dxa"/>
          </w:tcPr>
          <w:p w14:paraId="1070C691" w14:textId="77777777" w:rsidR="00CC5A6E" w:rsidRDefault="00CC5A6E" w:rsidP="00430DD7">
            <w:pPr>
              <w:jc w:val="center"/>
            </w:pPr>
            <w:r>
              <w:t>27%</w:t>
            </w:r>
          </w:p>
        </w:tc>
        <w:tc>
          <w:tcPr>
            <w:tcW w:w="1540" w:type="dxa"/>
          </w:tcPr>
          <w:p w14:paraId="517E5542" w14:textId="77777777" w:rsidR="00CC5A6E" w:rsidRDefault="00CC5A6E" w:rsidP="00430DD7">
            <w:pPr>
              <w:jc w:val="center"/>
            </w:pPr>
            <w:r>
              <w:t>24%</w:t>
            </w:r>
          </w:p>
        </w:tc>
        <w:tc>
          <w:tcPr>
            <w:tcW w:w="1540" w:type="dxa"/>
          </w:tcPr>
          <w:p w14:paraId="7699A1BC" w14:textId="77777777" w:rsidR="00CC5A6E" w:rsidRDefault="00CC5A6E" w:rsidP="00430DD7">
            <w:pPr>
              <w:jc w:val="center"/>
            </w:pPr>
            <w:r>
              <w:t>20%</w:t>
            </w:r>
          </w:p>
        </w:tc>
        <w:tc>
          <w:tcPr>
            <w:tcW w:w="1541" w:type="dxa"/>
          </w:tcPr>
          <w:p w14:paraId="7EDEA48D" w14:textId="77777777" w:rsidR="00CC5A6E" w:rsidRDefault="00CC5A6E" w:rsidP="00430DD7">
            <w:pPr>
              <w:jc w:val="center"/>
            </w:pPr>
            <w:r>
              <w:t>16%</w:t>
            </w:r>
          </w:p>
        </w:tc>
        <w:tc>
          <w:tcPr>
            <w:tcW w:w="1541" w:type="dxa"/>
          </w:tcPr>
          <w:p w14:paraId="3E5BADC8" w14:textId="77777777" w:rsidR="00CC5A6E" w:rsidRDefault="00CC5A6E" w:rsidP="00430DD7">
            <w:pPr>
              <w:jc w:val="center"/>
            </w:pPr>
            <w:r>
              <w:t>13%</w:t>
            </w:r>
          </w:p>
        </w:tc>
      </w:tr>
      <w:tr w:rsidR="00CC5A6E" w14:paraId="695593EC" w14:textId="77777777" w:rsidTr="009A2787">
        <w:tc>
          <w:tcPr>
            <w:tcW w:w="1540" w:type="dxa"/>
          </w:tcPr>
          <w:p w14:paraId="0E0F277B" w14:textId="77777777" w:rsidR="00CC5A6E" w:rsidRDefault="00CC5A6E" w:rsidP="00430DD7">
            <w:r>
              <w:t>2%</w:t>
            </w:r>
          </w:p>
        </w:tc>
        <w:tc>
          <w:tcPr>
            <w:tcW w:w="1540" w:type="dxa"/>
          </w:tcPr>
          <w:p w14:paraId="766A63EF" w14:textId="77777777" w:rsidR="00CC5A6E" w:rsidRDefault="00CC5A6E" w:rsidP="00430DD7">
            <w:pPr>
              <w:jc w:val="center"/>
            </w:pPr>
            <w:r>
              <w:t>18%</w:t>
            </w:r>
          </w:p>
        </w:tc>
        <w:tc>
          <w:tcPr>
            <w:tcW w:w="1540" w:type="dxa"/>
          </w:tcPr>
          <w:p w14:paraId="6A88C840" w14:textId="77777777" w:rsidR="00CC5A6E" w:rsidRDefault="00CC5A6E" w:rsidP="00430DD7">
            <w:pPr>
              <w:jc w:val="center"/>
            </w:pPr>
            <w:r>
              <w:t>16%</w:t>
            </w:r>
          </w:p>
        </w:tc>
        <w:tc>
          <w:tcPr>
            <w:tcW w:w="1540" w:type="dxa"/>
          </w:tcPr>
          <w:p w14:paraId="1C7725FB" w14:textId="77777777" w:rsidR="00CC5A6E" w:rsidRDefault="00CC5A6E" w:rsidP="00430DD7">
            <w:pPr>
              <w:jc w:val="center"/>
            </w:pPr>
            <w:r>
              <w:t>13%</w:t>
            </w:r>
          </w:p>
        </w:tc>
        <w:tc>
          <w:tcPr>
            <w:tcW w:w="1541" w:type="dxa"/>
          </w:tcPr>
          <w:p w14:paraId="21F8C2C9" w14:textId="77777777" w:rsidR="00CC5A6E" w:rsidRDefault="00CC5A6E" w:rsidP="00430DD7">
            <w:pPr>
              <w:jc w:val="center"/>
            </w:pPr>
            <w:r>
              <w:t>11%</w:t>
            </w:r>
          </w:p>
        </w:tc>
        <w:tc>
          <w:tcPr>
            <w:tcW w:w="1541" w:type="dxa"/>
          </w:tcPr>
          <w:p w14:paraId="5F556020" w14:textId="77777777" w:rsidR="00CC5A6E" w:rsidRDefault="00CC5A6E" w:rsidP="00430DD7">
            <w:pPr>
              <w:jc w:val="center"/>
            </w:pPr>
            <w:r>
              <w:t>9%</w:t>
            </w:r>
          </w:p>
        </w:tc>
      </w:tr>
    </w:tbl>
    <w:p w14:paraId="1318BEF2" w14:textId="77777777" w:rsidR="00CC5A6E" w:rsidRDefault="00CC5A6E" w:rsidP="00CC5A6E">
      <w:pPr>
        <w:pStyle w:val="Nadpis2"/>
      </w:pPr>
    </w:p>
    <w:p w14:paraId="37620735" w14:textId="0E48FE0E" w:rsidR="00CC5A6E" w:rsidRPr="00CE6C01" w:rsidRDefault="00274B9E" w:rsidP="00CC5A6E">
      <w:pPr>
        <w:rPr>
          <w:b/>
          <w:bCs/>
          <w:u w:val="single"/>
        </w:rPr>
      </w:pPr>
      <w:r w:rsidRPr="00CE6C01">
        <w:rPr>
          <w:b/>
          <w:bCs/>
          <w:u w:val="single"/>
        </w:rPr>
        <w:t xml:space="preserve">Maximum sensitivity of risk margin </w:t>
      </w:r>
      <w:r>
        <w:rPr>
          <w:b/>
          <w:bCs/>
          <w:u w:val="single"/>
        </w:rPr>
        <w:t>to</w:t>
      </w:r>
      <w:r w:rsidRPr="00CE6C01">
        <w:rPr>
          <w:b/>
          <w:bCs/>
          <w:u w:val="single"/>
        </w:rPr>
        <w:t xml:space="preserve"> 1% </w:t>
      </w:r>
      <w:r>
        <w:rPr>
          <w:b/>
          <w:bCs/>
          <w:u w:val="single"/>
        </w:rPr>
        <w:t>fall</w:t>
      </w:r>
      <w:r w:rsidRPr="00CE6C01">
        <w:rPr>
          <w:b/>
          <w:bCs/>
          <w:u w:val="single"/>
        </w:rPr>
        <w:t xml:space="preserve"> in interest rates</w:t>
      </w:r>
      <w:r>
        <w:rPr>
          <w:b/>
          <w:bCs/>
          <w:u w:val="single"/>
        </w:rPr>
        <w:t xml:space="preserve"> (as a percentage of SCR)</w:t>
      </w:r>
    </w:p>
    <w:tbl>
      <w:tblPr>
        <w:tblStyle w:val="Mriekatabuky"/>
        <w:tblW w:w="0" w:type="auto"/>
        <w:tblLook w:val="04A0" w:firstRow="1" w:lastRow="0" w:firstColumn="1" w:lastColumn="0" w:noHBand="0" w:noVBand="1"/>
      </w:tblPr>
      <w:tblGrid>
        <w:gridCol w:w="1511"/>
        <w:gridCol w:w="1503"/>
        <w:gridCol w:w="1500"/>
        <w:gridCol w:w="1500"/>
        <w:gridCol w:w="1501"/>
        <w:gridCol w:w="1501"/>
      </w:tblGrid>
      <w:tr w:rsidR="00CC5A6E" w14:paraId="41314F89" w14:textId="77777777" w:rsidTr="009A2787">
        <w:tc>
          <w:tcPr>
            <w:tcW w:w="1540" w:type="dxa"/>
          </w:tcPr>
          <w:p w14:paraId="46BB460F" w14:textId="77777777" w:rsidR="00CC5A6E" w:rsidRDefault="00CC5A6E" w:rsidP="00430DD7">
            <w:proofErr w:type="spellStart"/>
            <w:r>
              <w:t>CoC</w:t>
            </w:r>
            <w:proofErr w:type="spellEnd"/>
            <w:r>
              <w:t xml:space="preserve"> / lambda</w:t>
            </w:r>
          </w:p>
        </w:tc>
        <w:tc>
          <w:tcPr>
            <w:tcW w:w="1540" w:type="dxa"/>
          </w:tcPr>
          <w:p w14:paraId="197B8412" w14:textId="77777777" w:rsidR="00CC5A6E" w:rsidRDefault="00CC5A6E" w:rsidP="00430DD7">
            <w:pPr>
              <w:jc w:val="center"/>
            </w:pPr>
            <w:r>
              <w:t>0.975</w:t>
            </w:r>
          </w:p>
        </w:tc>
        <w:tc>
          <w:tcPr>
            <w:tcW w:w="1540" w:type="dxa"/>
          </w:tcPr>
          <w:p w14:paraId="3286591E" w14:textId="77777777" w:rsidR="00CC5A6E" w:rsidRDefault="00CC5A6E" w:rsidP="00430DD7">
            <w:pPr>
              <w:jc w:val="center"/>
            </w:pPr>
            <w:r>
              <w:t>0.95</w:t>
            </w:r>
          </w:p>
        </w:tc>
        <w:tc>
          <w:tcPr>
            <w:tcW w:w="1540" w:type="dxa"/>
          </w:tcPr>
          <w:p w14:paraId="67159EAD" w14:textId="77777777" w:rsidR="00CC5A6E" w:rsidRDefault="00CC5A6E" w:rsidP="00430DD7">
            <w:pPr>
              <w:jc w:val="center"/>
            </w:pPr>
            <w:r>
              <w:t>0.9</w:t>
            </w:r>
          </w:p>
        </w:tc>
        <w:tc>
          <w:tcPr>
            <w:tcW w:w="1541" w:type="dxa"/>
          </w:tcPr>
          <w:p w14:paraId="43753754" w14:textId="77777777" w:rsidR="00CC5A6E" w:rsidRDefault="00CC5A6E" w:rsidP="00430DD7">
            <w:pPr>
              <w:jc w:val="center"/>
            </w:pPr>
            <w:r>
              <w:t>0.85</w:t>
            </w:r>
          </w:p>
        </w:tc>
        <w:tc>
          <w:tcPr>
            <w:tcW w:w="1541" w:type="dxa"/>
          </w:tcPr>
          <w:p w14:paraId="02D85B40" w14:textId="77777777" w:rsidR="00CC5A6E" w:rsidRDefault="00CC5A6E" w:rsidP="00430DD7">
            <w:pPr>
              <w:jc w:val="center"/>
            </w:pPr>
            <w:r>
              <w:t>0.8</w:t>
            </w:r>
          </w:p>
        </w:tc>
      </w:tr>
      <w:tr w:rsidR="00CC5A6E" w14:paraId="0A4D5E59" w14:textId="77777777" w:rsidTr="009A2787">
        <w:tc>
          <w:tcPr>
            <w:tcW w:w="1540" w:type="dxa"/>
          </w:tcPr>
          <w:p w14:paraId="1BC517D6" w14:textId="77777777" w:rsidR="00CC5A6E" w:rsidRDefault="00CC5A6E" w:rsidP="00430DD7">
            <w:r>
              <w:t>6%</w:t>
            </w:r>
          </w:p>
        </w:tc>
        <w:tc>
          <w:tcPr>
            <w:tcW w:w="1540" w:type="dxa"/>
          </w:tcPr>
          <w:p w14:paraId="733027C8" w14:textId="77777777" w:rsidR="00CC5A6E" w:rsidRDefault="00CC5A6E" w:rsidP="00430DD7">
            <w:pPr>
              <w:jc w:val="center"/>
            </w:pPr>
            <w:r>
              <w:t>2.7</w:t>
            </w:r>
            <w:r w:rsidRPr="00770CB5">
              <w:t>%</w:t>
            </w:r>
          </w:p>
        </w:tc>
        <w:tc>
          <w:tcPr>
            <w:tcW w:w="1540" w:type="dxa"/>
          </w:tcPr>
          <w:p w14:paraId="197328F5" w14:textId="77777777" w:rsidR="00CC5A6E" w:rsidRDefault="00CC5A6E" w:rsidP="00430DD7">
            <w:pPr>
              <w:jc w:val="center"/>
            </w:pPr>
            <w:r>
              <w:t>2.4</w:t>
            </w:r>
            <w:r w:rsidRPr="00770CB5">
              <w:t>%</w:t>
            </w:r>
          </w:p>
        </w:tc>
        <w:tc>
          <w:tcPr>
            <w:tcW w:w="1540" w:type="dxa"/>
          </w:tcPr>
          <w:p w14:paraId="71F6F7DF" w14:textId="77777777" w:rsidR="00CC5A6E" w:rsidRDefault="00CC5A6E" w:rsidP="00430DD7">
            <w:pPr>
              <w:jc w:val="center"/>
            </w:pPr>
            <w:r>
              <w:t>1.8</w:t>
            </w:r>
            <w:r w:rsidRPr="00770CB5">
              <w:t>%</w:t>
            </w:r>
          </w:p>
        </w:tc>
        <w:tc>
          <w:tcPr>
            <w:tcW w:w="1541" w:type="dxa"/>
          </w:tcPr>
          <w:p w14:paraId="2A90210C" w14:textId="77777777" w:rsidR="00CC5A6E" w:rsidRDefault="00CC5A6E" w:rsidP="00430DD7">
            <w:pPr>
              <w:jc w:val="center"/>
            </w:pPr>
            <w:r>
              <w:t>1.3</w:t>
            </w:r>
            <w:r w:rsidRPr="00770CB5">
              <w:t>%</w:t>
            </w:r>
          </w:p>
        </w:tc>
        <w:tc>
          <w:tcPr>
            <w:tcW w:w="1541" w:type="dxa"/>
          </w:tcPr>
          <w:p w14:paraId="765086B9" w14:textId="77777777" w:rsidR="00CC5A6E" w:rsidRDefault="00CC5A6E" w:rsidP="00430DD7">
            <w:pPr>
              <w:jc w:val="center"/>
            </w:pPr>
            <w:r>
              <w:t>1.0</w:t>
            </w:r>
            <w:r w:rsidRPr="00770CB5">
              <w:t>%</w:t>
            </w:r>
          </w:p>
        </w:tc>
      </w:tr>
      <w:tr w:rsidR="00CC5A6E" w14:paraId="1673D4A3" w14:textId="77777777" w:rsidTr="009A2787">
        <w:tc>
          <w:tcPr>
            <w:tcW w:w="1540" w:type="dxa"/>
          </w:tcPr>
          <w:p w14:paraId="5529289D" w14:textId="77777777" w:rsidR="00CC5A6E" w:rsidRDefault="00CC5A6E" w:rsidP="00430DD7">
            <w:r>
              <w:t>5%</w:t>
            </w:r>
          </w:p>
        </w:tc>
        <w:tc>
          <w:tcPr>
            <w:tcW w:w="1540" w:type="dxa"/>
          </w:tcPr>
          <w:p w14:paraId="2707F64A" w14:textId="77777777" w:rsidR="00CC5A6E" w:rsidRDefault="00CC5A6E" w:rsidP="00430DD7">
            <w:pPr>
              <w:jc w:val="center"/>
            </w:pPr>
            <w:r>
              <w:t>2.3</w:t>
            </w:r>
            <w:r w:rsidRPr="00770CB5">
              <w:t>%</w:t>
            </w:r>
          </w:p>
        </w:tc>
        <w:tc>
          <w:tcPr>
            <w:tcW w:w="1540" w:type="dxa"/>
          </w:tcPr>
          <w:p w14:paraId="778033E5" w14:textId="77777777" w:rsidR="00CC5A6E" w:rsidRDefault="00CC5A6E" w:rsidP="00430DD7">
            <w:pPr>
              <w:jc w:val="center"/>
            </w:pPr>
            <w:r>
              <w:t>2.0</w:t>
            </w:r>
            <w:r w:rsidRPr="00770CB5">
              <w:t>%</w:t>
            </w:r>
          </w:p>
        </w:tc>
        <w:tc>
          <w:tcPr>
            <w:tcW w:w="1540" w:type="dxa"/>
          </w:tcPr>
          <w:p w14:paraId="0C53CF2E" w14:textId="77777777" w:rsidR="00CC5A6E" w:rsidRDefault="00CC5A6E" w:rsidP="00430DD7">
            <w:pPr>
              <w:jc w:val="center"/>
            </w:pPr>
            <w:r>
              <w:t>1.5</w:t>
            </w:r>
            <w:r w:rsidRPr="00770CB5">
              <w:t>%</w:t>
            </w:r>
          </w:p>
        </w:tc>
        <w:tc>
          <w:tcPr>
            <w:tcW w:w="1541" w:type="dxa"/>
          </w:tcPr>
          <w:p w14:paraId="063FDC46" w14:textId="77777777" w:rsidR="00CC5A6E" w:rsidRDefault="00CC5A6E" w:rsidP="00430DD7">
            <w:pPr>
              <w:jc w:val="center"/>
            </w:pPr>
            <w:r>
              <w:t>1.1</w:t>
            </w:r>
            <w:r w:rsidRPr="00770CB5">
              <w:t>%</w:t>
            </w:r>
          </w:p>
        </w:tc>
        <w:tc>
          <w:tcPr>
            <w:tcW w:w="1541" w:type="dxa"/>
          </w:tcPr>
          <w:p w14:paraId="5AF2249F" w14:textId="77777777" w:rsidR="00CC5A6E" w:rsidRDefault="00CC5A6E" w:rsidP="00430DD7">
            <w:pPr>
              <w:jc w:val="center"/>
            </w:pPr>
            <w:r>
              <w:t>0.8</w:t>
            </w:r>
            <w:r w:rsidRPr="00770CB5">
              <w:t>%</w:t>
            </w:r>
          </w:p>
        </w:tc>
      </w:tr>
      <w:tr w:rsidR="00CC5A6E" w14:paraId="615BFEE0" w14:textId="77777777" w:rsidTr="009A2787">
        <w:tc>
          <w:tcPr>
            <w:tcW w:w="1540" w:type="dxa"/>
          </w:tcPr>
          <w:p w14:paraId="74B121C4" w14:textId="77777777" w:rsidR="00CC5A6E" w:rsidRDefault="00CC5A6E" w:rsidP="00430DD7">
            <w:r>
              <w:t>4%</w:t>
            </w:r>
          </w:p>
        </w:tc>
        <w:tc>
          <w:tcPr>
            <w:tcW w:w="1540" w:type="dxa"/>
          </w:tcPr>
          <w:p w14:paraId="4A695104" w14:textId="77777777" w:rsidR="00CC5A6E" w:rsidRDefault="00CC5A6E" w:rsidP="00430DD7">
            <w:pPr>
              <w:jc w:val="center"/>
            </w:pPr>
            <w:r>
              <w:t>1.8</w:t>
            </w:r>
            <w:r w:rsidRPr="00770CB5">
              <w:t>%</w:t>
            </w:r>
          </w:p>
        </w:tc>
        <w:tc>
          <w:tcPr>
            <w:tcW w:w="1540" w:type="dxa"/>
          </w:tcPr>
          <w:p w14:paraId="4555E730" w14:textId="77777777" w:rsidR="00CC5A6E" w:rsidRDefault="00CC5A6E" w:rsidP="00430DD7">
            <w:pPr>
              <w:jc w:val="center"/>
            </w:pPr>
            <w:r>
              <w:t>1.6</w:t>
            </w:r>
            <w:r w:rsidRPr="00770CB5">
              <w:t>%</w:t>
            </w:r>
          </w:p>
        </w:tc>
        <w:tc>
          <w:tcPr>
            <w:tcW w:w="1540" w:type="dxa"/>
          </w:tcPr>
          <w:p w14:paraId="0B92E306" w14:textId="77777777" w:rsidR="00CC5A6E" w:rsidRDefault="00CC5A6E" w:rsidP="00430DD7">
            <w:pPr>
              <w:jc w:val="center"/>
            </w:pPr>
            <w:r>
              <w:t>1.2</w:t>
            </w:r>
            <w:r w:rsidRPr="00770CB5">
              <w:t>%</w:t>
            </w:r>
          </w:p>
        </w:tc>
        <w:tc>
          <w:tcPr>
            <w:tcW w:w="1541" w:type="dxa"/>
          </w:tcPr>
          <w:p w14:paraId="1D1C14B4" w14:textId="77777777" w:rsidR="00CC5A6E" w:rsidRDefault="00CC5A6E" w:rsidP="00430DD7">
            <w:pPr>
              <w:jc w:val="center"/>
            </w:pPr>
            <w:r>
              <w:t>0.9</w:t>
            </w:r>
            <w:r w:rsidRPr="00770CB5">
              <w:t>%</w:t>
            </w:r>
          </w:p>
        </w:tc>
        <w:tc>
          <w:tcPr>
            <w:tcW w:w="1541" w:type="dxa"/>
          </w:tcPr>
          <w:p w14:paraId="595307B8" w14:textId="77777777" w:rsidR="00CC5A6E" w:rsidRDefault="00CC5A6E" w:rsidP="00430DD7">
            <w:pPr>
              <w:jc w:val="center"/>
            </w:pPr>
            <w:r>
              <w:t>0.7</w:t>
            </w:r>
            <w:r w:rsidRPr="00770CB5">
              <w:t>%</w:t>
            </w:r>
          </w:p>
        </w:tc>
      </w:tr>
      <w:tr w:rsidR="00CC5A6E" w14:paraId="3C4B5874" w14:textId="77777777" w:rsidTr="009A2787">
        <w:tc>
          <w:tcPr>
            <w:tcW w:w="1540" w:type="dxa"/>
          </w:tcPr>
          <w:p w14:paraId="214DB9D5" w14:textId="77777777" w:rsidR="00CC5A6E" w:rsidRDefault="00CC5A6E" w:rsidP="00430DD7">
            <w:r>
              <w:t>3%</w:t>
            </w:r>
          </w:p>
        </w:tc>
        <w:tc>
          <w:tcPr>
            <w:tcW w:w="1540" w:type="dxa"/>
          </w:tcPr>
          <w:p w14:paraId="3DDEEDC8" w14:textId="77777777" w:rsidR="00CC5A6E" w:rsidRDefault="00CC5A6E" w:rsidP="00430DD7">
            <w:pPr>
              <w:jc w:val="center"/>
            </w:pPr>
            <w:r>
              <w:t>1.4</w:t>
            </w:r>
            <w:r w:rsidRPr="00770CB5">
              <w:t>%</w:t>
            </w:r>
          </w:p>
        </w:tc>
        <w:tc>
          <w:tcPr>
            <w:tcW w:w="1540" w:type="dxa"/>
          </w:tcPr>
          <w:p w14:paraId="2C54DD7C" w14:textId="77777777" w:rsidR="00CC5A6E" w:rsidRDefault="00CC5A6E" w:rsidP="00430DD7">
            <w:pPr>
              <w:jc w:val="center"/>
            </w:pPr>
            <w:r>
              <w:t>1.2</w:t>
            </w:r>
            <w:r w:rsidRPr="00770CB5">
              <w:t>%</w:t>
            </w:r>
          </w:p>
        </w:tc>
        <w:tc>
          <w:tcPr>
            <w:tcW w:w="1540" w:type="dxa"/>
          </w:tcPr>
          <w:p w14:paraId="4EC1B0FE" w14:textId="77777777" w:rsidR="00CC5A6E" w:rsidRDefault="00CC5A6E" w:rsidP="00430DD7">
            <w:pPr>
              <w:jc w:val="center"/>
            </w:pPr>
            <w:r>
              <w:t>0.9</w:t>
            </w:r>
            <w:r w:rsidRPr="00770CB5">
              <w:t>%</w:t>
            </w:r>
          </w:p>
        </w:tc>
        <w:tc>
          <w:tcPr>
            <w:tcW w:w="1541" w:type="dxa"/>
          </w:tcPr>
          <w:p w14:paraId="77AFDD08" w14:textId="77777777" w:rsidR="00CC5A6E" w:rsidRDefault="00CC5A6E" w:rsidP="00430DD7">
            <w:pPr>
              <w:jc w:val="center"/>
            </w:pPr>
            <w:r>
              <w:t>0.7</w:t>
            </w:r>
            <w:r w:rsidRPr="00770CB5">
              <w:t>%</w:t>
            </w:r>
          </w:p>
        </w:tc>
        <w:tc>
          <w:tcPr>
            <w:tcW w:w="1541" w:type="dxa"/>
          </w:tcPr>
          <w:p w14:paraId="30BF772A" w14:textId="77777777" w:rsidR="00CC5A6E" w:rsidRDefault="00CC5A6E" w:rsidP="00430DD7">
            <w:pPr>
              <w:jc w:val="center"/>
            </w:pPr>
            <w:r>
              <w:t>0.5</w:t>
            </w:r>
            <w:r w:rsidRPr="00770CB5">
              <w:t>%</w:t>
            </w:r>
          </w:p>
        </w:tc>
      </w:tr>
      <w:tr w:rsidR="00CC5A6E" w14:paraId="22512A10" w14:textId="77777777" w:rsidTr="009A2787">
        <w:tc>
          <w:tcPr>
            <w:tcW w:w="1540" w:type="dxa"/>
          </w:tcPr>
          <w:p w14:paraId="318D3DF2" w14:textId="77777777" w:rsidR="00CC5A6E" w:rsidRDefault="00CC5A6E" w:rsidP="00430DD7">
            <w:r>
              <w:t>2%</w:t>
            </w:r>
          </w:p>
        </w:tc>
        <w:tc>
          <w:tcPr>
            <w:tcW w:w="1540" w:type="dxa"/>
          </w:tcPr>
          <w:p w14:paraId="128E44A8" w14:textId="77777777" w:rsidR="00CC5A6E" w:rsidRDefault="00CC5A6E" w:rsidP="00430DD7">
            <w:pPr>
              <w:jc w:val="center"/>
            </w:pPr>
            <w:r>
              <w:t>0.9</w:t>
            </w:r>
            <w:r w:rsidRPr="00770CB5">
              <w:t>%</w:t>
            </w:r>
          </w:p>
        </w:tc>
        <w:tc>
          <w:tcPr>
            <w:tcW w:w="1540" w:type="dxa"/>
          </w:tcPr>
          <w:p w14:paraId="76ECAF67" w14:textId="77777777" w:rsidR="00CC5A6E" w:rsidRDefault="00CC5A6E" w:rsidP="00430DD7">
            <w:pPr>
              <w:jc w:val="center"/>
            </w:pPr>
            <w:r>
              <w:t>0.8</w:t>
            </w:r>
            <w:r w:rsidRPr="00770CB5">
              <w:t>%</w:t>
            </w:r>
          </w:p>
        </w:tc>
        <w:tc>
          <w:tcPr>
            <w:tcW w:w="1540" w:type="dxa"/>
          </w:tcPr>
          <w:p w14:paraId="71120278" w14:textId="77777777" w:rsidR="00CC5A6E" w:rsidRDefault="00CC5A6E" w:rsidP="00430DD7">
            <w:pPr>
              <w:jc w:val="center"/>
            </w:pPr>
            <w:r>
              <w:t>0.6</w:t>
            </w:r>
            <w:r w:rsidRPr="00770CB5">
              <w:t>%</w:t>
            </w:r>
          </w:p>
        </w:tc>
        <w:tc>
          <w:tcPr>
            <w:tcW w:w="1541" w:type="dxa"/>
          </w:tcPr>
          <w:p w14:paraId="5AF59FC4" w14:textId="77777777" w:rsidR="00CC5A6E" w:rsidRDefault="00CC5A6E" w:rsidP="00430DD7">
            <w:pPr>
              <w:jc w:val="center"/>
            </w:pPr>
            <w:r>
              <w:t>0.4</w:t>
            </w:r>
            <w:r w:rsidRPr="00770CB5">
              <w:t>%</w:t>
            </w:r>
          </w:p>
        </w:tc>
        <w:tc>
          <w:tcPr>
            <w:tcW w:w="1541" w:type="dxa"/>
          </w:tcPr>
          <w:p w14:paraId="1BFF0AE1" w14:textId="77777777" w:rsidR="00CC5A6E" w:rsidRDefault="00CC5A6E" w:rsidP="00430DD7">
            <w:pPr>
              <w:jc w:val="center"/>
            </w:pPr>
            <w:r>
              <w:t>0.3</w:t>
            </w:r>
            <w:r w:rsidRPr="00770CB5">
              <w:t>%</w:t>
            </w:r>
          </w:p>
        </w:tc>
      </w:tr>
    </w:tbl>
    <w:p w14:paraId="1EC776DD" w14:textId="77777777" w:rsidR="00CC5A6E" w:rsidRDefault="00CC5A6E" w:rsidP="00CC5A6E">
      <w:pPr>
        <w:pStyle w:val="Nadpis2"/>
      </w:pPr>
    </w:p>
    <w:p w14:paraId="6527C7F6" w14:textId="2147273E" w:rsidR="00CC5A6E" w:rsidRDefault="00772D1B" w:rsidP="00CC5A6E">
      <w:pPr>
        <w:pStyle w:val="Nadpis2"/>
      </w:pPr>
      <w:r>
        <w:t>D</w:t>
      </w:r>
      <w:r w:rsidR="00CC5A6E">
        <w:t>. Twenty-year product</w:t>
      </w:r>
    </w:p>
    <w:p w14:paraId="422F13BD" w14:textId="41B94C4A" w:rsidR="00CC5A6E" w:rsidRPr="00CE6C01" w:rsidRDefault="00274B9E" w:rsidP="00CC5A6E">
      <w:pPr>
        <w:rPr>
          <w:b/>
          <w:bCs/>
          <w:u w:val="single"/>
        </w:rPr>
      </w:pPr>
      <w:r w:rsidRPr="00CE6C01">
        <w:rPr>
          <w:b/>
          <w:bCs/>
          <w:u w:val="single"/>
        </w:rPr>
        <w:t>Maximum possible value of the risk margin</w:t>
      </w:r>
      <w:r>
        <w:rPr>
          <w:b/>
          <w:bCs/>
          <w:u w:val="single"/>
        </w:rPr>
        <w:t xml:space="preserve"> (as a percentage of SCR)</w:t>
      </w:r>
    </w:p>
    <w:tbl>
      <w:tblPr>
        <w:tblStyle w:val="Mriekatabuky"/>
        <w:tblW w:w="0" w:type="auto"/>
        <w:tblLook w:val="04A0" w:firstRow="1" w:lastRow="0" w:firstColumn="1" w:lastColumn="0" w:noHBand="0" w:noVBand="1"/>
      </w:tblPr>
      <w:tblGrid>
        <w:gridCol w:w="1512"/>
        <w:gridCol w:w="1504"/>
        <w:gridCol w:w="1500"/>
        <w:gridCol w:w="1499"/>
        <w:gridCol w:w="1501"/>
        <w:gridCol w:w="1500"/>
      </w:tblGrid>
      <w:tr w:rsidR="00CC5A6E" w14:paraId="03EC26E9" w14:textId="77777777" w:rsidTr="009A2787">
        <w:tc>
          <w:tcPr>
            <w:tcW w:w="1540" w:type="dxa"/>
          </w:tcPr>
          <w:p w14:paraId="23151EAA" w14:textId="77777777" w:rsidR="00CC5A6E" w:rsidRDefault="00CC5A6E" w:rsidP="00430DD7">
            <w:proofErr w:type="spellStart"/>
            <w:r>
              <w:t>CoC</w:t>
            </w:r>
            <w:proofErr w:type="spellEnd"/>
            <w:r>
              <w:t xml:space="preserve"> / lambda</w:t>
            </w:r>
          </w:p>
        </w:tc>
        <w:tc>
          <w:tcPr>
            <w:tcW w:w="1540" w:type="dxa"/>
          </w:tcPr>
          <w:p w14:paraId="7C4633E6" w14:textId="77777777" w:rsidR="00CC5A6E" w:rsidRDefault="00CC5A6E" w:rsidP="00430DD7">
            <w:pPr>
              <w:jc w:val="center"/>
            </w:pPr>
            <w:r>
              <w:t>0.975</w:t>
            </w:r>
          </w:p>
        </w:tc>
        <w:tc>
          <w:tcPr>
            <w:tcW w:w="1540" w:type="dxa"/>
          </w:tcPr>
          <w:p w14:paraId="2C41FE16" w14:textId="77777777" w:rsidR="00CC5A6E" w:rsidRDefault="00CC5A6E" w:rsidP="00430DD7">
            <w:pPr>
              <w:jc w:val="center"/>
            </w:pPr>
            <w:r>
              <w:t>0.95</w:t>
            </w:r>
          </w:p>
        </w:tc>
        <w:tc>
          <w:tcPr>
            <w:tcW w:w="1540" w:type="dxa"/>
          </w:tcPr>
          <w:p w14:paraId="7ABD4B75" w14:textId="77777777" w:rsidR="00CC5A6E" w:rsidRDefault="00CC5A6E" w:rsidP="00430DD7">
            <w:pPr>
              <w:jc w:val="center"/>
            </w:pPr>
            <w:r>
              <w:t>0.9</w:t>
            </w:r>
          </w:p>
        </w:tc>
        <w:tc>
          <w:tcPr>
            <w:tcW w:w="1541" w:type="dxa"/>
          </w:tcPr>
          <w:p w14:paraId="4B04D3EB" w14:textId="77777777" w:rsidR="00CC5A6E" w:rsidRDefault="00CC5A6E" w:rsidP="00430DD7">
            <w:pPr>
              <w:jc w:val="center"/>
            </w:pPr>
            <w:r>
              <w:t>0.85</w:t>
            </w:r>
          </w:p>
        </w:tc>
        <w:tc>
          <w:tcPr>
            <w:tcW w:w="1541" w:type="dxa"/>
          </w:tcPr>
          <w:p w14:paraId="1342C780" w14:textId="77777777" w:rsidR="00CC5A6E" w:rsidRDefault="00CC5A6E" w:rsidP="00430DD7">
            <w:pPr>
              <w:jc w:val="center"/>
            </w:pPr>
            <w:r>
              <w:t>0.8</w:t>
            </w:r>
          </w:p>
        </w:tc>
      </w:tr>
      <w:tr w:rsidR="00CC5A6E" w14:paraId="553B4D24" w14:textId="77777777" w:rsidTr="009A2787">
        <w:tc>
          <w:tcPr>
            <w:tcW w:w="1540" w:type="dxa"/>
          </w:tcPr>
          <w:p w14:paraId="159D6EF8" w14:textId="77777777" w:rsidR="00CC5A6E" w:rsidRDefault="00CC5A6E" w:rsidP="00430DD7">
            <w:r>
              <w:t>6%</w:t>
            </w:r>
          </w:p>
        </w:tc>
        <w:tc>
          <w:tcPr>
            <w:tcW w:w="1540" w:type="dxa"/>
          </w:tcPr>
          <w:p w14:paraId="53B6EE05" w14:textId="77777777" w:rsidR="00CC5A6E" w:rsidRDefault="00CC5A6E" w:rsidP="00430DD7">
            <w:pPr>
              <w:jc w:val="center"/>
            </w:pPr>
            <w:r>
              <w:t>95</w:t>
            </w:r>
            <w:r w:rsidRPr="000667D7">
              <w:t>%</w:t>
            </w:r>
          </w:p>
        </w:tc>
        <w:tc>
          <w:tcPr>
            <w:tcW w:w="1540" w:type="dxa"/>
          </w:tcPr>
          <w:p w14:paraId="2BD60C0F" w14:textId="77777777" w:rsidR="00CC5A6E" w:rsidRDefault="00CC5A6E" w:rsidP="00430DD7">
            <w:pPr>
              <w:jc w:val="center"/>
            </w:pPr>
            <w:r>
              <w:t>77</w:t>
            </w:r>
            <w:r w:rsidRPr="000667D7">
              <w:t>%</w:t>
            </w:r>
          </w:p>
        </w:tc>
        <w:tc>
          <w:tcPr>
            <w:tcW w:w="1540" w:type="dxa"/>
          </w:tcPr>
          <w:p w14:paraId="4D9977E9" w14:textId="77777777" w:rsidR="00CC5A6E" w:rsidRDefault="00CC5A6E" w:rsidP="00430DD7">
            <w:pPr>
              <w:jc w:val="center"/>
            </w:pPr>
            <w:r>
              <w:t>53</w:t>
            </w:r>
            <w:r w:rsidRPr="000667D7">
              <w:t>%</w:t>
            </w:r>
          </w:p>
        </w:tc>
        <w:tc>
          <w:tcPr>
            <w:tcW w:w="1541" w:type="dxa"/>
          </w:tcPr>
          <w:p w14:paraId="139A0508" w14:textId="77777777" w:rsidR="00CC5A6E" w:rsidRDefault="00CC5A6E" w:rsidP="00430DD7">
            <w:pPr>
              <w:jc w:val="center"/>
            </w:pPr>
            <w:r>
              <w:t>38</w:t>
            </w:r>
            <w:r w:rsidRPr="000667D7">
              <w:t>%</w:t>
            </w:r>
          </w:p>
        </w:tc>
        <w:tc>
          <w:tcPr>
            <w:tcW w:w="1541" w:type="dxa"/>
          </w:tcPr>
          <w:p w14:paraId="16BFC027" w14:textId="77777777" w:rsidR="00CC5A6E" w:rsidRDefault="00CC5A6E" w:rsidP="00430DD7">
            <w:pPr>
              <w:jc w:val="center"/>
            </w:pPr>
            <w:r>
              <w:t>30</w:t>
            </w:r>
            <w:r w:rsidRPr="000667D7">
              <w:t>%</w:t>
            </w:r>
          </w:p>
        </w:tc>
      </w:tr>
      <w:tr w:rsidR="00CC5A6E" w14:paraId="40DECF67" w14:textId="77777777" w:rsidTr="009A2787">
        <w:tc>
          <w:tcPr>
            <w:tcW w:w="1540" w:type="dxa"/>
          </w:tcPr>
          <w:p w14:paraId="5F0B4806" w14:textId="77777777" w:rsidR="00CC5A6E" w:rsidRDefault="00CC5A6E" w:rsidP="00430DD7">
            <w:r>
              <w:t>5%</w:t>
            </w:r>
          </w:p>
        </w:tc>
        <w:tc>
          <w:tcPr>
            <w:tcW w:w="1540" w:type="dxa"/>
          </w:tcPr>
          <w:p w14:paraId="4ED7083D" w14:textId="77777777" w:rsidR="00CC5A6E" w:rsidRDefault="00CC5A6E" w:rsidP="00430DD7">
            <w:pPr>
              <w:jc w:val="center"/>
            </w:pPr>
            <w:r>
              <w:t>79</w:t>
            </w:r>
            <w:r w:rsidRPr="000667D7">
              <w:t>%</w:t>
            </w:r>
          </w:p>
        </w:tc>
        <w:tc>
          <w:tcPr>
            <w:tcW w:w="1540" w:type="dxa"/>
          </w:tcPr>
          <w:p w14:paraId="2A63E1E1" w14:textId="77777777" w:rsidR="00CC5A6E" w:rsidRDefault="00CC5A6E" w:rsidP="00430DD7">
            <w:pPr>
              <w:jc w:val="center"/>
            </w:pPr>
            <w:r>
              <w:t>64</w:t>
            </w:r>
            <w:r w:rsidRPr="000667D7">
              <w:t>%</w:t>
            </w:r>
          </w:p>
        </w:tc>
        <w:tc>
          <w:tcPr>
            <w:tcW w:w="1540" w:type="dxa"/>
          </w:tcPr>
          <w:p w14:paraId="54DD46C9" w14:textId="77777777" w:rsidR="00CC5A6E" w:rsidRDefault="00CC5A6E" w:rsidP="00430DD7">
            <w:pPr>
              <w:jc w:val="center"/>
            </w:pPr>
            <w:r>
              <w:t>44</w:t>
            </w:r>
            <w:r w:rsidRPr="000667D7">
              <w:t>%</w:t>
            </w:r>
          </w:p>
        </w:tc>
        <w:tc>
          <w:tcPr>
            <w:tcW w:w="1541" w:type="dxa"/>
          </w:tcPr>
          <w:p w14:paraId="47F162E3" w14:textId="77777777" w:rsidR="00CC5A6E" w:rsidRDefault="00CC5A6E" w:rsidP="00430DD7">
            <w:pPr>
              <w:jc w:val="center"/>
            </w:pPr>
            <w:r>
              <w:t>32</w:t>
            </w:r>
            <w:r w:rsidRPr="000667D7">
              <w:t>%</w:t>
            </w:r>
          </w:p>
        </w:tc>
        <w:tc>
          <w:tcPr>
            <w:tcW w:w="1541" w:type="dxa"/>
          </w:tcPr>
          <w:p w14:paraId="126B7E73" w14:textId="77777777" w:rsidR="00CC5A6E" w:rsidRDefault="00CC5A6E" w:rsidP="00430DD7">
            <w:pPr>
              <w:jc w:val="center"/>
            </w:pPr>
            <w:r>
              <w:t>25</w:t>
            </w:r>
            <w:r w:rsidRPr="000667D7">
              <w:t>%</w:t>
            </w:r>
          </w:p>
        </w:tc>
      </w:tr>
      <w:tr w:rsidR="00CC5A6E" w14:paraId="4402D8E7" w14:textId="77777777" w:rsidTr="009A2787">
        <w:tc>
          <w:tcPr>
            <w:tcW w:w="1540" w:type="dxa"/>
          </w:tcPr>
          <w:p w14:paraId="3EC78327" w14:textId="77777777" w:rsidR="00CC5A6E" w:rsidRDefault="00CC5A6E" w:rsidP="00430DD7">
            <w:r>
              <w:t>4%</w:t>
            </w:r>
          </w:p>
        </w:tc>
        <w:tc>
          <w:tcPr>
            <w:tcW w:w="1540" w:type="dxa"/>
          </w:tcPr>
          <w:p w14:paraId="06FF35C1" w14:textId="77777777" w:rsidR="00CC5A6E" w:rsidRDefault="00CC5A6E" w:rsidP="00430DD7">
            <w:pPr>
              <w:jc w:val="center"/>
            </w:pPr>
            <w:r>
              <w:t>64</w:t>
            </w:r>
            <w:r w:rsidRPr="000667D7">
              <w:t>%</w:t>
            </w:r>
          </w:p>
        </w:tc>
        <w:tc>
          <w:tcPr>
            <w:tcW w:w="1540" w:type="dxa"/>
          </w:tcPr>
          <w:p w14:paraId="07BDE4A4" w14:textId="77777777" w:rsidR="00CC5A6E" w:rsidRDefault="00CC5A6E" w:rsidP="00430DD7">
            <w:pPr>
              <w:jc w:val="center"/>
            </w:pPr>
            <w:r>
              <w:t>51</w:t>
            </w:r>
            <w:r w:rsidRPr="000667D7">
              <w:t>%</w:t>
            </w:r>
          </w:p>
        </w:tc>
        <w:tc>
          <w:tcPr>
            <w:tcW w:w="1540" w:type="dxa"/>
          </w:tcPr>
          <w:p w14:paraId="1AF90B8C" w14:textId="77777777" w:rsidR="00CC5A6E" w:rsidRDefault="00CC5A6E" w:rsidP="00430DD7">
            <w:pPr>
              <w:jc w:val="center"/>
            </w:pPr>
            <w:r>
              <w:t>35</w:t>
            </w:r>
            <w:r w:rsidRPr="000667D7">
              <w:t>%</w:t>
            </w:r>
          </w:p>
        </w:tc>
        <w:tc>
          <w:tcPr>
            <w:tcW w:w="1541" w:type="dxa"/>
          </w:tcPr>
          <w:p w14:paraId="5F3CB487" w14:textId="77777777" w:rsidR="00CC5A6E" w:rsidRDefault="00CC5A6E" w:rsidP="00430DD7">
            <w:pPr>
              <w:jc w:val="center"/>
            </w:pPr>
            <w:r>
              <w:t>26</w:t>
            </w:r>
            <w:r w:rsidRPr="000667D7">
              <w:t>%</w:t>
            </w:r>
          </w:p>
        </w:tc>
        <w:tc>
          <w:tcPr>
            <w:tcW w:w="1541" w:type="dxa"/>
          </w:tcPr>
          <w:p w14:paraId="36E68180" w14:textId="77777777" w:rsidR="00CC5A6E" w:rsidRDefault="00CC5A6E" w:rsidP="00430DD7">
            <w:pPr>
              <w:jc w:val="center"/>
            </w:pPr>
            <w:r>
              <w:t>20</w:t>
            </w:r>
            <w:r w:rsidRPr="000667D7">
              <w:t>%</w:t>
            </w:r>
          </w:p>
        </w:tc>
      </w:tr>
      <w:tr w:rsidR="00CC5A6E" w14:paraId="4148CC50" w14:textId="77777777" w:rsidTr="009A2787">
        <w:tc>
          <w:tcPr>
            <w:tcW w:w="1540" w:type="dxa"/>
          </w:tcPr>
          <w:p w14:paraId="3C47E1BF" w14:textId="77777777" w:rsidR="00CC5A6E" w:rsidRDefault="00CC5A6E" w:rsidP="00430DD7">
            <w:r>
              <w:t>3%</w:t>
            </w:r>
          </w:p>
        </w:tc>
        <w:tc>
          <w:tcPr>
            <w:tcW w:w="1540" w:type="dxa"/>
          </w:tcPr>
          <w:p w14:paraId="2CAC2F55" w14:textId="77777777" w:rsidR="00CC5A6E" w:rsidRDefault="00CC5A6E" w:rsidP="00430DD7">
            <w:pPr>
              <w:jc w:val="center"/>
            </w:pPr>
            <w:r>
              <w:t>48</w:t>
            </w:r>
            <w:r w:rsidRPr="000667D7">
              <w:t>%</w:t>
            </w:r>
          </w:p>
        </w:tc>
        <w:tc>
          <w:tcPr>
            <w:tcW w:w="1540" w:type="dxa"/>
          </w:tcPr>
          <w:p w14:paraId="64A0ACA3" w14:textId="77777777" w:rsidR="00CC5A6E" w:rsidRDefault="00CC5A6E" w:rsidP="00430DD7">
            <w:pPr>
              <w:jc w:val="center"/>
            </w:pPr>
            <w:r>
              <w:t>38</w:t>
            </w:r>
            <w:r w:rsidRPr="000667D7">
              <w:t>%</w:t>
            </w:r>
          </w:p>
        </w:tc>
        <w:tc>
          <w:tcPr>
            <w:tcW w:w="1540" w:type="dxa"/>
          </w:tcPr>
          <w:p w14:paraId="030BE47A" w14:textId="77777777" w:rsidR="00CC5A6E" w:rsidRDefault="00CC5A6E" w:rsidP="00430DD7">
            <w:pPr>
              <w:jc w:val="center"/>
            </w:pPr>
            <w:r>
              <w:t>26</w:t>
            </w:r>
            <w:r w:rsidRPr="000667D7">
              <w:t>%</w:t>
            </w:r>
          </w:p>
        </w:tc>
        <w:tc>
          <w:tcPr>
            <w:tcW w:w="1541" w:type="dxa"/>
          </w:tcPr>
          <w:p w14:paraId="7A48C813" w14:textId="77777777" w:rsidR="00CC5A6E" w:rsidRDefault="00CC5A6E" w:rsidP="00430DD7">
            <w:pPr>
              <w:jc w:val="center"/>
            </w:pPr>
            <w:r>
              <w:t>19</w:t>
            </w:r>
            <w:r w:rsidRPr="000667D7">
              <w:t>%</w:t>
            </w:r>
          </w:p>
        </w:tc>
        <w:tc>
          <w:tcPr>
            <w:tcW w:w="1541" w:type="dxa"/>
          </w:tcPr>
          <w:p w14:paraId="5530841A" w14:textId="77777777" w:rsidR="00CC5A6E" w:rsidRDefault="00CC5A6E" w:rsidP="00430DD7">
            <w:pPr>
              <w:jc w:val="center"/>
            </w:pPr>
            <w:r>
              <w:t>15</w:t>
            </w:r>
            <w:r w:rsidRPr="000667D7">
              <w:t>%</w:t>
            </w:r>
          </w:p>
        </w:tc>
      </w:tr>
      <w:tr w:rsidR="00CC5A6E" w14:paraId="682E05B5" w14:textId="77777777" w:rsidTr="009A2787">
        <w:tc>
          <w:tcPr>
            <w:tcW w:w="1540" w:type="dxa"/>
          </w:tcPr>
          <w:p w14:paraId="20D2DE00" w14:textId="77777777" w:rsidR="00CC5A6E" w:rsidRDefault="00CC5A6E" w:rsidP="00430DD7">
            <w:r>
              <w:t>2%</w:t>
            </w:r>
          </w:p>
        </w:tc>
        <w:tc>
          <w:tcPr>
            <w:tcW w:w="1540" w:type="dxa"/>
          </w:tcPr>
          <w:p w14:paraId="549B5DAC" w14:textId="77777777" w:rsidR="00CC5A6E" w:rsidRDefault="00CC5A6E" w:rsidP="00430DD7">
            <w:pPr>
              <w:jc w:val="center"/>
            </w:pPr>
            <w:r>
              <w:t>32</w:t>
            </w:r>
            <w:r w:rsidRPr="000667D7">
              <w:t>%</w:t>
            </w:r>
          </w:p>
        </w:tc>
        <w:tc>
          <w:tcPr>
            <w:tcW w:w="1540" w:type="dxa"/>
          </w:tcPr>
          <w:p w14:paraId="676567BF" w14:textId="77777777" w:rsidR="00CC5A6E" w:rsidRDefault="00CC5A6E" w:rsidP="00430DD7">
            <w:pPr>
              <w:jc w:val="center"/>
            </w:pPr>
            <w:r>
              <w:t>26</w:t>
            </w:r>
            <w:r w:rsidRPr="000667D7">
              <w:t>%</w:t>
            </w:r>
          </w:p>
        </w:tc>
        <w:tc>
          <w:tcPr>
            <w:tcW w:w="1540" w:type="dxa"/>
          </w:tcPr>
          <w:p w14:paraId="384A098A" w14:textId="77777777" w:rsidR="00CC5A6E" w:rsidRDefault="00CC5A6E" w:rsidP="00430DD7">
            <w:pPr>
              <w:jc w:val="center"/>
            </w:pPr>
            <w:r>
              <w:t>18</w:t>
            </w:r>
            <w:r w:rsidRPr="000667D7">
              <w:t>%</w:t>
            </w:r>
          </w:p>
        </w:tc>
        <w:tc>
          <w:tcPr>
            <w:tcW w:w="1541" w:type="dxa"/>
          </w:tcPr>
          <w:p w14:paraId="0B5CD657" w14:textId="77777777" w:rsidR="00CC5A6E" w:rsidRDefault="00CC5A6E" w:rsidP="00430DD7">
            <w:pPr>
              <w:jc w:val="center"/>
            </w:pPr>
            <w:r>
              <w:t>13</w:t>
            </w:r>
            <w:r w:rsidRPr="000667D7">
              <w:t>%</w:t>
            </w:r>
          </w:p>
        </w:tc>
        <w:tc>
          <w:tcPr>
            <w:tcW w:w="1541" w:type="dxa"/>
          </w:tcPr>
          <w:p w14:paraId="03978DF8" w14:textId="77777777" w:rsidR="00CC5A6E" w:rsidRDefault="00CC5A6E" w:rsidP="00430DD7">
            <w:pPr>
              <w:jc w:val="center"/>
            </w:pPr>
            <w:r>
              <w:t>10</w:t>
            </w:r>
            <w:r w:rsidRPr="000667D7">
              <w:t>%</w:t>
            </w:r>
          </w:p>
        </w:tc>
      </w:tr>
    </w:tbl>
    <w:p w14:paraId="489DEDCF" w14:textId="77777777" w:rsidR="00CC5A6E" w:rsidRDefault="00CC5A6E" w:rsidP="00CC5A6E">
      <w:pPr>
        <w:pStyle w:val="Nadpis2"/>
      </w:pPr>
    </w:p>
    <w:p w14:paraId="6DB8FE1B" w14:textId="7CB099C2" w:rsidR="00CC5A6E" w:rsidRPr="00CE6C01" w:rsidRDefault="00274B9E" w:rsidP="00CC5A6E">
      <w:pPr>
        <w:rPr>
          <w:b/>
          <w:bCs/>
          <w:u w:val="single"/>
        </w:rPr>
      </w:pPr>
      <w:r w:rsidRPr="00CE6C01">
        <w:rPr>
          <w:b/>
          <w:bCs/>
          <w:u w:val="single"/>
        </w:rPr>
        <w:t xml:space="preserve">Maximum sensitivity of risk margin </w:t>
      </w:r>
      <w:r>
        <w:rPr>
          <w:b/>
          <w:bCs/>
          <w:u w:val="single"/>
        </w:rPr>
        <w:t>to</w:t>
      </w:r>
      <w:r w:rsidRPr="00CE6C01">
        <w:rPr>
          <w:b/>
          <w:bCs/>
          <w:u w:val="single"/>
        </w:rPr>
        <w:t xml:space="preserve"> 1% </w:t>
      </w:r>
      <w:r>
        <w:rPr>
          <w:b/>
          <w:bCs/>
          <w:u w:val="single"/>
        </w:rPr>
        <w:t>fall</w:t>
      </w:r>
      <w:r w:rsidRPr="00CE6C01">
        <w:rPr>
          <w:b/>
          <w:bCs/>
          <w:u w:val="single"/>
        </w:rPr>
        <w:t xml:space="preserve"> in interest rates</w:t>
      </w:r>
      <w:r>
        <w:rPr>
          <w:b/>
          <w:bCs/>
          <w:u w:val="single"/>
        </w:rPr>
        <w:t xml:space="preserve"> (as a percentage of SCR)</w:t>
      </w:r>
    </w:p>
    <w:tbl>
      <w:tblPr>
        <w:tblStyle w:val="Mriekatabuky"/>
        <w:tblW w:w="0" w:type="auto"/>
        <w:tblLook w:val="04A0" w:firstRow="1" w:lastRow="0" w:firstColumn="1" w:lastColumn="0" w:noHBand="0" w:noVBand="1"/>
      </w:tblPr>
      <w:tblGrid>
        <w:gridCol w:w="1511"/>
        <w:gridCol w:w="1503"/>
        <w:gridCol w:w="1500"/>
        <w:gridCol w:w="1500"/>
        <w:gridCol w:w="1501"/>
        <w:gridCol w:w="1501"/>
      </w:tblGrid>
      <w:tr w:rsidR="00CC5A6E" w14:paraId="7931410D" w14:textId="77777777" w:rsidTr="009A2787">
        <w:tc>
          <w:tcPr>
            <w:tcW w:w="1540" w:type="dxa"/>
          </w:tcPr>
          <w:p w14:paraId="6CF93ED4" w14:textId="77777777" w:rsidR="00CC5A6E" w:rsidRDefault="00CC5A6E" w:rsidP="00430DD7">
            <w:proofErr w:type="spellStart"/>
            <w:r>
              <w:t>CoC</w:t>
            </w:r>
            <w:proofErr w:type="spellEnd"/>
            <w:r>
              <w:t xml:space="preserve"> / lambda</w:t>
            </w:r>
          </w:p>
        </w:tc>
        <w:tc>
          <w:tcPr>
            <w:tcW w:w="1540" w:type="dxa"/>
          </w:tcPr>
          <w:p w14:paraId="30EC2FF2" w14:textId="77777777" w:rsidR="00CC5A6E" w:rsidRDefault="00CC5A6E" w:rsidP="00430DD7">
            <w:pPr>
              <w:jc w:val="center"/>
            </w:pPr>
            <w:r>
              <w:t>0.975</w:t>
            </w:r>
          </w:p>
        </w:tc>
        <w:tc>
          <w:tcPr>
            <w:tcW w:w="1540" w:type="dxa"/>
          </w:tcPr>
          <w:p w14:paraId="6FF8242A" w14:textId="77777777" w:rsidR="00CC5A6E" w:rsidRDefault="00CC5A6E" w:rsidP="00430DD7">
            <w:pPr>
              <w:jc w:val="center"/>
            </w:pPr>
            <w:r>
              <w:t>0.95</w:t>
            </w:r>
          </w:p>
        </w:tc>
        <w:tc>
          <w:tcPr>
            <w:tcW w:w="1540" w:type="dxa"/>
          </w:tcPr>
          <w:p w14:paraId="1D904384" w14:textId="77777777" w:rsidR="00CC5A6E" w:rsidRDefault="00CC5A6E" w:rsidP="00430DD7">
            <w:pPr>
              <w:jc w:val="center"/>
            </w:pPr>
            <w:r>
              <w:t>0.9</w:t>
            </w:r>
          </w:p>
        </w:tc>
        <w:tc>
          <w:tcPr>
            <w:tcW w:w="1541" w:type="dxa"/>
          </w:tcPr>
          <w:p w14:paraId="427AD3ED" w14:textId="77777777" w:rsidR="00CC5A6E" w:rsidRDefault="00CC5A6E" w:rsidP="00430DD7">
            <w:pPr>
              <w:jc w:val="center"/>
            </w:pPr>
            <w:r>
              <w:t>0.85</w:t>
            </w:r>
          </w:p>
        </w:tc>
        <w:tc>
          <w:tcPr>
            <w:tcW w:w="1541" w:type="dxa"/>
          </w:tcPr>
          <w:p w14:paraId="7D21150B" w14:textId="77777777" w:rsidR="00CC5A6E" w:rsidRDefault="00CC5A6E" w:rsidP="00430DD7">
            <w:pPr>
              <w:jc w:val="center"/>
            </w:pPr>
            <w:r>
              <w:t>0.8</w:t>
            </w:r>
          </w:p>
        </w:tc>
      </w:tr>
      <w:tr w:rsidR="00CC5A6E" w14:paraId="038D1833" w14:textId="77777777" w:rsidTr="009A2787">
        <w:tc>
          <w:tcPr>
            <w:tcW w:w="1540" w:type="dxa"/>
          </w:tcPr>
          <w:p w14:paraId="71998BE0" w14:textId="77777777" w:rsidR="00CC5A6E" w:rsidRDefault="00CC5A6E" w:rsidP="00430DD7">
            <w:r>
              <w:t>6%</w:t>
            </w:r>
          </w:p>
        </w:tc>
        <w:tc>
          <w:tcPr>
            <w:tcW w:w="1540" w:type="dxa"/>
          </w:tcPr>
          <w:p w14:paraId="2A980FD4" w14:textId="77777777" w:rsidR="00CC5A6E" w:rsidRDefault="00CC5A6E" w:rsidP="00430DD7">
            <w:pPr>
              <w:jc w:val="center"/>
            </w:pPr>
            <w:r>
              <w:t>8.6</w:t>
            </w:r>
            <w:r w:rsidRPr="00D271FE">
              <w:t>%</w:t>
            </w:r>
          </w:p>
        </w:tc>
        <w:tc>
          <w:tcPr>
            <w:tcW w:w="1540" w:type="dxa"/>
          </w:tcPr>
          <w:p w14:paraId="26A410CF" w14:textId="77777777" w:rsidR="00CC5A6E" w:rsidRDefault="00CC5A6E" w:rsidP="00430DD7">
            <w:pPr>
              <w:jc w:val="center"/>
            </w:pPr>
            <w:r>
              <w:t>6.4</w:t>
            </w:r>
            <w:r w:rsidRPr="00D271FE">
              <w:t>%</w:t>
            </w:r>
          </w:p>
        </w:tc>
        <w:tc>
          <w:tcPr>
            <w:tcW w:w="1540" w:type="dxa"/>
          </w:tcPr>
          <w:p w14:paraId="7F25920A" w14:textId="77777777" w:rsidR="00CC5A6E" w:rsidRDefault="00CC5A6E" w:rsidP="00430DD7">
            <w:pPr>
              <w:jc w:val="center"/>
            </w:pPr>
            <w:r>
              <w:t>3.6</w:t>
            </w:r>
            <w:r w:rsidRPr="00D271FE">
              <w:t>%</w:t>
            </w:r>
          </w:p>
        </w:tc>
        <w:tc>
          <w:tcPr>
            <w:tcW w:w="1541" w:type="dxa"/>
          </w:tcPr>
          <w:p w14:paraId="5F60765A" w14:textId="77777777" w:rsidR="00CC5A6E" w:rsidRDefault="00CC5A6E" w:rsidP="00430DD7">
            <w:pPr>
              <w:jc w:val="center"/>
            </w:pPr>
            <w:r>
              <w:t>2.1</w:t>
            </w:r>
            <w:r w:rsidRPr="00D271FE">
              <w:t>%</w:t>
            </w:r>
          </w:p>
        </w:tc>
        <w:tc>
          <w:tcPr>
            <w:tcW w:w="1541" w:type="dxa"/>
          </w:tcPr>
          <w:p w14:paraId="12A94A1E" w14:textId="77777777" w:rsidR="00CC5A6E" w:rsidRDefault="00CC5A6E" w:rsidP="00430DD7">
            <w:pPr>
              <w:jc w:val="center"/>
            </w:pPr>
            <w:r>
              <w:t>1.4</w:t>
            </w:r>
            <w:r w:rsidRPr="00D271FE">
              <w:t>%</w:t>
            </w:r>
          </w:p>
        </w:tc>
      </w:tr>
      <w:tr w:rsidR="00CC5A6E" w14:paraId="31EBEC5C" w14:textId="77777777" w:rsidTr="009A2787">
        <w:tc>
          <w:tcPr>
            <w:tcW w:w="1540" w:type="dxa"/>
          </w:tcPr>
          <w:p w14:paraId="56E611F3" w14:textId="77777777" w:rsidR="00CC5A6E" w:rsidRDefault="00CC5A6E" w:rsidP="00430DD7">
            <w:r>
              <w:t>5%</w:t>
            </w:r>
          </w:p>
        </w:tc>
        <w:tc>
          <w:tcPr>
            <w:tcW w:w="1540" w:type="dxa"/>
          </w:tcPr>
          <w:p w14:paraId="534B84AC" w14:textId="77777777" w:rsidR="00CC5A6E" w:rsidRDefault="00CC5A6E" w:rsidP="00430DD7">
            <w:pPr>
              <w:jc w:val="center"/>
            </w:pPr>
            <w:r>
              <w:t>7.2</w:t>
            </w:r>
            <w:r w:rsidRPr="00D271FE">
              <w:t>%</w:t>
            </w:r>
          </w:p>
        </w:tc>
        <w:tc>
          <w:tcPr>
            <w:tcW w:w="1540" w:type="dxa"/>
          </w:tcPr>
          <w:p w14:paraId="132D9BD2" w14:textId="77777777" w:rsidR="00CC5A6E" w:rsidRDefault="00CC5A6E" w:rsidP="00430DD7">
            <w:pPr>
              <w:jc w:val="center"/>
            </w:pPr>
            <w:r>
              <w:t>5.3</w:t>
            </w:r>
            <w:r w:rsidRPr="00D271FE">
              <w:t>%</w:t>
            </w:r>
          </w:p>
        </w:tc>
        <w:tc>
          <w:tcPr>
            <w:tcW w:w="1540" w:type="dxa"/>
          </w:tcPr>
          <w:p w14:paraId="57BF78E4" w14:textId="77777777" w:rsidR="00CC5A6E" w:rsidRDefault="00CC5A6E" w:rsidP="00430DD7">
            <w:pPr>
              <w:jc w:val="center"/>
            </w:pPr>
            <w:r>
              <w:t>3.0</w:t>
            </w:r>
            <w:r w:rsidRPr="00D271FE">
              <w:t>%</w:t>
            </w:r>
          </w:p>
        </w:tc>
        <w:tc>
          <w:tcPr>
            <w:tcW w:w="1541" w:type="dxa"/>
          </w:tcPr>
          <w:p w14:paraId="678DA61B" w14:textId="77777777" w:rsidR="00CC5A6E" w:rsidRDefault="00CC5A6E" w:rsidP="00430DD7">
            <w:pPr>
              <w:jc w:val="center"/>
            </w:pPr>
            <w:r>
              <w:t>1.8</w:t>
            </w:r>
            <w:r w:rsidRPr="00D271FE">
              <w:t>%</w:t>
            </w:r>
          </w:p>
        </w:tc>
        <w:tc>
          <w:tcPr>
            <w:tcW w:w="1541" w:type="dxa"/>
          </w:tcPr>
          <w:p w14:paraId="402A4D80" w14:textId="77777777" w:rsidR="00CC5A6E" w:rsidRDefault="00CC5A6E" w:rsidP="00430DD7">
            <w:pPr>
              <w:jc w:val="center"/>
            </w:pPr>
            <w:r>
              <w:t>1.1</w:t>
            </w:r>
            <w:r w:rsidRPr="00D271FE">
              <w:t>%</w:t>
            </w:r>
          </w:p>
        </w:tc>
      </w:tr>
      <w:tr w:rsidR="00CC5A6E" w14:paraId="48110013" w14:textId="77777777" w:rsidTr="009A2787">
        <w:tc>
          <w:tcPr>
            <w:tcW w:w="1540" w:type="dxa"/>
          </w:tcPr>
          <w:p w14:paraId="42D75C7D" w14:textId="77777777" w:rsidR="00CC5A6E" w:rsidRDefault="00CC5A6E" w:rsidP="00430DD7">
            <w:r>
              <w:t>4%</w:t>
            </w:r>
          </w:p>
        </w:tc>
        <w:tc>
          <w:tcPr>
            <w:tcW w:w="1540" w:type="dxa"/>
          </w:tcPr>
          <w:p w14:paraId="5B0403CC" w14:textId="77777777" w:rsidR="00CC5A6E" w:rsidRDefault="00CC5A6E" w:rsidP="00430DD7">
            <w:pPr>
              <w:jc w:val="center"/>
            </w:pPr>
            <w:r>
              <w:t>5.7</w:t>
            </w:r>
            <w:r w:rsidRPr="00D271FE">
              <w:t>%</w:t>
            </w:r>
          </w:p>
        </w:tc>
        <w:tc>
          <w:tcPr>
            <w:tcW w:w="1540" w:type="dxa"/>
          </w:tcPr>
          <w:p w14:paraId="44128186" w14:textId="77777777" w:rsidR="00CC5A6E" w:rsidRDefault="00CC5A6E" w:rsidP="00430DD7">
            <w:pPr>
              <w:jc w:val="center"/>
            </w:pPr>
            <w:r>
              <w:t>4.2</w:t>
            </w:r>
            <w:r w:rsidRPr="00D271FE">
              <w:t>%</w:t>
            </w:r>
          </w:p>
        </w:tc>
        <w:tc>
          <w:tcPr>
            <w:tcW w:w="1540" w:type="dxa"/>
          </w:tcPr>
          <w:p w14:paraId="14FFD869" w14:textId="77777777" w:rsidR="00CC5A6E" w:rsidRDefault="00CC5A6E" w:rsidP="00430DD7">
            <w:pPr>
              <w:jc w:val="center"/>
            </w:pPr>
            <w:r>
              <w:t>2.4</w:t>
            </w:r>
            <w:r w:rsidRPr="00D271FE">
              <w:t>%</w:t>
            </w:r>
          </w:p>
        </w:tc>
        <w:tc>
          <w:tcPr>
            <w:tcW w:w="1541" w:type="dxa"/>
          </w:tcPr>
          <w:p w14:paraId="361DE8BF" w14:textId="77777777" w:rsidR="00CC5A6E" w:rsidRDefault="00CC5A6E" w:rsidP="00430DD7">
            <w:pPr>
              <w:jc w:val="center"/>
            </w:pPr>
            <w:r>
              <w:t>1.4</w:t>
            </w:r>
            <w:r w:rsidRPr="00D271FE">
              <w:t>%</w:t>
            </w:r>
          </w:p>
        </w:tc>
        <w:tc>
          <w:tcPr>
            <w:tcW w:w="1541" w:type="dxa"/>
          </w:tcPr>
          <w:p w14:paraId="3476AE7F" w14:textId="77777777" w:rsidR="00CC5A6E" w:rsidRDefault="00CC5A6E" w:rsidP="00430DD7">
            <w:pPr>
              <w:jc w:val="center"/>
            </w:pPr>
            <w:r>
              <w:t>0.9</w:t>
            </w:r>
            <w:r w:rsidRPr="00D271FE">
              <w:t>%</w:t>
            </w:r>
          </w:p>
        </w:tc>
      </w:tr>
      <w:tr w:rsidR="00CC5A6E" w14:paraId="0834DBF3" w14:textId="77777777" w:rsidTr="009A2787">
        <w:tc>
          <w:tcPr>
            <w:tcW w:w="1540" w:type="dxa"/>
          </w:tcPr>
          <w:p w14:paraId="4F3CACBF" w14:textId="77777777" w:rsidR="00CC5A6E" w:rsidRDefault="00CC5A6E" w:rsidP="00430DD7">
            <w:r>
              <w:t>3%</w:t>
            </w:r>
          </w:p>
        </w:tc>
        <w:tc>
          <w:tcPr>
            <w:tcW w:w="1540" w:type="dxa"/>
          </w:tcPr>
          <w:p w14:paraId="65BBFF0A" w14:textId="77777777" w:rsidR="00CC5A6E" w:rsidRDefault="00CC5A6E" w:rsidP="00430DD7">
            <w:pPr>
              <w:jc w:val="center"/>
            </w:pPr>
            <w:r>
              <w:t>4.3</w:t>
            </w:r>
            <w:r w:rsidRPr="00D271FE">
              <w:t>%</w:t>
            </w:r>
          </w:p>
        </w:tc>
        <w:tc>
          <w:tcPr>
            <w:tcW w:w="1540" w:type="dxa"/>
          </w:tcPr>
          <w:p w14:paraId="783412CC" w14:textId="77777777" w:rsidR="00CC5A6E" w:rsidRDefault="00CC5A6E" w:rsidP="00430DD7">
            <w:pPr>
              <w:jc w:val="center"/>
            </w:pPr>
            <w:r>
              <w:t>3.2</w:t>
            </w:r>
            <w:r w:rsidRPr="00D271FE">
              <w:t>%</w:t>
            </w:r>
          </w:p>
        </w:tc>
        <w:tc>
          <w:tcPr>
            <w:tcW w:w="1540" w:type="dxa"/>
          </w:tcPr>
          <w:p w14:paraId="00C21918" w14:textId="77777777" w:rsidR="00CC5A6E" w:rsidRDefault="00CC5A6E" w:rsidP="00430DD7">
            <w:pPr>
              <w:jc w:val="center"/>
            </w:pPr>
            <w:r>
              <w:t>1.8</w:t>
            </w:r>
            <w:r w:rsidRPr="00D271FE">
              <w:t>%</w:t>
            </w:r>
          </w:p>
        </w:tc>
        <w:tc>
          <w:tcPr>
            <w:tcW w:w="1541" w:type="dxa"/>
          </w:tcPr>
          <w:p w14:paraId="3149604C" w14:textId="77777777" w:rsidR="00CC5A6E" w:rsidRDefault="00CC5A6E" w:rsidP="00430DD7">
            <w:pPr>
              <w:jc w:val="center"/>
            </w:pPr>
            <w:r>
              <w:t>1.1</w:t>
            </w:r>
            <w:r w:rsidRPr="00D271FE">
              <w:t>%</w:t>
            </w:r>
          </w:p>
        </w:tc>
        <w:tc>
          <w:tcPr>
            <w:tcW w:w="1541" w:type="dxa"/>
          </w:tcPr>
          <w:p w14:paraId="67000E63" w14:textId="77777777" w:rsidR="00CC5A6E" w:rsidRDefault="00CC5A6E" w:rsidP="00430DD7">
            <w:pPr>
              <w:jc w:val="center"/>
            </w:pPr>
            <w:r>
              <w:t>0.7</w:t>
            </w:r>
            <w:r w:rsidRPr="00D271FE">
              <w:t>%</w:t>
            </w:r>
          </w:p>
        </w:tc>
      </w:tr>
      <w:tr w:rsidR="00CC5A6E" w14:paraId="5D124B87" w14:textId="77777777" w:rsidTr="009A2787">
        <w:tc>
          <w:tcPr>
            <w:tcW w:w="1540" w:type="dxa"/>
          </w:tcPr>
          <w:p w14:paraId="6EE6AB54" w14:textId="77777777" w:rsidR="00CC5A6E" w:rsidRDefault="00CC5A6E" w:rsidP="00430DD7">
            <w:r>
              <w:t>2%</w:t>
            </w:r>
          </w:p>
        </w:tc>
        <w:tc>
          <w:tcPr>
            <w:tcW w:w="1540" w:type="dxa"/>
          </w:tcPr>
          <w:p w14:paraId="22479C3F" w14:textId="77777777" w:rsidR="00CC5A6E" w:rsidRDefault="00CC5A6E" w:rsidP="00430DD7">
            <w:pPr>
              <w:jc w:val="center"/>
            </w:pPr>
            <w:r>
              <w:t>2.9</w:t>
            </w:r>
            <w:r w:rsidRPr="00D271FE">
              <w:t>%</w:t>
            </w:r>
          </w:p>
        </w:tc>
        <w:tc>
          <w:tcPr>
            <w:tcW w:w="1540" w:type="dxa"/>
          </w:tcPr>
          <w:p w14:paraId="3041D190" w14:textId="77777777" w:rsidR="00CC5A6E" w:rsidRDefault="00CC5A6E" w:rsidP="00430DD7">
            <w:pPr>
              <w:jc w:val="center"/>
            </w:pPr>
            <w:r>
              <w:t>2.1</w:t>
            </w:r>
            <w:r w:rsidRPr="00D271FE">
              <w:t>%</w:t>
            </w:r>
          </w:p>
        </w:tc>
        <w:tc>
          <w:tcPr>
            <w:tcW w:w="1540" w:type="dxa"/>
          </w:tcPr>
          <w:p w14:paraId="68114F63" w14:textId="77777777" w:rsidR="00CC5A6E" w:rsidRDefault="00CC5A6E" w:rsidP="00430DD7">
            <w:pPr>
              <w:jc w:val="center"/>
            </w:pPr>
            <w:r>
              <w:t>1.2</w:t>
            </w:r>
            <w:r w:rsidRPr="00D271FE">
              <w:t>%</w:t>
            </w:r>
          </w:p>
        </w:tc>
        <w:tc>
          <w:tcPr>
            <w:tcW w:w="1541" w:type="dxa"/>
          </w:tcPr>
          <w:p w14:paraId="7B1F6D24" w14:textId="77777777" w:rsidR="00CC5A6E" w:rsidRDefault="00CC5A6E" w:rsidP="00430DD7">
            <w:pPr>
              <w:jc w:val="center"/>
            </w:pPr>
            <w:r>
              <w:t>0.7</w:t>
            </w:r>
            <w:r w:rsidRPr="00D271FE">
              <w:t>%</w:t>
            </w:r>
          </w:p>
        </w:tc>
        <w:tc>
          <w:tcPr>
            <w:tcW w:w="1541" w:type="dxa"/>
          </w:tcPr>
          <w:p w14:paraId="7FAAF8A8" w14:textId="77777777" w:rsidR="00CC5A6E" w:rsidRDefault="00CC5A6E" w:rsidP="00430DD7">
            <w:pPr>
              <w:jc w:val="center"/>
            </w:pPr>
            <w:r>
              <w:t>0.5</w:t>
            </w:r>
            <w:r w:rsidRPr="00D271FE">
              <w:t>%</w:t>
            </w:r>
          </w:p>
        </w:tc>
      </w:tr>
    </w:tbl>
    <w:p w14:paraId="21E855AF" w14:textId="77777777" w:rsidR="00CC5A6E" w:rsidRDefault="00CC5A6E" w:rsidP="00CC5A6E">
      <w:pPr>
        <w:pStyle w:val="Nadpis2"/>
      </w:pPr>
    </w:p>
    <w:p w14:paraId="692BD3AB" w14:textId="77777777" w:rsidR="00CC5A6E" w:rsidRDefault="00CC5A6E" w:rsidP="00CC5A6E">
      <w:pPr>
        <w:rPr>
          <w:rFonts w:asciiTheme="majorHAnsi" w:eastAsiaTheme="majorEastAsia" w:hAnsiTheme="majorHAnsi" w:cstheme="majorBidi"/>
          <w:color w:val="365F91" w:themeColor="accent1" w:themeShade="BF"/>
          <w:sz w:val="26"/>
          <w:szCs w:val="26"/>
        </w:rPr>
      </w:pPr>
      <w:r>
        <w:br w:type="page"/>
      </w:r>
    </w:p>
    <w:p w14:paraId="516430B2" w14:textId="1E079061" w:rsidR="00CC5A6E" w:rsidRDefault="00772D1B" w:rsidP="00CC5A6E">
      <w:pPr>
        <w:pStyle w:val="Nadpis2"/>
      </w:pPr>
      <w:r>
        <w:lastRenderedPageBreak/>
        <w:t>E</w:t>
      </w:r>
      <w:r w:rsidR="00CC5A6E">
        <w:t>. Thirty-year product</w:t>
      </w:r>
    </w:p>
    <w:p w14:paraId="0BACF3E2" w14:textId="233A981B" w:rsidR="00CC5A6E" w:rsidRPr="00CE6C01" w:rsidRDefault="00274B9E" w:rsidP="00CC5A6E">
      <w:pPr>
        <w:rPr>
          <w:b/>
          <w:bCs/>
          <w:u w:val="single"/>
        </w:rPr>
      </w:pPr>
      <w:r w:rsidRPr="00CE6C01">
        <w:rPr>
          <w:b/>
          <w:bCs/>
          <w:u w:val="single"/>
        </w:rPr>
        <w:t>Maximum possible value of the risk margin</w:t>
      </w:r>
      <w:r>
        <w:rPr>
          <w:b/>
          <w:bCs/>
          <w:u w:val="single"/>
        </w:rPr>
        <w:t xml:space="preserve"> (as a percentage of SCR)</w:t>
      </w:r>
    </w:p>
    <w:tbl>
      <w:tblPr>
        <w:tblStyle w:val="Mriekatabuky"/>
        <w:tblW w:w="0" w:type="auto"/>
        <w:tblLook w:val="04A0" w:firstRow="1" w:lastRow="0" w:firstColumn="1" w:lastColumn="0" w:noHBand="0" w:noVBand="1"/>
      </w:tblPr>
      <w:tblGrid>
        <w:gridCol w:w="1512"/>
        <w:gridCol w:w="1504"/>
        <w:gridCol w:w="1500"/>
        <w:gridCol w:w="1499"/>
        <w:gridCol w:w="1501"/>
        <w:gridCol w:w="1500"/>
      </w:tblGrid>
      <w:tr w:rsidR="00CC5A6E" w14:paraId="558D9F0C" w14:textId="77777777" w:rsidTr="009A2787">
        <w:tc>
          <w:tcPr>
            <w:tcW w:w="1540" w:type="dxa"/>
          </w:tcPr>
          <w:p w14:paraId="0514E911" w14:textId="77777777" w:rsidR="00CC5A6E" w:rsidRDefault="00CC5A6E" w:rsidP="00430DD7">
            <w:proofErr w:type="spellStart"/>
            <w:r>
              <w:t>CoC</w:t>
            </w:r>
            <w:proofErr w:type="spellEnd"/>
            <w:r>
              <w:t xml:space="preserve"> / lambda</w:t>
            </w:r>
          </w:p>
        </w:tc>
        <w:tc>
          <w:tcPr>
            <w:tcW w:w="1540" w:type="dxa"/>
          </w:tcPr>
          <w:p w14:paraId="0E3DDAFD" w14:textId="77777777" w:rsidR="00CC5A6E" w:rsidRDefault="00CC5A6E" w:rsidP="00430DD7">
            <w:pPr>
              <w:jc w:val="center"/>
            </w:pPr>
            <w:r>
              <w:t>0.975</w:t>
            </w:r>
          </w:p>
        </w:tc>
        <w:tc>
          <w:tcPr>
            <w:tcW w:w="1540" w:type="dxa"/>
          </w:tcPr>
          <w:p w14:paraId="7606DD05" w14:textId="77777777" w:rsidR="00CC5A6E" w:rsidRDefault="00CC5A6E" w:rsidP="00430DD7">
            <w:pPr>
              <w:jc w:val="center"/>
            </w:pPr>
            <w:r>
              <w:t>0.95</w:t>
            </w:r>
          </w:p>
        </w:tc>
        <w:tc>
          <w:tcPr>
            <w:tcW w:w="1540" w:type="dxa"/>
          </w:tcPr>
          <w:p w14:paraId="005A031B" w14:textId="77777777" w:rsidR="00CC5A6E" w:rsidRDefault="00CC5A6E" w:rsidP="00430DD7">
            <w:pPr>
              <w:jc w:val="center"/>
            </w:pPr>
            <w:r>
              <w:t>0.9</w:t>
            </w:r>
          </w:p>
        </w:tc>
        <w:tc>
          <w:tcPr>
            <w:tcW w:w="1541" w:type="dxa"/>
          </w:tcPr>
          <w:p w14:paraId="1835C0B5" w14:textId="77777777" w:rsidR="00CC5A6E" w:rsidRDefault="00CC5A6E" w:rsidP="00430DD7">
            <w:pPr>
              <w:jc w:val="center"/>
            </w:pPr>
            <w:r>
              <w:t>0.85</w:t>
            </w:r>
          </w:p>
        </w:tc>
        <w:tc>
          <w:tcPr>
            <w:tcW w:w="1541" w:type="dxa"/>
          </w:tcPr>
          <w:p w14:paraId="612EA570" w14:textId="77777777" w:rsidR="00CC5A6E" w:rsidRDefault="00CC5A6E" w:rsidP="00430DD7">
            <w:pPr>
              <w:jc w:val="center"/>
            </w:pPr>
            <w:r>
              <w:t>0.8</w:t>
            </w:r>
          </w:p>
        </w:tc>
      </w:tr>
      <w:tr w:rsidR="00CC5A6E" w14:paraId="4A7772D1" w14:textId="77777777" w:rsidTr="009A2787">
        <w:tc>
          <w:tcPr>
            <w:tcW w:w="1540" w:type="dxa"/>
          </w:tcPr>
          <w:p w14:paraId="351B67DA" w14:textId="77777777" w:rsidR="00CC5A6E" w:rsidRDefault="00CC5A6E" w:rsidP="00430DD7">
            <w:r>
              <w:t>6%</w:t>
            </w:r>
          </w:p>
        </w:tc>
        <w:tc>
          <w:tcPr>
            <w:tcW w:w="1540" w:type="dxa"/>
          </w:tcPr>
          <w:p w14:paraId="776BDD86" w14:textId="77777777" w:rsidR="00CC5A6E" w:rsidRDefault="00CC5A6E" w:rsidP="00430DD7">
            <w:pPr>
              <w:jc w:val="center"/>
            </w:pPr>
            <w:r>
              <w:t>128</w:t>
            </w:r>
            <w:r w:rsidRPr="00FB26BF">
              <w:t>%</w:t>
            </w:r>
          </w:p>
        </w:tc>
        <w:tc>
          <w:tcPr>
            <w:tcW w:w="1540" w:type="dxa"/>
          </w:tcPr>
          <w:p w14:paraId="001E5AE4" w14:textId="77777777" w:rsidR="00CC5A6E" w:rsidRDefault="00CC5A6E" w:rsidP="00430DD7">
            <w:pPr>
              <w:jc w:val="center"/>
            </w:pPr>
            <w:r>
              <w:t>94</w:t>
            </w:r>
            <w:r w:rsidRPr="00FB26BF">
              <w:t>%</w:t>
            </w:r>
          </w:p>
        </w:tc>
        <w:tc>
          <w:tcPr>
            <w:tcW w:w="1540" w:type="dxa"/>
          </w:tcPr>
          <w:p w14:paraId="27917E06" w14:textId="77777777" w:rsidR="00CC5A6E" w:rsidRDefault="00CC5A6E" w:rsidP="00430DD7">
            <w:pPr>
              <w:jc w:val="center"/>
            </w:pPr>
            <w:r>
              <w:t>57</w:t>
            </w:r>
            <w:r w:rsidRPr="00FB26BF">
              <w:t>%</w:t>
            </w:r>
          </w:p>
        </w:tc>
        <w:tc>
          <w:tcPr>
            <w:tcW w:w="1541" w:type="dxa"/>
          </w:tcPr>
          <w:p w14:paraId="139C7191" w14:textId="77777777" w:rsidR="00CC5A6E" w:rsidRDefault="00CC5A6E" w:rsidP="00430DD7">
            <w:pPr>
              <w:jc w:val="center"/>
            </w:pPr>
            <w:r>
              <w:t>40</w:t>
            </w:r>
            <w:r w:rsidRPr="00FB26BF">
              <w:t>%</w:t>
            </w:r>
          </w:p>
        </w:tc>
        <w:tc>
          <w:tcPr>
            <w:tcW w:w="1541" w:type="dxa"/>
          </w:tcPr>
          <w:p w14:paraId="73BD912D" w14:textId="77777777" w:rsidR="00CC5A6E" w:rsidRDefault="00CC5A6E" w:rsidP="00430DD7">
            <w:pPr>
              <w:jc w:val="center"/>
            </w:pPr>
            <w:r>
              <w:t>30</w:t>
            </w:r>
            <w:r w:rsidRPr="00FB26BF">
              <w:t>%</w:t>
            </w:r>
          </w:p>
        </w:tc>
      </w:tr>
      <w:tr w:rsidR="00CC5A6E" w14:paraId="1C5FE863" w14:textId="77777777" w:rsidTr="009A2787">
        <w:tc>
          <w:tcPr>
            <w:tcW w:w="1540" w:type="dxa"/>
          </w:tcPr>
          <w:p w14:paraId="637CA559" w14:textId="77777777" w:rsidR="00CC5A6E" w:rsidRDefault="00CC5A6E" w:rsidP="00430DD7">
            <w:r>
              <w:t>5%</w:t>
            </w:r>
          </w:p>
        </w:tc>
        <w:tc>
          <w:tcPr>
            <w:tcW w:w="1540" w:type="dxa"/>
          </w:tcPr>
          <w:p w14:paraId="3FE036FA" w14:textId="77777777" w:rsidR="00CC5A6E" w:rsidRDefault="00CC5A6E" w:rsidP="00430DD7">
            <w:pPr>
              <w:jc w:val="center"/>
            </w:pPr>
            <w:r>
              <w:t>106</w:t>
            </w:r>
            <w:r w:rsidRPr="00FB26BF">
              <w:t>%</w:t>
            </w:r>
          </w:p>
        </w:tc>
        <w:tc>
          <w:tcPr>
            <w:tcW w:w="1540" w:type="dxa"/>
          </w:tcPr>
          <w:p w14:paraId="17A9E106" w14:textId="77777777" w:rsidR="00CC5A6E" w:rsidRDefault="00CC5A6E" w:rsidP="00430DD7">
            <w:pPr>
              <w:jc w:val="center"/>
            </w:pPr>
            <w:r>
              <w:t>79</w:t>
            </w:r>
            <w:r w:rsidRPr="00FB26BF">
              <w:t>%</w:t>
            </w:r>
          </w:p>
        </w:tc>
        <w:tc>
          <w:tcPr>
            <w:tcW w:w="1540" w:type="dxa"/>
          </w:tcPr>
          <w:p w14:paraId="6B2A729A" w14:textId="77777777" w:rsidR="00CC5A6E" w:rsidRDefault="00CC5A6E" w:rsidP="00430DD7">
            <w:pPr>
              <w:jc w:val="center"/>
            </w:pPr>
            <w:r>
              <w:t>48</w:t>
            </w:r>
            <w:r w:rsidRPr="00FB26BF">
              <w:t>%</w:t>
            </w:r>
          </w:p>
        </w:tc>
        <w:tc>
          <w:tcPr>
            <w:tcW w:w="1541" w:type="dxa"/>
          </w:tcPr>
          <w:p w14:paraId="567B6C77" w14:textId="77777777" w:rsidR="00CC5A6E" w:rsidRDefault="00CC5A6E" w:rsidP="00430DD7">
            <w:pPr>
              <w:jc w:val="center"/>
            </w:pPr>
            <w:r>
              <w:t>33</w:t>
            </w:r>
            <w:r w:rsidRPr="00FB26BF">
              <w:t>%</w:t>
            </w:r>
          </w:p>
        </w:tc>
        <w:tc>
          <w:tcPr>
            <w:tcW w:w="1541" w:type="dxa"/>
          </w:tcPr>
          <w:p w14:paraId="57FCE812" w14:textId="77777777" w:rsidR="00CC5A6E" w:rsidRDefault="00CC5A6E" w:rsidP="00430DD7">
            <w:pPr>
              <w:jc w:val="center"/>
            </w:pPr>
            <w:r>
              <w:t>25</w:t>
            </w:r>
            <w:r w:rsidRPr="00FB26BF">
              <w:t>%</w:t>
            </w:r>
          </w:p>
        </w:tc>
      </w:tr>
      <w:tr w:rsidR="00CC5A6E" w14:paraId="432FE2D5" w14:textId="77777777" w:rsidTr="009A2787">
        <w:tc>
          <w:tcPr>
            <w:tcW w:w="1540" w:type="dxa"/>
          </w:tcPr>
          <w:p w14:paraId="2662DC62" w14:textId="77777777" w:rsidR="00CC5A6E" w:rsidRDefault="00CC5A6E" w:rsidP="00430DD7">
            <w:r>
              <w:t>4%</w:t>
            </w:r>
          </w:p>
        </w:tc>
        <w:tc>
          <w:tcPr>
            <w:tcW w:w="1540" w:type="dxa"/>
          </w:tcPr>
          <w:p w14:paraId="39AD5AD7" w14:textId="77777777" w:rsidR="00CC5A6E" w:rsidRDefault="00CC5A6E" w:rsidP="00430DD7">
            <w:pPr>
              <w:jc w:val="center"/>
            </w:pPr>
            <w:r>
              <w:t>85</w:t>
            </w:r>
            <w:r w:rsidRPr="00FB26BF">
              <w:t>%</w:t>
            </w:r>
          </w:p>
        </w:tc>
        <w:tc>
          <w:tcPr>
            <w:tcW w:w="1540" w:type="dxa"/>
          </w:tcPr>
          <w:p w14:paraId="4A82CFA2" w14:textId="77777777" w:rsidR="00CC5A6E" w:rsidRDefault="00CC5A6E" w:rsidP="00430DD7">
            <w:pPr>
              <w:jc w:val="center"/>
            </w:pPr>
            <w:r>
              <w:t>63</w:t>
            </w:r>
            <w:r w:rsidRPr="00FB26BF">
              <w:t>%</w:t>
            </w:r>
          </w:p>
        </w:tc>
        <w:tc>
          <w:tcPr>
            <w:tcW w:w="1540" w:type="dxa"/>
          </w:tcPr>
          <w:p w14:paraId="1764586A" w14:textId="77777777" w:rsidR="00CC5A6E" w:rsidRDefault="00CC5A6E" w:rsidP="00430DD7">
            <w:pPr>
              <w:jc w:val="center"/>
            </w:pPr>
            <w:r>
              <w:t>38</w:t>
            </w:r>
            <w:r w:rsidRPr="00FB26BF">
              <w:t>%</w:t>
            </w:r>
          </w:p>
        </w:tc>
        <w:tc>
          <w:tcPr>
            <w:tcW w:w="1541" w:type="dxa"/>
          </w:tcPr>
          <w:p w14:paraId="7FA096D2" w14:textId="77777777" w:rsidR="00CC5A6E" w:rsidRDefault="00CC5A6E" w:rsidP="00430DD7">
            <w:pPr>
              <w:jc w:val="center"/>
            </w:pPr>
            <w:r>
              <w:t>26</w:t>
            </w:r>
            <w:r w:rsidRPr="00FB26BF">
              <w:t>%</w:t>
            </w:r>
          </w:p>
        </w:tc>
        <w:tc>
          <w:tcPr>
            <w:tcW w:w="1541" w:type="dxa"/>
          </w:tcPr>
          <w:p w14:paraId="4EC6FEF5" w14:textId="77777777" w:rsidR="00CC5A6E" w:rsidRDefault="00CC5A6E" w:rsidP="00430DD7">
            <w:pPr>
              <w:jc w:val="center"/>
            </w:pPr>
            <w:r>
              <w:t>20</w:t>
            </w:r>
            <w:r w:rsidRPr="00FB26BF">
              <w:t>%</w:t>
            </w:r>
          </w:p>
        </w:tc>
      </w:tr>
      <w:tr w:rsidR="00CC5A6E" w14:paraId="0DF588D3" w14:textId="77777777" w:rsidTr="009A2787">
        <w:tc>
          <w:tcPr>
            <w:tcW w:w="1540" w:type="dxa"/>
          </w:tcPr>
          <w:p w14:paraId="1F1DD973" w14:textId="77777777" w:rsidR="00CC5A6E" w:rsidRDefault="00CC5A6E" w:rsidP="00430DD7">
            <w:r>
              <w:t>3%</w:t>
            </w:r>
          </w:p>
        </w:tc>
        <w:tc>
          <w:tcPr>
            <w:tcW w:w="1540" w:type="dxa"/>
          </w:tcPr>
          <w:p w14:paraId="572BE2F9" w14:textId="77777777" w:rsidR="00CC5A6E" w:rsidRDefault="00CC5A6E" w:rsidP="00430DD7">
            <w:pPr>
              <w:jc w:val="center"/>
            </w:pPr>
            <w:r>
              <w:t>64</w:t>
            </w:r>
            <w:r w:rsidRPr="00FB26BF">
              <w:t>%</w:t>
            </w:r>
          </w:p>
        </w:tc>
        <w:tc>
          <w:tcPr>
            <w:tcW w:w="1540" w:type="dxa"/>
          </w:tcPr>
          <w:p w14:paraId="49AF4E43" w14:textId="77777777" w:rsidR="00CC5A6E" w:rsidRDefault="00CC5A6E" w:rsidP="00430DD7">
            <w:pPr>
              <w:jc w:val="center"/>
            </w:pPr>
            <w:r>
              <w:t>47</w:t>
            </w:r>
            <w:r w:rsidRPr="00FB26BF">
              <w:t>%</w:t>
            </w:r>
          </w:p>
        </w:tc>
        <w:tc>
          <w:tcPr>
            <w:tcW w:w="1540" w:type="dxa"/>
          </w:tcPr>
          <w:p w14:paraId="655A3814" w14:textId="77777777" w:rsidR="00CC5A6E" w:rsidRDefault="00CC5A6E" w:rsidP="00430DD7">
            <w:pPr>
              <w:jc w:val="center"/>
            </w:pPr>
            <w:r>
              <w:t>29</w:t>
            </w:r>
            <w:r w:rsidRPr="00FB26BF">
              <w:t>%</w:t>
            </w:r>
          </w:p>
        </w:tc>
        <w:tc>
          <w:tcPr>
            <w:tcW w:w="1541" w:type="dxa"/>
          </w:tcPr>
          <w:p w14:paraId="51264C01" w14:textId="77777777" w:rsidR="00CC5A6E" w:rsidRDefault="00CC5A6E" w:rsidP="00430DD7">
            <w:pPr>
              <w:jc w:val="center"/>
            </w:pPr>
            <w:r>
              <w:t>20</w:t>
            </w:r>
            <w:r w:rsidRPr="00FB26BF">
              <w:t>%</w:t>
            </w:r>
          </w:p>
        </w:tc>
        <w:tc>
          <w:tcPr>
            <w:tcW w:w="1541" w:type="dxa"/>
          </w:tcPr>
          <w:p w14:paraId="453E9C0D" w14:textId="77777777" w:rsidR="00CC5A6E" w:rsidRDefault="00CC5A6E" w:rsidP="00430DD7">
            <w:pPr>
              <w:jc w:val="center"/>
            </w:pPr>
            <w:r>
              <w:t>15</w:t>
            </w:r>
            <w:r w:rsidRPr="00FB26BF">
              <w:t>%</w:t>
            </w:r>
          </w:p>
        </w:tc>
      </w:tr>
      <w:tr w:rsidR="00CC5A6E" w14:paraId="379115AF" w14:textId="77777777" w:rsidTr="009A2787">
        <w:tc>
          <w:tcPr>
            <w:tcW w:w="1540" w:type="dxa"/>
          </w:tcPr>
          <w:p w14:paraId="1F8EC1EC" w14:textId="77777777" w:rsidR="00CC5A6E" w:rsidRDefault="00CC5A6E" w:rsidP="00430DD7">
            <w:r>
              <w:t>2%</w:t>
            </w:r>
          </w:p>
        </w:tc>
        <w:tc>
          <w:tcPr>
            <w:tcW w:w="1540" w:type="dxa"/>
          </w:tcPr>
          <w:p w14:paraId="42B24836" w14:textId="77777777" w:rsidR="00CC5A6E" w:rsidRDefault="00CC5A6E" w:rsidP="00430DD7">
            <w:pPr>
              <w:jc w:val="center"/>
            </w:pPr>
            <w:r>
              <w:t>43</w:t>
            </w:r>
            <w:r w:rsidRPr="00FB26BF">
              <w:t>%</w:t>
            </w:r>
          </w:p>
        </w:tc>
        <w:tc>
          <w:tcPr>
            <w:tcW w:w="1540" w:type="dxa"/>
          </w:tcPr>
          <w:p w14:paraId="4C89126A" w14:textId="77777777" w:rsidR="00CC5A6E" w:rsidRDefault="00CC5A6E" w:rsidP="00430DD7">
            <w:pPr>
              <w:jc w:val="center"/>
            </w:pPr>
            <w:r>
              <w:t>31</w:t>
            </w:r>
            <w:r w:rsidRPr="00FB26BF">
              <w:t>%</w:t>
            </w:r>
          </w:p>
        </w:tc>
        <w:tc>
          <w:tcPr>
            <w:tcW w:w="1540" w:type="dxa"/>
          </w:tcPr>
          <w:p w14:paraId="41943B55" w14:textId="77777777" w:rsidR="00CC5A6E" w:rsidRDefault="00CC5A6E" w:rsidP="00430DD7">
            <w:pPr>
              <w:jc w:val="center"/>
            </w:pPr>
            <w:r>
              <w:t>19</w:t>
            </w:r>
            <w:r w:rsidRPr="00FB26BF">
              <w:t>%</w:t>
            </w:r>
          </w:p>
        </w:tc>
        <w:tc>
          <w:tcPr>
            <w:tcW w:w="1541" w:type="dxa"/>
          </w:tcPr>
          <w:p w14:paraId="6EB50903" w14:textId="77777777" w:rsidR="00CC5A6E" w:rsidRDefault="00CC5A6E" w:rsidP="00430DD7">
            <w:pPr>
              <w:jc w:val="center"/>
            </w:pPr>
            <w:r>
              <w:t>13</w:t>
            </w:r>
            <w:r w:rsidRPr="00FB26BF">
              <w:t>%</w:t>
            </w:r>
          </w:p>
        </w:tc>
        <w:tc>
          <w:tcPr>
            <w:tcW w:w="1541" w:type="dxa"/>
          </w:tcPr>
          <w:p w14:paraId="3227AFD4" w14:textId="77777777" w:rsidR="00CC5A6E" w:rsidRDefault="00CC5A6E" w:rsidP="00430DD7">
            <w:pPr>
              <w:jc w:val="center"/>
            </w:pPr>
            <w:r>
              <w:t>10</w:t>
            </w:r>
            <w:r w:rsidRPr="00FB26BF">
              <w:t>%</w:t>
            </w:r>
          </w:p>
        </w:tc>
      </w:tr>
    </w:tbl>
    <w:p w14:paraId="53F9A0DB" w14:textId="77777777" w:rsidR="00CC5A6E" w:rsidRDefault="00CC5A6E" w:rsidP="00CC5A6E">
      <w:pPr>
        <w:pStyle w:val="Nadpis2"/>
      </w:pPr>
    </w:p>
    <w:p w14:paraId="2A9CD9EF" w14:textId="19EA067F" w:rsidR="00CC5A6E" w:rsidRPr="00CE6C01" w:rsidRDefault="00274B9E" w:rsidP="00CC5A6E">
      <w:pPr>
        <w:rPr>
          <w:b/>
          <w:bCs/>
          <w:u w:val="single"/>
        </w:rPr>
      </w:pPr>
      <w:r w:rsidRPr="00CE6C01">
        <w:rPr>
          <w:b/>
          <w:bCs/>
          <w:u w:val="single"/>
        </w:rPr>
        <w:t xml:space="preserve">Maximum sensitivity of risk margin </w:t>
      </w:r>
      <w:r>
        <w:rPr>
          <w:b/>
          <w:bCs/>
          <w:u w:val="single"/>
        </w:rPr>
        <w:t>to</w:t>
      </w:r>
      <w:r w:rsidRPr="00CE6C01">
        <w:rPr>
          <w:b/>
          <w:bCs/>
          <w:u w:val="single"/>
        </w:rPr>
        <w:t xml:space="preserve"> 1% </w:t>
      </w:r>
      <w:r>
        <w:rPr>
          <w:b/>
          <w:bCs/>
          <w:u w:val="single"/>
        </w:rPr>
        <w:t>fall</w:t>
      </w:r>
      <w:r w:rsidRPr="00CE6C01">
        <w:rPr>
          <w:b/>
          <w:bCs/>
          <w:u w:val="single"/>
        </w:rPr>
        <w:t xml:space="preserve"> in interest rates</w:t>
      </w:r>
      <w:r>
        <w:rPr>
          <w:b/>
          <w:bCs/>
          <w:u w:val="single"/>
        </w:rPr>
        <w:t xml:space="preserve"> (as a percentage of SCR)</w:t>
      </w:r>
    </w:p>
    <w:tbl>
      <w:tblPr>
        <w:tblStyle w:val="Mriekatabuky"/>
        <w:tblW w:w="0" w:type="auto"/>
        <w:tblLook w:val="04A0" w:firstRow="1" w:lastRow="0" w:firstColumn="1" w:lastColumn="0" w:noHBand="0" w:noVBand="1"/>
      </w:tblPr>
      <w:tblGrid>
        <w:gridCol w:w="1509"/>
        <w:gridCol w:w="1504"/>
        <w:gridCol w:w="1504"/>
        <w:gridCol w:w="1499"/>
        <w:gridCol w:w="1500"/>
        <w:gridCol w:w="1500"/>
      </w:tblGrid>
      <w:tr w:rsidR="00CC5A6E" w14:paraId="267261EF" w14:textId="77777777" w:rsidTr="009A2787">
        <w:tc>
          <w:tcPr>
            <w:tcW w:w="1540" w:type="dxa"/>
          </w:tcPr>
          <w:p w14:paraId="5E6180A3" w14:textId="77777777" w:rsidR="00CC5A6E" w:rsidRDefault="00CC5A6E" w:rsidP="00430DD7">
            <w:proofErr w:type="spellStart"/>
            <w:r>
              <w:t>CoC</w:t>
            </w:r>
            <w:proofErr w:type="spellEnd"/>
            <w:r>
              <w:t xml:space="preserve"> / lambda</w:t>
            </w:r>
          </w:p>
        </w:tc>
        <w:tc>
          <w:tcPr>
            <w:tcW w:w="1540" w:type="dxa"/>
          </w:tcPr>
          <w:p w14:paraId="5D90CCBF" w14:textId="77777777" w:rsidR="00CC5A6E" w:rsidRDefault="00CC5A6E" w:rsidP="00430DD7">
            <w:pPr>
              <w:jc w:val="center"/>
            </w:pPr>
            <w:r>
              <w:t>0.975</w:t>
            </w:r>
          </w:p>
        </w:tc>
        <w:tc>
          <w:tcPr>
            <w:tcW w:w="1540" w:type="dxa"/>
          </w:tcPr>
          <w:p w14:paraId="170BABEF" w14:textId="77777777" w:rsidR="00CC5A6E" w:rsidRDefault="00CC5A6E" w:rsidP="00430DD7">
            <w:pPr>
              <w:jc w:val="center"/>
            </w:pPr>
            <w:r>
              <w:t>0.95</w:t>
            </w:r>
          </w:p>
        </w:tc>
        <w:tc>
          <w:tcPr>
            <w:tcW w:w="1540" w:type="dxa"/>
          </w:tcPr>
          <w:p w14:paraId="35CF9C8F" w14:textId="77777777" w:rsidR="00CC5A6E" w:rsidRDefault="00CC5A6E" w:rsidP="00430DD7">
            <w:pPr>
              <w:jc w:val="center"/>
            </w:pPr>
            <w:r>
              <w:t>0.9</w:t>
            </w:r>
          </w:p>
        </w:tc>
        <w:tc>
          <w:tcPr>
            <w:tcW w:w="1541" w:type="dxa"/>
          </w:tcPr>
          <w:p w14:paraId="78B5DE48" w14:textId="77777777" w:rsidR="00CC5A6E" w:rsidRDefault="00CC5A6E" w:rsidP="00430DD7">
            <w:pPr>
              <w:jc w:val="center"/>
            </w:pPr>
            <w:r>
              <w:t>0.85</w:t>
            </w:r>
          </w:p>
        </w:tc>
        <w:tc>
          <w:tcPr>
            <w:tcW w:w="1541" w:type="dxa"/>
          </w:tcPr>
          <w:p w14:paraId="741D632B" w14:textId="77777777" w:rsidR="00CC5A6E" w:rsidRDefault="00CC5A6E" w:rsidP="00430DD7">
            <w:pPr>
              <w:jc w:val="center"/>
            </w:pPr>
            <w:r>
              <w:t>0.8</w:t>
            </w:r>
          </w:p>
        </w:tc>
      </w:tr>
      <w:tr w:rsidR="00CC5A6E" w14:paraId="075C0AE7" w14:textId="77777777" w:rsidTr="009A2787">
        <w:tc>
          <w:tcPr>
            <w:tcW w:w="1540" w:type="dxa"/>
          </w:tcPr>
          <w:p w14:paraId="0D23C44D" w14:textId="77777777" w:rsidR="00CC5A6E" w:rsidRDefault="00CC5A6E" w:rsidP="00430DD7">
            <w:r>
              <w:t>6%</w:t>
            </w:r>
          </w:p>
        </w:tc>
        <w:tc>
          <w:tcPr>
            <w:tcW w:w="1540" w:type="dxa"/>
          </w:tcPr>
          <w:p w14:paraId="302E7379" w14:textId="77777777" w:rsidR="00CC5A6E" w:rsidRDefault="00CC5A6E" w:rsidP="00430DD7">
            <w:pPr>
              <w:jc w:val="center"/>
            </w:pPr>
            <w:r>
              <w:t>15.8</w:t>
            </w:r>
            <w:r w:rsidRPr="00B75BE5">
              <w:t>%</w:t>
            </w:r>
          </w:p>
        </w:tc>
        <w:tc>
          <w:tcPr>
            <w:tcW w:w="1540" w:type="dxa"/>
          </w:tcPr>
          <w:p w14:paraId="0110B6F6" w14:textId="77777777" w:rsidR="00CC5A6E" w:rsidRDefault="00CC5A6E" w:rsidP="00430DD7">
            <w:pPr>
              <w:jc w:val="center"/>
            </w:pPr>
            <w:r>
              <w:t>10.2</w:t>
            </w:r>
            <w:r w:rsidRPr="00B75BE5">
              <w:t>%</w:t>
            </w:r>
          </w:p>
        </w:tc>
        <w:tc>
          <w:tcPr>
            <w:tcW w:w="1540" w:type="dxa"/>
          </w:tcPr>
          <w:p w14:paraId="7947B236" w14:textId="77777777" w:rsidR="00CC5A6E" w:rsidRDefault="00CC5A6E" w:rsidP="00430DD7">
            <w:pPr>
              <w:jc w:val="center"/>
            </w:pPr>
            <w:r>
              <w:t>4.6</w:t>
            </w:r>
            <w:r w:rsidRPr="00B75BE5">
              <w:t>%</w:t>
            </w:r>
          </w:p>
        </w:tc>
        <w:tc>
          <w:tcPr>
            <w:tcW w:w="1541" w:type="dxa"/>
          </w:tcPr>
          <w:p w14:paraId="4E8CC052" w14:textId="77777777" w:rsidR="00CC5A6E" w:rsidRDefault="00CC5A6E" w:rsidP="00430DD7">
            <w:pPr>
              <w:jc w:val="center"/>
            </w:pPr>
            <w:r>
              <w:t>2.4</w:t>
            </w:r>
            <w:r w:rsidRPr="00B75BE5">
              <w:t>%</w:t>
            </w:r>
          </w:p>
        </w:tc>
        <w:tc>
          <w:tcPr>
            <w:tcW w:w="1541" w:type="dxa"/>
          </w:tcPr>
          <w:p w14:paraId="08BAF52A" w14:textId="77777777" w:rsidR="00CC5A6E" w:rsidRDefault="00CC5A6E" w:rsidP="00430DD7">
            <w:pPr>
              <w:jc w:val="center"/>
            </w:pPr>
            <w:r>
              <w:t>1.4</w:t>
            </w:r>
            <w:r w:rsidRPr="00B75BE5">
              <w:t>%</w:t>
            </w:r>
          </w:p>
        </w:tc>
      </w:tr>
      <w:tr w:rsidR="00CC5A6E" w14:paraId="0FCB5FFB" w14:textId="77777777" w:rsidTr="009A2787">
        <w:tc>
          <w:tcPr>
            <w:tcW w:w="1540" w:type="dxa"/>
          </w:tcPr>
          <w:p w14:paraId="711AEDB2" w14:textId="77777777" w:rsidR="00CC5A6E" w:rsidRDefault="00CC5A6E" w:rsidP="00430DD7">
            <w:r>
              <w:t>5%</w:t>
            </w:r>
          </w:p>
        </w:tc>
        <w:tc>
          <w:tcPr>
            <w:tcW w:w="1540" w:type="dxa"/>
          </w:tcPr>
          <w:p w14:paraId="311DC531" w14:textId="77777777" w:rsidR="00CC5A6E" w:rsidRDefault="00CC5A6E" w:rsidP="00430DD7">
            <w:pPr>
              <w:jc w:val="center"/>
            </w:pPr>
            <w:r>
              <w:t>13.2</w:t>
            </w:r>
            <w:r w:rsidRPr="00B75BE5">
              <w:t>%</w:t>
            </w:r>
          </w:p>
        </w:tc>
        <w:tc>
          <w:tcPr>
            <w:tcW w:w="1540" w:type="dxa"/>
          </w:tcPr>
          <w:p w14:paraId="5E22C8A2" w14:textId="77777777" w:rsidR="00CC5A6E" w:rsidRDefault="00CC5A6E" w:rsidP="00430DD7">
            <w:pPr>
              <w:jc w:val="center"/>
            </w:pPr>
            <w:r>
              <w:t>8.5</w:t>
            </w:r>
            <w:r w:rsidRPr="00B75BE5">
              <w:t>%</w:t>
            </w:r>
          </w:p>
        </w:tc>
        <w:tc>
          <w:tcPr>
            <w:tcW w:w="1540" w:type="dxa"/>
          </w:tcPr>
          <w:p w14:paraId="7777D4E7" w14:textId="77777777" w:rsidR="00CC5A6E" w:rsidRDefault="00CC5A6E" w:rsidP="00430DD7">
            <w:pPr>
              <w:jc w:val="center"/>
            </w:pPr>
            <w:r>
              <w:t>3.9</w:t>
            </w:r>
            <w:r w:rsidRPr="00B75BE5">
              <w:t>%</w:t>
            </w:r>
          </w:p>
        </w:tc>
        <w:tc>
          <w:tcPr>
            <w:tcW w:w="1541" w:type="dxa"/>
          </w:tcPr>
          <w:p w14:paraId="4B2F8AE4" w14:textId="77777777" w:rsidR="00CC5A6E" w:rsidRDefault="00CC5A6E" w:rsidP="00430DD7">
            <w:pPr>
              <w:jc w:val="center"/>
            </w:pPr>
            <w:r>
              <w:t>2.0</w:t>
            </w:r>
            <w:r w:rsidRPr="00B75BE5">
              <w:t>%</w:t>
            </w:r>
          </w:p>
        </w:tc>
        <w:tc>
          <w:tcPr>
            <w:tcW w:w="1541" w:type="dxa"/>
          </w:tcPr>
          <w:p w14:paraId="79F03919" w14:textId="77777777" w:rsidR="00CC5A6E" w:rsidRDefault="00CC5A6E" w:rsidP="00430DD7">
            <w:pPr>
              <w:jc w:val="center"/>
            </w:pPr>
            <w:r>
              <w:t>1.2</w:t>
            </w:r>
            <w:r w:rsidRPr="00B75BE5">
              <w:t>%</w:t>
            </w:r>
          </w:p>
        </w:tc>
      </w:tr>
      <w:tr w:rsidR="00CC5A6E" w14:paraId="4E6B303C" w14:textId="77777777" w:rsidTr="009A2787">
        <w:tc>
          <w:tcPr>
            <w:tcW w:w="1540" w:type="dxa"/>
          </w:tcPr>
          <w:p w14:paraId="082DE93E" w14:textId="77777777" w:rsidR="00CC5A6E" w:rsidRDefault="00CC5A6E" w:rsidP="00430DD7">
            <w:r>
              <w:t>4%</w:t>
            </w:r>
          </w:p>
        </w:tc>
        <w:tc>
          <w:tcPr>
            <w:tcW w:w="1540" w:type="dxa"/>
          </w:tcPr>
          <w:p w14:paraId="6459A6D2" w14:textId="77777777" w:rsidR="00CC5A6E" w:rsidRDefault="00CC5A6E" w:rsidP="00430DD7">
            <w:pPr>
              <w:jc w:val="center"/>
            </w:pPr>
            <w:r>
              <w:t>10.5</w:t>
            </w:r>
            <w:r w:rsidRPr="00B75BE5">
              <w:t>%</w:t>
            </w:r>
          </w:p>
        </w:tc>
        <w:tc>
          <w:tcPr>
            <w:tcW w:w="1540" w:type="dxa"/>
          </w:tcPr>
          <w:p w14:paraId="5E61A213" w14:textId="77777777" w:rsidR="00CC5A6E" w:rsidRDefault="00CC5A6E" w:rsidP="00430DD7">
            <w:pPr>
              <w:jc w:val="center"/>
            </w:pPr>
            <w:r>
              <w:t>6.8</w:t>
            </w:r>
            <w:r w:rsidRPr="00B75BE5">
              <w:t>%</w:t>
            </w:r>
          </w:p>
        </w:tc>
        <w:tc>
          <w:tcPr>
            <w:tcW w:w="1540" w:type="dxa"/>
          </w:tcPr>
          <w:p w14:paraId="6293A04C" w14:textId="77777777" w:rsidR="00CC5A6E" w:rsidRDefault="00CC5A6E" w:rsidP="00430DD7">
            <w:pPr>
              <w:jc w:val="center"/>
            </w:pPr>
            <w:r>
              <w:t>3.1</w:t>
            </w:r>
            <w:r w:rsidRPr="00B75BE5">
              <w:t>%</w:t>
            </w:r>
          </w:p>
        </w:tc>
        <w:tc>
          <w:tcPr>
            <w:tcW w:w="1541" w:type="dxa"/>
          </w:tcPr>
          <w:p w14:paraId="547964F1" w14:textId="77777777" w:rsidR="00CC5A6E" w:rsidRDefault="00CC5A6E" w:rsidP="00430DD7">
            <w:pPr>
              <w:jc w:val="center"/>
            </w:pPr>
            <w:r>
              <w:t>1.6</w:t>
            </w:r>
            <w:r w:rsidRPr="00B75BE5">
              <w:t>%</w:t>
            </w:r>
          </w:p>
        </w:tc>
        <w:tc>
          <w:tcPr>
            <w:tcW w:w="1541" w:type="dxa"/>
          </w:tcPr>
          <w:p w14:paraId="50224984" w14:textId="77777777" w:rsidR="00CC5A6E" w:rsidRDefault="00CC5A6E" w:rsidP="00430DD7">
            <w:pPr>
              <w:jc w:val="center"/>
            </w:pPr>
            <w:r>
              <w:t>0.9</w:t>
            </w:r>
            <w:r w:rsidRPr="00B75BE5">
              <w:t>%</w:t>
            </w:r>
          </w:p>
        </w:tc>
      </w:tr>
      <w:tr w:rsidR="00CC5A6E" w14:paraId="6E2AC48E" w14:textId="77777777" w:rsidTr="009A2787">
        <w:tc>
          <w:tcPr>
            <w:tcW w:w="1540" w:type="dxa"/>
          </w:tcPr>
          <w:p w14:paraId="01263B21" w14:textId="77777777" w:rsidR="00CC5A6E" w:rsidRDefault="00CC5A6E" w:rsidP="00430DD7">
            <w:r>
              <w:t>3%</w:t>
            </w:r>
          </w:p>
        </w:tc>
        <w:tc>
          <w:tcPr>
            <w:tcW w:w="1540" w:type="dxa"/>
          </w:tcPr>
          <w:p w14:paraId="32B6FF7C" w14:textId="77777777" w:rsidR="00CC5A6E" w:rsidRDefault="00CC5A6E" w:rsidP="00430DD7">
            <w:pPr>
              <w:jc w:val="center"/>
            </w:pPr>
            <w:r>
              <w:t>7.9</w:t>
            </w:r>
            <w:r w:rsidRPr="00B75BE5">
              <w:t>%</w:t>
            </w:r>
          </w:p>
        </w:tc>
        <w:tc>
          <w:tcPr>
            <w:tcW w:w="1540" w:type="dxa"/>
          </w:tcPr>
          <w:p w14:paraId="31740F1E" w14:textId="77777777" w:rsidR="00CC5A6E" w:rsidRDefault="00CC5A6E" w:rsidP="00430DD7">
            <w:pPr>
              <w:jc w:val="center"/>
            </w:pPr>
            <w:r>
              <w:t>5.1</w:t>
            </w:r>
            <w:r w:rsidRPr="00B75BE5">
              <w:t>%</w:t>
            </w:r>
          </w:p>
        </w:tc>
        <w:tc>
          <w:tcPr>
            <w:tcW w:w="1540" w:type="dxa"/>
          </w:tcPr>
          <w:p w14:paraId="4C74B36C" w14:textId="77777777" w:rsidR="00CC5A6E" w:rsidRDefault="00CC5A6E" w:rsidP="00430DD7">
            <w:pPr>
              <w:jc w:val="center"/>
            </w:pPr>
            <w:r>
              <w:t>2.3</w:t>
            </w:r>
            <w:r w:rsidRPr="00B75BE5">
              <w:t>%</w:t>
            </w:r>
          </w:p>
        </w:tc>
        <w:tc>
          <w:tcPr>
            <w:tcW w:w="1541" w:type="dxa"/>
          </w:tcPr>
          <w:p w14:paraId="34141D4D" w14:textId="77777777" w:rsidR="00CC5A6E" w:rsidRDefault="00CC5A6E" w:rsidP="00430DD7">
            <w:pPr>
              <w:jc w:val="center"/>
            </w:pPr>
            <w:r>
              <w:t>1.2</w:t>
            </w:r>
            <w:r w:rsidRPr="00B75BE5">
              <w:t>%</w:t>
            </w:r>
          </w:p>
        </w:tc>
        <w:tc>
          <w:tcPr>
            <w:tcW w:w="1541" w:type="dxa"/>
          </w:tcPr>
          <w:p w14:paraId="02B4D3B7" w14:textId="77777777" w:rsidR="00CC5A6E" w:rsidRDefault="00CC5A6E" w:rsidP="00430DD7">
            <w:pPr>
              <w:jc w:val="center"/>
            </w:pPr>
            <w:r>
              <w:t>0.7</w:t>
            </w:r>
            <w:r w:rsidRPr="00B75BE5">
              <w:t>%</w:t>
            </w:r>
          </w:p>
        </w:tc>
      </w:tr>
      <w:tr w:rsidR="00CC5A6E" w14:paraId="0E0EB364" w14:textId="77777777" w:rsidTr="009A2787">
        <w:tc>
          <w:tcPr>
            <w:tcW w:w="1540" w:type="dxa"/>
          </w:tcPr>
          <w:p w14:paraId="79C37AD0" w14:textId="77777777" w:rsidR="00CC5A6E" w:rsidRDefault="00CC5A6E" w:rsidP="00430DD7">
            <w:r>
              <w:t>2%</w:t>
            </w:r>
          </w:p>
        </w:tc>
        <w:tc>
          <w:tcPr>
            <w:tcW w:w="1540" w:type="dxa"/>
          </w:tcPr>
          <w:p w14:paraId="5B4B7ED0" w14:textId="77777777" w:rsidR="00CC5A6E" w:rsidRDefault="00CC5A6E" w:rsidP="00430DD7">
            <w:pPr>
              <w:jc w:val="center"/>
            </w:pPr>
            <w:r>
              <w:t>5.3</w:t>
            </w:r>
            <w:r w:rsidRPr="00B75BE5">
              <w:t>%</w:t>
            </w:r>
          </w:p>
        </w:tc>
        <w:tc>
          <w:tcPr>
            <w:tcW w:w="1540" w:type="dxa"/>
          </w:tcPr>
          <w:p w14:paraId="7A4CD823" w14:textId="77777777" w:rsidR="00CC5A6E" w:rsidRDefault="00CC5A6E" w:rsidP="00430DD7">
            <w:pPr>
              <w:jc w:val="center"/>
            </w:pPr>
            <w:r>
              <w:t>3.4</w:t>
            </w:r>
            <w:r w:rsidRPr="00B75BE5">
              <w:t>%</w:t>
            </w:r>
          </w:p>
        </w:tc>
        <w:tc>
          <w:tcPr>
            <w:tcW w:w="1540" w:type="dxa"/>
          </w:tcPr>
          <w:p w14:paraId="710CAA1A" w14:textId="77777777" w:rsidR="00CC5A6E" w:rsidRDefault="00CC5A6E" w:rsidP="00430DD7">
            <w:pPr>
              <w:jc w:val="center"/>
            </w:pPr>
            <w:r>
              <w:t>1.5</w:t>
            </w:r>
            <w:r w:rsidRPr="00B75BE5">
              <w:t>%</w:t>
            </w:r>
          </w:p>
        </w:tc>
        <w:tc>
          <w:tcPr>
            <w:tcW w:w="1541" w:type="dxa"/>
          </w:tcPr>
          <w:p w14:paraId="0DE69D29" w14:textId="77777777" w:rsidR="00CC5A6E" w:rsidRDefault="00CC5A6E" w:rsidP="00430DD7">
            <w:pPr>
              <w:jc w:val="center"/>
            </w:pPr>
            <w:r>
              <w:t>0.8</w:t>
            </w:r>
            <w:r w:rsidRPr="00B75BE5">
              <w:t>%</w:t>
            </w:r>
          </w:p>
        </w:tc>
        <w:tc>
          <w:tcPr>
            <w:tcW w:w="1541" w:type="dxa"/>
          </w:tcPr>
          <w:p w14:paraId="6327EF28" w14:textId="77777777" w:rsidR="00CC5A6E" w:rsidRDefault="00CC5A6E" w:rsidP="00430DD7">
            <w:pPr>
              <w:jc w:val="center"/>
            </w:pPr>
            <w:r>
              <w:t>0.5</w:t>
            </w:r>
            <w:r w:rsidRPr="00B75BE5">
              <w:t>%</w:t>
            </w:r>
          </w:p>
        </w:tc>
      </w:tr>
    </w:tbl>
    <w:p w14:paraId="022D7FC5" w14:textId="77777777" w:rsidR="00CC5A6E" w:rsidRDefault="00CC5A6E" w:rsidP="00D96A79">
      <w:pPr>
        <w:pStyle w:val="Nadpis1"/>
      </w:pPr>
    </w:p>
    <w:p w14:paraId="49DB74BE" w14:textId="77777777" w:rsidR="00CC5A6E" w:rsidRDefault="00CC5A6E">
      <w:pPr>
        <w:rPr>
          <w:rFonts w:asciiTheme="majorHAnsi" w:eastAsiaTheme="majorEastAsia" w:hAnsiTheme="majorHAnsi" w:cstheme="majorBidi"/>
          <w:color w:val="365F91" w:themeColor="accent1" w:themeShade="BF"/>
          <w:sz w:val="32"/>
          <w:szCs w:val="32"/>
        </w:rPr>
      </w:pPr>
      <w:r>
        <w:br w:type="page"/>
      </w:r>
    </w:p>
    <w:p w14:paraId="268A4012" w14:textId="23E3AAE6" w:rsidR="007A56DE" w:rsidRDefault="007A56DE" w:rsidP="007A56DE">
      <w:pPr>
        <w:pStyle w:val="Nadpis1"/>
      </w:pPr>
      <w:r>
        <w:lastRenderedPageBreak/>
        <w:t xml:space="preserve">Appendix 3: Estimated impact of different lambda and </w:t>
      </w:r>
      <w:proofErr w:type="spellStart"/>
      <w:r>
        <w:t>CoC</w:t>
      </w:r>
      <w:proofErr w:type="spellEnd"/>
      <w:r>
        <w:t xml:space="preserve"> rate combinations for long- and short-term products</w:t>
      </w:r>
    </w:p>
    <w:p w14:paraId="20C8B9A6" w14:textId="1F1D4585" w:rsidR="007A56DE" w:rsidRDefault="007A56DE" w:rsidP="007A56DE">
      <w:r>
        <w:t xml:space="preserve">Table 1 in the main text provided estimated impacts of different combinations of the </w:t>
      </w:r>
      <w:proofErr w:type="spellStart"/>
      <w:r>
        <w:t>CoC</w:t>
      </w:r>
      <w:proofErr w:type="spellEnd"/>
      <w:r>
        <w:t xml:space="preserve"> rate and EIOPA’s lambda parameter (assuming no floor) </w:t>
      </w:r>
      <w:r w:rsidR="00F0221D">
        <w:t>on the level of the risk margin held across the industry, assuming an average product duration of seven years. However, as highlighted, the impacts will differ by the nature of liabilities and in particular the duration of these. This appendix therefore provides similar tables for longer-term (duration 11 years) and shorter-term products (duration four years).</w:t>
      </w:r>
    </w:p>
    <w:p w14:paraId="4399C087" w14:textId="4EE8F5F8" w:rsidR="00F0221D" w:rsidRPr="00CE6C01" w:rsidRDefault="00F0221D" w:rsidP="00F0221D">
      <w:pPr>
        <w:rPr>
          <w:b/>
          <w:bCs/>
          <w:u w:val="single"/>
        </w:rPr>
      </w:pPr>
      <w:r>
        <w:rPr>
          <w:b/>
          <w:bCs/>
          <w:u w:val="single"/>
        </w:rPr>
        <w:t>Estimated impact of different calibrations on risk margin for longer-term products</w:t>
      </w:r>
    </w:p>
    <w:tbl>
      <w:tblPr>
        <w:tblStyle w:val="Mriekatabuky"/>
        <w:tblW w:w="0" w:type="auto"/>
        <w:tblLook w:val="04A0" w:firstRow="1" w:lastRow="0" w:firstColumn="1" w:lastColumn="0" w:noHBand="0" w:noVBand="1"/>
      </w:tblPr>
      <w:tblGrid>
        <w:gridCol w:w="1513"/>
        <w:gridCol w:w="1505"/>
        <w:gridCol w:w="1501"/>
        <w:gridCol w:w="1498"/>
        <w:gridCol w:w="1502"/>
        <w:gridCol w:w="1497"/>
      </w:tblGrid>
      <w:tr w:rsidR="00F0221D" w14:paraId="60A31B7E" w14:textId="77777777" w:rsidTr="00793FA5">
        <w:tc>
          <w:tcPr>
            <w:tcW w:w="1513" w:type="dxa"/>
          </w:tcPr>
          <w:p w14:paraId="7C7BD22E" w14:textId="77777777" w:rsidR="00F0221D" w:rsidRDefault="00F0221D" w:rsidP="00793FA5">
            <w:proofErr w:type="spellStart"/>
            <w:r>
              <w:t>CoC</w:t>
            </w:r>
            <w:proofErr w:type="spellEnd"/>
            <w:r>
              <w:t xml:space="preserve"> / lambda</w:t>
            </w:r>
          </w:p>
        </w:tc>
        <w:tc>
          <w:tcPr>
            <w:tcW w:w="1505" w:type="dxa"/>
          </w:tcPr>
          <w:p w14:paraId="353B386E" w14:textId="77777777" w:rsidR="00F0221D" w:rsidRDefault="00F0221D" w:rsidP="00793FA5">
            <w:pPr>
              <w:jc w:val="center"/>
            </w:pPr>
            <w:r>
              <w:t>0.975</w:t>
            </w:r>
          </w:p>
        </w:tc>
        <w:tc>
          <w:tcPr>
            <w:tcW w:w="1501" w:type="dxa"/>
          </w:tcPr>
          <w:p w14:paraId="3BF0A868" w14:textId="77777777" w:rsidR="00F0221D" w:rsidRDefault="00F0221D" w:rsidP="00793FA5">
            <w:pPr>
              <w:jc w:val="center"/>
            </w:pPr>
            <w:r>
              <w:t>0.95</w:t>
            </w:r>
          </w:p>
        </w:tc>
        <w:tc>
          <w:tcPr>
            <w:tcW w:w="1498" w:type="dxa"/>
          </w:tcPr>
          <w:p w14:paraId="1A796C75" w14:textId="77777777" w:rsidR="00F0221D" w:rsidRDefault="00F0221D" w:rsidP="00793FA5">
            <w:pPr>
              <w:jc w:val="center"/>
            </w:pPr>
            <w:r>
              <w:t>0.9</w:t>
            </w:r>
          </w:p>
        </w:tc>
        <w:tc>
          <w:tcPr>
            <w:tcW w:w="1502" w:type="dxa"/>
          </w:tcPr>
          <w:p w14:paraId="3F4293B4" w14:textId="77777777" w:rsidR="00F0221D" w:rsidRDefault="00F0221D" w:rsidP="00793FA5">
            <w:pPr>
              <w:jc w:val="center"/>
            </w:pPr>
            <w:r>
              <w:t>0.85</w:t>
            </w:r>
          </w:p>
        </w:tc>
        <w:tc>
          <w:tcPr>
            <w:tcW w:w="1497" w:type="dxa"/>
          </w:tcPr>
          <w:p w14:paraId="78293A00" w14:textId="77777777" w:rsidR="00F0221D" w:rsidRDefault="00F0221D" w:rsidP="00793FA5">
            <w:pPr>
              <w:jc w:val="center"/>
            </w:pPr>
            <w:r>
              <w:t>0.8</w:t>
            </w:r>
          </w:p>
        </w:tc>
      </w:tr>
      <w:tr w:rsidR="00F0221D" w14:paraId="1CA24655" w14:textId="77777777" w:rsidTr="00793FA5">
        <w:tc>
          <w:tcPr>
            <w:tcW w:w="1513" w:type="dxa"/>
          </w:tcPr>
          <w:p w14:paraId="6C629699" w14:textId="77777777" w:rsidR="00F0221D" w:rsidRDefault="00F0221D" w:rsidP="00F0221D">
            <w:r>
              <w:t>6%</w:t>
            </w:r>
          </w:p>
        </w:tc>
        <w:tc>
          <w:tcPr>
            <w:tcW w:w="1505" w:type="dxa"/>
          </w:tcPr>
          <w:p w14:paraId="17AE79CD" w14:textId="4EBEDCD0" w:rsidR="00F0221D" w:rsidRPr="00CC7AE4" w:rsidRDefault="00F0221D" w:rsidP="00F0221D">
            <w:pPr>
              <w:jc w:val="center"/>
            </w:pPr>
            <w:r>
              <w:t>-24%</w:t>
            </w:r>
          </w:p>
        </w:tc>
        <w:tc>
          <w:tcPr>
            <w:tcW w:w="1501" w:type="dxa"/>
          </w:tcPr>
          <w:p w14:paraId="1DC012B2" w14:textId="00DE994D" w:rsidR="00F0221D" w:rsidRPr="00E10CFE" w:rsidRDefault="00F0221D" w:rsidP="00F0221D">
            <w:pPr>
              <w:jc w:val="center"/>
              <w:rPr>
                <w:sz w:val="16"/>
                <w:szCs w:val="16"/>
              </w:rPr>
            </w:pPr>
            <w:r>
              <w:t>-40</w:t>
            </w:r>
            <w:r w:rsidRPr="009905F4">
              <w:t>%</w:t>
            </w:r>
          </w:p>
        </w:tc>
        <w:tc>
          <w:tcPr>
            <w:tcW w:w="1498" w:type="dxa"/>
          </w:tcPr>
          <w:p w14:paraId="6BDCE907" w14:textId="3F7015F9" w:rsidR="00F0221D" w:rsidRPr="00E10CFE" w:rsidRDefault="00F0221D" w:rsidP="00F0221D">
            <w:pPr>
              <w:jc w:val="center"/>
              <w:rPr>
                <w:sz w:val="16"/>
                <w:szCs w:val="16"/>
              </w:rPr>
            </w:pPr>
            <w:r>
              <w:t>-59</w:t>
            </w:r>
            <w:r w:rsidRPr="009905F4">
              <w:t>%</w:t>
            </w:r>
          </w:p>
        </w:tc>
        <w:tc>
          <w:tcPr>
            <w:tcW w:w="1502" w:type="dxa"/>
          </w:tcPr>
          <w:p w14:paraId="20C96912" w14:textId="413F0442" w:rsidR="00F0221D" w:rsidRPr="00E10CFE" w:rsidRDefault="00F0221D" w:rsidP="00F0221D">
            <w:pPr>
              <w:jc w:val="center"/>
              <w:rPr>
                <w:sz w:val="18"/>
                <w:szCs w:val="18"/>
              </w:rPr>
            </w:pPr>
            <w:r>
              <w:t>-69</w:t>
            </w:r>
            <w:r w:rsidRPr="009905F4">
              <w:t>%</w:t>
            </w:r>
          </w:p>
        </w:tc>
        <w:tc>
          <w:tcPr>
            <w:tcW w:w="1497" w:type="dxa"/>
          </w:tcPr>
          <w:p w14:paraId="053D52E8" w14:textId="4B068986" w:rsidR="00F0221D" w:rsidRPr="00E10CFE" w:rsidRDefault="00F0221D" w:rsidP="00F0221D">
            <w:pPr>
              <w:jc w:val="center"/>
              <w:rPr>
                <w:sz w:val="16"/>
                <w:szCs w:val="16"/>
              </w:rPr>
            </w:pPr>
            <w:r>
              <w:t>-76</w:t>
            </w:r>
            <w:r w:rsidRPr="009905F4">
              <w:t>%</w:t>
            </w:r>
          </w:p>
        </w:tc>
      </w:tr>
      <w:tr w:rsidR="00F0221D" w14:paraId="0EF9551A" w14:textId="77777777" w:rsidTr="00793FA5">
        <w:tc>
          <w:tcPr>
            <w:tcW w:w="1513" w:type="dxa"/>
          </w:tcPr>
          <w:p w14:paraId="1870D943" w14:textId="77777777" w:rsidR="00F0221D" w:rsidRDefault="00F0221D" w:rsidP="00F0221D">
            <w:r>
              <w:t>5%</w:t>
            </w:r>
          </w:p>
        </w:tc>
        <w:tc>
          <w:tcPr>
            <w:tcW w:w="1505" w:type="dxa"/>
          </w:tcPr>
          <w:p w14:paraId="3CCD30C2" w14:textId="4F540A9A" w:rsidR="00F0221D" w:rsidRPr="00E10CFE" w:rsidRDefault="00F0221D" w:rsidP="00F0221D">
            <w:pPr>
              <w:jc w:val="center"/>
              <w:rPr>
                <w:sz w:val="16"/>
                <w:szCs w:val="16"/>
              </w:rPr>
            </w:pPr>
            <w:r>
              <w:t>-36</w:t>
            </w:r>
            <w:r w:rsidRPr="00A400E1">
              <w:t>%</w:t>
            </w:r>
          </w:p>
        </w:tc>
        <w:tc>
          <w:tcPr>
            <w:tcW w:w="1501" w:type="dxa"/>
          </w:tcPr>
          <w:p w14:paraId="3C173EE6" w14:textId="4A7FB3C6" w:rsidR="00F0221D" w:rsidRPr="00E10CFE" w:rsidRDefault="00F0221D" w:rsidP="00F0221D">
            <w:pPr>
              <w:jc w:val="center"/>
              <w:rPr>
                <w:sz w:val="16"/>
                <w:szCs w:val="16"/>
              </w:rPr>
            </w:pPr>
            <w:r>
              <w:t>-50</w:t>
            </w:r>
            <w:r w:rsidRPr="00A400E1">
              <w:t>%</w:t>
            </w:r>
          </w:p>
        </w:tc>
        <w:tc>
          <w:tcPr>
            <w:tcW w:w="1498" w:type="dxa"/>
          </w:tcPr>
          <w:p w14:paraId="1B46A4A2" w14:textId="4819C441" w:rsidR="00F0221D" w:rsidRPr="00E10CFE" w:rsidRDefault="00F0221D" w:rsidP="00F0221D">
            <w:pPr>
              <w:jc w:val="center"/>
              <w:rPr>
                <w:sz w:val="16"/>
                <w:szCs w:val="16"/>
              </w:rPr>
            </w:pPr>
            <w:r>
              <w:t>-66</w:t>
            </w:r>
            <w:r w:rsidRPr="00A400E1">
              <w:t>%</w:t>
            </w:r>
          </w:p>
        </w:tc>
        <w:tc>
          <w:tcPr>
            <w:tcW w:w="1502" w:type="dxa"/>
          </w:tcPr>
          <w:p w14:paraId="62995967" w14:textId="3F194099" w:rsidR="00F0221D" w:rsidRPr="00E10CFE" w:rsidRDefault="00F0221D" w:rsidP="00F0221D">
            <w:pPr>
              <w:jc w:val="center"/>
              <w:rPr>
                <w:sz w:val="16"/>
                <w:szCs w:val="16"/>
              </w:rPr>
            </w:pPr>
            <w:r>
              <w:t>-74</w:t>
            </w:r>
            <w:r w:rsidRPr="00A400E1">
              <w:t>%</w:t>
            </w:r>
          </w:p>
        </w:tc>
        <w:tc>
          <w:tcPr>
            <w:tcW w:w="1497" w:type="dxa"/>
          </w:tcPr>
          <w:p w14:paraId="2F634921" w14:textId="11B1310C" w:rsidR="00F0221D" w:rsidRPr="00E10CFE" w:rsidRDefault="00F0221D" w:rsidP="00F0221D">
            <w:pPr>
              <w:jc w:val="center"/>
              <w:rPr>
                <w:sz w:val="16"/>
                <w:szCs w:val="16"/>
              </w:rPr>
            </w:pPr>
            <w:r>
              <w:t>-80</w:t>
            </w:r>
            <w:r w:rsidRPr="00A400E1">
              <w:t>%</w:t>
            </w:r>
          </w:p>
        </w:tc>
      </w:tr>
      <w:tr w:rsidR="00F0221D" w14:paraId="42ED1561" w14:textId="77777777" w:rsidTr="00793FA5">
        <w:tc>
          <w:tcPr>
            <w:tcW w:w="1513" w:type="dxa"/>
          </w:tcPr>
          <w:p w14:paraId="0E427F52" w14:textId="77777777" w:rsidR="00F0221D" w:rsidRDefault="00F0221D" w:rsidP="00F0221D">
            <w:r>
              <w:t>4%</w:t>
            </w:r>
          </w:p>
        </w:tc>
        <w:tc>
          <w:tcPr>
            <w:tcW w:w="1505" w:type="dxa"/>
          </w:tcPr>
          <w:p w14:paraId="32EB4B4D" w14:textId="53AE4451" w:rsidR="00F0221D" w:rsidRPr="00E10CFE" w:rsidRDefault="00F0221D" w:rsidP="00F0221D">
            <w:pPr>
              <w:jc w:val="center"/>
              <w:rPr>
                <w:sz w:val="16"/>
                <w:szCs w:val="16"/>
              </w:rPr>
            </w:pPr>
            <w:r>
              <w:t>-49</w:t>
            </w:r>
            <w:r w:rsidRPr="00A400E1">
              <w:t>%</w:t>
            </w:r>
          </w:p>
        </w:tc>
        <w:tc>
          <w:tcPr>
            <w:tcW w:w="1501" w:type="dxa"/>
          </w:tcPr>
          <w:p w14:paraId="34645EF0" w14:textId="4A40EDF0" w:rsidR="00F0221D" w:rsidRPr="00E10CFE" w:rsidRDefault="00F0221D" w:rsidP="00F0221D">
            <w:pPr>
              <w:jc w:val="center"/>
              <w:rPr>
                <w:sz w:val="16"/>
                <w:szCs w:val="16"/>
              </w:rPr>
            </w:pPr>
            <w:r>
              <w:t>-60</w:t>
            </w:r>
            <w:r w:rsidRPr="00A400E1">
              <w:t>%</w:t>
            </w:r>
          </w:p>
        </w:tc>
        <w:tc>
          <w:tcPr>
            <w:tcW w:w="1498" w:type="dxa"/>
          </w:tcPr>
          <w:p w14:paraId="18D2BB6B" w14:textId="73729AD3" w:rsidR="00F0221D" w:rsidRPr="00E10CFE" w:rsidRDefault="00F0221D" w:rsidP="00F0221D">
            <w:pPr>
              <w:jc w:val="center"/>
              <w:rPr>
                <w:sz w:val="16"/>
                <w:szCs w:val="16"/>
              </w:rPr>
            </w:pPr>
            <w:r>
              <w:t>-73</w:t>
            </w:r>
            <w:r w:rsidRPr="00A400E1">
              <w:t>%</w:t>
            </w:r>
          </w:p>
        </w:tc>
        <w:tc>
          <w:tcPr>
            <w:tcW w:w="1502" w:type="dxa"/>
          </w:tcPr>
          <w:p w14:paraId="4DE5334A" w14:textId="38F3959E" w:rsidR="00F0221D" w:rsidRPr="00E10CFE" w:rsidRDefault="00F0221D" w:rsidP="00F0221D">
            <w:pPr>
              <w:jc w:val="center"/>
              <w:rPr>
                <w:sz w:val="16"/>
                <w:szCs w:val="16"/>
              </w:rPr>
            </w:pPr>
            <w:r>
              <w:t>-80</w:t>
            </w:r>
            <w:r w:rsidRPr="00A400E1">
              <w:t>%</w:t>
            </w:r>
          </w:p>
        </w:tc>
        <w:tc>
          <w:tcPr>
            <w:tcW w:w="1497" w:type="dxa"/>
          </w:tcPr>
          <w:p w14:paraId="6E335913" w14:textId="376A6753" w:rsidR="00F0221D" w:rsidRPr="00E10CFE" w:rsidRDefault="00F0221D" w:rsidP="00F0221D">
            <w:pPr>
              <w:jc w:val="center"/>
              <w:rPr>
                <w:sz w:val="16"/>
                <w:szCs w:val="16"/>
              </w:rPr>
            </w:pPr>
            <w:r>
              <w:t>-84</w:t>
            </w:r>
            <w:r w:rsidRPr="00A400E1">
              <w:t>%</w:t>
            </w:r>
          </w:p>
        </w:tc>
      </w:tr>
      <w:tr w:rsidR="00F0221D" w14:paraId="7015CA05" w14:textId="77777777" w:rsidTr="00793FA5">
        <w:tc>
          <w:tcPr>
            <w:tcW w:w="1513" w:type="dxa"/>
          </w:tcPr>
          <w:p w14:paraId="1C59FE3C" w14:textId="77777777" w:rsidR="00F0221D" w:rsidRDefault="00F0221D" w:rsidP="00F0221D">
            <w:r>
              <w:t>3%</w:t>
            </w:r>
          </w:p>
        </w:tc>
        <w:tc>
          <w:tcPr>
            <w:tcW w:w="1505" w:type="dxa"/>
          </w:tcPr>
          <w:p w14:paraId="62FC411A" w14:textId="639FCE3F" w:rsidR="00F0221D" w:rsidRPr="00E10CFE" w:rsidRDefault="00F0221D" w:rsidP="00F0221D">
            <w:pPr>
              <w:jc w:val="center"/>
              <w:rPr>
                <w:sz w:val="16"/>
                <w:szCs w:val="16"/>
              </w:rPr>
            </w:pPr>
            <w:r>
              <w:t>-62</w:t>
            </w:r>
            <w:r w:rsidRPr="00A400E1">
              <w:t>%</w:t>
            </w:r>
          </w:p>
        </w:tc>
        <w:tc>
          <w:tcPr>
            <w:tcW w:w="1501" w:type="dxa"/>
          </w:tcPr>
          <w:p w14:paraId="64F4103E" w14:textId="757E4E45" w:rsidR="00F0221D" w:rsidRPr="00E10CFE" w:rsidRDefault="00F0221D" w:rsidP="00F0221D">
            <w:pPr>
              <w:jc w:val="center"/>
              <w:rPr>
                <w:sz w:val="16"/>
                <w:szCs w:val="16"/>
              </w:rPr>
            </w:pPr>
            <w:r>
              <w:t>-70</w:t>
            </w:r>
            <w:r w:rsidRPr="00A400E1">
              <w:t>%</w:t>
            </w:r>
          </w:p>
        </w:tc>
        <w:tc>
          <w:tcPr>
            <w:tcW w:w="1498" w:type="dxa"/>
          </w:tcPr>
          <w:p w14:paraId="21FF3928" w14:textId="749D1135" w:rsidR="00F0221D" w:rsidRPr="00E10CFE" w:rsidRDefault="00F0221D" w:rsidP="00F0221D">
            <w:pPr>
              <w:jc w:val="center"/>
              <w:rPr>
                <w:sz w:val="16"/>
                <w:szCs w:val="16"/>
              </w:rPr>
            </w:pPr>
            <w:r>
              <w:t>-79</w:t>
            </w:r>
            <w:r w:rsidRPr="00A400E1">
              <w:t>%</w:t>
            </w:r>
          </w:p>
        </w:tc>
        <w:tc>
          <w:tcPr>
            <w:tcW w:w="1502" w:type="dxa"/>
          </w:tcPr>
          <w:p w14:paraId="5F2F4435" w14:textId="180BFA55" w:rsidR="00F0221D" w:rsidRPr="00E10CFE" w:rsidRDefault="00F0221D" w:rsidP="00F0221D">
            <w:pPr>
              <w:jc w:val="center"/>
              <w:rPr>
                <w:sz w:val="16"/>
                <w:szCs w:val="16"/>
              </w:rPr>
            </w:pPr>
            <w:r>
              <w:t>-85</w:t>
            </w:r>
            <w:r w:rsidRPr="00A400E1">
              <w:t>%</w:t>
            </w:r>
          </w:p>
        </w:tc>
        <w:tc>
          <w:tcPr>
            <w:tcW w:w="1497" w:type="dxa"/>
          </w:tcPr>
          <w:p w14:paraId="66FC1746" w14:textId="7CA65240" w:rsidR="00F0221D" w:rsidRPr="00E10CFE" w:rsidRDefault="00F0221D" w:rsidP="00F0221D">
            <w:pPr>
              <w:jc w:val="center"/>
              <w:rPr>
                <w:sz w:val="16"/>
                <w:szCs w:val="16"/>
              </w:rPr>
            </w:pPr>
            <w:r>
              <w:t>-88</w:t>
            </w:r>
            <w:r w:rsidRPr="00A400E1">
              <w:t>%</w:t>
            </w:r>
          </w:p>
        </w:tc>
      </w:tr>
      <w:tr w:rsidR="00F0221D" w14:paraId="496B3B49" w14:textId="77777777" w:rsidTr="00793FA5">
        <w:tc>
          <w:tcPr>
            <w:tcW w:w="1513" w:type="dxa"/>
          </w:tcPr>
          <w:p w14:paraId="0EF409BF" w14:textId="77777777" w:rsidR="00F0221D" w:rsidRDefault="00F0221D" w:rsidP="00F0221D">
            <w:r>
              <w:t>2%</w:t>
            </w:r>
          </w:p>
        </w:tc>
        <w:tc>
          <w:tcPr>
            <w:tcW w:w="1505" w:type="dxa"/>
          </w:tcPr>
          <w:p w14:paraId="3A40CF19" w14:textId="4903C79B" w:rsidR="00F0221D" w:rsidRPr="00E10CFE" w:rsidRDefault="00F0221D" w:rsidP="00F0221D">
            <w:pPr>
              <w:jc w:val="center"/>
              <w:rPr>
                <w:sz w:val="16"/>
                <w:szCs w:val="16"/>
              </w:rPr>
            </w:pPr>
            <w:r>
              <w:t>-75</w:t>
            </w:r>
            <w:r w:rsidRPr="00A400E1">
              <w:t>%</w:t>
            </w:r>
          </w:p>
        </w:tc>
        <w:tc>
          <w:tcPr>
            <w:tcW w:w="1501" w:type="dxa"/>
          </w:tcPr>
          <w:p w14:paraId="6A2FD46D" w14:textId="1B2A630C" w:rsidR="00F0221D" w:rsidRPr="00E10CFE" w:rsidRDefault="00F0221D" w:rsidP="00F0221D">
            <w:pPr>
              <w:jc w:val="center"/>
              <w:rPr>
                <w:sz w:val="16"/>
                <w:szCs w:val="16"/>
              </w:rPr>
            </w:pPr>
            <w:r>
              <w:t>-80</w:t>
            </w:r>
            <w:r w:rsidRPr="00A400E1">
              <w:t>%</w:t>
            </w:r>
          </w:p>
        </w:tc>
        <w:tc>
          <w:tcPr>
            <w:tcW w:w="1498" w:type="dxa"/>
          </w:tcPr>
          <w:p w14:paraId="280A7B99" w14:textId="18EFED67" w:rsidR="00F0221D" w:rsidRPr="00E10CFE" w:rsidRDefault="00F0221D" w:rsidP="00F0221D">
            <w:pPr>
              <w:jc w:val="center"/>
              <w:rPr>
                <w:sz w:val="16"/>
                <w:szCs w:val="16"/>
              </w:rPr>
            </w:pPr>
            <w:r>
              <w:t>-86</w:t>
            </w:r>
            <w:r w:rsidRPr="00A400E1">
              <w:t>%</w:t>
            </w:r>
          </w:p>
        </w:tc>
        <w:tc>
          <w:tcPr>
            <w:tcW w:w="1502" w:type="dxa"/>
          </w:tcPr>
          <w:p w14:paraId="368237FF" w14:textId="11FDE9F3" w:rsidR="00F0221D" w:rsidRPr="00E10CFE" w:rsidRDefault="00F0221D" w:rsidP="00F0221D">
            <w:pPr>
              <w:jc w:val="center"/>
              <w:rPr>
                <w:sz w:val="16"/>
                <w:szCs w:val="16"/>
              </w:rPr>
            </w:pPr>
            <w:r>
              <w:t>-90</w:t>
            </w:r>
            <w:r w:rsidRPr="00A400E1">
              <w:t>%</w:t>
            </w:r>
          </w:p>
        </w:tc>
        <w:tc>
          <w:tcPr>
            <w:tcW w:w="1497" w:type="dxa"/>
          </w:tcPr>
          <w:p w14:paraId="07E72460" w14:textId="60E2D854" w:rsidR="00F0221D" w:rsidRPr="00E10CFE" w:rsidRDefault="00F0221D" w:rsidP="00F0221D">
            <w:pPr>
              <w:jc w:val="center"/>
              <w:rPr>
                <w:sz w:val="16"/>
                <w:szCs w:val="16"/>
              </w:rPr>
            </w:pPr>
            <w:r>
              <w:t>-92</w:t>
            </w:r>
            <w:r w:rsidRPr="00A400E1">
              <w:t>%</w:t>
            </w:r>
          </w:p>
        </w:tc>
      </w:tr>
    </w:tbl>
    <w:p w14:paraId="019C80F3" w14:textId="77777777" w:rsidR="00F0221D" w:rsidRDefault="00F0221D"/>
    <w:p w14:paraId="52CB1DE0" w14:textId="1EB9A4DB" w:rsidR="00F0221D" w:rsidRPr="00CE6C01" w:rsidRDefault="00F0221D" w:rsidP="00F0221D">
      <w:pPr>
        <w:rPr>
          <w:b/>
          <w:bCs/>
          <w:u w:val="single"/>
        </w:rPr>
      </w:pPr>
      <w:r>
        <w:rPr>
          <w:b/>
          <w:bCs/>
          <w:u w:val="single"/>
        </w:rPr>
        <w:t>Estimated impact of different calibrations on risk margin for shorter-term products</w:t>
      </w:r>
    </w:p>
    <w:tbl>
      <w:tblPr>
        <w:tblStyle w:val="Mriekatabuky"/>
        <w:tblW w:w="0" w:type="auto"/>
        <w:tblLook w:val="04A0" w:firstRow="1" w:lastRow="0" w:firstColumn="1" w:lastColumn="0" w:noHBand="0" w:noVBand="1"/>
      </w:tblPr>
      <w:tblGrid>
        <w:gridCol w:w="1513"/>
        <w:gridCol w:w="1505"/>
        <w:gridCol w:w="1501"/>
        <w:gridCol w:w="1498"/>
        <w:gridCol w:w="1502"/>
        <w:gridCol w:w="1497"/>
      </w:tblGrid>
      <w:tr w:rsidR="00F0221D" w14:paraId="48FADFF7" w14:textId="77777777" w:rsidTr="00793FA5">
        <w:tc>
          <w:tcPr>
            <w:tcW w:w="1513" w:type="dxa"/>
          </w:tcPr>
          <w:p w14:paraId="5545F350" w14:textId="77777777" w:rsidR="00F0221D" w:rsidRDefault="00F0221D" w:rsidP="00793FA5">
            <w:proofErr w:type="spellStart"/>
            <w:r>
              <w:t>CoC</w:t>
            </w:r>
            <w:proofErr w:type="spellEnd"/>
            <w:r>
              <w:t xml:space="preserve"> / lambda</w:t>
            </w:r>
          </w:p>
        </w:tc>
        <w:tc>
          <w:tcPr>
            <w:tcW w:w="1505" w:type="dxa"/>
          </w:tcPr>
          <w:p w14:paraId="77943533" w14:textId="77777777" w:rsidR="00F0221D" w:rsidRDefault="00F0221D" w:rsidP="00793FA5">
            <w:pPr>
              <w:jc w:val="center"/>
            </w:pPr>
            <w:r>
              <w:t>0.975</w:t>
            </w:r>
          </w:p>
        </w:tc>
        <w:tc>
          <w:tcPr>
            <w:tcW w:w="1501" w:type="dxa"/>
          </w:tcPr>
          <w:p w14:paraId="0BC9F05F" w14:textId="77777777" w:rsidR="00F0221D" w:rsidRDefault="00F0221D" w:rsidP="00793FA5">
            <w:pPr>
              <w:jc w:val="center"/>
            </w:pPr>
            <w:r>
              <w:t>0.95</w:t>
            </w:r>
          </w:p>
        </w:tc>
        <w:tc>
          <w:tcPr>
            <w:tcW w:w="1498" w:type="dxa"/>
          </w:tcPr>
          <w:p w14:paraId="5D173651" w14:textId="77777777" w:rsidR="00F0221D" w:rsidRDefault="00F0221D" w:rsidP="00793FA5">
            <w:pPr>
              <w:jc w:val="center"/>
            </w:pPr>
            <w:r>
              <w:t>0.9</w:t>
            </w:r>
          </w:p>
        </w:tc>
        <w:tc>
          <w:tcPr>
            <w:tcW w:w="1502" w:type="dxa"/>
          </w:tcPr>
          <w:p w14:paraId="5E8B980B" w14:textId="77777777" w:rsidR="00F0221D" w:rsidRDefault="00F0221D" w:rsidP="00793FA5">
            <w:pPr>
              <w:jc w:val="center"/>
            </w:pPr>
            <w:r>
              <w:t>0.85</w:t>
            </w:r>
          </w:p>
        </w:tc>
        <w:tc>
          <w:tcPr>
            <w:tcW w:w="1497" w:type="dxa"/>
          </w:tcPr>
          <w:p w14:paraId="2C54B6F0" w14:textId="77777777" w:rsidR="00F0221D" w:rsidRDefault="00F0221D" w:rsidP="00793FA5">
            <w:pPr>
              <w:jc w:val="center"/>
            </w:pPr>
            <w:r>
              <w:t>0.8</w:t>
            </w:r>
          </w:p>
        </w:tc>
      </w:tr>
      <w:tr w:rsidR="00F0221D" w14:paraId="797A2C6F" w14:textId="77777777" w:rsidTr="00793FA5">
        <w:tc>
          <w:tcPr>
            <w:tcW w:w="1513" w:type="dxa"/>
          </w:tcPr>
          <w:p w14:paraId="5B6EEB35" w14:textId="77777777" w:rsidR="00F0221D" w:rsidRDefault="00F0221D" w:rsidP="00F0221D">
            <w:r>
              <w:t>6%</w:t>
            </w:r>
          </w:p>
        </w:tc>
        <w:tc>
          <w:tcPr>
            <w:tcW w:w="1505" w:type="dxa"/>
          </w:tcPr>
          <w:p w14:paraId="49424059" w14:textId="1F27ED6E" w:rsidR="00F0221D" w:rsidRPr="00E10CFE" w:rsidRDefault="00F0221D" w:rsidP="00F0221D">
            <w:pPr>
              <w:jc w:val="center"/>
              <w:rPr>
                <w:sz w:val="16"/>
                <w:szCs w:val="16"/>
              </w:rPr>
            </w:pPr>
            <w:r>
              <w:t>-5</w:t>
            </w:r>
            <w:r w:rsidRPr="00C86CD6">
              <w:t>%</w:t>
            </w:r>
          </w:p>
        </w:tc>
        <w:tc>
          <w:tcPr>
            <w:tcW w:w="1501" w:type="dxa"/>
          </w:tcPr>
          <w:p w14:paraId="0DAB65FC" w14:textId="7EB05DF2" w:rsidR="00F0221D" w:rsidRPr="00E10CFE" w:rsidRDefault="00F0221D" w:rsidP="00F0221D">
            <w:pPr>
              <w:jc w:val="center"/>
              <w:rPr>
                <w:sz w:val="16"/>
                <w:szCs w:val="16"/>
              </w:rPr>
            </w:pPr>
            <w:r>
              <w:t>-10</w:t>
            </w:r>
            <w:r w:rsidRPr="00C86CD6">
              <w:t>%</w:t>
            </w:r>
          </w:p>
        </w:tc>
        <w:tc>
          <w:tcPr>
            <w:tcW w:w="1498" w:type="dxa"/>
          </w:tcPr>
          <w:p w14:paraId="03742B40" w14:textId="2B71847F" w:rsidR="00F0221D" w:rsidRPr="00E10CFE" w:rsidRDefault="00F0221D" w:rsidP="00F0221D">
            <w:pPr>
              <w:jc w:val="center"/>
              <w:rPr>
                <w:sz w:val="16"/>
                <w:szCs w:val="16"/>
              </w:rPr>
            </w:pPr>
            <w:r>
              <w:t>-18</w:t>
            </w:r>
            <w:r w:rsidRPr="00C86CD6">
              <w:t>%</w:t>
            </w:r>
          </w:p>
        </w:tc>
        <w:tc>
          <w:tcPr>
            <w:tcW w:w="1502" w:type="dxa"/>
          </w:tcPr>
          <w:p w14:paraId="1AABDA4B" w14:textId="2DCD0135" w:rsidR="00F0221D" w:rsidRPr="00E10CFE" w:rsidRDefault="00F0221D" w:rsidP="00F0221D">
            <w:pPr>
              <w:jc w:val="center"/>
              <w:rPr>
                <w:sz w:val="18"/>
                <w:szCs w:val="18"/>
              </w:rPr>
            </w:pPr>
            <w:r>
              <w:t>-25</w:t>
            </w:r>
            <w:r w:rsidRPr="00C86CD6">
              <w:t>%</w:t>
            </w:r>
          </w:p>
        </w:tc>
        <w:tc>
          <w:tcPr>
            <w:tcW w:w="1497" w:type="dxa"/>
          </w:tcPr>
          <w:p w14:paraId="4DE230E2" w14:textId="71C77708" w:rsidR="00F0221D" w:rsidRPr="00E10CFE" w:rsidRDefault="00F0221D" w:rsidP="00F0221D">
            <w:pPr>
              <w:jc w:val="center"/>
              <w:rPr>
                <w:sz w:val="16"/>
                <w:szCs w:val="16"/>
              </w:rPr>
            </w:pPr>
            <w:r>
              <w:t>-30</w:t>
            </w:r>
            <w:r w:rsidRPr="00C86CD6">
              <w:t>%</w:t>
            </w:r>
          </w:p>
        </w:tc>
      </w:tr>
      <w:tr w:rsidR="00F0221D" w14:paraId="3D41E060" w14:textId="77777777" w:rsidTr="00793FA5">
        <w:tc>
          <w:tcPr>
            <w:tcW w:w="1513" w:type="dxa"/>
          </w:tcPr>
          <w:p w14:paraId="5F079276" w14:textId="77777777" w:rsidR="00F0221D" w:rsidRDefault="00F0221D" w:rsidP="00F0221D">
            <w:r>
              <w:t>5%</w:t>
            </w:r>
          </w:p>
        </w:tc>
        <w:tc>
          <w:tcPr>
            <w:tcW w:w="1505" w:type="dxa"/>
          </w:tcPr>
          <w:p w14:paraId="408AA7B0" w14:textId="69B44E6A" w:rsidR="00F0221D" w:rsidRPr="00E10CFE" w:rsidRDefault="00F0221D" w:rsidP="00F0221D">
            <w:pPr>
              <w:jc w:val="center"/>
              <w:rPr>
                <w:sz w:val="16"/>
                <w:szCs w:val="16"/>
              </w:rPr>
            </w:pPr>
            <w:r>
              <w:t>-21</w:t>
            </w:r>
            <w:r w:rsidRPr="00C86CD6">
              <w:t>%</w:t>
            </w:r>
          </w:p>
        </w:tc>
        <w:tc>
          <w:tcPr>
            <w:tcW w:w="1501" w:type="dxa"/>
          </w:tcPr>
          <w:p w14:paraId="224FD737" w14:textId="2B65105C" w:rsidR="00F0221D" w:rsidRPr="00E10CFE" w:rsidRDefault="00F0221D" w:rsidP="00F0221D">
            <w:pPr>
              <w:jc w:val="center"/>
              <w:rPr>
                <w:sz w:val="16"/>
                <w:szCs w:val="16"/>
              </w:rPr>
            </w:pPr>
            <w:r>
              <w:t>-25</w:t>
            </w:r>
            <w:r w:rsidRPr="00C86CD6">
              <w:t>%</w:t>
            </w:r>
          </w:p>
        </w:tc>
        <w:tc>
          <w:tcPr>
            <w:tcW w:w="1498" w:type="dxa"/>
          </w:tcPr>
          <w:p w14:paraId="6C002F5F" w14:textId="4BBF97F4" w:rsidR="00F0221D" w:rsidRPr="00E10CFE" w:rsidRDefault="00F0221D" w:rsidP="00F0221D">
            <w:pPr>
              <w:jc w:val="center"/>
              <w:rPr>
                <w:sz w:val="16"/>
                <w:szCs w:val="16"/>
              </w:rPr>
            </w:pPr>
            <w:r>
              <w:t>-32</w:t>
            </w:r>
            <w:r w:rsidRPr="00C86CD6">
              <w:t>%</w:t>
            </w:r>
          </w:p>
        </w:tc>
        <w:tc>
          <w:tcPr>
            <w:tcW w:w="1502" w:type="dxa"/>
          </w:tcPr>
          <w:p w14:paraId="5E2639E9" w14:textId="616E79D4" w:rsidR="00F0221D" w:rsidRPr="00E10CFE" w:rsidRDefault="00F0221D" w:rsidP="00F0221D">
            <w:pPr>
              <w:jc w:val="center"/>
              <w:rPr>
                <w:sz w:val="16"/>
                <w:szCs w:val="16"/>
              </w:rPr>
            </w:pPr>
            <w:r>
              <w:t>-37</w:t>
            </w:r>
            <w:r w:rsidRPr="00C86CD6">
              <w:t>%</w:t>
            </w:r>
          </w:p>
        </w:tc>
        <w:tc>
          <w:tcPr>
            <w:tcW w:w="1497" w:type="dxa"/>
          </w:tcPr>
          <w:p w14:paraId="7B8876C8" w14:textId="08C7A0CC" w:rsidR="00F0221D" w:rsidRPr="00E10CFE" w:rsidRDefault="00F0221D" w:rsidP="00F0221D">
            <w:pPr>
              <w:jc w:val="center"/>
              <w:rPr>
                <w:sz w:val="16"/>
                <w:szCs w:val="16"/>
              </w:rPr>
            </w:pPr>
            <w:r>
              <w:t>-42</w:t>
            </w:r>
            <w:r w:rsidRPr="00C86CD6">
              <w:t>%</w:t>
            </w:r>
          </w:p>
        </w:tc>
      </w:tr>
      <w:tr w:rsidR="00F0221D" w14:paraId="0E94FB00" w14:textId="77777777" w:rsidTr="00793FA5">
        <w:tc>
          <w:tcPr>
            <w:tcW w:w="1513" w:type="dxa"/>
          </w:tcPr>
          <w:p w14:paraId="23499752" w14:textId="77777777" w:rsidR="00F0221D" w:rsidRDefault="00F0221D" w:rsidP="00F0221D">
            <w:r>
              <w:t>4%</w:t>
            </w:r>
          </w:p>
        </w:tc>
        <w:tc>
          <w:tcPr>
            <w:tcW w:w="1505" w:type="dxa"/>
          </w:tcPr>
          <w:p w14:paraId="593EF376" w14:textId="19378EB4" w:rsidR="00F0221D" w:rsidRPr="00E10CFE" w:rsidRDefault="00F0221D" w:rsidP="00F0221D">
            <w:pPr>
              <w:jc w:val="center"/>
              <w:rPr>
                <w:sz w:val="16"/>
                <w:szCs w:val="16"/>
              </w:rPr>
            </w:pPr>
            <w:r>
              <w:t>-37</w:t>
            </w:r>
            <w:r w:rsidRPr="00C86CD6">
              <w:t>%</w:t>
            </w:r>
          </w:p>
        </w:tc>
        <w:tc>
          <w:tcPr>
            <w:tcW w:w="1501" w:type="dxa"/>
          </w:tcPr>
          <w:p w14:paraId="5F0EEB6E" w14:textId="0178EDD4" w:rsidR="00F0221D" w:rsidRPr="00E10CFE" w:rsidRDefault="00F0221D" w:rsidP="00F0221D">
            <w:pPr>
              <w:jc w:val="center"/>
              <w:rPr>
                <w:sz w:val="16"/>
                <w:szCs w:val="16"/>
              </w:rPr>
            </w:pPr>
            <w:r>
              <w:t>-40</w:t>
            </w:r>
            <w:r w:rsidRPr="00C86CD6">
              <w:t>%</w:t>
            </w:r>
          </w:p>
        </w:tc>
        <w:tc>
          <w:tcPr>
            <w:tcW w:w="1498" w:type="dxa"/>
          </w:tcPr>
          <w:p w14:paraId="5A6AB493" w14:textId="1FA20ECF" w:rsidR="00F0221D" w:rsidRPr="00E10CFE" w:rsidRDefault="00F0221D" w:rsidP="00F0221D">
            <w:pPr>
              <w:jc w:val="center"/>
              <w:rPr>
                <w:sz w:val="16"/>
                <w:szCs w:val="16"/>
              </w:rPr>
            </w:pPr>
            <w:r>
              <w:t>-45</w:t>
            </w:r>
            <w:r w:rsidRPr="00C86CD6">
              <w:t>%</w:t>
            </w:r>
          </w:p>
        </w:tc>
        <w:tc>
          <w:tcPr>
            <w:tcW w:w="1502" w:type="dxa"/>
          </w:tcPr>
          <w:p w14:paraId="4A9E4E88" w14:textId="6EF6DB92" w:rsidR="00F0221D" w:rsidRPr="00E10CFE" w:rsidRDefault="00F0221D" w:rsidP="00F0221D">
            <w:pPr>
              <w:jc w:val="center"/>
              <w:rPr>
                <w:sz w:val="16"/>
                <w:szCs w:val="16"/>
              </w:rPr>
            </w:pPr>
            <w:r>
              <w:t>-50</w:t>
            </w:r>
            <w:r w:rsidRPr="00C86CD6">
              <w:t>%</w:t>
            </w:r>
          </w:p>
        </w:tc>
        <w:tc>
          <w:tcPr>
            <w:tcW w:w="1497" w:type="dxa"/>
          </w:tcPr>
          <w:p w14:paraId="36379D29" w14:textId="4726A759" w:rsidR="00F0221D" w:rsidRPr="00E10CFE" w:rsidRDefault="00F0221D" w:rsidP="00F0221D">
            <w:pPr>
              <w:jc w:val="center"/>
              <w:rPr>
                <w:sz w:val="16"/>
                <w:szCs w:val="16"/>
              </w:rPr>
            </w:pPr>
            <w:r>
              <w:t>-54</w:t>
            </w:r>
            <w:r w:rsidRPr="00C86CD6">
              <w:t>%</w:t>
            </w:r>
          </w:p>
        </w:tc>
      </w:tr>
      <w:tr w:rsidR="00F0221D" w14:paraId="2B23FEE7" w14:textId="77777777" w:rsidTr="00793FA5">
        <w:tc>
          <w:tcPr>
            <w:tcW w:w="1513" w:type="dxa"/>
          </w:tcPr>
          <w:p w14:paraId="046DDEF5" w14:textId="77777777" w:rsidR="00F0221D" w:rsidRDefault="00F0221D" w:rsidP="00F0221D">
            <w:r>
              <w:t>3%</w:t>
            </w:r>
          </w:p>
        </w:tc>
        <w:tc>
          <w:tcPr>
            <w:tcW w:w="1505" w:type="dxa"/>
          </w:tcPr>
          <w:p w14:paraId="060F1A13" w14:textId="35C4800D" w:rsidR="00F0221D" w:rsidRPr="00E10CFE" w:rsidRDefault="00F0221D" w:rsidP="00F0221D">
            <w:pPr>
              <w:jc w:val="center"/>
              <w:rPr>
                <w:sz w:val="16"/>
                <w:szCs w:val="16"/>
              </w:rPr>
            </w:pPr>
            <w:r>
              <w:t>-53</w:t>
            </w:r>
            <w:r w:rsidRPr="00C86CD6">
              <w:t>%</w:t>
            </w:r>
          </w:p>
        </w:tc>
        <w:tc>
          <w:tcPr>
            <w:tcW w:w="1501" w:type="dxa"/>
          </w:tcPr>
          <w:p w14:paraId="0C67FFCE" w14:textId="402DA32D" w:rsidR="00F0221D" w:rsidRPr="00E10CFE" w:rsidRDefault="00F0221D" w:rsidP="00F0221D">
            <w:pPr>
              <w:jc w:val="center"/>
              <w:rPr>
                <w:sz w:val="16"/>
                <w:szCs w:val="16"/>
              </w:rPr>
            </w:pPr>
            <w:r>
              <w:t>-55</w:t>
            </w:r>
            <w:r w:rsidRPr="00C86CD6">
              <w:t>%</w:t>
            </w:r>
          </w:p>
        </w:tc>
        <w:tc>
          <w:tcPr>
            <w:tcW w:w="1498" w:type="dxa"/>
          </w:tcPr>
          <w:p w14:paraId="0CCD3E75" w14:textId="6A2F9295" w:rsidR="00F0221D" w:rsidRPr="00E10CFE" w:rsidRDefault="00F0221D" w:rsidP="00F0221D">
            <w:pPr>
              <w:jc w:val="center"/>
              <w:rPr>
                <w:sz w:val="16"/>
                <w:szCs w:val="16"/>
              </w:rPr>
            </w:pPr>
            <w:r>
              <w:t>-59</w:t>
            </w:r>
            <w:r w:rsidRPr="00C86CD6">
              <w:t>%</w:t>
            </w:r>
          </w:p>
        </w:tc>
        <w:tc>
          <w:tcPr>
            <w:tcW w:w="1502" w:type="dxa"/>
          </w:tcPr>
          <w:p w14:paraId="38E1BFF5" w14:textId="54E9F133" w:rsidR="00F0221D" w:rsidRPr="00E10CFE" w:rsidRDefault="00F0221D" w:rsidP="00F0221D">
            <w:pPr>
              <w:jc w:val="center"/>
              <w:rPr>
                <w:sz w:val="16"/>
                <w:szCs w:val="16"/>
              </w:rPr>
            </w:pPr>
            <w:r>
              <w:t>-62</w:t>
            </w:r>
            <w:r w:rsidRPr="00C86CD6">
              <w:t>%</w:t>
            </w:r>
          </w:p>
        </w:tc>
        <w:tc>
          <w:tcPr>
            <w:tcW w:w="1497" w:type="dxa"/>
          </w:tcPr>
          <w:p w14:paraId="478DEF59" w14:textId="6AEA61F2" w:rsidR="00F0221D" w:rsidRPr="00E10CFE" w:rsidRDefault="00F0221D" w:rsidP="00F0221D">
            <w:pPr>
              <w:jc w:val="center"/>
              <w:rPr>
                <w:sz w:val="16"/>
                <w:szCs w:val="16"/>
              </w:rPr>
            </w:pPr>
            <w:r>
              <w:t>-65</w:t>
            </w:r>
            <w:r w:rsidRPr="00C86CD6">
              <w:t>%</w:t>
            </w:r>
          </w:p>
        </w:tc>
      </w:tr>
      <w:tr w:rsidR="00F0221D" w14:paraId="6FB3936A" w14:textId="77777777" w:rsidTr="00793FA5">
        <w:tc>
          <w:tcPr>
            <w:tcW w:w="1513" w:type="dxa"/>
          </w:tcPr>
          <w:p w14:paraId="1EF6A808" w14:textId="77777777" w:rsidR="00F0221D" w:rsidRDefault="00F0221D" w:rsidP="00F0221D">
            <w:r>
              <w:t>2%</w:t>
            </w:r>
          </w:p>
        </w:tc>
        <w:tc>
          <w:tcPr>
            <w:tcW w:w="1505" w:type="dxa"/>
          </w:tcPr>
          <w:p w14:paraId="7798F2A6" w14:textId="3312428D" w:rsidR="00F0221D" w:rsidRPr="00E10CFE" w:rsidRDefault="00F0221D" w:rsidP="00F0221D">
            <w:pPr>
              <w:jc w:val="center"/>
              <w:rPr>
                <w:sz w:val="16"/>
                <w:szCs w:val="16"/>
              </w:rPr>
            </w:pPr>
            <w:r>
              <w:t>-68</w:t>
            </w:r>
            <w:r w:rsidRPr="00C86CD6">
              <w:t>%</w:t>
            </w:r>
          </w:p>
        </w:tc>
        <w:tc>
          <w:tcPr>
            <w:tcW w:w="1501" w:type="dxa"/>
          </w:tcPr>
          <w:p w14:paraId="41A1CFE7" w14:textId="3E4C68AC" w:rsidR="00F0221D" w:rsidRPr="00E10CFE" w:rsidRDefault="00F0221D" w:rsidP="00F0221D">
            <w:pPr>
              <w:jc w:val="center"/>
              <w:rPr>
                <w:sz w:val="16"/>
                <w:szCs w:val="16"/>
              </w:rPr>
            </w:pPr>
            <w:r>
              <w:t>-70</w:t>
            </w:r>
            <w:r w:rsidRPr="00C86CD6">
              <w:t>%</w:t>
            </w:r>
          </w:p>
        </w:tc>
        <w:tc>
          <w:tcPr>
            <w:tcW w:w="1498" w:type="dxa"/>
          </w:tcPr>
          <w:p w14:paraId="77B1A5A9" w14:textId="75A9AD04" w:rsidR="00F0221D" w:rsidRPr="00E10CFE" w:rsidRDefault="00F0221D" w:rsidP="00F0221D">
            <w:pPr>
              <w:jc w:val="center"/>
              <w:rPr>
                <w:sz w:val="16"/>
                <w:szCs w:val="16"/>
              </w:rPr>
            </w:pPr>
            <w:r>
              <w:t>-73</w:t>
            </w:r>
            <w:r w:rsidRPr="00C86CD6">
              <w:t>%</w:t>
            </w:r>
          </w:p>
        </w:tc>
        <w:tc>
          <w:tcPr>
            <w:tcW w:w="1502" w:type="dxa"/>
          </w:tcPr>
          <w:p w14:paraId="752D2EF1" w14:textId="5B6C59F8" w:rsidR="00F0221D" w:rsidRPr="00E10CFE" w:rsidRDefault="00F0221D" w:rsidP="00F0221D">
            <w:pPr>
              <w:jc w:val="center"/>
              <w:rPr>
                <w:sz w:val="16"/>
                <w:szCs w:val="16"/>
              </w:rPr>
            </w:pPr>
            <w:r>
              <w:t>-75</w:t>
            </w:r>
            <w:r w:rsidRPr="00C86CD6">
              <w:t>%</w:t>
            </w:r>
          </w:p>
        </w:tc>
        <w:tc>
          <w:tcPr>
            <w:tcW w:w="1497" w:type="dxa"/>
          </w:tcPr>
          <w:p w14:paraId="616EB8C7" w14:textId="0714ECC9" w:rsidR="00F0221D" w:rsidRPr="00E10CFE" w:rsidRDefault="00F0221D" w:rsidP="00F0221D">
            <w:pPr>
              <w:jc w:val="center"/>
              <w:rPr>
                <w:sz w:val="16"/>
                <w:szCs w:val="16"/>
              </w:rPr>
            </w:pPr>
            <w:r>
              <w:t>-77</w:t>
            </w:r>
            <w:r w:rsidRPr="00C86CD6">
              <w:t>%</w:t>
            </w:r>
          </w:p>
        </w:tc>
      </w:tr>
    </w:tbl>
    <w:p w14:paraId="318A093C" w14:textId="13821CEE" w:rsidR="007A56DE" w:rsidRDefault="007A56DE">
      <w:pPr>
        <w:rPr>
          <w:rFonts w:asciiTheme="majorHAnsi" w:eastAsiaTheme="majorEastAsia" w:hAnsiTheme="majorHAnsi" w:cstheme="majorBidi"/>
          <w:color w:val="365F91" w:themeColor="accent1" w:themeShade="BF"/>
          <w:sz w:val="32"/>
          <w:szCs w:val="32"/>
        </w:rPr>
      </w:pPr>
      <w:r>
        <w:br w:type="page"/>
      </w:r>
    </w:p>
    <w:p w14:paraId="2FB693A6" w14:textId="77777777" w:rsidR="00E24D02" w:rsidRDefault="00E24D02" w:rsidP="00E24D02">
      <w:pPr>
        <w:pStyle w:val="Nadpis1"/>
      </w:pPr>
      <w:bookmarkStart w:id="3" w:name="_Toc25837595"/>
      <w:bookmarkStart w:id="4" w:name="_Toc26287929"/>
      <w:r>
        <w:lastRenderedPageBreak/>
        <w:t>Appendix 4 – Additional considerations on the cost of capital rate</w:t>
      </w:r>
      <w:bookmarkEnd w:id="3"/>
      <w:bookmarkEnd w:id="4"/>
    </w:p>
    <w:p w14:paraId="0A4B26B1" w14:textId="77777777" w:rsidR="00E24D02" w:rsidRDefault="00E24D02" w:rsidP="00E24D02">
      <w:pPr>
        <w:rPr>
          <w:u w:val="single"/>
        </w:rPr>
      </w:pPr>
    </w:p>
    <w:p w14:paraId="0018108C" w14:textId="77777777" w:rsidR="00E24D02" w:rsidRPr="00AF1BC9" w:rsidRDefault="00E24D02" w:rsidP="00E24D02">
      <w:pPr>
        <w:rPr>
          <w:u w:val="single"/>
        </w:rPr>
      </w:pPr>
      <w:r>
        <w:rPr>
          <w:u w:val="single"/>
        </w:rPr>
        <w:t>Consideration of debt / u</w:t>
      </w:r>
      <w:r w:rsidRPr="00AF1BC9">
        <w:rPr>
          <w:u w:val="single"/>
        </w:rPr>
        <w:t>se of unlevered beta</w:t>
      </w:r>
    </w:p>
    <w:p w14:paraId="363F7FD6" w14:textId="77777777" w:rsidR="00E24D02" w:rsidRDefault="00E24D02" w:rsidP="00E24D02">
      <w:r>
        <w:t xml:space="preserve">As the WACC derivation of the </w:t>
      </w:r>
      <w:proofErr w:type="spellStart"/>
      <w:r>
        <w:t>CoC</w:t>
      </w:r>
      <w:proofErr w:type="spellEnd"/>
      <w:r>
        <w:t xml:space="preserve"> rate refers to the Cost of equity derived from the CAPM and an average beta of listed insurance companies, the share of debt should be assessed on a sample of listed companies. Otherwise, not to do so leads to an overestimate of the Cost of capital rate.</w:t>
      </w:r>
    </w:p>
    <w:p w14:paraId="3D17F854" w14:textId="77777777" w:rsidR="00E24D02" w:rsidRDefault="00E24D02" w:rsidP="00E24D02">
      <w:pPr>
        <w:rPr>
          <w:rFonts w:cstheme="minorHAnsi"/>
        </w:rPr>
      </w:pPr>
      <w:r w:rsidRPr="00DA3183">
        <w:rPr>
          <w:rFonts w:cstheme="minorHAnsi"/>
        </w:rPr>
        <w:t xml:space="preserve">The share of eligible debt instruments in </w:t>
      </w:r>
      <w:r w:rsidRPr="00AF1BC9">
        <w:rPr>
          <w:rFonts w:cstheme="minorHAnsi"/>
        </w:rPr>
        <w:t>the EOFs of significant listed European insurance groups is clearly significant and cannot be considered at all to be nil. The following table indicates the share of debt instruments in EOFs (excluding others sectors and D&amp;A) for 18 significant EEA insurance groups, which concentrates a material amount of the total EEA RM. Their average share of debt financing is c. 25%</w:t>
      </w:r>
      <w:r w:rsidRPr="00AF1BC9">
        <w:rPr>
          <w:rStyle w:val="Odkaznapoznmkupodiarou"/>
          <w:rFonts w:cstheme="minorHAnsi"/>
        </w:rPr>
        <w:footnoteReference w:id="5"/>
      </w:r>
      <w:r w:rsidRPr="00AF1BC9">
        <w:rPr>
          <w:rFonts w:cstheme="minorHAnsi"/>
        </w:rPr>
        <w:t>.</w:t>
      </w:r>
    </w:p>
    <w:tbl>
      <w:tblPr>
        <w:tblW w:w="7840" w:type="dxa"/>
        <w:jc w:val="center"/>
        <w:tblLayout w:type="fixed"/>
        <w:tblCellMar>
          <w:left w:w="70" w:type="dxa"/>
          <w:right w:w="70" w:type="dxa"/>
        </w:tblCellMar>
        <w:tblLook w:val="04A0" w:firstRow="1" w:lastRow="0" w:firstColumn="1" w:lastColumn="0" w:noHBand="0" w:noVBand="1"/>
      </w:tblPr>
      <w:tblGrid>
        <w:gridCol w:w="2694"/>
        <w:gridCol w:w="850"/>
        <w:gridCol w:w="3119"/>
        <w:gridCol w:w="1177"/>
      </w:tblGrid>
      <w:tr w:rsidR="00E24D02" w:rsidRPr="003525F9" w14:paraId="6D014FCC" w14:textId="77777777" w:rsidTr="00971F20">
        <w:trPr>
          <w:trHeight w:val="329"/>
          <w:jc w:val="center"/>
        </w:trPr>
        <w:tc>
          <w:tcPr>
            <w:tcW w:w="7840"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5B9E8FD9" w14:textId="77777777" w:rsidR="00E24D02" w:rsidRPr="003525F9" w:rsidRDefault="00E24D02" w:rsidP="00971F20">
            <w:pPr>
              <w:jc w:val="center"/>
              <w:rPr>
                <w:b/>
                <w:bCs/>
                <w:color w:val="000000"/>
                <w:lang w:val="en-US"/>
              </w:rPr>
            </w:pPr>
            <w:r w:rsidRPr="003525F9">
              <w:rPr>
                <w:b/>
                <w:bCs/>
                <w:color w:val="000000"/>
                <w:lang w:val="en-US"/>
              </w:rPr>
              <w:t>Share of debt instruments in eligible own funds (excluding others sectors and D&amp;A) for some significant EEA (re)insurance groups</w:t>
            </w:r>
          </w:p>
        </w:tc>
      </w:tr>
      <w:tr w:rsidR="00E24D02" w:rsidRPr="003525F9" w14:paraId="5FC6A8C7" w14:textId="77777777" w:rsidTr="00971F20">
        <w:trPr>
          <w:trHeight w:val="276"/>
          <w:jc w:val="center"/>
        </w:trPr>
        <w:tc>
          <w:tcPr>
            <w:tcW w:w="2694" w:type="dxa"/>
            <w:tcBorders>
              <w:top w:val="nil"/>
              <w:left w:val="single" w:sz="4" w:space="0" w:color="auto"/>
              <w:bottom w:val="single" w:sz="4" w:space="0" w:color="auto"/>
              <w:right w:val="single" w:sz="4" w:space="0" w:color="auto"/>
            </w:tcBorders>
            <w:shd w:val="clear" w:color="000000" w:fill="FFFFFF"/>
            <w:noWrap/>
            <w:vAlign w:val="center"/>
            <w:hideMark/>
          </w:tcPr>
          <w:p w14:paraId="665F2863" w14:textId="77777777" w:rsidR="00E24D02" w:rsidRPr="003525F9" w:rsidRDefault="00E24D02" w:rsidP="00971F20">
            <w:pPr>
              <w:rPr>
                <w:color w:val="000000"/>
              </w:rPr>
            </w:pPr>
            <w:r w:rsidRPr="003525F9">
              <w:rPr>
                <w:color w:val="000000"/>
              </w:rPr>
              <w:t>AEGON N.V.</w:t>
            </w:r>
          </w:p>
        </w:tc>
        <w:tc>
          <w:tcPr>
            <w:tcW w:w="850" w:type="dxa"/>
            <w:tcBorders>
              <w:top w:val="nil"/>
              <w:left w:val="nil"/>
              <w:bottom w:val="single" w:sz="4" w:space="0" w:color="auto"/>
              <w:right w:val="single" w:sz="4" w:space="0" w:color="auto"/>
            </w:tcBorders>
            <w:shd w:val="clear" w:color="auto" w:fill="auto"/>
            <w:noWrap/>
            <w:vAlign w:val="center"/>
            <w:hideMark/>
          </w:tcPr>
          <w:p w14:paraId="6B9D51BA" w14:textId="77777777" w:rsidR="00E24D02" w:rsidRPr="003525F9" w:rsidRDefault="00E24D02" w:rsidP="00971F20">
            <w:pPr>
              <w:jc w:val="right"/>
              <w:rPr>
                <w:color w:val="000000"/>
              </w:rPr>
            </w:pPr>
            <w:r>
              <w:rPr>
                <w:color w:val="000000"/>
              </w:rPr>
              <w:t>28</w:t>
            </w:r>
            <w:r w:rsidRPr="003525F9">
              <w:rPr>
                <w:color w:val="000000"/>
              </w:rPr>
              <w:t>%</w:t>
            </w:r>
          </w:p>
        </w:tc>
        <w:tc>
          <w:tcPr>
            <w:tcW w:w="3119" w:type="dxa"/>
            <w:tcBorders>
              <w:top w:val="nil"/>
              <w:left w:val="nil"/>
              <w:bottom w:val="single" w:sz="4" w:space="0" w:color="auto"/>
              <w:right w:val="single" w:sz="4" w:space="0" w:color="auto"/>
            </w:tcBorders>
            <w:shd w:val="clear" w:color="000000" w:fill="FFFFFF"/>
            <w:noWrap/>
            <w:vAlign w:val="center"/>
            <w:hideMark/>
          </w:tcPr>
          <w:p w14:paraId="0D553EC4" w14:textId="77777777" w:rsidR="00E24D02" w:rsidRPr="003525F9" w:rsidRDefault="00E24D02" w:rsidP="00971F20">
            <w:pPr>
              <w:rPr>
                <w:color w:val="000000"/>
              </w:rPr>
            </w:pPr>
            <w:proofErr w:type="spellStart"/>
            <w:r w:rsidRPr="003525F9">
              <w:rPr>
                <w:color w:val="000000"/>
              </w:rPr>
              <w:t>Mapfre</w:t>
            </w:r>
            <w:proofErr w:type="spellEnd"/>
            <w:r w:rsidRPr="003525F9">
              <w:rPr>
                <w:color w:val="000000"/>
              </w:rPr>
              <w:t>, S.A.</w:t>
            </w:r>
          </w:p>
        </w:tc>
        <w:tc>
          <w:tcPr>
            <w:tcW w:w="1177" w:type="dxa"/>
            <w:tcBorders>
              <w:top w:val="nil"/>
              <w:left w:val="nil"/>
              <w:bottom w:val="single" w:sz="4" w:space="0" w:color="auto"/>
              <w:right w:val="single" w:sz="4" w:space="0" w:color="auto"/>
            </w:tcBorders>
            <w:shd w:val="clear" w:color="auto" w:fill="auto"/>
            <w:noWrap/>
            <w:vAlign w:val="center"/>
            <w:hideMark/>
          </w:tcPr>
          <w:p w14:paraId="1A5591CA" w14:textId="77777777" w:rsidR="00E24D02" w:rsidRPr="003525F9" w:rsidRDefault="00E24D02" w:rsidP="00971F20">
            <w:pPr>
              <w:jc w:val="right"/>
              <w:rPr>
                <w:color w:val="000000"/>
              </w:rPr>
            </w:pPr>
            <w:r>
              <w:rPr>
                <w:color w:val="000000"/>
              </w:rPr>
              <w:t>13</w:t>
            </w:r>
            <w:r w:rsidRPr="003525F9">
              <w:rPr>
                <w:color w:val="000000"/>
              </w:rPr>
              <w:t>%</w:t>
            </w:r>
          </w:p>
        </w:tc>
      </w:tr>
      <w:tr w:rsidR="00E24D02" w:rsidRPr="003525F9" w14:paraId="092D432E" w14:textId="77777777" w:rsidTr="00971F20">
        <w:trPr>
          <w:trHeight w:val="276"/>
          <w:jc w:val="center"/>
        </w:trPr>
        <w:tc>
          <w:tcPr>
            <w:tcW w:w="2694" w:type="dxa"/>
            <w:tcBorders>
              <w:top w:val="nil"/>
              <w:left w:val="single" w:sz="4" w:space="0" w:color="auto"/>
              <w:bottom w:val="single" w:sz="4" w:space="0" w:color="auto"/>
              <w:right w:val="single" w:sz="4" w:space="0" w:color="auto"/>
            </w:tcBorders>
            <w:shd w:val="clear" w:color="000000" w:fill="FFFFFF"/>
            <w:noWrap/>
            <w:vAlign w:val="center"/>
            <w:hideMark/>
          </w:tcPr>
          <w:p w14:paraId="6345D58C" w14:textId="77777777" w:rsidR="00E24D02" w:rsidRPr="003525F9" w:rsidRDefault="00E24D02" w:rsidP="00971F20">
            <w:pPr>
              <w:rPr>
                <w:color w:val="000000"/>
              </w:rPr>
            </w:pPr>
            <w:r w:rsidRPr="003525F9">
              <w:rPr>
                <w:color w:val="000000"/>
              </w:rPr>
              <w:t>Ageas SA/NV</w:t>
            </w:r>
          </w:p>
        </w:tc>
        <w:tc>
          <w:tcPr>
            <w:tcW w:w="850" w:type="dxa"/>
            <w:tcBorders>
              <w:top w:val="nil"/>
              <w:left w:val="nil"/>
              <w:bottom w:val="single" w:sz="4" w:space="0" w:color="auto"/>
              <w:right w:val="single" w:sz="4" w:space="0" w:color="auto"/>
            </w:tcBorders>
            <w:shd w:val="clear" w:color="auto" w:fill="auto"/>
            <w:noWrap/>
            <w:vAlign w:val="center"/>
            <w:hideMark/>
          </w:tcPr>
          <w:p w14:paraId="091E5459" w14:textId="77777777" w:rsidR="00E24D02" w:rsidRPr="003525F9" w:rsidRDefault="00E24D02" w:rsidP="00971F20">
            <w:pPr>
              <w:jc w:val="right"/>
              <w:rPr>
                <w:color w:val="000000"/>
              </w:rPr>
            </w:pPr>
            <w:r w:rsidRPr="003525F9">
              <w:rPr>
                <w:color w:val="000000"/>
              </w:rPr>
              <w:t>29%</w:t>
            </w:r>
          </w:p>
        </w:tc>
        <w:tc>
          <w:tcPr>
            <w:tcW w:w="3119" w:type="dxa"/>
            <w:tcBorders>
              <w:top w:val="nil"/>
              <w:left w:val="nil"/>
              <w:bottom w:val="single" w:sz="4" w:space="0" w:color="auto"/>
              <w:right w:val="single" w:sz="4" w:space="0" w:color="auto"/>
            </w:tcBorders>
            <w:shd w:val="clear" w:color="000000" w:fill="FFFFFF"/>
            <w:noWrap/>
            <w:vAlign w:val="center"/>
            <w:hideMark/>
          </w:tcPr>
          <w:p w14:paraId="6B9690CD" w14:textId="77777777" w:rsidR="00E24D02" w:rsidRPr="003525F9" w:rsidRDefault="00E24D02" w:rsidP="00971F20">
            <w:pPr>
              <w:rPr>
                <w:color w:val="000000"/>
              </w:rPr>
            </w:pPr>
            <w:r w:rsidRPr="003525F9">
              <w:rPr>
                <w:color w:val="000000"/>
              </w:rPr>
              <w:t>NN Group N.V.</w:t>
            </w:r>
          </w:p>
        </w:tc>
        <w:tc>
          <w:tcPr>
            <w:tcW w:w="1177" w:type="dxa"/>
            <w:tcBorders>
              <w:top w:val="nil"/>
              <w:left w:val="nil"/>
              <w:bottom w:val="single" w:sz="4" w:space="0" w:color="auto"/>
              <w:right w:val="single" w:sz="4" w:space="0" w:color="auto"/>
            </w:tcBorders>
            <w:shd w:val="clear" w:color="auto" w:fill="auto"/>
            <w:noWrap/>
            <w:vAlign w:val="center"/>
            <w:hideMark/>
          </w:tcPr>
          <w:p w14:paraId="0A3E0AB4" w14:textId="77777777" w:rsidR="00E24D02" w:rsidRPr="003525F9" w:rsidRDefault="00E24D02" w:rsidP="00971F20">
            <w:pPr>
              <w:jc w:val="right"/>
              <w:rPr>
                <w:color w:val="000000"/>
              </w:rPr>
            </w:pPr>
            <w:r w:rsidRPr="003525F9">
              <w:rPr>
                <w:color w:val="000000"/>
              </w:rPr>
              <w:t>2</w:t>
            </w:r>
            <w:r>
              <w:rPr>
                <w:color w:val="000000"/>
              </w:rPr>
              <w:t>6</w:t>
            </w:r>
            <w:r w:rsidRPr="003525F9">
              <w:rPr>
                <w:color w:val="000000"/>
              </w:rPr>
              <w:t>%</w:t>
            </w:r>
          </w:p>
        </w:tc>
      </w:tr>
      <w:tr w:rsidR="00E24D02" w:rsidRPr="003525F9" w14:paraId="7CCC3B1F" w14:textId="77777777" w:rsidTr="00971F20">
        <w:trPr>
          <w:trHeight w:val="276"/>
          <w:jc w:val="center"/>
        </w:trPr>
        <w:tc>
          <w:tcPr>
            <w:tcW w:w="2694" w:type="dxa"/>
            <w:tcBorders>
              <w:top w:val="nil"/>
              <w:left w:val="single" w:sz="4" w:space="0" w:color="auto"/>
              <w:bottom w:val="single" w:sz="4" w:space="0" w:color="auto"/>
              <w:right w:val="single" w:sz="4" w:space="0" w:color="auto"/>
            </w:tcBorders>
            <w:shd w:val="clear" w:color="000000" w:fill="FFFFFF"/>
            <w:noWrap/>
            <w:vAlign w:val="center"/>
            <w:hideMark/>
          </w:tcPr>
          <w:p w14:paraId="2877007F" w14:textId="77777777" w:rsidR="00E24D02" w:rsidRPr="003525F9" w:rsidRDefault="00E24D02" w:rsidP="00971F20">
            <w:pPr>
              <w:rPr>
                <w:color w:val="000000"/>
              </w:rPr>
            </w:pPr>
            <w:r w:rsidRPr="003525F9">
              <w:rPr>
                <w:color w:val="000000"/>
              </w:rPr>
              <w:t>Allianz SE</w:t>
            </w:r>
          </w:p>
        </w:tc>
        <w:tc>
          <w:tcPr>
            <w:tcW w:w="850" w:type="dxa"/>
            <w:tcBorders>
              <w:top w:val="nil"/>
              <w:left w:val="nil"/>
              <w:bottom w:val="single" w:sz="4" w:space="0" w:color="auto"/>
              <w:right w:val="single" w:sz="4" w:space="0" w:color="auto"/>
            </w:tcBorders>
            <w:shd w:val="clear" w:color="auto" w:fill="auto"/>
            <w:noWrap/>
            <w:vAlign w:val="center"/>
            <w:hideMark/>
          </w:tcPr>
          <w:p w14:paraId="785AD83B" w14:textId="77777777" w:rsidR="00E24D02" w:rsidRPr="003525F9" w:rsidRDefault="00E24D02" w:rsidP="00971F20">
            <w:pPr>
              <w:jc w:val="right"/>
              <w:rPr>
                <w:color w:val="000000"/>
              </w:rPr>
            </w:pPr>
            <w:r>
              <w:rPr>
                <w:color w:val="000000"/>
              </w:rPr>
              <w:t>18</w:t>
            </w:r>
            <w:r w:rsidRPr="003525F9">
              <w:rPr>
                <w:color w:val="000000"/>
              </w:rPr>
              <w:t>%</w:t>
            </w:r>
          </w:p>
        </w:tc>
        <w:tc>
          <w:tcPr>
            <w:tcW w:w="3119" w:type="dxa"/>
            <w:tcBorders>
              <w:top w:val="nil"/>
              <w:left w:val="nil"/>
              <w:bottom w:val="single" w:sz="4" w:space="0" w:color="auto"/>
              <w:right w:val="single" w:sz="4" w:space="0" w:color="auto"/>
            </w:tcBorders>
            <w:shd w:val="clear" w:color="000000" w:fill="FFFFFF"/>
            <w:noWrap/>
            <w:vAlign w:val="center"/>
          </w:tcPr>
          <w:p w14:paraId="5026564E" w14:textId="77777777" w:rsidR="00E24D02" w:rsidRPr="003525F9" w:rsidRDefault="00E24D02" w:rsidP="00971F20">
            <w:pPr>
              <w:rPr>
                <w:color w:val="000000"/>
              </w:rPr>
            </w:pPr>
          </w:p>
        </w:tc>
        <w:tc>
          <w:tcPr>
            <w:tcW w:w="1177" w:type="dxa"/>
            <w:tcBorders>
              <w:top w:val="nil"/>
              <w:left w:val="nil"/>
              <w:bottom w:val="single" w:sz="4" w:space="0" w:color="auto"/>
              <w:right w:val="single" w:sz="4" w:space="0" w:color="auto"/>
            </w:tcBorders>
            <w:shd w:val="clear" w:color="auto" w:fill="auto"/>
            <w:noWrap/>
            <w:vAlign w:val="center"/>
          </w:tcPr>
          <w:p w14:paraId="69C9C660" w14:textId="77777777" w:rsidR="00E24D02" w:rsidRPr="003525F9" w:rsidRDefault="00E24D02" w:rsidP="00971F20">
            <w:pPr>
              <w:jc w:val="right"/>
              <w:rPr>
                <w:color w:val="000000"/>
              </w:rPr>
            </w:pPr>
          </w:p>
        </w:tc>
      </w:tr>
      <w:tr w:rsidR="00E24D02" w:rsidRPr="003525F9" w14:paraId="47E77123" w14:textId="77777777" w:rsidTr="00971F20">
        <w:trPr>
          <w:trHeight w:val="276"/>
          <w:jc w:val="center"/>
        </w:trPr>
        <w:tc>
          <w:tcPr>
            <w:tcW w:w="2694" w:type="dxa"/>
            <w:tcBorders>
              <w:top w:val="nil"/>
              <w:left w:val="single" w:sz="4" w:space="0" w:color="auto"/>
              <w:bottom w:val="single" w:sz="4" w:space="0" w:color="auto"/>
              <w:right w:val="single" w:sz="4" w:space="0" w:color="auto"/>
            </w:tcBorders>
            <w:shd w:val="clear" w:color="000000" w:fill="FFFFFF"/>
            <w:noWrap/>
            <w:vAlign w:val="center"/>
            <w:hideMark/>
          </w:tcPr>
          <w:p w14:paraId="420503D5" w14:textId="77777777" w:rsidR="00E24D02" w:rsidRPr="00C84586" w:rsidRDefault="00E24D02" w:rsidP="00971F20">
            <w:pPr>
              <w:rPr>
                <w:color w:val="000000"/>
                <w:lang w:val="it-IT"/>
              </w:rPr>
            </w:pPr>
            <w:r w:rsidRPr="00C84586">
              <w:rPr>
                <w:color w:val="000000"/>
                <w:lang w:val="it-IT"/>
              </w:rPr>
              <w:t>Assicurazioni Generali S.p.A.</w:t>
            </w:r>
          </w:p>
        </w:tc>
        <w:tc>
          <w:tcPr>
            <w:tcW w:w="850" w:type="dxa"/>
            <w:tcBorders>
              <w:top w:val="nil"/>
              <w:left w:val="nil"/>
              <w:bottom w:val="single" w:sz="4" w:space="0" w:color="auto"/>
              <w:right w:val="single" w:sz="4" w:space="0" w:color="auto"/>
            </w:tcBorders>
            <w:shd w:val="clear" w:color="auto" w:fill="auto"/>
            <w:noWrap/>
            <w:vAlign w:val="center"/>
            <w:hideMark/>
          </w:tcPr>
          <w:p w14:paraId="5570C7B0" w14:textId="77777777" w:rsidR="00E24D02" w:rsidRPr="003525F9" w:rsidRDefault="00E24D02" w:rsidP="00971F20">
            <w:pPr>
              <w:jc w:val="right"/>
              <w:rPr>
                <w:color w:val="000000"/>
              </w:rPr>
            </w:pPr>
            <w:r w:rsidRPr="003525F9">
              <w:rPr>
                <w:color w:val="000000"/>
              </w:rPr>
              <w:t>2</w:t>
            </w:r>
            <w:r>
              <w:rPr>
                <w:color w:val="000000"/>
              </w:rPr>
              <w:t>0</w:t>
            </w:r>
            <w:r w:rsidRPr="003525F9">
              <w:rPr>
                <w:color w:val="000000"/>
              </w:rPr>
              <w:t>%</w:t>
            </w:r>
          </w:p>
        </w:tc>
        <w:tc>
          <w:tcPr>
            <w:tcW w:w="3119" w:type="dxa"/>
            <w:tcBorders>
              <w:top w:val="nil"/>
              <w:left w:val="nil"/>
              <w:bottom w:val="single" w:sz="4" w:space="0" w:color="auto"/>
              <w:right w:val="single" w:sz="4" w:space="0" w:color="auto"/>
            </w:tcBorders>
            <w:shd w:val="clear" w:color="000000" w:fill="FFFFFF"/>
            <w:noWrap/>
            <w:vAlign w:val="center"/>
            <w:hideMark/>
          </w:tcPr>
          <w:p w14:paraId="62A98573" w14:textId="77777777" w:rsidR="00E24D02" w:rsidRPr="003525F9" w:rsidRDefault="00E24D02" w:rsidP="00971F20">
            <w:pPr>
              <w:rPr>
                <w:color w:val="000000"/>
              </w:rPr>
            </w:pPr>
            <w:r w:rsidRPr="003525F9">
              <w:rPr>
                <w:color w:val="000000"/>
              </w:rPr>
              <w:t>Phoenix Group Holdings</w:t>
            </w:r>
          </w:p>
        </w:tc>
        <w:tc>
          <w:tcPr>
            <w:tcW w:w="1177" w:type="dxa"/>
            <w:tcBorders>
              <w:top w:val="nil"/>
              <w:left w:val="nil"/>
              <w:bottom w:val="single" w:sz="4" w:space="0" w:color="auto"/>
              <w:right w:val="single" w:sz="4" w:space="0" w:color="auto"/>
            </w:tcBorders>
            <w:shd w:val="clear" w:color="auto" w:fill="auto"/>
            <w:noWrap/>
            <w:vAlign w:val="center"/>
            <w:hideMark/>
          </w:tcPr>
          <w:p w14:paraId="1C7176CE" w14:textId="77777777" w:rsidR="00E24D02" w:rsidRPr="003525F9" w:rsidRDefault="00E24D02" w:rsidP="00971F20">
            <w:pPr>
              <w:jc w:val="right"/>
              <w:rPr>
                <w:color w:val="000000"/>
              </w:rPr>
            </w:pPr>
            <w:r>
              <w:rPr>
                <w:color w:val="000000"/>
              </w:rPr>
              <w:t>24</w:t>
            </w:r>
            <w:r w:rsidRPr="003525F9">
              <w:rPr>
                <w:color w:val="000000"/>
              </w:rPr>
              <w:t>%</w:t>
            </w:r>
          </w:p>
        </w:tc>
      </w:tr>
      <w:tr w:rsidR="00E24D02" w:rsidRPr="003525F9" w14:paraId="27DE8F0A" w14:textId="77777777" w:rsidTr="00971F20">
        <w:trPr>
          <w:trHeight w:val="276"/>
          <w:jc w:val="center"/>
        </w:trPr>
        <w:tc>
          <w:tcPr>
            <w:tcW w:w="2694" w:type="dxa"/>
            <w:tcBorders>
              <w:top w:val="nil"/>
              <w:left w:val="single" w:sz="4" w:space="0" w:color="auto"/>
              <w:bottom w:val="single" w:sz="4" w:space="0" w:color="auto"/>
              <w:right w:val="single" w:sz="4" w:space="0" w:color="auto"/>
            </w:tcBorders>
            <w:shd w:val="clear" w:color="000000" w:fill="FFFFFF"/>
            <w:noWrap/>
            <w:vAlign w:val="center"/>
            <w:hideMark/>
          </w:tcPr>
          <w:p w14:paraId="14EC1D51" w14:textId="77777777" w:rsidR="00E24D02" w:rsidRPr="003525F9" w:rsidRDefault="00E24D02" w:rsidP="00971F20">
            <w:pPr>
              <w:rPr>
                <w:color w:val="000000"/>
              </w:rPr>
            </w:pPr>
            <w:r w:rsidRPr="003525F9">
              <w:rPr>
                <w:color w:val="000000"/>
              </w:rPr>
              <w:t>Aviva plc</w:t>
            </w:r>
          </w:p>
        </w:tc>
        <w:tc>
          <w:tcPr>
            <w:tcW w:w="850" w:type="dxa"/>
            <w:tcBorders>
              <w:top w:val="nil"/>
              <w:left w:val="nil"/>
              <w:bottom w:val="single" w:sz="4" w:space="0" w:color="auto"/>
              <w:right w:val="single" w:sz="4" w:space="0" w:color="auto"/>
            </w:tcBorders>
            <w:shd w:val="clear" w:color="auto" w:fill="auto"/>
            <w:noWrap/>
            <w:vAlign w:val="center"/>
            <w:hideMark/>
          </w:tcPr>
          <w:p w14:paraId="412D587C" w14:textId="77777777" w:rsidR="00E24D02" w:rsidRPr="003525F9" w:rsidRDefault="00E24D02" w:rsidP="00971F20">
            <w:pPr>
              <w:jc w:val="right"/>
              <w:rPr>
                <w:color w:val="000000"/>
              </w:rPr>
            </w:pPr>
            <w:r w:rsidRPr="003525F9">
              <w:rPr>
                <w:color w:val="000000"/>
              </w:rPr>
              <w:t>3</w:t>
            </w:r>
            <w:r>
              <w:rPr>
                <w:color w:val="000000"/>
              </w:rPr>
              <w:t>1</w:t>
            </w:r>
            <w:r w:rsidRPr="003525F9">
              <w:rPr>
                <w:color w:val="000000"/>
              </w:rPr>
              <w:t>%</w:t>
            </w:r>
          </w:p>
        </w:tc>
        <w:tc>
          <w:tcPr>
            <w:tcW w:w="3119" w:type="dxa"/>
            <w:tcBorders>
              <w:top w:val="nil"/>
              <w:left w:val="nil"/>
              <w:bottom w:val="single" w:sz="4" w:space="0" w:color="auto"/>
              <w:right w:val="single" w:sz="4" w:space="0" w:color="auto"/>
            </w:tcBorders>
            <w:shd w:val="clear" w:color="000000" w:fill="FFFFFF"/>
            <w:noWrap/>
            <w:vAlign w:val="center"/>
            <w:hideMark/>
          </w:tcPr>
          <w:p w14:paraId="03A85F66" w14:textId="77777777" w:rsidR="00E24D02" w:rsidRPr="003525F9" w:rsidRDefault="00E24D02" w:rsidP="00971F20">
            <w:pPr>
              <w:rPr>
                <w:color w:val="000000"/>
              </w:rPr>
            </w:pPr>
            <w:r w:rsidRPr="003525F9">
              <w:rPr>
                <w:color w:val="000000"/>
              </w:rPr>
              <w:t>Prudential plc</w:t>
            </w:r>
          </w:p>
        </w:tc>
        <w:tc>
          <w:tcPr>
            <w:tcW w:w="1177" w:type="dxa"/>
            <w:tcBorders>
              <w:top w:val="nil"/>
              <w:left w:val="nil"/>
              <w:bottom w:val="single" w:sz="4" w:space="0" w:color="auto"/>
              <w:right w:val="single" w:sz="4" w:space="0" w:color="auto"/>
            </w:tcBorders>
            <w:shd w:val="clear" w:color="auto" w:fill="auto"/>
            <w:noWrap/>
            <w:vAlign w:val="center"/>
            <w:hideMark/>
          </w:tcPr>
          <w:p w14:paraId="6D607111" w14:textId="77777777" w:rsidR="00E24D02" w:rsidRPr="003525F9" w:rsidRDefault="00E24D02" w:rsidP="00971F20">
            <w:pPr>
              <w:jc w:val="right"/>
              <w:rPr>
                <w:color w:val="000000"/>
              </w:rPr>
            </w:pPr>
            <w:r w:rsidRPr="003525F9">
              <w:rPr>
                <w:color w:val="000000"/>
              </w:rPr>
              <w:t>2</w:t>
            </w:r>
            <w:r>
              <w:rPr>
                <w:color w:val="000000"/>
              </w:rPr>
              <w:t>0</w:t>
            </w:r>
            <w:r w:rsidRPr="003525F9">
              <w:rPr>
                <w:color w:val="000000"/>
              </w:rPr>
              <w:t>%</w:t>
            </w:r>
          </w:p>
        </w:tc>
      </w:tr>
      <w:tr w:rsidR="00E24D02" w:rsidRPr="003525F9" w14:paraId="1F81F617" w14:textId="77777777" w:rsidTr="00971F20">
        <w:trPr>
          <w:trHeight w:val="276"/>
          <w:jc w:val="center"/>
        </w:trPr>
        <w:tc>
          <w:tcPr>
            <w:tcW w:w="2694" w:type="dxa"/>
            <w:tcBorders>
              <w:top w:val="nil"/>
              <w:left w:val="single" w:sz="4" w:space="0" w:color="auto"/>
              <w:bottom w:val="single" w:sz="4" w:space="0" w:color="auto"/>
              <w:right w:val="single" w:sz="4" w:space="0" w:color="auto"/>
            </w:tcBorders>
            <w:shd w:val="clear" w:color="000000" w:fill="FFFFFF"/>
            <w:noWrap/>
            <w:vAlign w:val="center"/>
            <w:hideMark/>
          </w:tcPr>
          <w:p w14:paraId="202241D6" w14:textId="77777777" w:rsidR="00E24D02" w:rsidRPr="003525F9" w:rsidRDefault="00E24D02" w:rsidP="00971F20">
            <w:pPr>
              <w:rPr>
                <w:color w:val="000000"/>
              </w:rPr>
            </w:pPr>
            <w:r w:rsidRPr="003525F9">
              <w:rPr>
                <w:color w:val="000000"/>
              </w:rPr>
              <w:t>AXA SA</w:t>
            </w:r>
          </w:p>
        </w:tc>
        <w:tc>
          <w:tcPr>
            <w:tcW w:w="850" w:type="dxa"/>
            <w:tcBorders>
              <w:top w:val="nil"/>
              <w:left w:val="nil"/>
              <w:bottom w:val="single" w:sz="4" w:space="0" w:color="auto"/>
              <w:right w:val="single" w:sz="4" w:space="0" w:color="auto"/>
            </w:tcBorders>
            <w:shd w:val="clear" w:color="auto" w:fill="auto"/>
            <w:noWrap/>
            <w:vAlign w:val="center"/>
            <w:hideMark/>
          </w:tcPr>
          <w:p w14:paraId="5D4461FE" w14:textId="77777777" w:rsidR="00E24D02" w:rsidRPr="003525F9" w:rsidRDefault="00E24D02" w:rsidP="00971F20">
            <w:pPr>
              <w:jc w:val="right"/>
              <w:rPr>
                <w:color w:val="000000"/>
              </w:rPr>
            </w:pPr>
            <w:r w:rsidRPr="003525F9">
              <w:rPr>
                <w:color w:val="000000"/>
              </w:rPr>
              <w:t>3</w:t>
            </w:r>
            <w:r>
              <w:rPr>
                <w:color w:val="000000"/>
              </w:rPr>
              <w:t>2</w:t>
            </w:r>
            <w:r w:rsidRPr="003525F9">
              <w:rPr>
                <w:color w:val="000000"/>
              </w:rPr>
              <w:t>%</w:t>
            </w:r>
          </w:p>
        </w:tc>
        <w:tc>
          <w:tcPr>
            <w:tcW w:w="3119" w:type="dxa"/>
            <w:tcBorders>
              <w:top w:val="nil"/>
              <w:left w:val="nil"/>
              <w:bottom w:val="single" w:sz="4" w:space="0" w:color="auto"/>
              <w:right w:val="single" w:sz="4" w:space="0" w:color="auto"/>
            </w:tcBorders>
            <w:shd w:val="clear" w:color="000000" w:fill="FFFFFF"/>
            <w:noWrap/>
            <w:vAlign w:val="center"/>
            <w:hideMark/>
          </w:tcPr>
          <w:p w14:paraId="23703068" w14:textId="77777777" w:rsidR="00E24D02" w:rsidRPr="003525F9" w:rsidRDefault="00E24D02" w:rsidP="00971F20">
            <w:pPr>
              <w:rPr>
                <w:color w:val="000000"/>
              </w:rPr>
            </w:pPr>
            <w:r w:rsidRPr="003525F9">
              <w:rPr>
                <w:color w:val="000000"/>
              </w:rPr>
              <w:t>RSA Insurance Group plc</w:t>
            </w:r>
          </w:p>
        </w:tc>
        <w:tc>
          <w:tcPr>
            <w:tcW w:w="1177" w:type="dxa"/>
            <w:tcBorders>
              <w:top w:val="nil"/>
              <w:left w:val="nil"/>
              <w:bottom w:val="single" w:sz="4" w:space="0" w:color="auto"/>
              <w:right w:val="single" w:sz="4" w:space="0" w:color="auto"/>
            </w:tcBorders>
            <w:shd w:val="clear" w:color="auto" w:fill="auto"/>
            <w:noWrap/>
            <w:vAlign w:val="center"/>
            <w:hideMark/>
          </w:tcPr>
          <w:p w14:paraId="21FDC52C" w14:textId="77777777" w:rsidR="00E24D02" w:rsidRPr="003525F9" w:rsidRDefault="00E24D02" w:rsidP="00971F20">
            <w:pPr>
              <w:jc w:val="right"/>
              <w:rPr>
                <w:color w:val="000000"/>
              </w:rPr>
            </w:pPr>
            <w:r>
              <w:rPr>
                <w:color w:val="000000"/>
              </w:rPr>
              <w:t>19</w:t>
            </w:r>
            <w:r w:rsidRPr="003525F9">
              <w:rPr>
                <w:color w:val="000000"/>
              </w:rPr>
              <w:t>%</w:t>
            </w:r>
          </w:p>
        </w:tc>
      </w:tr>
      <w:tr w:rsidR="00E24D02" w:rsidRPr="003525F9" w14:paraId="6D4D183F" w14:textId="77777777" w:rsidTr="00971F20">
        <w:trPr>
          <w:trHeight w:val="276"/>
          <w:jc w:val="center"/>
        </w:trPr>
        <w:tc>
          <w:tcPr>
            <w:tcW w:w="2694" w:type="dxa"/>
            <w:tcBorders>
              <w:top w:val="nil"/>
              <w:left w:val="single" w:sz="4" w:space="0" w:color="auto"/>
              <w:bottom w:val="single" w:sz="4" w:space="0" w:color="auto"/>
              <w:right w:val="single" w:sz="4" w:space="0" w:color="auto"/>
            </w:tcBorders>
            <w:shd w:val="clear" w:color="000000" w:fill="FFFFFF"/>
            <w:noWrap/>
            <w:vAlign w:val="center"/>
            <w:hideMark/>
          </w:tcPr>
          <w:p w14:paraId="57CA804F" w14:textId="77777777" w:rsidR="00E24D02" w:rsidRPr="003525F9" w:rsidRDefault="00E24D02" w:rsidP="00971F20">
            <w:pPr>
              <w:rPr>
                <w:color w:val="000000"/>
              </w:rPr>
            </w:pPr>
            <w:r w:rsidRPr="003525F9">
              <w:rPr>
                <w:color w:val="000000"/>
              </w:rPr>
              <w:t>CNP Assurances SA</w:t>
            </w:r>
          </w:p>
        </w:tc>
        <w:tc>
          <w:tcPr>
            <w:tcW w:w="850" w:type="dxa"/>
            <w:tcBorders>
              <w:top w:val="nil"/>
              <w:left w:val="nil"/>
              <w:bottom w:val="single" w:sz="4" w:space="0" w:color="auto"/>
              <w:right w:val="single" w:sz="4" w:space="0" w:color="auto"/>
            </w:tcBorders>
            <w:shd w:val="clear" w:color="auto" w:fill="auto"/>
            <w:noWrap/>
            <w:vAlign w:val="center"/>
            <w:hideMark/>
          </w:tcPr>
          <w:p w14:paraId="0EA93A22" w14:textId="77777777" w:rsidR="00E24D02" w:rsidRPr="003525F9" w:rsidRDefault="00E24D02" w:rsidP="00971F20">
            <w:pPr>
              <w:jc w:val="right"/>
              <w:rPr>
                <w:color w:val="000000"/>
              </w:rPr>
            </w:pPr>
            <w:r w:rsidRPr="003525F9">
              <w:rPr>
                <w:color w:val="000000"/>
              </w:rPr>
              <w:t>2</w:t>
            </w:r>
            <w:r>
              <w:rPr>
                <w:color w:val="000000"/>
              </w:rPr>
              <w:t>7</w:t>
            </w:r>
            <w:r w:rsidRPr="003525F9">
              <w:rPr>
                <w:color w:val="000000"/>
              </w:rPr>
              <w:t>%</w:t>
            </w:r>
          </w:p>
        </w:tc>
        <w:tc>
          <w:tcPr>
            <w:tcW w:w="3119" w:type="dxa"/>
            <w:tcBorders>
              <w:top w:val="nil"/>
              <w:left w:val="nil"/>
              <w:bottom w:val="single" w:sz="4" w:space="0" w:color="auto"/>
              <w:right w:val="single" w:sz="4" w:space="0" w:color="auto"/>
            </w:tcBorders>
            <w:shd w:val="clear" w:color="000000" w:fill="FFFFFF"/>
            <w:noWrap/>
            <w:vAlign w:val="center"/>
            <w:hideMark/>
          </w:tcPr>
          <w:p w14:paraId="0D27DF41" w14:textId="77777777" w:rsidR="00E24D02" w:rsidRPr="003525F9" w:rsidRDefault="00E24D02" w:rsidP="00971F20">
            <w:pPr>
              <w:rPr>
                <w:color w:val="000000"/>
              </w:rPr>
            </w:pPr>
            <w:proofErr w:type="spellStart"/>
            <w:r w:rsidRPr="003525F9">
              <w:rPr>
                <w:color w:val="000000"/>
              </w:rPr>
              <w:t>Talanx</w:t>
            </w:r>
            <w:proofErr w:type="spellEnd"/>
            <w:r w:rsidRPr="003525F9">
              <w:rPr>
                <w:color w:val="000000"/>
              </w:rPr>
              <w:t xml:space="preserve"> AG</w:t>
            </w:r>
          </w:p>
        </w:tc>
        <w:tc>
          <w:tcPr>
            <w:tcW w:w="1177" w:type="dxa"/>
            <w:tcBorders>
              <w:top w:val="nil"/>
              <w:left w:val="nil"/>
              <w:bottom w:val="single" w:sz="4" w:space="0" w:color="auto"/>
              <w:right w:val="single" w:sz="4" w:space="0" w:color="auto"/>
            </w:tcBorders>
            <w:shd w:val="clear" w:color="auto" w:fill="auto"/>
            <w:noWrap/>
            <w:vAlign w:val="center"/>
            <w:hideMark/>
          </w:tcPr>
          <w:p w14:paraId="4DAC7D3B" w14:textId="77777777" w:rsidR="00E24D02" w:rsidRPr="003525F9" w:rsidRDefault="00E24D02" w:rsidP="00971F20">
            <w:pPr>
              <w:jc w:val="right"/>
              <w:rPr>
                <w:color w:val="000000"/>
              </w:rPr>
            </w:pPr>
            <w:r>
              <w:rPr>
                <w:color w:val="000000"/>
              </w:rPr>
              <w:t>11</w:t>
            </w:r>
            <w:r w:rsidRPr="003525F9">
              <w:rPr>
                <w:color w:val="000000"/>
              </w:rPr>
              <w:t>%</w:t>
            </w:r>
          </w:p>
        </w:tc>
      </w:tr>
      <w:tr w:rsidR="00E24D02" w:rsidRPr="003525F9" w14:paraId="2F1FF18A" w14:textId="77777777" w:rsidTr="00971F20">
        <w:trPr>
          <w:trHeight w:val="276"/>
          <w:jc w:val="center"/>
        </w:trPr>
        <w:tc>
          <w:tcPr>
            <w:tcW w:w="2694" w:type="dxa"/>
            <w:tcBorders>
              <w:top w:val="nil"/>
              <w:left w:val="single" w:sz="4" w:space="0" w:color="auto"/>
              <w:bottom w:val="single" w:sz="4" w:space="0" w:color="auto"/>
              <w:right w:val="single" w:sz="4" w:space="0" w:color="auto"/>
            </w:tcBorders>
            <w:shd w:val="clear" w:color="000000" w:fill="FFFFFF"/>
            <w:noWrap/>
            <w:vAlign w:val="center"/>
          </w:tcPr>
          <w:p w14:paraId="41A82498" w14:textId="77777777" w:rsidR="00E24D02" w:rsidRPr="003525F9" w:rsidRDefault="00E24D02" w:rsidP="00971F20">
            <w:pPr>
              <w:rPr>
                <w:color w:val="000000"/>
              </w:rPr>
            </w:pPr>
          </w:p>
        </w:tc>
        <w:tc>
          <w:tcPr>
            <w:tcW w:w="850" w:type="dxa"/>
            <w:tcBorders>
              <w:top w:val="nil"/>
              <w:left w:val="nil"/>
              <w:bottom w:val="single" w:sz="4" w:space="0" w:color="auto"/>
              <w:right w:val="single" w:sz="4" w:space="0" w:color="auto"/>
            </w:tcBorders>
            <w:shd w:val="clear" w:color="auto" w:fill="auto"/>
            <w:noWrap/>
            <w:vAlign w:val="center"/>
          </w:tcPr>
          <w:p w14:paraId="6A90B0DC" w14:textId="77777777" w:rsidR="00E24D02" w:rsidRPr="003525F9" w:rsidRDefault="00E24D02" w:rsidP="00971F20">
            <w:pPr>
              <w:jc w:val="right"/>
              <w:rPr>
                <w:color w:val="000000"/>
              </w:rPr>
            </w:pPr>
          </w:p>
        </w:tc>
        <w:tc>
          <w:tcPr>
            <w:tcW w:w="3119" w:type="dxa"/>
            <w:tcBorders>
              <w:top w:val="nil"/>
              <w:left w:val="nil"/>
              <w:bottom w:val="single" w:sz="4" w:space="0" w:color="auto"/>
              <w:right w:val="single" w:sz="4" w:space="0" w:color="auto"/>
            </w:tcBorders>
            <w:shd w:val="clear" w:color="000000" w:fill="FFFFFF"/>
            <w:noWrap/>
            <w:vAlign w:val="center"/>
            <w:hideMark/>
          </w:tcPr>
          <w:p w14:paraId="4BDDD95D" w14:textId="77777777" w:rsidR="00E24D02" w:rsidRPr="00C84586" w:rsidRDefault="00E24D02" w:rsidP="00971F20">
            <w:pPr>
              <w:rPr>
                <w:color w:val="000000"/>
                <w:lang w:val="it-IT"/>
              </w:rPr>
            </w:pPr>
            <w:r w:rsidRPr="00C84586">
              <w:rPr>
                <w:color w:val="000000"/>
                <w:lang w:val="it-IT"/>
              </w:rPr>
              <w:t>Unipol Gruppo Finanziario S.p.A.</w:t>
            </w:r>
          </w:p>
        </w:tc>
        <w:tc>
          <w:tcPr>
            <w:tcW w:w="1177" w:type="dxa"/>
            <w:tcBorders>
              <w:top w:val="nil"/>
              <w:left w:val="nil"/>
              <w:bottom w:val="single" w:sz="4" w:space="0" w:color="auto"/>
              <w:right w:val="single" w:sz="4" w:space="0" w:color="auto"/>
            </w:tcBorders>
            <w:shd w:val="clear" w:color="auto" w:fill="auto"/>
            <w:noWrap/>
            <w:vAlign w:val="center"/>
            <w:hideMark/>
          </w:tcPr>
          <w:p w14:paraId="18E89EC7" w14:textId="77777777" w:rsidR="00E24D02" w:rsidRPr="003525F9" w:rsidRDefault="00E24D02" w:rsidP="00971F20">
            <w:pPr>
              <w:jc w:val="right"/>
              <w:rPr>
                <w:color w:val="000000"/>
              </w:rPr>
            </w:pPr>
            <w:r w:rsidRPr="003525F9">
              <w:rPr>
                <w:color w:val="000000"/>
              </w:rPr>
              <w:t>3</w:t>
            </w:r>
            <w:r>
              <w:rPr>
                <w:color w:val="000000"/>
              </w:rPr>
              <w:t>1</w:t>
            </w:r>
            <w:r w:rsidRPr="003525F9">
              <w:rPr>
                <w:color w:val="000000"/>
              </w:rPr>
              <w:t>%</w:t>
            </w:r>
          </w:p>
        </w:tc>
      </w:tr>
      <w:tr w:rsidR="00E24D02" w:rsidRPr="003525F9" w14:paraId="5742D9F6" w14:textId="77777777" w:rsidTr="00971F20">
        <w:trPr>
          <w:trHeight w:val="276"/>
          <w:jc w:val="center"/>
        </w:trPr>
        <w:tc>
          <w:tcPr>
            <w:tcW w:w="2694" w:type="dxa"/>
            <w:tcBorders>
              <w:top w:val="nil"/>
              <w:left w:val="single" w:sz="4" w:space="0" w:color="auto"/>
              <w:bottom w:val="single" w:sz="4" w:space="0" w:color="auto"/>
              <w:right w:val="single" w:sz="4" w:space="0" w:color="auto"/>
            </w:tcBorders>
            <w:shd w:val="clear" w:color="000000" w:fill="FFFFFF"/>
            <w:noWrap/>
            <w:vAlign w:val="center"/>
            <w:hideMark/>
          </w:tcPr>
          <w:p w14:paraId="77820C47" w14:textId="77777777" w:rsidR="00E24D02" w:rsidRPr="003525F9" w:rsidRDefault="00E24D02" w:rsidP="00971F20">
            <w:pPr>
              <w:rPr>
                <w:color w:val="000000"/>
              </w:rPr>
            </w:pPr>
            <w:r w:rsidRPr="003525F9">
              <w:rPr>
                <w:color w:val="000000"/>
              </w:rPr>
              <w:t>Legal &amp; General Group Plc</w:t>
            </w:r>
          </w:p>
        </w:tc>
        <w:tc>
          <w:tcPr>
            <w:tcW w:w="850" w:type="dxa"/>
            <w:tcBorders>
              <w:top w:val="nil"/>
              <w:left w:val="nil"/>
              <w:bottom w:val="single" w:sz="4" w:space="0" w:color="auto"/>
              <w:right w:val="single" w:sz="4" w:space="0" w:color="auto"/>
            </w:tcBorders>
            <w:shd w:val="clear" w:color="auto" w:fill="auto"/>
            <w:noWrap/>
            <w:vAlign w:val="center"/>
            <w:hideMark/>
          </w:tcPr>
          <w:p w14:paraId="531DF521" w14:textId="77777777" w:rsidR="00E24D02" w:rsidRPr="003525F9" w:rsidRDefault="00E24D02" w:rsidP="00971F20">
            <w:pPr>
              <w:jc w:val="right"/>
              <w:rPr>
                <w:color w:val="000000"/>
              </w:rPr>
            </w:pPr>
            <w:r w:rsidRPr="003525F9">
              <w:rPr>
                <w:color w:val="000000"/>
              </w:rPr>
              <w:t>2</w:t>
            </w:r>
            <w:r>
              <w:rPr>
                <w:color w:val="000000"/>
              </w:rPr>
              <w:t>1</w:t>
            </w:r>
            <w:r w:rsidRPr="003525F9">
              <w:rPr>
                <w:color w:val="000000"/>
              </w:rPr>
              <w:t>%</w:t>
            </w:r>
          </w:p>
        </w:tc>
        <w:tc>
          <w:tcPr>
            <w:tcW w:w="3119" w:type="dxa"/>
            <w:tcBorders>
              <w:top w:val="nil"/>
              <w:left w:val="nil"/>
              <w:bottom w:val="single" w:sz="4" w:space="0" w:color="auto"/>
              <w:right w:val="single" w:sz="4" w:space="0" w:color="auto"/>
            </w:tcBorders>
            <w:shd w:val="clear" w:color="auto" w:fill="auto"/>
            <w:noWrap/>
            <w:vAlign w:val="center"/>
            <w:hideMark/>
          </w:tcPr>
          <w:p w14:paraId="3F51DE36" w14:textId="77777777" w:rsidR="00E24D02" w:rsidRPr="003525F9" w:rsidRDefault="00E24D02" w:rsidP="00971F20">
            <w:pPr>
              <w:rPr>
                <w:color w:val="000000"/>
              </w:rPr>
            </w:pPr>
            <w:r w:rsidRPr="003525F9">
              <w:rPr>
                <w:color w:val="000000"/>
              </w:rPr>
              <w:t>Vienna Insurance Group AG</w:t>
            </w:r>
          </w:p>
        </w:tc>
        <w:tc>
          <w:tcPr>
            <w:tcW w:w="1177" w:type="dxa"/>
            <w:tcBorders>
              <w:top w:val="nil"/>
              <w:left w:val="nil"/>
              <w:bottom w:val="single" w:sz="4" w:space="0" w:color="auto"/>
              <w:right w:val="single" w:sz="4" w:space="0" w:color="auto"/>
            </w:tcBorders>
            <w:shd w:val="clear" w:color="auto" w:fill="auto"/>
            <w:noWrap/>
            <w:vAlign w:val="center"/>
            <w:hideMark/>
          </w:tcPr>
          <w:p w14:paraId="42C694AF" w14:textId="77777777" w:rsidR="00E24D02" w:rsidRPr="003525F9" w:rsidRDefault="00E24D02" w:rsidP="00971F20">
            <w:pPr>
              <w:jc w:val="right"/>
              <w:rPr>
                <w:color w:val="000000"/>
              </w:rPr>
            </w:pPr>
            <w:r w:rsidRPr="003525F9">
              <w:rPr>
                <w:color w:val="000000"/>
              </w:rPr>
              <w:t>1</w:t>
            </w:r>
            <w:r>
              <w:rPr>
                <w:color w:val="000000"/>
              </w:rPr>
              <w:t>3</w:t>
            </w:r>
            <w:r w:rsidRPr="003525F9">
              <w:rPr>
                <w:color w:val="000000"/>
              </w:rPr>
              <w:t>%</w:t>
            </w:r>
          </w:p>
        </w:tc>
      </w:tr>
      <w:tr w:rsidR="00E24D02" w:rsidRPr="003525F9" w14:paraId="3746E791" w14:textId="77777777" w:rsidTr="00971F20">
        <w:trPr>
          <w:trHeight w:val="276"/>
          <w:jc w:val="center"/>
        </w:trPr>
        <w:tc>
          <w:tcPr>
            <w:tcW w:w="6663"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AB08AC9" w14:textId="77777777" w:rsidR="00E24D02" w:rsidRPr="003525F9" w:rsidRDefault="00E24D02" w:rsidP="00971F20">
            <w:pPr>
              <w:jc w:val="center"/>
              <w:rPr>
                <w:color w:val="000000"/>
                <w:lang w:val="en-US"/>
              </w:rPr>
            </w:pPr>
            <w:r w:rsidRPr="003525F9">
              <w:rPr>
                <w:color w:val="000000"/>
                <w:lang w:val="en-US"/>
              </w:rPr>
              <w:t>Total of debt instruments in EOF / total EOF for these 18 groups</w:t>
            </w:r>
          </w:p>
        </w:tc>
        <w:tc>
          <w:tcPr>
            <w:tcW w:w="1177" w:type="dxa"/>
            <w:tcBorders>
              <w:top w:val="single" w:sz="4" w:space="0" w:color="auto"/>
              <w:left w:val="nil"/>
              <w:bottom w:val="single" w:sz="4" w:space="0" w:color="auto"/>
              <w:right w:val="single" w:sz="4" w:space="0" w:color="auto"/>
            </w:tcBorders>
            <w:shd w:val="clear" w:color="000000" w:fill="BFBFBF"/>
            <w:noWrap/>
            <w:vAlign w:val="center"/>
            <w:hideMark/>
          </w:tcPr>
          <w:p w14:paraId="21C90163" w14:textId="77777777" w:rsidR="00E24D02" w:rsidRPr="003525F9" w:rsidRDefault="00E24D02" w:rsidP="00971F20">
            <w:pPr>
              <w:jc w:val="right"/>
              <w:rPr>
                <w:i/>
                <w:iCs/>
                <w:color w:val="000000"/>
              </w:rPr>
            </w:pPr>
            <w:r w:rsidRPr="003525F9">
              <w:rPr>
                <w:i/>
                <w:iCs/>
                <w:color w:val="000000"/>
              </w:rPr>
              <w:t>2</w:t>
            </w:r>
            <w:r>
              <w:rPr>
                <w:i/>
                <w:iCs/>
                <w:color w:val="000000"/>
              </w:rPr>
              <w:t>3</w:t>
            </w:r>
            <w:r w:rsidRPr="003525F9">
              <w:rPr>
                <w:i/>
                <w:iCs/>
                <w:color w:val="000000"/>
              </w:rPr>
              <w:t>%</w:t>
            </w:r>
          </w:p>
        </w:tc>
      </w:tr>
      <w:tr w:rsidR="00E24D02" w:rsidRPr="003525F9" w14:paraId="49FA867D" w14:textId="77777777" w:rsidTr="00971F20">
        <w:trPr>
          <w:trHeight w:val="276"/>
          <w:jc w:val="center"/>
        </w:trPr>
        <w:tc>
          <w:tcPr>
            <w:tcW w:w="3544" w:type="dxa"/>
            <w:gridSpan w:val="2"/>
            <w:tcBorders>
              <w:top w:val="nil"/>
              <w:left w:val="nil"/>
              <w:bottom w:val="nil"/>
              <w:right w:val="nil"/>
            </w:tcBorders>
            <w:shd w:val="clear" w:color="auto" w:fill="auto"/>
            <w:noWrap/>
            <w:vAlign w:val="center"/>
            <w:hideMark/>
          </w:tcPr>
          <w:p w14:paraId="362E6CC9" w14:textId="77777777" w:rsidR="00E24D02" w:rsidRPr="003525F9" w:rsidRDefault="00E24D02" w:rsidP="00971F20">
            <w:pPr>
              <w:rPr>
                <w:i/>
                <w:iCs/>
                <w:color w:val="000000"/>
              </w:rPr>
            </w:pPr>
            <w:proofErr w:type="gramStart"/>
            <w:r w:rsidRPr="003525F9">
              <w:rPr>
                <w:i/>
                <w:iCs/>
                <w:color w:val="000000"/>
              </w:rPr>
              <w:t>Source :</w:t>
            </w:r>
            <w:proofErr w:type="gramEnd"/>
            <w:r w:rsidRPr="003525F9">
              <w:rPr>
                <w:i/>
                <w:iCs/>
                <w:color w:val="000000"/>
              </w:rPr>
              <w:t xml:space="preserve"> SFCR reports YE 201</w:t>
            </w:r>
            <w:r>
              <w:rPr>
                <w:i/>
                <w:iCs/>
                <w:color w:val="000000"/>
              </w:rPr>
              <w:t>8</w:t>
            </w:r>
          </w:p>
        </w:tc>
        <w:tc>
          <w:tcPr>
            <w:tcW w:w="3119" w:type="dxa"/>
            <w:tcBorders>
              <w:top w:val="nil"/>
              <w:left w:val="nil"/>
              <w:bottom w:val="nil"/>
              <w:right w:val="nil"/>
            </w:tcBorders>
            <w:shd w:val="clear" w:color="auto" w:fill="auto"/>
            <w:noWrap/>
            <w:vAlign w:val="bottom"/>
            <w:hideMark/>
          </w:tcPr>
          <w:p w14:paraId="2E101CF5" w14:textId="77777777" w:rsidR="00E24D02" w:rsidRPr="003525F9" w:rsidRDefault="00E24D02" w:rsidP="00971F20">
            <w:pPr>
              <w:rPr>
                <w:i/>
                <w:iCs/>
                <w:color w:val="000000"/>
              </w:rPr>
            </w:pPr>
          </w:p>
        </w:tc>
        <w:tc>
          <w:tcPr>
            <w:tcW w:w="1177" w:type="dxa"/>
            <w:tcBorders>
              <w:top w:val="nil"/>
              <w:left w:val="nil"/>
              <w:bottom w:val="nil"/>
              <w:right w:val="nil"/>
            </w:tcBorders>
            <w:shd w:val="clear" w:color="auto" w:fill="auto"/>
            <w:noWrap/>
            <w:vAlign w:val="bottom"/>
            <w:hideMark/>
          </w:tcPr>
          <w:p w14:paraId="3B33B6D9" w14:textId="77777777" w:rsidR="00E24D02" w:rsidRPr="003525F9" w:rsidRDefault="00E24D02" w:rsidP="00971F20"/>
        </w:tc>
      </w:tr>
    </w:tbl>
    <w:p w14:paraId="2B063337" w14:textId="77777777" w:rsidR="00E24D02" w:rsidRDefault="00E24D02" w:rsidP="00E24D02"/>
    <w:p w14:paraId="27E79B99" w14:textId="77777777" w:rsidR="00E24D02" w:rsidRDefault="00E24D02" w:rsidP="00E24D02">
      <w:r w:rsidRPr="008D4F84">
        <w:t xml:space="preserve">The impact of the use of debt financing on reducing the </w:t>
      </w:r>
      <w:proofErr w:type="spellStart"/>
      <w:r w:rsidRPr="008D4F84">
        <w:t>CoC</w:t>
      </w:r>
      <w:proofErr w:type="spellEnd"/>
      <w:r w:rsidRPr="008D4F84">
        <w:t xml:space="preserve"> rate depends on the relative cost of debt to the cost of equity and on the benefit of the tax deductibility of interest payments which depends on the tax rate.</w:t>
      </w:r>
    </w:p>
    <w:p w14:paraId="7B491585" w14:textId="77777777" w:rsidR="00E24D02" w:rsidRDefault="00E24D02" w:rsidP="00E24D02">
      <w:pPr>
        <w:rPr>
          <w:rFonts w:cstheme="minorHAnsi"/>
        </w:rPr>
      </w:pPr>
      <w:r w:rsidRPr="008D4F84">
        <w:t>Significant cost</w:t>
      </w:r>
      <w:r>
        <w:t xml:space="preserve"> </w:t>
      </w:r>
      <w:r w:rsidRPr="008D4F84">
        <w:t xml:space="preserve">differences exist between equity and debt funding and tax relief on debt payments contributes to reducing further the effective cost of debt financing compared to equity financing. The average corporate tax rate has tended to decrease in the European Union between 2010 and </w:t>
      </w:r>
      <w:r w:rsidRPr="008D4F84">
        <w:lastRenderedPageBreak/>
        <w:t>2017 but continues to be relatively high (around 22%). The cost of debt financing is currently very low (</w:t>
      </w:r>
      <w:r>
        <w:t xml:space="preserve">estimated at </w:t>
      </w:r>
      <w:r w:rsidRPr="008D4F84">
        <w:t>c. 2</w:t>
      </w:r>
      <w:r>
        <w:t>0</w:t>
      </w:r>
      <w:r w:rsidRPr="008D4F84">
        <w:t xml:space="preserve">0 bps over the </w:t>
      </w:r>
      <w:proofErr w:type="gramStart"/>
      <w:r w:rsidRPr="008D4F84">
        <w:t>risk free</w:t>
      </w:r>
      <w:proofErr w:type="gramEnd"/>
      <w:r w:rsidRPr="008D4F84">
        <w:t xml:space="preserve"> rate) and it is usually materially lower than the cost of equity (for instance, around 200 bps lower or more since 2012).</w:t>
      </w:r>
      <w:r>
        <w:t xml:space="preserve"> Therefore, if we were to assume </w:t>
      </w:r>
      <w:r w:rsidRPr="00806B5F">
        <w:t>a 25% weight of debt and an average corporate tax rate of 22%, the WACC cost of capital would instantly be materially lower.</w:t>
      </w:r>
    </w:p>
    <w:p w14:paraId="3DCB8075" w14:textId="77777777" w:rsidR="00E24D02" w:rsidRPr="0012404E" w:rsidRDefault="00E24D02" w:rsidP="00E24D02">
      <w:pPr>
        <w:rPr>
          <w:u w:val="single"/>
        </w:rPr>
      </w:pPr>
      <w:r w:rsidRPr="0012404E">
        <w:rPr>
          <w:u w:val="single"/>
        </w:rPr>
        <w:t>Use of a forward-looking premium</w:t>
      </w:r>
    </w:p>
    <w:p w14:paraId="430BED22" w14:textId="77777777" w:rsidR="00E24D02" w:rsidRDefault="00E24D02" w:rsidP="00E24D02">
      <w:r>
        <w:t>T</w:t>
      </w:r>
      <w:r w:rsidRPr="00E56593">
        <w:t>he paper “The Cost of Capital: the Swiss Army Knife of Finance” by Damodaran which EIOPA references in paragraph 1422 of the consultation paper articulates the limitations of the historical return approach. This paper states regarding backward looking</w:t>
      </w:r>
      <w:r>
        <w:t xml:space="preserve"> equity risk premiums</w:t>
      </w:r>
      <w:r w:rsidRPr="00E56593">
        <w:t xml:space="preserve"> </w:t>
      </w:r>
      <w:r>
        <w:t>(“</w:t>
      </w:r>
      <w:r w:rsidRPr="00E56593">
        <w:t>ERPs</w:t>
      </w:r>
      <w:r>
        <w:t>”)</w:t>
      </w:r>
      <w:r w:rsidRPr="00E56593">
        <w:t xml:space="preserve">: “Not only are they backward looking, by construct, and subject to manipulation, with very different values for the premium based upon what period of history you look at, whether you use </w:t>
      </w:r>
      <w:proofErr w:type="spellStart"/>
      <w:r w:rsidRPr="00E56593">
        <w:t>T.Bills</w:t>
      </w:r>
      <w:proofErr w:type="spellEnd"/>
      <w:r w:rsidRPr="00E56593">
        <w:t xml:space="preserve"> or </w:t>
      </w:r>
      <w:proofErr w:type="spellStart"/>
      <w:r w:rsidRPr="00E56593">
        <w:t>T.Bonds</w:t>
      </w:r>
      <w:proofErr w:type="spellEnd"/>
      <w:r w:rsidRPr="00E56593">
        <w:t xml:space="preserve"> as your risk free rate and how you compute averages. Not surprisingly, analysts use this to advantage and pick equity risk premiums that reflect their valuation biases, pushing towards the higher numbers [...], if their bias is towards lower values, and the lower numbers to justify higher values”.</w:t>
      </w:r>
      <w:r>
        <w:t xml:space="preserve"> So h</w:t>
      </w:r>
      <w:r w:rsidRPr="00806B5F">
        <w:t xml:space="preserve">istorical return models can introduce a strong </w:t>
      </w:r>
      <w:r>
        <w:t xml:space="preserve">survivorship </w:t>
      </w:r>
      <w:r w:rsidRPr="00806B5F">
        <w:t>bias as they are backward-looking and depend strongly on the time period chosen.</w:t>
      </w:r>
    </w:p>
    <w:p w14:paraId="3B950905" w14:textId="77777777" w:rsidR="00E24D02" w:rsidRDefault="00E24D02" w:rsidP="00E24D02">
      <w:r w:rsidRPr="00EF5094">
        <w:t>Going too far back to calibrate the market risk premium (as when EIOPA uses data starting in 1926 for the US case) tends to increase it artificially</w:t>
      </w:r>
      <w:r>
        <w:t xml:space="preserve">. EIOPA reasonably underlines in the consultation paper that “the inclusion of the World War II period and the following economic recovery in the US time series may be considered questionable, because that economic situation is not comparable with today”. Similarly, a data set starting more than 40 years ago in 1975 for the European case when the economic environment and growth perspective was different from today might also lead to an upward bias (and the </w:t>
      </w:r>
      <w:proofErr w:type="gramStart"/>
      <w:r>
        <w:t>backward looking</w:t>
      </w:r>
      <w:proofErr w:type="gramEnd"/>
      <w:r>
        <w:t xml:space="preserve"> approach introduces anyway an upward bias).</w:t>
      </w:r>
    </w:p>
    <w:p w14:paraId="5F87CC39" w14:textId="77777777" w:rsidR="00E24D02" w:rsidRDefault="00E24D02" w:rsidP="00E24D02">
      <w:proofErr w:type="gramStart"/>
      <w:r>
        <w:t>Additionally</w:t>
      </w:r>
      <w:proofErr w:type="gramEnd"/>
      <w:r>
        <w:t xml:space="preserve"> </w:t>
      </w:r>
      <w:r w:rsidRPr="00360700">
        <w:t>EIOPA considers that the backward-looking ERP is less volatile than the forward-looking one. However, the backward-looking ERP is extremely volatile</w:t>
      </w:r>
      <w:r>
        <w:t xml:space="preserve"> and </w:t>
      </w:r>
      <w:r w:rsidRPr="00806B5F">
        <w:t>backward-looking ERP estimates have a very wide confidence margin.</w:t>
      </w:r>
      <w:r>
        <w:t xml:space="preserve"> For example: t</w:t>
      </w:r>
      <w:r w:rsidRPr="00360700">
        <w:t>he Shiller dataset covering 1871-2012 produces a</w:t>
      </w:r>
      <w:r>
        <w:t xml:space="preserve"> 17.7% standard deviation,</w:t>
      </w:r>
      <w:r w:rsidRPr="00360700">
        <w:t xml:space="preserve"> </w:t>
      </w:r>
      <w:proofErr w:type="spellStart"/>
      <w:r w:rsidRPr="00360700">
        <w:t>Damodoran’s</w:t>
      </w:r>
      <w:proofErr w:type="spellEnd"/>
      <w:r w:rsidRPr="00360700">
        <w:t xml:space="preserve"> one covering 1928-2015 yields a 20.1% standard deviation</w:t>
      </w:r>
      <w:r>
        <w:t xml:space="preserve"> and </w:t>
      </w:r>
      <w:proofErr w:type="spellStart"/>
      <w:r w:rsidRPr="00360700">
        <w:t>Norges</w:t>
      </w:r>
      <w:proofErr w:type="spellEnd"/>
      <w:r w:rsidRPr="00360700">
        <w:t xml:space="preserve"> Bank (201</w:t>
      </w:r>
      <w:r>
        <w:t xml:space="preserve">6) « The Equity Risk Premium ») with ERP </w:t>
      </w:r>
      <w:r w:rsidRPr="00360700">
        <w:t xml:space="preserve">calculated over very </w:t>
      </w:r>
      <w:proofErr w:type="gramStart"/>
      <w:r w:rsidRPr="00360700">
        <w:t>long time</w:t>
      </w:r>
      <w:proofErr w:type="gramEnd"/>
      <w:r w:rsidRPr="00360700">
        <w:t xml:space="preserve"> horizons, it displays a </w:t>
      </w:r>
      <w:r>
        <w:t>standard deviation of</w:t>
      </w:r>
      <w:r w:rsidRPr="00360700">
        <w:t xml:space="preserve"> approximately 20%.</w:t>
      </w:r>
      <w:r w:rsidRPr="00806B5F">
        <w:t xml:space="preserve"> As a consequence, researchers using the same data but calculating equity returns over different periods, will obtain widely differing estimates of the ERP</w:t>
      </w:r>
      <w:r>
        <w:t>.</w:t>
      </w:r>
    </w:p>
    <w:p w14:paraId="77B28484" w14:textId="77777777" w:rsidR="00E24D02" w:rsidRDefault="00E24D02" w:rsidP="00E24D02">
      <w:r>
        <w:t>The ERP for a given year should be based on a specific estimate of the dividend growth potential, based on analyst estimates of earnings growth, rather than historic figures. In its report (pages 83 onwards), Damodaran derives the forward looking equity risk premia based on the S&amp;P 500 from 2008 to 2017, including the contribution of share buy-backs (S&amp;P figures are used by EIOPA for deriving the historical return ERP so</w:t>
      </w:r>
      <w:r w:rsidRPr="00C10E97">
        <w:t xml:space="preserve"> that it is consistent to use it also to derive the forward looking ERP). The average of the ERPs calculated for this </w:t>
      </w:r>
      <w:proofErr w:type="gramStart"/>
      <w:r w:rsidRPr="00C10E97">
        <w:t>10 year</w:t>
      </w:r>
      <w:proofErr w:type="gramEnd"/>
      <w:r w:rsidRPr="00C10E97">
        <w:t xml:space="preserve"> period is c. 5%.</w:t>
      </w:r>
    </w:p>
    <w:tbl>
      <w:tblPr>
        <w:tblW w:w="3856" w:type="dxa"/>
        <w:tblInd w:w="2410" w:type="dxa"/>
        <w:tblLayout w:type="fixed"/>
        <w:tblCellMar>
          <w:left w:w="70" w:type="dxa"/>
          <w:right w:w="70" w:type="dxa"/>
        </w:tblCellMar>
        <w:tblLook w:val="04A0" w:firstRow="1" w:lastRow="0" w:firstColumn="1" w:lastColumn="0" w:noHBand="0" w:noVBand="1"/>
      </w:tblPr>
      <w:tblGrid>
        <w:gridCol w:w="964"/>
        <w:gridCol w:w="964"/>
        <w:gridCol w:w="964"/>
        <w:gridCol w:w="637"/>
        <w:gridCol w:w="327"/>
      </w:tblGrid>
      <w:tr w:rsidR="00E24D02" w:rsidRPr="003525F9" w14:paraId="12EAC314" w14:textId="77777777" w:rsidTr="00971F20">
        <w:trPr>
          <w:gridAfter w:val="1"/>
          <w:wAfter w:w="327" w:type="dxa"/>
          <w:trHeight w:val="276"/>
        </w:trPr>
        <w:tc>
          <w:tcPr>
            <w:tcW w:w="3529" w:type="dxa"/>
            <w:gridSpan w:val="4"/>
            <w:tcBorders>
              <w:top w:val="nil"/>
              <w:left w:val="nil"/>
              <w:bottom w:val="single" w:sz="4" w:space="0" w:color="auto"/>
              <w:right w:val="nil"/>
            </w:tcBorders>
            <w:shd w:val="clear" w:color="auto" w:fill="auto"/>
            <w:noWrap/>
            <w:vAlign w:val="bottom"/>
            <w:hideMark/>
          </w:tcPr>
          <w:p w14:paraId="1692A5AE" w14:textId="77777777" w:rsidR="00E24D02" w:rsidRPr="003525F9" w:rsidRDefault="00E24D02" w:rsidP="00971F20">
            <w:pPr>
              <w:spacing w:after="0"/>
              <w:jc w:val="center"/>
              <w:rPr>
                <w:b/>
                <w:bCs/>
                <w:color w:val="000000"/>
                <w:lang w:val="en-US"/>
              </w:rPr>
            </w:pPr>
            <w:r w:rsidRPr="005B7176">
              <w:rPr>
                <w:b/>
                <w:bCs/>
                <w:color w:val="000000"/>
                <w:lang w:val="en-US"/>
              </w:rPr>
              <w:t>ERPs calculated by Damodaran based on S&amp;P 500 figures</w:t>
            </w:r>
            <w:r w:rsidRPr="005B7176">
              <w:rPr>
                <w:rStyle w:val="Odkaznapoznmkupodiarou"/>
                <w:b/>
                <w:bCs/>
                <w:color w:val="000000"/>
                <w:lang w:val="en-US"/>
              </w:rPr>
              <w:footnoteReference w:id="6"/>
            </w:r>
          </w:p>
        </w:tc>
      </w:tr>
      <w:tr w:rsidR="00E24D02" w:rsidRPr="003525F9" w14:paraId="45E4FCB9" w14:textId="77777777" w:rsidTr="00971F20">
        <w:trPr>
          <w:trHeight w:val="276"/>
        </w:trPr>
        <w:tc>
          <w:tcPr>
            <w:tcW w:w="964" w:type="dxa"/>
            <w:tcBorders>
              <w:top w:val="nil"/>
              <w:left w:val="single" w:sz="4" w:space="0" w:color="auto"/>
              <w:bottom w:val="single" w:sz="4" w:space="0" w:color="auto"/>
              <w:right w:val="single" w:sz="4" w:space="0" w:color="auto"/>
            </w:tcBorders>
            <w:shd w:val="clear" w:color="000000" w:fill="BFBFBF"/>
            <w:noWrap/>
            <w:vAlign w:val="center"/>
            <w:hideMark/>
          </w:tcPr>
          <w:p w14:paraId="534A98F3" w14:textId="77777777" w:rsidR="00E24D02" w:rsidRPr="003525F9" w:rsidRDefault="00E24D02" w:rsidP="00971F20">
            <w:pPr>
              <w:spacing w:before="60" w:after="60" w:line="240" w:lineRule="auto"/>
              <w:jc w:val="center"/>
              <w:rPr>
                <w:bCs/>
                <w:color w:val="000000"/>
              </w:rPr>
            </w:pPr>
            <w:r w:rsidRPr="003525F9">
              <w:rPr>
                <w:bCs/>
                <w:color w:val="000000"/>
              </w:rPr>
              <w:t>2008</w:t>
            </w:r>
          </w:p>
        </w:tc>
        <w:tc>
          <w:tcPr>
            <w:tcW w:w="964" w:type="dxa"/>
            <w:tcBorders>
              <w:top w:val="nil"/>
              <w:left w:val="nil"/>
              <w:bottom w:val="single" w:sz="4" w:space="0" w:color="auto"/>
              <w:right w:val="single" w:sz="4" w:space="0" w:color="auto"/>
            </w:tcBorders>
            <w:shd w:val="clear" w:color="auto" w:fill="auto"/>
            <w:noWrap/>
            <w:vAlign w:val="center"/>
            <w:hideMark/>
          </w:tcPr>
          <w:p w14:paraId="6FDA9571" w14:textId="77777777" w:rsidR="00E24D02" w:rsidRPr="003525F9" w:rsidRDefault="00E24D02" w:rsidP="00971F20">
            <w:pPr>
              <w:spacing w:before="60" w:after="60" w:line="240" w:lineRule="auto"/>
              <w:jc w:val="center"/>
              <w:rPr>
                <w:color w:val="000000"/>
              </w:rPr>
            </w:pPr>
            <w:r w:rsidRPr="003525F9">
              <w:rPr>
                <w:color w:val="000000"/>
              </w:rPr>
              <w:t>4</w:t>
            </w:r>
            <w:r>
              <w:rPr>
                <w:color w:val="000000"/>
              </w:rPr>
              <w:t>.</w:t>
            </w:r>
            <w:r w:rsidRPr="003525F9">
              <w:rPr>
                <w:color w:val="000000"/>
              </w:rPr>
              <w:t>46%</w:t>
            </w:r>
          </w:p>
        </w:tc>
        <w:tc>
          <w:tcPr>
            <w:tcW w:w="964" w:type="dxa"/>
            <w:tcBorders>
              <w:top w:val="nil"/>
              <w:left w:val="nil"/>
              <w:bottom w:val="single" w:sz="4" w:space="0" w:color="auto"/>
              <w:right w:val="single" w:sz="4" w:space="0" w:color="auto"/>
            </w:tcBorders>
            <w:shd w:val="clear" w:color="000000" w:fill="BFBFBF"/>
            <w:noWrap/>
            <w:vAlign w:val="center"/>
            <w:hideMark/>
          </w:tcPr>
          <w:p w14:paraId="2FA3F0DC" w14:textId="77777777" w:rsidR="00E24D02" w:rsidRPr="003525F9" w:rsidRDefault="00E24D02" w:rsidP="00971F20">
            <w:pPr>
              <w:spacing w:before="60" w:after="60" w:line="240" w:lineRule="auto"/>
              <w:jc w:val="center"/>
              <w:rPr>
                <w:color w:val="000000"/>
              </w:rPr>
            </w:pPr>
            <w:r w:rsidRPr="003525F9">
              <w:rPr>
                <w:color w:val="000000"/>
              </w:rPr>
              <w:t>2013</w:t>
            </w:r>
          </w:p>
        </w:tc>
        <w:tc>
          <w:tcPr>
            <w:tcW w:w="964" w:type="dxa"/>
            <w:gridSpan w:val="2"/>
            <w:tcBorders>
              <w:top w:val="nil"/>
              <w:left w:val="nil"/>
              <w:bottom w:val="single" w:sz="4" w:space="0" w:color="auto"/>
              <w:right w:val="single" w:sz="4" w:space="0" w:color="auto"/>
            </w:tcBorders>
            <w:shd w:val="clear" w:color="auto" w:fill="auto"/>
            <w:noWrap/>
            <w:vAlign w:val="center"/>
            <w:hideMark/>
          </w:tcPr>
          <w:p w14:paraId="3F5BF579" w14:textId="77777777" w:rsidR="00E24D02" w:rsidRPr="003525F9" w:rsidRDefault="00E24D02" w:rsidP="00971F20">
            <w:pPr>
              <w:spacing w:before="60" w:after="60" w:line="240" w:lineRule="auto"/>
              <w:jc w:val="center"/>
              <w:rPr>
                <w:color w:val="000000"/>
              </w:rPr>
            </w:pPr>
            <w:r w:rsidRPr="003525F9">
              <w:rPr>
                <w:color w:val="000000"/>
              </w:rPr>
              <w:t>5</w:t>
            </w:r>
            <w:r>
              <w:rPr>
                <w:color w:val="000000"/>
              </w:rPr>
              <w:t>.</w:t>
            </w:r>
            <w:r w:rsidRPr="003525F9">
              <w:rPr>
                <w:color w:val="000000"/>
              </w:rPr>
              <w:t>78%</w:t>
            </w:r>
          </w:p>
        </w:tc>
      </w:tr>
      <w:tr w:rsidR="00E24D02" w:rsidRPr="003525F9" w14:paraId="12446AD5" w14:textId="77777777" w:rsidTr="00971F20">
        <w:trPr>
          <w:trHeight w:val="276"/>
        </w:trPr>
        <w:tc>
          <w:tcPr>
            <w:tcW w:w="964" w:type="dxa"/>
            <w:tcBorders>
              <w:top w:val="nil"/>
              <w:left w:val="single" w:sz="4" w:space="0" w:color="auto"/>
              <w:bottom w:val="single" w:sz="4" w:space="0" w:color="auto"/>
              <w:right w:val="single" w:sz="4" w:space="0" w:color="auto"/>
            </w:tcBorders>
            <w:shd w:val="clear" w:color="000000" w:fill="BFBFBF"/>
            <w:noWrap/>
            <w:vAlign w:val="center"/>
            <w:hideMark/>
          </w:tcPr>
          <w:p w14:paraId="7CC00FE8" w14:textId="77777777" w:rsidR="00E24D02" w:rsidRPr="003525F9" w:rsidRDefault="00E24D02" w:rsidP="00971F20">
            <w:pPr>
              <w:spacing w:before="60" w:after="60" w:line="240" w:lineRule="auto"/>
              <w:jc w:val="center"/>
              <w:rPr>
                <w:bCs/>
                <w:color w:val="000000"/>
              </w:rPr>
            </w:pPr>
            <w:r w:rsidRPr="003525F9">
              <w:rPr>
                <w:bCs/>
                <w:color w:val="000000"/>
              </w:rPr>
              <w:lastRenderedPageBreak/>
              <w:t>2009</w:t>
            </w:r>
          </w:p>
        </w:tc>
        <w:tc>
          <w:tcPr>
            <w:tcW w:w="964" w:type="dxa"/>
            <w:tcBorders>
              <w:top w:val="nil"/>
              <w:left w:val="nil"/>
              <w:bottom w:val="single" w:sz="4" w:space="0" w:color="auto"/>
              <w:right w:val="single" w:sz="4" w:space="0" w:color="auto"/>
            </w:tcBorders>
            <w:shd w:val="clear" w:color="auto" w:fill="auto"/>
            <w:noWrap/>
            <w:vAlign w:val="center"/>
            <w:hideMark/>
          </w:tcPr>
          <w:p w14:paraId="6F2F3B27" w14:textId="77777777" w:rsidR="00E24D02" w:rsidRPr="003525F9" w:rsidRDefault="00E24D02" w:rsidP="00971F20">
            <w:pPr>
              <w:spacing w:before="60" w:after="60" w:line="240" w:lineRule="auto"/>
              <w:jc w:val="center"/>
              <w:rPr>
                <w:color w:val="000000"/>
              </w:rPr>
            </w:pPr>
            <w:r w:rsidRPr="003525F9">
              <w:rPr>
                <w:color w:val="000000"/>
              </w:rPr>
              <w:t>6</w:t>
            </w:r>
            <w:r>
              <w:rPr>
                <w:color w:val="000000"/>
              </w:rPr>
              <w:t>.</w:t>
            </w:r>
            <w:r w:rsidRPr="003525F9">
              <w:rPr>
                <w:color w:val="000000"/>
              </w:rPr>
              <w:t>43%</w:t>
            </w:r>
          </w:p>
        </w:tc>
        <w:tc>
          <w:tcPr>
            <w:tcW w:w="964" w:type="dxa"/>
            <w:tcBorders>
              <w:top w:val="nil"/>
              <w:left w:val="nil"/>
              <w:bottom w:val="single" w:sz="4" w:space="0" w:color="auto"/>
              <w:right w:val="single" w:sz="4" w:space="0" w:color="auto"/>
            </w:tcBorders>
            <w:shd w:val="clear" w:color="000000" w:fill="BFBFBF"/>
            <w:noWrap/>
            <w:vAlign w:val="center"/>
            <w:hideMark/>
          </w:tcPr>
          <w:p w14:paraId="01FD3B63" w14:textId="77777777" w:rsidR="00E24D02" w:rsidRPr="003525F9" w:rsidRDefault="00E24D02" w:rsidP="00971F20">
            <w:pPr>
              <w:spacing w:before="60" w:after="60" w:line="240" w:lineRule="auto"/>
              <w:jc w:val="center"/>
              <w:rPr>
                <w:color w:val="000000"/>
              </w:rPr>
            </w:pPr>
            <w:r w:rsidRPr="003525F9">
              <w:rPr>
                <w:color w:val="000000"/>
              </w:rPr>
              <w:t>2014</w:t>
            </w:r>
          </w:p>
        </w:tc>
        <w:tc>
          <w:tcPr>
            <w:tcW w:w="964" w:type="dxa"/>
            <w:gridSpan w:val="2"/>
            <w:tcBorders>
              <w:top w:val="nil"/>
              <w:left w:val="nil"/>
              <w:bottom w:val="single" w:sz="4" w:space="0" w:color="auto"/>
              <w:right w:val="single" w:sz="4" w:space="0" w:color="auto"/>
            </w:tcBorders>
            <w:shd w:val="clear" w:color="auto" w:fill="auto"/>
            <w:noWrap/>
            <w:vAlign w:val="center"/>
            <w:hideMark/>
          </w:tcPr>
          <w:p w14:paraId="6ADBEDF3" w14:textId="77777777" w:rsidR="00E24D02" w:rsidRPr="003525F9" w:rsidRDefault="00E24D02" w:rsidP="00971F20">
            <w:pPr>
              <w:spacing w:before="60" w:after="60" w:line="240" w:lineRule="auto"/>
              <w:jc w:val="center"/>
              <w:rPr>
                <w:color w:val="000000"/>
              </w:rPr>
            </w:pPr>
            <w:r w:rsidRPr="003525F9">
              <w:rPr>
                <w:color w:val="000000"/>
              </w:rPr>
              <w:t>4</w:t>
            </w:r>
            <w:r>
              <w:rPr>
                <w:color w:val="000000"/>
              </w:rPr>
              <w:t>.</w:t>
            </w:r>
            <w:r w:rsidRPr="003525F9">
              <w:rPr>
                <w:color w:val="000000"/>
              </w:rPr>
              <w:t>96%</w:t>
            </w:r>
          </w:p>
        </w:tc>
      </w:tr>
      <w:tr w:rsidR="00E24D02" w:rsidRPr="003525F9" w14:paraId="1E09234F" w14:textId="77777777" w:rsidTr="00971F20">
        <w:trPr>
          <w:trHeight w:val="276"/>
        </w:trPr>
        <w:tc>
          <w:tcPr>
            <w:tcW w:w="964" w:type="dxa"/>
            <w:tcBorders>
              <w:top w:val="nil"/>
              <w:left w:val="single" w:sz="4" w:space="0" w:color="auto"/>
              <w:bottom w:val="single" w:sz="4" w:space="0" w:color="auto"/>
              <w:right w:val="single" w:sz="4" w:space="0" w:color="auto"/>
            </w:tcBorders>
            <w:shd w:val="clear" w:color="000000" w:fill="BFBFBF"/>
            <w:noWrap/>
            <w:vAlign w:val="center"/>
            <w:hideMark/>
          </w:tcPr>
          <w:p w14:paraId="65C338FB" w14:textId="77777777" w:rsidR="00E24D02" w:rsidRPr="003525F9" w:rsidRDefault="00E24D02" w:rsidP="00971F20">
            <w:pPr>
              <w:spacing w:before="60" w:after="60" w:line="240" w:lineRule="auto"/>
              <w:jc w:val="center"/>
              <w:rPr>
                <w:bCs/>
                <w:color w:val="000000"/>
              </w:rPr>
            </w:pPr>
            <w:r w:rsidRPr="003525F9">
              <w:rPr>
                <w:bCs/>
                <w:color w:val="000000"/>
              </w:rPr>
              <w:t>2010</w:t>
            </w:r>
          </w:p>
        </w:tc>
        <w:tc>
          <w:tcPr>
            <w:tcW w:w="964" w:type="dxa"/>
            <w:tcBorders>
              <w:top w:val="nil"/>
              <w:left w:val="nil"/>
              <w:bottom w:val="single" w:sz="4" w:space="0" w:color="auto"/>
              <w:right w:val="single" w:sz="4" w:space="0" w:color="auto"/>
            </w:tcBorders>
            <w:shd w:val="clear" w:color="auto" w:fill="auto"/>
            <w:noWrap/>
            <w:vAlign w:val="center"/>
            <w:hideMark/>
          </w:tcPr>
          <w:p w14:paraId="0D6DD997" w14:textId="77777777" w:rsidR="00E24D02" w:rsidRPr="003525F9" w:rsidRDefault="00E24D02" w:rsidP="00971F20">
            <w:pPr>
              <w:spacing w:before="60" w:after="60" w:line="240" w:lineRule="auto"/>
              <w:jc w:val="center"/>
              <w:rPr>
                <w:color w:val="000000"/>
              </w:rPr>
            </w:pPr>
            <w:r w:rsidRPr="003525F9">
              <w:rPr>
                <w:color w:val="000000"/>
              </w:rPr>
              <w:t>4</w:t>
            </w:r>
            <w:r>
              <w:rPr>
                <w:color w:val="000000"/>
              </w:rPr>
              <w:t>.</w:t>
            </w:r>
            <w:r w:rsidRPr="003525F9">
              <w:rPr>
                <w:color w:val="000000"/>
              </w:rPr>
              <w:t>36%</w:t>
            </w:r>
          </w:p>
        </w:tc>
        <w:tc>
          <w:tcPr>
            <w:tcW w:w="964" w:type="dxa"/>
            <w:tcBorders>
              <w:top w:val="nil"/>
              <w:left w:val="nil"/>
              <w:bottom w:val="single" w:sz="4" w:space="0" w:color="auto"/>
              <w:right w:val="single" w:sz="4" w:space="0" w:color="auto"/>
            </w:tcBorders>
            <w:shd w:val="clear" w:color="000000" w:fill="BFBFBF"/>
            <w:noWrap/>
            <w:vAlign w:val="center"/>
            <w:hideMark/>
          </w:tcPr>
          <w:p w14:paraId="4A41389E" w14:textId="77777777" w:rsidR="00E24D02" w:rsidRPr="003525F9" w:rsidRDefault="00E24D02" w:rsidP="00971F20">
            <w:pPr>
              <w:spacing w:before="60" w:after="60" w:line="240" w:lineRule="auto"/>
              <w:jc w:val="center"/>
              <w:rPr>
                <w:color w:val="000000"/>
              </w:rPr>
            </w:pPr>
            <w:r w:rsidRPr="003525F9">
              <w:rPr>
                <w:color w:val="000000"/>
              </w:rPr>
              <w:t>2015</w:t>
            </w:r>
          </w:p>
        </w:tc>
        <w:tc>
          <w:tcPr>
            <w:tcW w:w="964" w:type="dxa"/>
            <w:gridSpan w:val="2"/>
            <w:tcBorders>
              <w:top w:val="nil"/>
              <w:left w:val="nil"/>
              <w:bottom w:val="single" w:sz="4" w:space="0" w:color="auto"/>
              <w:right w:val="single" w:sz="4" w:space="0" w:color="auto"/>
            </w:tcBorders>
            <w:shd w:val="clear" w:color="auto" w:fill="auto"/>
            <w:noWrap/>
            <w:vAlign w:val="center"/>
            <w:hideMark/>
          </w:tcPr>
          <w:p w14:paraId="4325D92B" w14:textId="77777777" w:rsidR="00E24D02" w:rsidRPr="003525F9" w:rsidRDefault="00E24D02" w:rsidP="00971F20">
            <w:pPr>
              <w:spacing w:before="60" w:after="60" w:line="240" w:lineRule="auto"/>
              <w:jc w:val="center"/>
              <w:rPr>
                <w:color w:val="000000"/>
              </w:rPr>
            </w:pPr>
            <w:r w:rsidRPr="003525F9">
              <w:rPr>
                <w:color w:val="000000"/>
              </w:rPr>
              <w:t>5</w:t>
            </w:r>
            <w:r>
              <w:rPr>
                <w:color w:val="000000"/>
              </w:rPr>
              <w:t>.</w:t>
            </w:r>
            <w:r w:rsidRPr="003525F9">
              <w:rPr>
                <w:color w:val="000000"/>
              </w:rPr>
              <w:t>78%</w:t>
            </w:r>
          </w:p>
        </w:tc>
      </w:tr>
      <w:tr w:rsidR="00E24D02" w:rsidRPr="003525F9" w14:paraId="250798B2" w14:textId="77777777" w:rsidTr="00971F20">
        <w:trPr>
          <w:trHeight w:val="276"/>
        </w:trPr>
        <w:tc>
          <w:tcPr>
            <w:tcW w:w="964" w:type="dxa"/>
            <w:tcBorders>
              <w:top w:val="nil"/>
              <w:left w:val="single" w:sz="4" w:space="0" w:color="auto"/>
              <w:bottom w:val="single" w:sz="4" w:space="0" w:color="auto"/>
              <w:right w:val="single" w:sz="4" w:space="0" w:color="auto"/>
            </w:tcBorders>
            <w:shd w:val="clear" w:color="000000" w:fill="BFBFBF"/>
            <w:noWrap/>
            <w:vAlign w:val="center"/>
            <w:hideMark/>
          </w:tcPr>
          <w:p w14:paraId="5F9C5B9F" w14:textId="77777777" w:rsidR="00E24D02" w:rsidRPr="003525F9" w:rsidRDefault="00E24D02" w:rsidP="00971F20">
            <w:pPr>
              <w:spacing w:before="60" w:after="60" w:line="240" w:lineRule="auto"/>
              <w:jc w:val="center"/>
              <w:rPr>
                <w:bCs/>
                <w:color w:val="000000"/>
              </w:rPr>
            </w:pPr>
            <w:r w:rsidRPr="003525F9">
              <w:rPr>
                <w:bCs/>
                <w:color w:val="000000"/>
              </w:rPr>
              <w:t>2011</w:t>
            </w:r>
          </w:p>
        </w:tc>
        <w:tc>
          <w:tcPr>
            <w:tcW w:w="964" w:type="dxa"/>
            <w:tcBorders>
              <w:top w:val="nil"/>
              <w:left w:val="nil"/>
              <w:bottom w:val="single" w:sz="4" w:space="0" w:color="auto"/>
              <w:right w:val="single" w:sz="4" w:space="0" w:color="auto"/>
            </w:tcBorders>
            <w:shd w:val="clear" w:color="auto" w:fill="auto"/>
            <w:noWrap/>
            <w:vAlign w:val="center"/>
            <w:hideMark/>
          </w:tcPr>
          <w:p w14:paraId="0C73DF5F" w14:textId="77777777" w:rsidR="00E24D02" w:rsidRPr="003525F9" w:rsidRDefault="00E24D02" w:rsidP="00971F20">
            <w:pPr>
              <w:spacing w:before="60" w:after="60" w:line="240" w:lineRule="auto"/>
              <w:jc w:val="center"/>
              <w:rPr>
                <w:color w:val="000000"/>
              </w:rPr>
            </w:pPr>
            <w:r w:rsidRPr="003525F9">
              <w:rPr>
                <w:color w:val="000000"/>
              </w:rPr>
              <w:t>5</w:t>
            </w:r>
            <w:r>
              <w:rPr>
                <w:color w:val="000000"/>
              </w:rPr>
              <w:t>.</w:t>
            </w:r>
            <w:r w:rsidRPr="003525F9">
              <w:rPr>
                <w:color w:val="000000"/>
              </w:rPr>
              <w:t>20%</w:t>
            </w:r>
          </w:p>
        </w:tc>
        <w:tc>
          <w:tcPr>
            <w:tcW w:w="964" w:type="dxa"/>
            <w:tcBorders>
              <w:top w:val="nil"/>
              <w:left w:val="nil"/>
              <w:bottom w:val="single" w:sz="4" w:space="0" w:color="auto"/>
              <w:right w:val="single" w:sz="4" w:space="0" w:color="auto"/>
            </w:tcBorders>
            <w:shd w:val="clear" w:color="000000" w:fill="BFBFBF"/>
            <w:noWrap/>
            <w:vAlign w:val="center"/>
            <w:hideMark/>
          </w:tcPr>
          <w:p w14:paraId="544CF59C" w14:textId="77777777" w:rsidR="00E24D02" w:rsidRPr="003525F9" w:rsidRDefault="00E24D02" w:rsidP="00971F20">
            <w:pPr>
              <w:spacing w:before="60" w:after="60" w:line="240" w:lineRule="auto"/>
              <w:jc w:val="center"/>
              <w:rPr>
                <w:color w:val="000000"/>
              </w:rPr>
            </w:pPr>
            <w:r w:rsidRPr="003525F9">
              <w:rPr>
                <w:color w:val="000000"/>
              </w:rPr>
              <w:t>2016</w:t>
            </w:r>
          </w:p>
        </w:tc>
        <w:tc>
          <w:tcPr>
            <w:tcW w:w="964" w:type="dxa"/>
            <w:gridSpan w:val="2"/>
            <w:tcBorders>
              <w:top w:val="nil"/>
              <w:left w:val="nil"/>
              <w:bottom w:val="single" w:sz="4" w:space="0" w:color="auto"/>
              <w:right w:val="single" w:sz="4" w:space="0" w:color="auto"/>
            </w:tcBorders>
            <w:shd w:val="clear" w:color="auto" w:fill="auto"/>
            <w:noWrap/>
            <w:vAlign w:val="center"/>
            <w:hideMark/>
          </w:tcPr>
          <w:p w14:paraId="2777410F" w14:textId="77777777" w:rsidR="00E24D02" w:rsidRPr="003525F9" w:rsidRDefault="00E24D02" w:rsidP="00971F20">
            <w:pPr>
              <w:spacing w:before="60" w:after="60" w:line="240" w:lineRule="auto"/>
              <w:jc w:val="center"/>
              <w:rPr>
                <w:color w:val="000000"/>
              </w:rPr>
            </w:pPr>
            <w:r w:rsidRPr="003525F9">
              <w:rPr>
                <w:color w:val="000000"/>
              </w:rPr>
              <w:t>5</w:t>
            </w:r>
            <w:r>
              <w:rPr>
                <w:color w:val="000000"/>
              </w:rPr>
              <w:t>.</w:t>
            </w:r>
            <w:r w:rsidRPr="003525F9">
              <w:rPr>
                <w:color w:val="000000"/>
              </w:rPr>
              <w:t>16%</w:t>
            </w:r>
          </w:p>
        </w:tc>
      </w:tr>
      <w:tr w:rsidR="00E24D02" w:rsidRPr="003525F9" w14:paraId="49E0D378" w14:textId="77777777" w:rsidTr="00971F20">
        <w:trPr>
          <w:trHeight w:val="276"/>
        </w:trPr>
        <w:tc>
          <w:tcPr>
            <w:tcW w:w="964" w:type="dxa"/>
            <w:tcBorders>
              <w:top w:val="nil"/>
              <w:left w:val="single" w:sz="4" w:space="0" w:color="auto"/>
              <w:bottom w:val="single" w:sz="4" w:space="0" w:color="auto"/>
              <w:right w:val="single" w:sz="4" w:space="0" w:color="auto"/>
            </w:tcBorders>
            <w:shd w:val="clear" w:color="000000" w:fill="BFBFBF"/>
            <w:noWrap/>
            <w:vAlign w:val="center"/>
            <w:hideMark/>
          </w:tcPr>
          <w:p w14:paraId="2F7999A4" w14:textId="77777777" w:rsidR="00E24D02" w:rsidRPr="003525F9" w:rsidRDefault="00E24D02" w:rsidP="00971F20">
            <w:pPr>
              <w:spacing w:before="60" w:after="60" w:line="240" w:lineRule="auto"/>
              <w:jc w:val="center"/>
              <w:rPr>
                <w:bCs/>
                <w:color w:val="000000"/>
              </w:rPr>
            </w:pPr>
            <w:r w:rsidRPr="003525F9">
              <w:rPr>
                <w:bCs/>
                <w:color w:val="000000"/>
              </w:rPr>
              <w:t>2012</w:t>
            </w:r>
          </w:p>
        </w:tc>
        <w:tc>
          <w:tcPr>
            <w:tcW w:w="964" w:type="dxa"/>
            <w:tcBorders>
              <w:top w:val="nil"/>
              <w:left w:val="nil"/>
              <w:bottom w:val="single" w:sz="4" w:space="0" w:color="auto"/>
              <w:right w:val="single" w:sz="4" w:space="0" w:color="auto"/>
            </w:tcBorders>
            <w:shd w:val="clear" w:color="auto" w:fill="auto"/>
            <w:noWrap/>
            <w:vAlign w:val="center"/>
            <w:hideMark/>
          </w:tcPr>
          <w:p w14:paraId="6707EC29" w14:textId="77777777" w:rsidR="00E24D02" w:rsidRPr="003525F9" w:rsidRDefault="00E24D02" w:rsidP="00971F20">
            <w:pPr>
              <w:spacing w:before="60" w:after="60" w:line="240" w:lineRule="auto"/>
              <w:jc w:val="center"/>
              <w:rPr>
                <w:color w:val="000000"/>
              </w:rPr>
            </w:pPr>
            <w:r w:rsidRPr="003525F9">
              <w:rPr>
                <w:color w:val="000000"/>
              </w:rPr>
              <w:t>6</w:t>
            </w:r>
            <w:r>
              <w:rPr>
                <w:color w:val="000000"/>
              </w:rPr>
              <w:t>.</w:t>
            </w:r>
            <w:r w:rsidRPr="003525F9">
              <w:rPr>
                <w:color w:val="000000"/>
              </w:rPr>
              <w:t>01%</w:t>
            </w:r>
          </w:p>
        </w:tc>
        <w:tc>
          <w:tcPr>
            <w:tcW w:w="964" w:type="dxa"/>
            <w:tcBorders>
              <w:top w:val="nil"/>
              <w:left w:val="nil"/>
              <w:bottom w:val="single" w:sz="4" w:space="0" w:color="auto"/>
              <w:right w:val="single" w:sz="4" w:space="0" w:color="auto"/>
            </w:tcBorders>
            <w:shd w:val="clear" w:color="000000" w:fill="BFBFBF"/>
            <w:noWrap/>
            <w:vAlign w:val="center"/>
            <w:hideMark/>
          </w:tcPr>
          <w:p w14:paraId="35FBDAF4" w14:textId="77777777" w:rsidR="00E24D02" w:rsidRPr="003525F9" w:rsidRDefault="00E24D02" w:rsidP="00971F20">
            <w:pPr>
              <w:spacing w:before="60" w:after="60" w:line="240" w:lineRule="auto"/>
              <w:jc w:val="center"/>
              <w:rPr>
                <w:color w:val="000000"/>
              </w:rPr>
            </w:pPr>
            <w:r w:rsidRPr="003525F9">
              <w:rPr>
                <w:color w:val="000000"/>
              </w:rPr>
              <w:t>2017</w:t>
            </w:r>
          </w:p>
        </w:tc>
        <w:tc>
          <w:tcPr>
            <w:tcW w:w="964" w:type="dxa"/>
            <w:gridSpan w:val="2"/>
            <w:tcBorders>
              <w:top w:val="nil"/>
              <w:left w:val="nil"/>
              <w:bottom w:val="single" w:sz="4" w:space="0" w:color="auto"/>
              <w:right w:val="single" w:sz="4" w:space="0" w:color="auto"/>
            </w:tcBorders>
            <w:shd w:val="clear" w:color="auto" w:fill="auto"/>
            <w:noWrap/>
            <w:vAlign w:val="center"/>
            <w:hideMark/>
          </w:tcPr>
          <w:p w14:paraId="1A0B985C" w14:textId="77777777" w:rsidR="00E24D02" w:rsidRPr="003525F9" w:rsidRDefault="00E24D02" w:rsidP="00971F20">
            <w:pPr>
              <w:spacing w:before="60" w:after="60" w:line="240" w:lineRule="auto"/>
              <w:jc w:val="center"/>
              <w:rPr>
                <w:color w:val="000000"/>
              </w:rPr>
            </w:pPr>
            <w:r w:rsidRPr="003525F9">
              <w:rPr>
                <w:color w:val="000000"/>
              </w:rPr>
              <w:t>4</w:t>
            </w:r>
            <w:r>
              <w:rPr>
                <w:color w:val="000000"/>
              </w:rPr>
              <w:t>.</w:t>
            </w:r>
            <w:r w:rsidRPr="003525F9">
              <w:rPr>
                <w:color w:val="000000"/>
              </w:rPr>
              <w:t>50%</w:t>
            </w:r>
          </w:p>
        </w:tc>
      </w:tr>
    </w:tbl>
    <w:p w14:paraId="511D7876" w14:textId="77777777" w:rsidR="00E24D02" w:rsidRDefault="00E24D02" w:rsidP="00E24D02">
      <w:pPr>
        <w:spacing w:before="240"/>
      </w:pPr>
      <w:r w:rsidRPr="00C10E97">
        <w:t xml:space="preserve">The </w:t>
      </w:r>
      <w:proofErr w:type="spellStart"/>
      <w:r w:rsidRPr="00C10E97">
        <w:t>Norges</w:t>
      </w:r>
      <w:proofErr w:type="spellEnd"/>
      <w:r w:rsidRPr="00C10E97">
        <w:t xml:space="preserve"> bank note “The equity risk premium” (2016) indicates that</w:t>
      </w:r>
      <w:r>
        <w:t xml:space="preserve"> “</w:t>
      </w:r>
      <w:r w:rsidRPr="00C10E97">
        <w:t>The expected World ERP from the discount models may be closer to 4 percent if expectations of interest rate normalisation are taken into account. Estimates from cross-sectional and time-series models also suggest an expected World ERP of 3 to 4 percent.”</w:t>
      </w:r>
    </w:p>
    <w:p w14:paraId="72A326D9" w14:textId="77777777" w:rsidR="00E24D02" w:rsidRPr="0012404E" w:rsidRDefault="00E24D02" w:rsidP="00E24D02">
      <w:pPr>
        <w:rPr>
          <w:u w:val="single"/>
        </w:rPr>
      </w:pPr>
      <w:r w:rsidRPr="0012404E">
        <w:rPr>
          <w:u w:val="single"/>
        </w:rPr>
        <w:t>Use of arithmetic vs geometric mean</w:t>
      </w:r>
    </w:p>
    <w:p w14:paraId="781646D1" w14:textId="77777777" w:rsidR="00E24D02" w:rsidRDefault="00E24D02" w:rsidP="00E24D02">
      <w:pPr>
        <w:spacing w:after="0"/>
      </w:pPr>
      <w:r>
        <w:t xml:space="preserve">Several studies have shown that the choice of an arithmetic or geometric premium can have material impact on results. For example: </w:t>
      </w:r>
    </w:p>
    <w:p w14:paraId="09A7C706" w14:textId="77777777" w:rsidR="00E24D02" w:rsidRDefault="00E24D02" w:rsidP="00E24D02">
      <w:pPr>
        <w:pStyle w:val="Odsekzoznamu"/>
        <w:numPr>
          <w:ilvl w:val="0"/>
          <w:numId w:val="7"/>
        </w:numPr>
      </w:pPr>
      <w:r w:rsidRPr="006F0456">
        <w:t>Dimson, Marsh and Staunton conducted a benchmark stu</w:t>
      </w:r>
      <w:r>
        <w:t xml:space="preserve">dy of ERPs in their 2003 paper </w:t>
      </w:r>
      <w:r w:rsidRPr="006F0456">
        <w:t>which analyses historical equity risk premia and concluded that “when developing forecasts for the future, investors and managers should adjust historical risk premiums downward for the impact of these factors. This suggests that a plausible, forward-looking risk premium for the world’s major markets would be in the order of 3% on a geometric mean basis, while the corresponding arithmetic mean risk premium would be around 5%.</w:t>
      </w:r>
      <w:r>
        <w:t xml:space="preserve">” </w:t>
      </w:r>
      <w:r w:rsidRPr="006F0456">
        <w:t>In a 2011 update they conclude</w:t>
      </w:r>
      <w:r>
        <w:t>d</w:t>
      </w:r>
      <w:r w:rsidRPr="006F0456">
        <w:t xml:space="preserve"> that they “infer that investors expect a long-run equity premium (relative to bills) of around 3%–3½% on a geometric mean basis and, by implication, an arithmetic mean premium for the world index of approximately 4½%–5%</w:t>
      </w:r>
      <w:r>
        <w:t>”</w:t>
      </w:r>
      <w:r w:rsidRPr="006F0456">
        <w:t>.</w:t>
      </w:r>
    </w:p>
    <w:p w14:paraId="048AF7D7" w14:textId="77777777" w:rsidR="00E24D02" w:rsidRDefault="00E24D02" w:rsidP="00E24D02">
      <w:pPr>
        <w:pStyle w:val="Odsekzoznamu"/>
        <w:numPr>
          <w:ilvl w:val="0"/>
          <w:numId w:val="7"/>
        </w:numPr>
      </w:pPr>
      <w:r w:rsidRPr="00305193">
        <w:t>Damodaran shows a range of historic ERPs from 2.3% to 7.96% depending on the choices made (</w:t>
      </w:r>
      <w:r>
        <w:t xml:space="preserve">arithmetic vs geometric, </w:t>
      </w:r>
      <w:proofErr w:type="spellStart"/>
      <w:proofErr w:type="gramStart"/>
      <w:r>
        <w:t>T.Bills</w:t>
      </w:r>
      <w:proofErr w:type="spellEnd"/>
      <w:proofErr w:type="gramEnd"/>
      <w:r>
        <w:t xml:space="preserve"> vs </w:t>
      </w:r>
      <w:proofErr w:type="spellStart"/>
      <w:r>
        <w:t>T.Bonds</w:t>
      </w:r>
      <w:proofErr w:type="spellEnd"/>
      <w:r>
        <w:t>, averaging period</w:t>
      </w:r>
      <w:r w:rsidRPr="00305193">
        <w:t>) and a range for Europe of 3.1% to 5.1% and 3.2%</w:t>
      </w:r>
      <w:r>
        <w:t xml:space="preserve"> to 5.6% for the world</w:t>
      </w:r>
      <w:r w:rsidRPr="00305193">
        <w:t>.</w:t>
      </w:r>
    </w:p>
    <w:p w14:paraId="6252B198" w14:textId="77777777" w:rsidR="00E24D02" w:rsidRDefault="00E24D02" w:rsidP="00E24D02">
      <w:pPr>
        <w:pStyle w:val="Odsekzoznamu"/>
        <w:numPr>
          <w:ilvl w:val="0"/>
          <w:numId w:val="7"/>
        </w:numPr>
      </w:pPr>
      <w:r w:rsidRPr="00305193">
        <w:t xml:space="preserve">The </w:t>
      </w:r>
      <w:proofErr w:type="spellStart"/>
      <w:r w:rsidRPr="00305193">
        <w:t>Norges</w:t>
      </w:r>
      <w:proofErr w:type="spellEnd"/>
      <w:r w:rsidRPr="00305193">
        <w:t xml:space="preserve"> bank note “The equity risk premium” (2016)</w:t>
      </w:r>
      <w:r>
        <w:t xml:space="preserve"> states that the geometric average returns provide a better indication of investment returns over multiple periods while the arithmetic averages have more desirable statistical properties. Results presented in this note are both for the geometric and arithmetic means.</w:t>
      </w:r>
    </w:p>
    <w:p w14:paraId="785083A2" w14:textId="77777777" w:rsidR="00CC5A6E" w:rsidRDefault="00CC5A6E">
      <w:pPr>
        <w:rPr>
          <w:rFonts w:asciiTheme="majorHAnsi" w:eastAsiaTheme="majorEastAsia" w:hAnsiTheme="majorHAnsi" w:cstheme="majorBidi"/>
          <w:color w:val="365F91" w:themeColor="accent1" w:themeShade="BF"/>
          <w:sz w:val="32"/>
          <w:szCs w:val="32"/>
        </w:rPr>
      </w:pPr>
      <w:r>
        <w:br w:type="page"/>
      </w:r>
    </w:p>
    <w:p w14:paraId="35D3454E" w14:textId="77777777" w:rsidR="00CC5A6E" w:rsidRDefault="00CC5A6E">
      <w:pPr>
        <w:rPr>
          <w:rFonts w:asciiTheme="majorHAnsi" w:eastAsiaTheme="majorEastAsia" w:hAnsiTheme="majorHAnsi" w:cstheme="majorBidi"/>
          <w:color w:val="365F91" w:themeColor="accent1" w:themeShade="BF"/>
          <w:sz w:val="32"/>
          <w:szCs w:val="32"/>
        </w:rPr>
      </w:pPr>
      <w:r>
        <w:lastRenderedPageBreak/>
        <w:br w:type="page"/>
      </w:r>
    </w:p>
    <w:p w14:paraId="19D6E803" w14:textId="58586D04" w:rsidR="00C16213" w:rsidRPr="00CC5A6E" w:rsidRDefault="00C16213" w:rsidP="002F402D"/>
    <w:sectPr w:rsidR="00C16213" w:rsidRPr="00CC5A6E" w:rsidSect="0059536B">
      <w:headerReference w:type="default" r:id="rId14"/>
      <w:footerReference w:type="default" r:id="rId15"/>
      <w:footerReference w:type="first" r:id="rId16"/>
      <w:pgSz w:w="11906" w:h="16838"/>
      <w:pgMar w:top="1134" w:right="1440" w:bottom="851"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Ecofin" w:date="2020-08-10T07:41:00Z" w:initials="Ecofin">
    <w:p w14:paraId="1F8551C4" w14:textId="53CE854C" w:rsidR="00CD6FEC" w:rsidRDefault="00CD6FEC">
      <w:pPr>
        <w:pStyle w:val="Textkomentra"/>
      </w:pPr>
      <w:r>
        <w:rPr>
          <w:rStyle w:val="Odkaznakomentr"/>
        </w:rPr>
        <w:annotationRef/>
      </w:r>
      <w:r>
        <w:t>To be further discussed. This would lobby for a changed definition of the “reference undertaking” and hence possibly create complications in calculation.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8551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8551C4" w16cid:durableId="22DB78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15831" w14:textId="77777777" w:rsidR="00743D7B" w:rsidRDefault="00743D7B" w:rsidP="008150A2">
      <w:pPr>
        <w:spacing w:after="0" w:line="240" w:lineRule="auto"/>
      </w:pPr>
      <w:r>
        <w:separator/>
      </w:r>
    </w:p>
  </w:endnote>
  <w:endnote w:type="continuationSeparator" w:id="0">
    <w:p w14:paraId="56999D30" w14:textId="77777777" w:rsidR="00743D7B" w:rsidRDefault="00743D7B" w:rsidP="008150A2">
      <w:pPr>
        <w:spacing w:after="0" w:line="240" w:lineRule="auto"/>
      </w:pPr>
      <w:r>
        <w:continuationSeparator/>
      </w:r>
    </w:p>
  </w:endnote>
  <w:endnote w:type="continuationNotice" w:id="1">
    <w:p w14:paraId="7652D048" w14:textId="77777777" w:rsidR="00743D7B" w:rsidRDefault="00743D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Univers 45 Light">
    <w:altName w:val="Calibri"/>
    <w:charset w:val="00"/>
    <w:family w:val="auto"/>
    <w:pitch w:val="variable"/>
    <w:sig w:usb0="8000002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F5EED" w14:textId="77777777" w:rsidR="00743D7B" w:rsidRDefault="00743D7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C72EB" w14:textId="6A1566D5" w:rsidR="00EC6B7D" w:rsidRDefault="00EC6B7D" w:rsidP="0005673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6ECD7" w14:textId="77777777" w:rsidR="00743D7B" w:rsidRDefault="00743D7B" w:rsidP="008150A2">
      <w:pPr>
        <w:spacing w:after="0" w:line="240" w:lineRule="auto"/>
      </w:pPr>
      <w:r>
        <w:separator/>
      </w:r>
    </w:p>
  </w:footnote>
  <w:footnote w:type="continuationSeparator" w:id="0">
    <w:p w14:paraId="035A8979" w14:textId="77777777" w:rsidR="00743D7B" w:rsidRDefault="00743D7B" w:rsidP="008150A2">
      <w:pPr>
        <w:spacing w:after="0" w:line="240" w:lineRule="auto"/>
      </w:pPr>
      <w:r>
        <w:continuationSeparator/>
      </w:r>
    </w:p>
  </w:footnote>
  <w:footnote w:type="continuationNotice" w:id="1">
    <w:p w14:paraId="3A123B85" w14:textId="77777777" w:rsidR="00743D7B" w:rsidRDefault="00743D7B">
      <w:pPr>
        <w:spacing w:after="0" w:line="240" w:lineRule="auto"/>
      </w:pPr>
    </w:p>
  </w:footnote>
  <w:footnote w:id="2">
    <w:p w14:paraId="389B3CFC" w14:textId="77777777" w:rsidR="00EC6B7D" w:rsidRDefault="00EC6B7D" w:rsidP="00152C5E">
      <w:pPr>
        <w:pStyle w:val="Textpoznmkypodiarou"/>
      </w:pPr>
      <w:r>
        <w:rPr>
          <w:rStyle w:val="Odkaznapoznmkupodiarou"/>
        </w:rPr>
        <w:footnoteRef/>
      </w:r>
      <w:r>
        <w:t xml:space="preserve"> </w:t>
      </w:r>
      <w:hyperlink r:id="rId1" w:history="1">
        <w:r w:rsidRPr="00C71E35">
          <w:rPr>
            <w:rStyle w:val="Hypertextovprepojenie"/>
            <w:rFonts w:ascii="Univers 45 Light" w:hAnsi="Univers 45 Light"/>
            <w:lang w:eastAsia="fr-FR"/>
          </w:rPr>
          <w:t>https://www.thecroforum.org/wp-content/uploads/2012/10/croforummvlpaperjuly2008-2.pdf</w:t>
        </w:r>
      </w:hyperlink>
    </w:p>
  </w:footnote>
  <w:footnote w:id="3">
    <w:p w14:paraId="270F7784" w14:textId="66B32B3D" w:rsidR="00EC6B7D" w:rsidRDefault="00EC6B7D" w:rsidP="00945D0C">
      <w:pPr>
        <w:pStyle w:val="Textpoznmkypodiarou"/>
      </w:pPr>
      <w:r>
        <w:rPr>
          <w:rStyle w:val="Odkaznapoznmkupodiarou"/>
        </w:rPr>
        <w:footnoteRef/>
      </w:r>
      <w:r>
        <w:t xml:space="preserve"> In contrast</w:t>
      </w:r>
      <w:r w:rsidRPr="00B41BA4">
        <w:t>, under a lambda of 0.975 as proposed by EIOPA, th</w:t>
      </w:r>
      <w:r>
        <w:t>e 5%</w:t>
      </w:r>
      <w:r w:rsidRPr="00B41BA4">
        <w:t xml:space="preserve"> threshold would </w:t>
      </w:r>
      <w:r>
        <w:t xml:space="preserve">only </w:t>
      </w:r>
      <w:r w:rsidRPr="00B41BA4">
        <w:t xml:space="preserve">be </w:t>
      </w:r>
      <w:r>
        <w:t xml:space="preserve">met </w:t>
      </w:r>
      <w:r w:rsidRPr="00B41BA4">
        <w:t>after 118 years</w:t>
      </w:r>
      <w:r>
        <w:t>, which is very difficult to justify.</w:t>
      </w:r>
    </w:p>
  </w:footnote>
  <w:footnote w:id="4">
    <w:p w14:paraId="53607BFD" w14:textId="474BAE0A" w:rsidR="00EC6B7D" w:rsidRDefault="00EC6B7D">
      <w:pPr>
        <w:pStyle w:val="Textpoznmkypodiarou"/>
      </w:pPr>
      <w:r>
        <w:rPr>
          <w:rStyle w:val="Odkaznapoznmkupodiarou"/>
        </w:rPr>
        <w:footnoteRef/>
      </w:r>
      <w:r>
        <w:t xml:space="preserve"> For </w:t>
      </w:r>
      <w:r w:rsidR="00CD1C2A">
        <w:t xml:space="preserve">a </w:t>
      </w:r>
      <w:r w:rsidRPr="0055502E">
        <w:t xml:space="preserve">starting CoC of </w:t>
      </w:r>
      <w:r>
        <w:t>4</w:t>
      </w:r>
      <w:r w:rsidRPr="0055502E">
        <w:t>%, a floor of 0.</w:t>
      </w:r>
      <w:r>
        <w:t>25</w:t>
      </w:r>
      <w:r w:rsidRPr="0055502E">
        <w:t xml:space="preserve"> would be required to achieve a floor </w:t>
      </w:r>
      <w:r>
        <w:t>for the forward cost-of-capital rate of 1%.</w:t>
      </w:r>
    </w:p>
  </w:footnote>
  <w:footnote w:id="5">
    <w:p w14:paraId="197400CB" w14:textId="77777777" w:rsidR="00EC6B7D" w:rsidRPr="002C4D72" w:rsidRDefault="00EC6B7D" w:rsidP="00E24D02">
      <w:pPr>
        <w:autoSpaceDE w:val="0"/>
        <w:autoSpaceDN w:val="0"/>
        <w:adjustRightInd w:val="0"/>
        <w:jc w:val="both"/>
        <w:rPr>
          <w:rFonts w:ascii="Verdana" w:hAnsi="Verdana"/>
          <w:sz w:val="16"/>
          <w:szCs w:val="16"/>
          <w:lang w:val="en-US"/>
        </w:rPr>
      </w:pPr>
      <w:r w:rsidRPr="002C4D72">
        <w:rPr>
          <w:rStyle w:val="Odkaznapoznmkupodiarou"/>
          <w:rFonts w:ascii="Verdana" w:hAnsi="Verdana"/>
          <w:sz w:val="16"/>
          <w:szCs w:val="16"/>
        </w:rPr>
        <w:footnoteRef/>
      </w:r>
      <w:r w:rsidRPr="002C4D72">
        <w:rPr>
          <w:rFonts w:ascii="Verdana" w:hAnsi="Verdana"/>
          <w:sz w:val="16"/>
          <w:szCs w:val="16"/>
          <w:lang w:val="en-US"/>
        </w:rPr>
        <w:t xml:space="preserve"> The estimate is not expected to be materially different for the 66 listed European companies considered by EIOPA. Currently, this situation reflects the effect of transitory measures but there is no reason to assume that the share of debt financing will not be replaced </w:t>
      </w:r>
      <w:r>
        <w:rPr>
          <w:rFonts w:ascii="Verdana" w:hAnsi="Verdana"/>
          <w:sz w:val="16"/>
          <w:szCs w:val="16"/>
          <w:lang w:val="en-US"/>
        </w:rPr>
        <w:t xml:space="preserve">in the future </w:t>
      </w:r>
      <w:r w:rsidRPr="002C4D72">
        <w:rPr>
          <w:rFonts w:ascii="Verdana" w:hAnsi="Verdana"/>
          <w:sz w:val="16"/>
          <w:szCs w:val="16"/>
          <w:lang w:val="en-US"/>
        </w:rPr>
        <w:t>by Solvency II compliant instruments</w:t>
      </w:r>
      <w:r w:rsidRPr="002C4D72">
        <w:rPr>
          <w:rFonts w:ascii="Verdana" w:hAnsi="Verdana"/>
          <w:sz w:val="16"/>
          <w:szCs w:val="16"/>
        </w:rPr>
        <w:t xml:space="preserve">.  </w:t>
      </w:r>
    </w:p>
  </w:footnote>
  <w:footnote w:id="6">
    <w:p w14:paraId="124F26CB" w14:textId="77777777" w:rsidR="00EC6B7D" w:rsidRPr="002C4D72" w:rsidRDefault="00EC6B7D" w:rsidP="00E24D02">
      <w:pPr>
        <w:jc w:val="both"/>
        <w:rPr>
          <w:rFonts w:ascii="Verdana" w:hAnsi="Verdana"/>
          <w:sz w:val="16"/>
          <w:szCs w:val="16"/>
          <w:lang w:val="en-US"/>
        </w:rPr>
      </w:pPr>
      <w:r w:rsidRPr="002C4D72">
        <w:rPr>
          <w:rStyle w:val="Odkaznapoznmkupodiarou"/>
          <w:sz w:val="16"/>
          <w:szCs w:val="16"/>
        </w:rPr>
        <w:footnoteRef/>
      </w:r>
      <w:r w:rsidRPr="002C4D72">
        <w:rPr>
          <w:sz w:val="16"/>
          <w:szCs w:val="16"/>
          <w:lang w:val="en-US"/>
        </w:rPr>
        <w:t xml:space="preserve"> </w:t>
      </w:r>
      <w:r w:rsidRPr="002C4D72">
        <w:rPr>
          <w:rFonts w:ascii="Verdana" w:hAnsi="Verdana"/>
          <w:sz w:val="16"/>
          <w:szCs w:val="16"/>
          <w:lang w:val="en-US"/>
        </w:rPr>
        <w:t>It can be noted that the 2016 FL ERP calculated by Damodaran in its 2017 report (5</w:t>
      </w:r>
      <w:r>
        <w:rPr>
          <w:rFonts w:ascii="Verdana" w:hAnsi="Verdana"/>
          <w:sz w:val="16"/>
          <w:szCs w:val="16"/>
          <w:lang w:val="en-US"/>
        </w:rPr>
        <w:t>.</w:t>
      </w:r>
      <w:r w:rsidRPr="002C4D72">
        <w:rPr>
          <w:rFonts w:ascii="Verdana" w:hAnsi="Verdana"/>
          <w:sz w:val="16"/>
          <w:szCs w:val="16"/>
          <w:lang w:val="en-US"/>
        </w:rPr>
        <w:t>16%, pages 91-92) revises the figure presented in its 2016 report (6</w:t>
      </w:r>
      <w:r>
        <w:rPr>
          <w:rFonts w:ascii="Verdana" w:hAnsi="Verdana"/>
          <w:sz w:val="16"/>
          <w:szCs w:val="16"/>
          <w:lang w:val="en-US"/>
        </w:rPr>
        <w:t>.</w:t>
      </w:r>
      <w:r w:rsidRPr="002C4D72">
        <w:rPr>
          <w:rFonts w:ascii="Verdana" w:hAnsi="Verdana"/>
          <w:sz w:val="16"/>
          <w:szCs w:val="16"/>
          <w:lang w:val="en-US"/>
        </w:rPr>
        <w:t xml:space="preserve">12%) which appears in the consultation paper on page 282 in the extract from the Damodaran paper.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B9983" w14:textId="77777777" w:rsidR="00743D7B" w:rsidRDefault="00743D7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A510DB"/>
    <w:multiLevelType w:val="hybridMultilevel"/>
    <w:tmpl w:val="C0BEE8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DD7770"/>
    <w:multiLevelType w:val="hybridMultilevel"/>
    <w:tmpl w:val="9026A67C"/>
    <w:lvl w:ilvl="0" w:tplc="233CFF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02541"/>
    <w:multiLevelType w:val="hybridMultilevel"/>
    <w:tmpl w:val="44246FDE"/>
    <w:lvl w:ilvl="0" w:tplc="83A27A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A1372"/>
    <w:multiLevelType w:val="hybridMultilevel"/>
    <w:tmpl w:val="68E80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F5EC3"/>
    <w:multiLevelType w:val="hybridMultilevel"/>
    <w:tmpl w:val="345CF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539AC"/>
    <w:multiLevelType w:val="hybridMultilevel"/>
    <w:tmpl w:val="4950DE4E"/>
    <w:lvl w:ilvl="0" w:tplc="6DC24658">
      <w:start w:val="1"/>
      <w:numFmt w:val="upperRoman"/>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034F0"/>
    <w:multiLevelType w:val="hybridMultilevel"/>
    <w:tmpl w:val="37007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175554"/>
    <w:multiLevelType w:val="hybridMultilevel"/>
    <w:tmpl w:val="491C0928"/>
    <w:lvl w:ilvl="0" w:tplc="6DC2465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68501D"/>
    <w:multiLevelType w:val="hybridMultilevel"/>
    <w:tmpl w:val="A2C02FA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39463D"/>
    <w:multiLevelType w:val="hybridMultilevel"/>
    <w:tmpl w:val="8E16653E"/>
    <w:lvl w:ilvl="0" w:tplc="073AB96A">
      <w:start w:val="4"/>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68CA4B87"/>
    <w:multiLevelType w:val="hybridMultilevel"/>
    <w:tmpl w:val="B3428426"/>
    <w:lvl w:ilvl="0" w:tplc="98044120">
      <w:numFmt w:val="bullet"/>
      <w:lvlText w:val=""/>
      <w:lvlJc w:val="left"/>
      <w:pPr>
        <w:ind w:left="720" w:hanging="360"/>
      </w:pPr>
      <w:rPr>
        <w:rFonts w:ascii="Symbol" w:eastAsia="DengXi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1DC5B1C"/>
    <w:multiLevelType w:val="hybridMultilevel"/>
    <w:tmpl w:val="0B3F2A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4"/>
  </w:num>
  <w:num w:numId="3">
    <w:abstractNumId w:val="5"/>
  </w:num>
  <w:num w:numId="4">
    <w:abstractNumId w:val="11"/>
  </w:num>
  <w:num w:numId="5">
    <w:abstractNumId w:val="3"/>
  </w:num>
  <w:num w:numId="6">
    <w:abstractNumId w:val="10"/>
  </w:num>
  <w:num w:numId="7">
    <w:abstractNumId w:val="6"/>
  </w:num>
  <w:num w:numId="8">
    <w:abstractNumId w:val="0"/>
  </w:num>
  <w:num w:numId="9">
    <w:abstractNumId w:val="1"/>
  </w:num>
  <w:num w:numId="10">
    <w:abstractNumId w:val="9"/>
  </w:num>
  <w:num w:numId="11">
    <w:abstractNumId w:val="7"/>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cofin">
    <w15:presenceInfo w15:providerId="None" w15:userId="Ecof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2B3"/>
    <w:rsid w:val="00011743"/>
    <w:rsid w:val="00011EFB"/>
    <w:rsid w:val="0001451E"/>
    <w:rsid w:val="00054C8F"/>
    <w:rsid w:val="0005673E"/>
    <w:rsid w:val="0006045C"/>
    <w:rsid w:val="00064B7A"/>
    <w:rsid w:val="00066087"/>
    <w:rsid w:val="00076874"/>
    <w:rsid w:val="0008113D"/>
    <w:rsid w:val="00095B52"/>
    <w:rsid w:val="000A4041"/>
    <w:rsid w:val="000B5B34"/>
    <w:rsid w:val="000C327C"/>
    <w:rsid w:val="000E176E"/>
    <w:rsid w:val="000E2305"/>
    <w:rsid w:val="000F3064"/>
    <w:rsid w:val="0010722D"/>
    <w:rsid w:val="001142B5"/>
    <w:rsid w:val="00125870"/>
    <w:rsid w:val="00152C5E"/>
    <w:rsid w:val="00154421"/>
    <w:rsid w:val="00155315"/>
    <w:rsid w:val="00156E1A"/>
    <w:rsid w:val="00191E66"/>
    <w:rsid w:val="001953D8"/>
    <w:rsid w:val="001A679D"/>
    <w:rsid w:val="001C4433"/>
    <w:rsid w:val="001D1CB0"/>
    <w:rsid w:val="001D7CD4"/>
    <w:rsid w:val="001E5887"/>
    <w:rsid w:val="001F5A3B"/>
    <w:rsid w:val="0020453E"/>
    <w:rsid w:val="0020559D"/>
    <w:rsid w:val="0021182B"/>
    <w:rsid w:val="00216680"/>
    <w:rsid w:val="00224D1D"/>
    <w:rsid w:val="00235A1F"/>
    <w:rsid w:val="00250428"/>
    <w:rsid w:val="0025183B"/>
    <w:rsid w:val="00262D23"/>
    <w:rsid w:val="00274B9E"/>
    <w:rsid w:val="00283C0E"/>
    <w:rsid w:val="002B33E5"/>
    <w:rsid w:val="002C45C2"/>
    <w:rsid w:val="002C4F55"/>
    <w:rsid w:val="002E3275"/>
    <w:rsid w:val="002E532E"/>
    <w:rsid w:val="002F11FB"/>
    <w:rsid w:val="002F402D"/>
    <w:rsid w:val="002F6260"/>
    <w:rsid w:val="002F70EC"/>
    <w:rsid w:val="00302B82"/>
    <w:rsid w:val="00306AC4"/>
    <w:rsid w:val="003140AE"/>
    <w:rsid w:val="003272B6"/>
    <w:rsid w:val="0035657D"/>
    <w:rsid w:val="0036487F"/>
    <w:rsid w:val="00372898"/>
    <w:rsid w:val="00390D55"/>
    <w:rsid w:val="003A552A"/>
    <w:rsid w:val="003D3531"/>
    <w:rsid w:val="003E4907"/>
    <w:rsid w:val="003E6465"/>
    <w:rsid w:val="003F7494"/>
    <w:rsid w:val="003F786F"/>
    <w:rsid w:val="00412121"/>
    <w:rsid w:val="00416322"/>
    <w:rsid w:val="00422374"/>
    <w:rsid w:val="00430DD7"/>
    <w:rsid w:val="004505F2"/>
    <w:rsid w:val="004554ED"/>
    <w:rsid w:val="0046095D"/>
    <w:rsid w:val="00461B9F"/>
    <w:rsid w:val="004673C8"/>
    <w:rsid w:val="0047632B"/>
    <w:rsid w:val="004840EB"/>
    <w:rsid w:val="00492368"/>
    <w:rsid w:val="00492987"/>
    <w:rsid w:val="00495B1F"/>
    <w:rsid w:val="00496ACA"/>
    <w:rsid w:val="004A4D84"/>
    <w:rsid w:val="004B6586"/>
    <w:rsid w:val="004C10D4"/>
    <w:rsid w:val="004D03AA"/>
    <w:rsid w:val="00503E63"/>
    <w:rsid w:val="0051035F"/>
    <w:rsid w:val="00531212"/>
    <w:rsid w:val="00535D50"/>
    <w:rsid w:val="00550FCE"/>
    <w:rsid w:val="0055502E"/>
    <w:rsid w:val="0055708D"/>
    <w:rsid w:val="0059536B"/>
    <w:rsid w:val="005C2BD4"/>
    <w:rsid w:val="005C7520"/>
    <w:rsid w:val="005E3477"/>
    <w:rsid w:val="006070DD"/>
    <w:rsid w:val="00617CA3"/>
    <w:rsid w:val="00624EC4"/>
    <w:rsid w:val="00665CA9"/>
    <w:rsid w:val="006677B8"/>
    <w:rsid w:val="006A12B2"/>
    <w:rsid w:val="006A51F1"/>
    <w:rsid w:val="006A57BA"/>
    <w:rsid w:val="006B3EDC"/>
    <w:rsid w:val="006D1927"/>
    <w:rsid w:val="006D4930"/>
    <w:rsid w:val="006D6E42"/>
    <w:rsid w:val="006F15CA"/>
    <w:rsid w:val="007041E6"/>
    <w:rsid w:val="00705F79"/>
    <w:rsid w:val="007136E3"/>
    <w:rsid w:val="00713D2B"/>
    <w:rsid w:val="00727AD5"/>
    <w:rsid w:val="00737251"/>
    <w:rsid w:val="007415DE"/>
    <w:rsid w:val="00743D7B"/>
    <w:rsid w:val="00747E2E"/>
    <w:rsid w:val="007502D2"/>
    <w:rsid w:val="0076490F"/>
    <w:rsid w:val="00772D1B"/>
    <w:rsid w:val="007800E2"/>
    <w:rsid w:val="00793FA5"/>
    <w:rsid w:val="007A56DE"/>
    <w:rsid w:val="007B1766"/>
    <w:rsid w:val="007C2822"/>
    <w:rsid w:val="007E0559"/>
    <w:rsid w:val="007E3B98"/>
    <w:rsid w:val="007E771A"/>
    <w:rsid w:val="007F07D9"/>
    <w:rsid w:val="007F269B"/>
    <w:rsid w:val="007F4FCF"/>
    <w:rsid w:val="008118A4"/>
    <w:rsid w:val="008150A2"/>
    <w:rsid w:val="00830FB5"/>
    <w:rsid w:val="00845074"/>
    <w:rsid w:val="008544AF"/>
    <w:rsid w:val="0088248E"/>
    <w:rsid w:val="008849B1"/>
    <w:rsid w:val="00895F05"/>
    <w:rsid w:val="008A4054"/>
    <w:rsid w:val="008B01DB"/>
    <w:rsid w:val="008C008D"/>
    <w:rsid w:val="008D0C29"/>
    <w:rsid w:val="008F0AA8"/>
    <w:rsid w:val="008F470C"/>
    <w:rsid w:val="008F75FA"/>
    <w:rsid w:val="00905A3B"/>
    <w:rsid w:val="00915E7B"/>
    <w:rsid w:val="00916DAF"/>
    <w:rsid w:val="00917731"/>
    <w:rsid w:val="00917869"/>
    <w:rsid w:val="009218AF"/>
    <w:rsid w:val="0092211A"/>
    <w:rsid w:val="009331D5"/>
    <w:rsid w:val="00945D0C"/>
    <w:rsid w:val="00953849"/>
    <w:rsid w:val="00953A3B"/>
    <w:rsid w:val="009556BF"/>
    <w:rsid w:val="009634F6"/>
    <w:rsid w:val="00971F20"/>
    <w:rsid w:val="009837C4"/>
    <w:rsid w:val="0099026A"/>
    <w:rsid w:val="009903BB"/>
    <w:rsid w:val="0099428B"/>
    <w:rsid w:val="009A2787"/>
    <w:rsid w:val="009D4792"/>
    <w:rsid w:val="009F2B85"/>
    <w:rsid w:val="009F35BF"/>
    <w:rsid w:val="00A01231"/>
    <w:rsid w:val="00A06158"/>
    <w:rsid w:val="00A11870"/>
    <w:rsid w:val="00A1362B"/>
    <w:rsid w:val="00A136F2"/>
    <w:rsid w:val="00A50F4B"/>
    <w:rsid w:val="00A514AD"/>
    <w:rsid w:val="00A54023"/>
    <w:rsid w:val="00A572C6"/>
    <w:rsid w:val="00A57844"/>
    <w:rsid w:val="00A72D5D"/>
    <w:rsid w:val="00A861A1"/>
    <w:rsid w:val="00A93657"/>
    <w:rsid w:val="00AB0584"/>
    <w:rsid w:val="00AE13EF"/>
    <w:rsid w:val="00AE2C0A"/>
    <w:rsid w:val="00AE3CF7"/>
    <w:rsid w:val="00AE7AAF"/>
    <w:rsid w:val="00B10E5D"/>
    <w:rsid w:val="00B1143A"/>
    <w:rsid w:val="00B24091"/>
    <w:rsid w:val="00B26E30"/>
    <w:rsid w:val="00B33752"/>
    <w:rsid w:val="00B41BA4"/>
    <w:rsid w:val="00B54389"/>
    <w:rsid w:val="00B544E6"/>
    <w:rsid w:val="00B57A4F"/>
    <w:rsid w:val="00B73B57"/>
    <w:rsid w:val="00B75923"/>
    <w:rsid w:val="00B95F4A"/>
    <w:rsid w:val="00BA37F9"/>
    <w:rsid w:val="00BA4B05"/>
    <w:rsid w:val="00BC129B"/>
    <w:rsid w:val="00BC3E4C"/>
    <w:rsid w:val="00BC42DA"/>
    <w:rsid w:val="00BE5935"/>
    <w:rsid w:val="00BF002C"/>
    <w:rsid w:val="00BF1746"/>
    <w:rsid w:val="00C00BD5"/>
    <w:rsid w:val="00C01DD9"/>
    <w:rsid w:val="00C12BDF"/>
    <w:rsid w:val="00C130F2"/>
    <w:rsid w:val="00C149D1"/>
    <w:rsid w:val="00C16213"/>
    <w:rsid w:val="00C221BA"/>
    <w:rsid w:val="00C46D6D"/>
    <w:rsid w:val="00C66F1F"/>
    <w:rsid w:val="00C84586"/>
    <w:rsid w:val="00CA607A"/>
    <w:rsid w:val="00CB3BF6"/>
    <w:rsid w:val="00CC54F9"/>
    <w:rsid w:val="00CC5A6E"/>
    <w:rsid w:val="00CC7AE4"/>
    <w:rsid w:val="00CD1C2A"/>
    <w:rsid w:val="00CD391B"/>
    <w:rsid w:val="00CD6FEC"/>
    <w:rsid w:val="00CE0FEE"/>
    <w:rsid w:val="00CE3223"/>
    <w:rsid w:val="00CE6C01"/>
    <w:rsid w:val="00CF736F"/>
    <w:rsid w:val="00D03BAE"/>
    <w:rsid w:val="00D101AB"/>
    <w:rsid w:val="00D1305B"/>
    <w:rsid w:val="00D3439E"/>
    <w:rsid w:val="00D407CD"/>
    <w:rsid w:val="00D42B7A"/>
    <w:rsid w:val="00D50CE4"/>
    <w:rsid w:val="00D656C7"/>
    <w:rsid w:val="00D80EE4"/>
    <w:rsid w:val="00D84314"/>
    <w:rsid w:val="00D92F0F"/>
    <w:rsid w:val="00D941FE"/>
    <w:rsid w:val="00D96A79"/>
    <w:rsid w:val="00DA2ACE"/>
    <w:rsid w:val="00DA4742"/>
    <w:rsid w:val="00DE71A0"/>
    <w:rsid w:val="00DF2157"/>
    <w:rsid w:val="00DF4438"/>
    <w:rsid w:val="00E00473"/>
    <w:rsid w:val="00E10AEA"/>
    <w:rsid w:val="00E10CFE"/>
    <w:rsid w:val="00E10D9C"/>
    <w:rsid w:val="00E24D02"/>
    <w:rsid w:val="00E31EA6"/>
    <w:rsid w:val="00E60002"/>
    <w:rsid w:val="00E62724"/>
    <w:rsid w:val="00E62994"/>
    <w:rsid w:val="00E633D1"/>
    <w:rsid w:val="00E71897"/>
    <w:rsid w:val="00E81AAF"/>
    <w:rsid w:val="00E84DEC"/>
    <w:rsid w:val="00E90EEE"/>
    <w:rsid w:val="00EA0688"/>
    <w:rsid w:val="00EA08BB"/>
    <w:rsid w:val="00EA0F4B"/>
    <w:rsid w:val="00EA53E8"/>
    <w:rsid w:val="00EB10A8"/>
    <w:rsid w:val="00EC6B7D"/>
    <w:rsid w:val="00ED20E6"/>
    <w:rsid w:val="00ED6D05"/>
    <w:rsid w:val="00EF1C0D"/>
    <w:rsid w:val="00EF4C32"/>
    <w:rsid w:val="00F0221D"/>
    <w:rsid w:val="00F04432"/>
    <w:rsid w:val="00F1420C"/>
    <w:rsid w:val="00F40B08"/>
    <w:rsid w:val="00F52E18"/>
    <w:rsid w:val="00F53FF0"/>
    <w:rsid w:val="00F6277D"/>
    <w:rsid w:val="00F772B3"/>
    <w:rsid w:val="00F8068A"/>
    <w:rsid w:val="00F96440"/>
    <w:rsid w:val="00FC6EED"/>
    <w:rsid w:val="00FD7AB4"/>
    <w:rsid w:val="00FF52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4DE3C2"/>
  <w15:chartTrackingRefBased/>
  <w15:docId w15:val="{3A9CB29C-FA89-495C-ADF8-220AB001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D96A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156E1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7C28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62994"/>
    <w:pPr>
      <w:ind w:left="720"/>
      <w:contextualSpacing/>
    </w:pPr>
  </w:style>
  <w:style w:type="character" w:styleId="Zstupntext">
    <w:name w:val="Placeholder Text"/>
    <w:basedOn w:val="Predvolenpsmoodseku"/>
    <w:uiPriority w:val="99"/>
    <w:semiHidden/>
    <w:rsid w:val="00B544E6"/>
    <w:rPr>
      <w:color w:val="808080"/>
    </w:rPr>
  </w:style>
  <w:style w:type="character" w:customStyle="1" w:styleId="Nadpis1Char">
    <w:name w:val="Nadpis 1 Char"/>
    <w:basedOn w:val="Predvolenpsmoodseku"/>
    <w:link w:val="Nadpis1"/>
    <w:uiPriority w:val="9"/>
    <w:rsid w:val="00D96A79"/>
    <w:rPr>
      <w:rFonts w:asciiTheme="majorHAnsi" w:eastAsiaTheme="majorEastAsia" w:hAnsiTheme="majorHAnsi" w:cstheme="majorBidi"/>
      <w:color w:val="365F91" w:themeColor="accent1" w:themeShade="BF"/>
      <w:sz w:val="32"/>
      <w:szCs w:val="32"/>
    </w:rPr>
  </w:style>
  <w:style w:type="paragraph" w:customStyle="1" w:styleId="Default">
    <w:name w:val="Default"/>
    <w:rsid w:val="00DF4438"/>
    <w:pPr>
      <w:autoSpaceDE w:val="0"/>
      <w:autoSpaceDN w:val="0"/>
      <w:adjustRightInd w:val="0"/>
      <w:spacing w:after="0" w:line="240" w:lineRule="auto"/>
    </w:pPr>
    <w:rPr>
      <w:rFonts w:ascii="Calibri" w:hAnsi="Calibri" w:cs="Calibri"/>
      <w:color w:val="000000"/>
      <w:sz w:val="24"/>
      <w:szCs w:val="24"/>
    </w:rPr>
  </w:style>
  <w:style w:type="character" w:customStyle="1" w:styleId="Nadpis2Char">
    <w:name w:val="Nadpis 2 Char"/>
    <w:basedOn w:val="Predvolenpsmoodseku"/>
    <w:link w:val="Nadpis2"/>
    <w:uiPriority w:val="9"/>
    <w:rsid w:val="00156E1A"/>
    <w:rPr>
      <w:rFonts w:asciiTheme="majorHAnsi" w:eastAsiaTheme="majorEastAsia" w:hAnsiTheme="majorHAnsi" w:cstheme="majorBidi"/>
      <w:color w:val="365F91" w:themeColor="accent1" w:themeShade="BF"/>
      <w:sz w:val="26"/>
      <w:szCs w:val="26"/>
    </w:rPr>
  </w:style>
  <w:style w:type="paragraph" w:styleId="Nzov">
    <w:name w:val="Title"/>
    <w:basedOn w:val="Normlny"/>
    <w:next w:val="Normlny"/>
    <w:link w:val="NzovChar"/>
    <w:uiPriority w:val="10"/>
    <w:qFormat/>
    <w:rsid w:val="00B240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24091"/>
    <w:rPr>
      <w:rFonts w:asciiTheme="majorHAnsi" w:eastAsiaTheme="majorEastAsia" w:hAnsiTheme="majorHAnsi" w:cstheme="majorBidi"/>
      <w:spacing w:val="-10"/>
      <w:kern w:val="28"/>
      <w:sz w:val="56"/>
      <w:szCs w:val="56"/>
    </w:rPr>
  </w:style>
  <w:style w:type="paragraph" w:styleId="Textpoznmkypodiarou">
    <w:name w:val="footnote text"/>
    <w:basedOn w:val="Normlny"/>
    <w:link w:val="TextpoznmkypodiarouChar"/>
    <w:uiPriority w:val="99"/>
    <w:semiHidden/>
    <w:unhideWhenUsed/>
    <w:rsid w:val="008150A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150A2"/>
    <w:rPr>
      <w:sz w:val="20"/>
      <w:szCs w:val="20"/>
    </w:rPr>
  </w:style>
  <w:style w:type="character" w:styleId="Odkaznapoznmkupodiarou">
    <w:name w:val="footnote reference"/>
    <w:basedOn w:val="Predvolenpsmoodseku"/>
    <w:uiPriority w:val="99"/>
    <w:semiHidden/>
    <w:unhideWhenUsed/>
    <w:rsid w:val="008150A2"/>
    <w:rPr>
      <w:vertAlign w:val="superscript"/>
    </w:rPr>
  </w:style>
  <w:style w:type="table" w:styleId="Mriekatabuky">
    <w:name w:val="Table Grid"/>
    <w:basedOn w:val="Normlnatabuka"/>
    <w:uiPriority w:val="59"/>
    <w:rsid w:val="00C01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D19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D1927"/>
    <w:rPr>
      <w:rFonts w:ascii="Segoe UI" w:hAnsi="Segoe UI" w:cs="Segoe UI"/>
      <w:sz w:val="18"/>
      <w:szCs w:val="18"/>
    </w:rPr>
  </w:style>
  <w:style w:type="paragraph" w:styleId="Hlavika">
    <w:name w:val="header"/>
    <w:basedOn w:val="Normlny"/>
    <w:link w:val="HlavikaChar"/>
    <w:uiPriority w:val="99"/>
    <w:unhideWhenUsed/>
    <w:rsid w:val="0005673E"/>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05673E"/>
  </w:style>
  <w:style w:type="paragraph" w:styleId="Pta">
    <w:name w:val="footer"/>
    <w:basedOn w:val="Normlny"/>
    <w:link w:val="PtaChar"/>
    <w:uiPriority w:val="99"/>
    <w:unhideWhenUsed/>
    <w:rsid w:val="0005673E"/>
    <w:pPr>
      <w:tabs>
        <w:tab w:val="center" w:pos="4513"/>
        <w:tab w:val="right" w:pos="9026"/>
      </w:tabs>
      <w:spacing w:after="0" w:line="240" w:lineRule="auto"/>
    </w:pPr>
  </w:style>
  <w:style w:type="character" w:customStyle="1" w:styleId="PtaChar">
    <w:name w:val="Päta Char"/>
    <w:basedOn w:val="Predvolenpsmoodseku"/>
    <w:link w:val="Pta"/>
    <w:uiPriority w:val="99"/>
    <w:rsid w:val="0005673E"/>
  </w:style>
  <w:style w:type="character" w:styleId="Odkaznakomentr">
    <w:name w:val="annotation reference"/>
    <w:basedOn w:val="Predvolenpsmoodseku"/>
    <w:uiPriority w:val="99"/>
    <w:semiHidden/>
    <w:unhideWhenUsed/>
    <w:rsid w:val="00430DD7"/>
    <w:rPr>
      <w:sz w:val="16"/>
      <w:szCs w:val="16"/>
    </w:rPr>
  </w:style>
  <w:style w:type="paragraph" w:styleId="Textkomentra">
    <w:name w:val="annotation text"/>
    <w:basedOn w:val="Normlny"/>
    <w:link w:val="TextkomentraChar"/>
    <w:uiPriority w:val="99"/>
    <w:semiHidden/>
    <w:unhideWhenUsed/>
    <w:rsid w:val="00430DD7"/>
    <w:pPr>
      <w:spacing w:line="240" w:lineRule="auto"/>
    </w:pPr>
    <w:rPr>
      <w:sz w:val="20"/>
      <w:szCs w:val="20"/>
    </w:rPr>
  </w:style>
  <w:style w:type="character" w:customStyle="1" w:styleId="TextkomentraChar">
    <w:name w:val="Text komentára Char"/>
    <w:basedOn w:val="Predvolenpsmoodseku"/>
    <w:link w:val="Textkomentra"/>
    <w:uiPriority w:val="99"/>
    <w:semiHidden/>
    <w:rsid w:val="00430DD7"/>
    <w:rPr>
      <w:sz w:val="20"/>
      <w:szCs w:val="20"/>
    </w:rPr>
  </w:style>
  <w:style w:type="paragraph" w:styleId="Predmetkomentra">
    <w:name w:val="annotation subject"/>
    <w:basedOn w:val="Textkomentra"/>
    <w:next w:val="Textkomentra"/>
    <w:link w:val="PredmetkomentraChar"/>
    <w:uiPriority w:val="99"/>
    <w:semiHidden/>
    <w:unhideWhenUsed/>
    <w:rsid w:val="00430DD7"/>
    <w:rPr>
      <w:b/>
      <w:bCs/>
    </w:rPr>
  </w:style>
  <w:style w:type="character" w:customStyle="1" w:styleId="PredmetkomentraChar">
    <w:name w:val="Predmet komentára Char"/>
    <w:basedOn w:val="TextkomentraChar"/>
    <w:link w:val="Predmetkomentra"/>
    <w:uiPriority w:val="99"/>
    <w:semiHidden/>
    <w:rsid w:val="00430DD7"/>
    <w:rPr>
      <w:b/>
      <w:bCs/>
      <w:sz w:val="20"/>
      <w:szCs w:val="20"/>
    </w:rPr>
  </w:style>
  <w:style w:type="character" w:styleId="Hypertextovprepojenie">
    <w:name w:val="Hyperlink"/>
    <w:basedOn w:val="Predvolenpsmoodseku"/>
    <w:uiPriority w:val="99"/>
    <w:semiHidden/>
    <w:unhideWhenUsed/>
    <w:rsid w:val="00895F05"/>
    <w:rPr>
      <w:color w:val="0000FF"/>
      <w:u w:val="single"/>
    </w:rPr>
  </w:style>
  <w:style w:type="paragraph" w:styleId="Revzia">
    <w:name w:val="Revision"/>
    <w:hidden/>
    <w:uiPriority w:val="99"/>
    <w:semiHidden/>
    <w:rsid w:val="009903BB"/>
    <w:pPr>
      <w:spacing w:after="0" w:line="240" w:lineRule="auto"/>
    </w:pPr>
  </w:style>
  <w:style w:type="character" w:customStyle="1" w:styleId="Nadpis3Char">
    <w:name w:val="Nadpis 3 Char"/>
    <w:basedOn w:val="Predvolenpsmoodseku"/>
    <w:link w:val="Nadpis3"/>
    <w:uiPriority w:val="9"/>
    <w:rsid w:val="007C282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799770">
      <w:bodyDiv w:val="1"/>
      <w:marLeft w:val="0"/>
      <w:marRight w:val="0"/>
      <w:marTop w:val="0"/>
      <w:marBottom w:val="0"/>
      <w:divBdr>
        <w:top w:val="none" w:sz="0" w:space="0" w:color="auto"/>
        <w:left w:val="none" w:sz="0" w:space="0" w:color="auto"/>
        <w:bottom w:val="none" w:sz="0" w:space="0" w:color="auto"/>
        <w:right w:val="none" w:sz="0" w:space="0" w:color="auto"/>
      </w:divBdr>
    </w:div>
    <w:div w:id="707026758">
      <w:bodyDiv w:val="1"/>
      <w:marLeft w:val="0"/>
      <w:marRight w:val="0"/>
      <w:marTop w:val="0"/>
      <w:marBottom w:val="0"/>
      <w:divBdr>
        <w:top w:val="none" w:sz="0" w:space="0" w:color="auto"/>
        <w:left w:val="none" w:sz="0" w:space="0" w:color="auto"/>
        <w:bottom w:val="none" w:sz="0" w:space="0" w:color="auto"/>
        <w:right w:val="none" w:sz="0" w:space="0" w:color="auto"/>
      </w:divBdr>
    </w:div>
    <w:div w:id="1003969401">
      <w:bodyDiv w:val="1"/>
      <w:marLeft w:val="0"/>
      <w:marRight w:val="0"/>
      <w:marTop w:val="0"/>
      <w:marBottom w:val="0"/>
      <w:divBdr>
        <w:top w:val="none" w:sz="0" w:space="0" w:color="auto"/>
        <w:left w:val="none" w:sz="0" w:space="0" w:color="auto"/>
        <w:bottom w:val="none" w:sz="0" w:space="0" w:color="auto"/>
        <w:right w:val="none" w:sz="0" w:space="0" w:color="auto"/>
      </w:divBdr>
    </w:div>
    <w:div w:id="175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29656003">
          <w:marLeft w:val="0"/>
          <w:marRight w:val="0"/>
          <w:marTop w:val="0"/>
          <w:marBottom w:val="0"/>
          <w:divBdr>
            <w:top w:val="none" w:sz="0" w:space="0" w:color="auto"/>
            <w:left w:val="none" w:sz="0" w:space="0" w:color="auto"/>
            <w:bottom w:val="none" w:sz="0" w:space="0" w:color="auto"/>
            <w:right w:val="none" w:sz="0" w:space="0" w:color="auto"/>
          </w:divBdr>
        </w:div>
      </w:divsChild>
    </w:div>
    <w:div w:id="182146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thecroforum.org/wp-content/uploads/2012/10/croforummvlpaperjuly2008-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6ED0052EB2E848B8D9B3847498F708" ma:contentTypeVersion="" ma:contentTypeDescription="Create a new document." ma:contentTypeScope="" ma:versionID="6116810af309f6b487cd7e766183c186">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9535D8-4782-48DC-9B63-D9BB84BA4BAA}">
  <ds:schemaRefs>
    <ds:schemaRef ds:uri="http://schemas.openxmlformats.org/officeDocument/2006/bibliography"/>
  </ds:schemaRefs>
</ds:datastoreItem>
</file>

<file path=customXml/itemProps2.xml><?xml version="1.0" encoding="utf-8"?>
<ds:datastoreItem xmlns:ds="http://schemas.openxmlformats.org/officeDocument/2006/customXml" ds:itemID="{4B019516-C88C-4B1A-8999-09012DCA1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EFAFEAD-5FC6-44BC-9D28-936676260550}">
  <ds:schemaRefs>
    <ds:schemaRef ds:uri="http://schemas.microsoft.com/sharepoint/v3/contenttype/forms"/>
  </ds:schemaRefs>
</ds:datastoreItem>
</file>

<file path=customXml/itemProps4.xml><?xml version="1.0" encoding="utf-8"?>
<ds:datastoreItem xmlns:ds="http://schemas.openxmlformats.org/officeDocument/2006/customXml" ds:itemID="{52C9EDF8-DB23-491D-BB63-7CB4CBD272DE}">
  <ds:schemaRef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7238</Words>
  <Characters>41257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CRO Forum Risk Margin Working Group Paper</dc:title>
  <dc:subject/>
  <dc:creator>John Kingdom</dc:creator>
  <cp:keywords/>
  <dc:description/>
  <cp:lastModifiedBy>Bachníček Jozef</cp:lastModifiedBy>
  <cp:revision>2</cp:revision>
  <dcterms:created xsi:type="dcterms:W3CDTF">2020-08-10T07:22:00Z</dcterms:created>
  <dcterms:modified xsi:type="dcterms:W3CDTF">2020-08-10T07:22:00Z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4af893e7-0c23-4254-b626-688d507e01c2</vt:lpwstr>
  </property>
  <property fmtid="{D5CDD505-2E9C-101B-9397-08002B2CF9AE}" pid="3" name="AvivaClassification">
    <vt:lpwstr>Aviva-1nternal</vt:lpwstr>
  </property>
  <property fmtid="{D5CDD505-2E9C-101B-9397-08002B2CF9AE}" pid="4" name="MSIP_Label_f45d0447-72b7-4595-8ee5-b32b4892557e_Enabled">
    <vt:lpwstr>True</vt:lpwstr>
  </property>
  <property fmtid="{D5CDD505-2E9C-101B-9397-08002B2CF9AE}" pid="5" name="MSIP_Label_f45d0447-72b7-4595-8ee5-b32b4892557e_SiteId">
    <vt:lpwstr>582259a1-dcaa-4cca-b1cf-e60d3f045ecd</vt:lpwstr>
  </property>
  <property fmtid="{D5CDD505-2E9C-101B-9397-08002B2CF9AE}" pid="6" name="MSIP_Label_f45d0447-72b7-4595-8ee5-b32b4892557e_Owner">
    <vt:lpwstr>CBaumgart@munichre.com</vt:lpwstr>
  </property>
  <property fmtid="{D5CDD505-2E9C-101B-9397-08002B2CF9AE}" pid="7" name="MSIP_Label_f45d0447-72b7-4595-8ee5-b32b4892557e_SetDate">
    <vt:lpwstr>2020-08-04T13:18:21.1252156Z</vt:lpwstr>
  </property>
  <property fmtid="{D5CDD505-2E9C-101B-9397-08002B2CF9AE}" pid="8" name="MSIP_Label_f45d0447-72b7-4595-8ee5-b32b4892557e_Name">
    <vt:lpwstr>Public unrestricted (C1)</vt:lpwstr>
  </property>
  <property fmtid="{D5CDD505-2E9C-101B-9397-08002B2CF9AE}" pid="9" name="MSIP_Label_f45d0447-72b7-4595-8ee5-b32b4892557e_Application">
    <vt:lpwstr>Microsoft Azure Information Protection</vt:lpwstr>
  </property>
  <property fmtid="{D5CDD505-2E9C-101B-9397-08002B2CF9AE}" pid="10" name="MSIP_Label_f45d0447-72b7-4595-8ee5-b32b4892557e_ActionId">
    <vt:lpwstr>3d0ef491-9234-4674-bfd2-35a18192c0fb</vt:lpwstr>
  </property>
  <property fmtid="{D5CDD505-2E9C-101B-9397-08002B2CF9AE}" pid="11" name="MSIP_Label_f45d0447-72b7-4595-8ee5-b32b4892557e_Extended_MSFT_Method">
    <vt:lpwstr>Manual</vt:lpwstr>
  </property>
  <property fmtid="{D5CDD505-2E9C-101B-9397-08002B2CF9AE}" pid="12" name="Sensitivity">
    <vt:lpwstr>Public unrestricted (C1)</vt:lpwstr>
  </property>
  <property fmtid="{D5CDD505-2E9C-101B-9397-08002B2CF9AE}" pid="13" name="ContentTypeId">
    <vt:lpwstr>0x010100A96ED0052EB2E848B8D9B3847498F708</vt:lpwstr>
  </property>
  <property fmtid="{D5CDD505-2E9C-101B-9397-08002B2CF9AE}" pid="14" name="Can be edited">
    <vt:bool>true</vt:bool>
  </property>
  <property fmtid="{D5CDD505-2E9C-101B-9397-08002B2CF9AE}" pid="15" name="Validated">
    <vt:bool>false</vt:bool>
  </property>
  <property fmtid="{D5CDD505-2E9C-101B-9397-08002B2CF9AE}" pid="16" name="Display validated documents library button">
    <vt:bool>true</vt:bool>
  </property>
  <property fmtid="{D5CDD505-2E9C-101B-9397-08002B2CF9AE}" pid="17" name="AllowComments">
    <vt:bool>false</vt:bool>
  </property>
  <property fmtid="{D5CDD505-2E9C-101B-9397-08002B2CF9AE}" pid="18" name="Uploads">
    <vt:bool>true</vt:bool>
  </property>
  <property fmtid="{D5CDD505-2E9C-101B-9397-08002B2CF9AE}" pid="19" name="isAnnex">
    <vt:lpwstr>True</vt:lpwstr>
  </property>
</Properties>
</file>