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195A6" w14:textId="561F1AF1" w:rsidR="00C424DC" w:rsidRDefault="00356514">
      <w:pPr>
        <w:rPr>
          <w:b/>
          <w:bCs/>
          <w:lang w:val="en-US"/>
        </w:rPr>
      </w:pPr>
      <w:r w:rsidRPr="00283737">
        <w:rPr>
          <w:b/>
          <w:bCs/>
          <w:lang w:val="en-US"/>
        </w:rPr>
        <w:t>Volatility adjustment (VA)</w:t>
      </w:r>
    </w:p>
    <w:p w14:paraId="1AE42A0C" w14:textId="628C87D1" w:rsidR="00C8431A" w:rsidRDefault="00C8431A">
      <w:pPr>
        <w:rPr>
          <w:b/>
          <w:bCs/>
          <w:lang w:val="en-US"/>
        </w:rPr>
      </w:pPr>
      <w:r>
        <w:rPr>
          <w:b/>
          <w:bCs/>
          <w:lang w:val="en-US"/>
        </w:rPr>
        <w:t xml:space="preserve">Industry </w:t>
      </w:r>
      <w:r w:rsidR="00453545">
        <w:rPr>
          <w:b/>
          <w:bCs/>
          <w:lang w:val="en-US"/>
        </w:rPr>
        <w:t>views</w:t>
      </w:r>
    </w:p>
    <w:p w14:paraId="5156D33E" w14:textId="1EF3CD87" w:rsidR="007073AF" w:rsidRDefault="00730D01" w:rsidP="6F5B4044">
      <w:pPr>
        <w:pStyle w:val="Odsekzoznamu"/>
        <w:numPr>
          <w:ilvl w:val="0"/>
          <w:numId w:val="13"/>
        </w:numPr>
        <w:jc w:val="both"/>
        <w:rPr>
          <w:b/>
          <w:bCs/>
          <w:lang w:val="en-US"/>
        </w:rPr>
      </w:pPr>
      <w:r w:rsidRPr="6F5B4044">
        <w:rPr>
          <w:b/>
          <w:bCs/>
          <w:lang w:val="en-US"/>
        </w:rPr>
        <w:t xml:space="preserve">There are a number of shortcomings </w:t>
      </w:r>
      <w:r w:rsidR="752CC8BE" w:rsidRPr="6F5B4044">
        <w:rPr>
          <w:b/>
          <w:bCs/>
          <w:lang w:val="en-US"/>
        </w:rPr>
        <w:t>to</w:t>
      </w:r>
      <w:r w:rsidRPr="6F5B4044">
        <w:rPr>
          <w:b/>
          <w:bCs/>
          <w:lang w:val="en-US"/>
        </w:rPr>
        <w:t xml:space="preserve"> the current volatility adjustment </w:t>
      </w:r>
      <w:r w:rsidR="00FD7060">
        <w:rPr>
          <w:b/>
          <w:bCs/>
          <w:lang w:val="en-US"/>
        </w:rPr>
        <w:t xml:space="preserve">(VA) </w:t>
      </w:r>
      <w:r w:rsidRPr="6F5B4044">
        <w:rPr>
          <w:b/>
          <w:bCs/>
          <w:lang w:val="en-US"/>
        </w:rPr>
        <w:t>design and calibration</w:t>
      </w:r>
      <w:r w:rsidR="004B4E43" w:rsidRPr="6F5B4044">
        <w:rPr>
          <w:b/>
          <w:bCs/>
          <w:lang w:val="en-US"/>
        </w:rPr>
        <w:t xml:space="preserve">. </w:t>
      </w:r>
      <w:r w:rsidR="0079524B">
        <w:rPr>
          <w:b/>
          <w:bCs/>
          <w:lang w:val="en-US"/>
        </w:rPr>
        <w:t>Most</w:t>
      </w:r>
      <w:r w:rsidR="0079524B" w:rsidRPr="6F5B4044">
        <w:rPr>
          <w:b/>
          <w:bCs/>
          <w:lang w:val="en-US"/>
        </w:rPr>
        <w:t xml:space="preserve"> </w:t>
      </w:r>
      <w:r w:rsidR="004B4E43" w:rsidRPr="6F5B4044">
        <w:rPr>
          <w:b/>
          <w:bCs/>
          <w:lang w:val="en-US"/>
        </w:rPr>
        <w:t>of these have been remedied by the co-legislators in their work on the Level 1 text.</w:t>
      </w:r>
      <w:r w:rsidR="007073AF">
        <w:rPr>
          <w:b/>
          <w:bCs/>
          <w:lang w:val="en-US"/>
        </w:rPr>
        <w:t xml:space="preserve">  </w:t>
      </w:r>
    </w:p>
    <w:p w14:paraId="1C5CDE0B" w14:textId="4CA769C1" w:rsidR="00FD7060" w:rsidRDefault="007073AF" w:rsidP="6F5B4044">
      <w:pPr>
        <w:pStyle w:val="Odsekzoznamu"/>
        <w:numPr>
          <w:ilvl w:val="0"/>
          <w:numId w:val="13"/>
        </w:numPr>
        <w:jc w:val="both"/>
        <w:rPr>
          <w:b/>
          <w:bCs/>
          <w:lang w:val="en-US"/>
        </w:rPr>
      </w:pPr>
      <w:r>
        <w:rPr>
          <w:b/>
          <w:bCs/>
          <w:lang w:val="en-US"/>
        </w:rPr>
        <w:t xml:space="preserve">The Level 1 </w:t>
      </w:r>
      <w:r w:rsidR="00FD7060">
        <w:rPr>
          <w:b/>
          <w:bCs/>
          <w:lang w:val="en-US"/>
        </w:rPr>
        <w:t xml:space="preserve">changes have the </w:t>
      </w:r>
      <w:r>
        <w:rPr>
          <w:b/>
          <w:bCs/>
          <w:lang w:val="en-US"/>
        </w:rPr>
        <w:t xml:space="preserve">potential to </w:t>
      </w:r>
      <w:r w:rsidR="00FD7060">
        <w:rPr>
          <w:b/>
          <w:bCs/>
          <w:lang w:val="en-US"/>
        </w:rPr>
        <w:t>achieve important improvements to the VA:</w:t>
      </w:r>
    </w:p>
    <w:p w14:paraId="332FF41A" w14:textId="77777777" w:rsidR="001D78C1" w:rsidRDefault="00EB758D" w:rsidP="00FD7060">
      <w:pPr>
        <w:pStyle w:val="Odsekzoznamu"/>
        <w:numPr>
          <w:ilvl w:val="1"/>
          <w:numId w:val="13"/>
        </w:numPr>
        <w:jc w:val="both"/>
        <w:rPr>
          <w:b/>
          <w:bCs/>
          <w:lang w:val="en-US"/>
        </w:rPr>
      </w:pPr>
      <w:r>
        <w:rPr>
          <w:b/>
          <w:bCs/>
          <w:lang w:val="en-US"/>
        </w:rPr>
        <w:t>R</w:t>
      </w:r>
      <w:r w:rsidR="00107E85">
        <w:rPr>
          <w:b/>
          <w:bCs/>
          <w:lang w:val="en-US"/>
        </w:rPr>
        <w:t xml:space="preserve">eflecting </w:t>
      </w:r>
      <w:r>
        <w:rPr>
          <w:b/>
          <w:bCs/>
          <w:lang w:val="en-US"/>
        </w:rPr>
        <w:t xml:space="preserve">much better the </w:t>
      </w:r>
      <w:r w:rsidR="00107E85">
        <w:rPr>
          <w:b/>
          <w:bCs/>
          <w:lang w:val="en-US"/>
        </w:rPr>
        <w:t>economic reality of insurers’</w:t>
      </w:r>
      <w:r w:rsidR="006F18D4">
        <w:rPr>
          <w:b/>
          <w:bCs/>
          <w:lang w:val="en-US"/>
        </w:rPr>
        <w:t xml:space="preserve"> </w:t>
      </w:r>
      <w:r w:rsidR="00107E85">
        <w:rPr>
          <w:b/>
          <w:bCs/>
          <w:lang w:val="en-US"/>
        </w:rPr>
        <w:t>balance sheet</w:t>
      </w:r>
      <w:r>
        <w:rPr>
          <w:b/>
          <w:bCs/>
          <w:lang w:val="en-US"/>
        </w:rPr>
        <w:t xml:space="preserve"> </w:t>
      </w:r>
      <w:r w:rsidR="001D78C1">
        <w:rPr>
          <w:b/>
          <w:bCs/>
          <w:lang w:val="en-US"/>
        </w:rPr>
        <w:t>(</w:t>
      </w:r>
      <w:r>
        <w:rPr>
          <w:b/>
          <w:bCs/>
          <w:lang w:val="en-US"/>
        </w:rPr>
        <w:t xml:space="preserve">by </w:t>
      </w:r>
      <w:r w:rsidR="001D78C1">
        <w:rPr>
          <w:b/>
          <w:bCs/>
          <w:lang w:val="en-US"/>
        </w:rPr>
        <w:t xml:space="preserve">both </w:t>
      </w:r>
      <w:r>
        <w:rPr>
          <w:b/>
          <w:bCs/>
          <w:lang w:val="en-US"/>
        </w:rPr>
        <w:t xml:space="preserve">reducing the </w:t>
      </w:r>
      <w:r w:rsidR="001D78C1">
        <w:rPr>
          <w:b/>
          <w:bCs/>
          <w:lang w:val="en-US"/>
        </w:rPr>
        <w:t>instances of overshooting and undershooting)</w:t>
      </w:r>
    </w:p>
    <w:p w14:paraId="3F0AC898" w14:textId="76ADAC1C" w:rsidR="005431EA" w:rsidRDefault="005431EA" w:rsidP="00FD7060">
      <w:pPr>
        <w:pStyle w:val="Odsekzoznamu"/>
        <w:numPr>
          <w:ilvl w:val="1"/>
          <w:numId w:val="13"/>
        </w:numPr>
        <w:jc w:val="both"/>
        <w:rPr>
          <w:b/>
          <w:bCs/>
          <w:lang w:val="en-US"/>
        </w:rPr>
      </w:pPr>
      <w:r>
        <w:rPr>
          <w:b/>
          <w:bCs/>
          <w:lang w:val="en-US"/>
        </w:rPr>
        <w:t xml:space="preserve">Helping financial stability by </w:t>
      </w:r>
      <w:r w:rsidR="006F18D4">
        <w:rPr>
          <w:b/>
          <w:bCs/>
          <w:lang w:val="en-US"/>
        </w:rPr>
        <w:t xml:space="preserve">reduce </w:t>
      </w:r>
      <w:r>
        <w:rPr>
          <w:b/>
          <w:bCs/>
          <w:lang w:val="en-US"/>
        </w:rPr>
        <w:t xml:space="preserve">unnecessary </w:t>
      </w:r>
      <w:r w:rsidR="006F18D4">
        <w:rPr>
          <w:b/>
          <w:bCs/>
          <w:lang w:val="en-US"/>
        </w:rPr>
        <w:t>procyclicality</w:t>
      </w:r>
    </w:p>
    <w:p w14:paraId="26983818" w14:textId="0A207D67" w:rsidR="00C622BC" w:rsidRDefault="005431EA" w:rsidP="00BA2C19">
      <w:pPr>
        <w:pStyle w:val="Odsekzoznamu"/>
        <w:numPr>
          <w:ilvl w:val="1"/>
          <w:numId w:val="13"/>
        </w:numPr>
        <w:jc w:val="both"/>
        <w:rPr>
          <w:b/>
          <w:bCs/>
          <w:lang w:val="en-US"/>
        </w:rPr>
      </w:pPr>
      <w:r>
        <w:rPr>
          <w:b/>
          <w:bCs/>
          <w:lang w:val="en-US"/>
        </w:rPr>
        <w:t xml:space="preserve">Helping to reduce </w:t>
      </w:r>
      <w:r w:rsidR="00BB60E3">
        <w:rPr>
          <w:b/>
          <w:bCs/>
          <w:lang w:val="en-US"/>
        </w:rPr>
        <w:t xml:space="preserve">undue </w:t>
      </w:r>
      <w:r w:rsidR="009B684E">
        <w:rPr>
          <w:b/>
          <w:bCs/>
          <w:lang w:val="en-US"/>
        </w:rPr>
        <w:t>volatility</w:t>
      </w:r>
      <w:r w:rsidR="00BB60E3">
        <w:rPr>
          <w:b/>
          <w:bCs/>
          <w:lang w:val="en-US"/>
        </w:rPr>
        <w:t>,</w:t>
      </w:r>
      <w:r w:rsidR="009B684E">
        <w:rPr>
          <w:b/>
          <w:bCs/>
          <w:lang w:val="en-US"/>
        </w:rPr>
        <w:t xml:space="preserve"> </w:t>
      </w:r>
      <w:r>
        <w:rPr>
          <w:b/>
          <w:bCs/>
          <w:lang w:val="en-US"/>
        </w:rPr>
        <w:t>one of the</w:t>
      </w:r>
      <w:r w:rsidR="009B684E">
        <w:rPr>
          <w:b/>
          <w:bCs/>
          <w:lang w:val="en-US"/>
        </w:rPr>
        <w:t xml:space="preserve"> </w:t>
      </w:r>
      <w:r>
        <w:rPr>
          <w:b/>
          <w:bCs/>
          <w:lang w:val="en-US"/>
        </w:rPr>
        <w:t xml:space="preserve">key barriers </w:t>
      </w:r>
      <w:r w:rsidR="009B684E">
        <w:rPr>
          <w:b/>
          <w:bCs/>
          <w:lang w:val="en-US"/>
        </w:rPr>
        <w:t xml:space="preserve">Solvency II </w:t>
      </w:r>
      <w:r w:rsidR="00BB60E3">
        <w:rPr>
          <w:b/>
          <w:bCs/>
          <w:lang w:val="en-US"/>
        </w:rPr>
        <w:t xml:space="preserve">introduced for insurers </w:t>
      </w:r>
      <w:r w:rsidR="00E0175A">
        <w:rPr>
          <w:b/>
          <w:bCs/>
          <w:lang w:val="en-US"/>
        </w:rPr>
        <w:t xml:space="preserve">involvement in </w:t>
      </w:r>
      <w:r w:rsidR="00BB60E3">
        <w:rPr>
          <w:b/>
          <w:bCs/>
          <w:lang w:val="en-US"/>
        </w:rPr>
        <w:t>long-term products and investment</w:t>
      </w:r>
      <w:r w:rsidR="009B684E">
        <w:rPr>
          <w:b/>
          <w:bCs/>
          <w:lang w:val="en-US"/>
        </w:rPr>
        <w:t xml:space="preserve">  </w:t>
      </w:r>
    </w:p>
    <w:p w14:paraId="1AC9962F" w14:textId="1B77853A" w:rsidR="00E91D14" w:rsidRPr="004B4E43" w:rsidRDefault="004B4E43" w:rsidP="6F5B4044">
      <w:pPr>
        <w:pStyle w:val="Odsekzoznamu"/>
        <w:numPr>
          <w:ilvl w:val="0"/>
          <w:numId w:val="13"/>
        </w:numPr>
        <w:jc w:val="both"/>
        <w:rPr>
          <w:b/>
          <w:bCs/>
          <w:lang w:val="en-US"/>
        </w:rPr>
      </w:pPr>
      <w:r w:rsidRPr="6F5B4044">
        <w:rPr>
          <w:b/>
          <w:bCs/>
          <w:lang w:val="en-US"/>
        </w:rPr>
        <w:t>However, t</w:t>
      </w:r>
      <w:r w:rsidR="00E91D14" w:rsidRPr="6F5B4044">
        <w:rPr>
          <w:b/>
          <w:bCs/>
          <w:lang w:val="en-US"/>
        </w:rPr>
        <w:t>o deliver on the co-</w:t>
      </w:r>
      <w:r w:rsidR="00737336" w:rsidRPr="6F5B4044">
        <w:rPr>
          <w:b/>
          <w:bCs/>
          <w:lang w:val="en-US"/>
        </w:rPr>
        <w:t>legislators’</w:t>
      </w:r>
      <w:r w:rsidR="00E91D14" w:rsidRPr="6F5B4044">
        <w:rPr>
          <w:b/>
          <w:bCs/>
          <w:lang w:val="en-US"/>
        </w:rPr>
        <w:t xml:space="preserve"> ambitions for the review</w:t>
      </w:r>
      <w:r w:rsidR="00737336" w:rsidRPr="6F5B4044">
        <w:rPr>
          <w:b/>
          <w:bCs/>
          <w:lang w:val="en-US"/>
        </w:rPr>
        <w:t xml:space="preserve"> of Solvency II</w:t>
      </w:r>
      <w:r w:rsidR="00E91D14" w:rsidRPr="6F5B4044">
        <w:rPr>
          <w:b/>
          <w:bCs/>
          <w:lang w:val="en-US"/>
        </w:rPr>
        <w:t xml:space="preserve">, it is imperative that the calibration of the </w:t>
      </w:r>
      <w:r w:rsidR="00E91D14" w:rsidRPr="6F5B4044">
        <w:rPr>
          <w:b/>
          <w:bCs/>
          <w:u w:val="single"/>
          <w:lang w:val="en-US"/>
        </w:rPr>
        <w:t>risk correction</w:t>
      </w:r>
      <w:r w:rsidR="00E91D14" w:rsidRPr="6F5B4044">
        <w:rPr>
          <w:b/>
          <w:bCs/>
          <w:lang w:val="en-US"/>
        </w:rPr>
        <w:t xml:space="preserve"> </w:t>
      </w:r>
      <w:r w:rsidRPr="6F5B4044">
        <w:rPr>
          <w:b/>
          <w:bCs/>
          <w:lang w:val="en-US"/>
        </w:rPr>
        <w:t xml:space="preserve">in the Delegated Regulation </w:t>
      </w:r>
      <w:r w:rsidR="00E0175A">
        <w:rPr>
          <w:b/>
          <w:bCs/>
          <w:lang w:val="en-US"/>
        </w:rPr>
        <w:t xml:space="preserve">does not </w:t>
      </w:r>
      <w:r w:rsidR="009327C2">
        <w:rPr>
          <w:b/>
          <w:bCs/>
          <w:lang w:val="en-US"/>
        </w:rPr>
        <w:t xml:space="preserve">undermine the potential improvements by </w:t>
      </w:r>
      <w:r w:rsidR="00E0175A">
        <w:rPr>
          <w:b/>
          <w:bCs/>
          <w:lang w:val="en-US"/>
        </w:rPr>
        <w:t>add</w:t>
      </w:r>
      <w:r w:rsidR="009327C2">
        <w:rPr>
          <w:b/>
          <w:bCs/>
          <w:lang w:val="en-US"/>
        </w:rPr>
        <w:t>ing</w:t>
      </w:r>
      <w:r w:rsidR="00E0175A">
        <w:rPr>
          <w:b/>
          <w:bCs/>
          <w:lang w:val="en-US"/>
        </w:rPr>
        <w:t xml:space="preserve"> back </w:t>
      </w:r>
      <w:r w:rsidR="009327C2">
        <w:rPr>
          <w:b/>
          <w:bCs/>
          <w:lang w:val="en-US"/>
        </w:rPr>
        <w:t>volatility and pro-cyclicality</w:t>
      </w:r>
    </w:p>
    <w:p w14:paraId="174886A6" w14:textId="2B59A468" w:rsidR="00453545" w:rsidRPr="00E91D14" w:rsidRDefault="00453545" w:rsidP="6F5B4044">
      <w:pPr>
        <w:pStyle w:val="Odsekzoznamu"/>
        <w:numPr>
          <w:ilvl w:val="0"/>
          <w:numId w:val="13"/>
        </w:numPr>
        <w:jc w:val="both"/>
        <w:rPr>
          <w:b/>
          <w:bCs/>
          <w:lang w:val="en-US"/>
        </w:rPr>
      </w:pPr>
      <w:r w:rsidRPr="6F5B4044">
        <w:rPr>
          <w:b/>
          <w:bCs/>
          <w:lang w:val="en-US"/>
        </w:rPr>
        <w:t xml:space="preserve">The current risk correction </w:t>
      </w:r>
      <w:r w:rsidR="00737336" w:rsidRPr="6F5B4044">
        <w:rPr>
          <w:b/>
          <w:bCs/>
          <w:lang w:val="en-US"/>
        </w:rPr>
        <w:t xml:space="preserve">approach </w:t>
      </w:r>
      <w:r w:rsidR="001B383A">
        <w:rPr>
          <w:b/>
          <w:bCs/>
          <w:lang w:val="en-US"/>
        </w:rPr>
        <w:t xml:space="preserve">is already </w:t>
      </w:r>
      <w:r w:rsidR="00B5568F">
        <w:rPr>
          <w:b/>
          <w:bCs/>
          <w:lang w:val="en-US"/>
        </w:rPr>
        <w:t xml:space="preserve">conservative </w:t>
      </w:r>
      <w:r w:rsidR="00A5255D">
        <w:rPr>
          <w:b/>
          <w:bCs/>
          <w:lang w:val="en-US"/>
        </w:rPr>
        <w:t xml:space="preserve">relative to the </w:t>
      </w:r>
      <w:proofErr w:type="gramStart"/>
      <w:r w:rsidR="00A5255D">
        <w:rPr>
          <w:b/>
          <w:bCs/>
          <w:lang w:val="en-US"/>
        </w:rPr>
        <w:t>real world</w:t>
      </w:r>
      <w:proofErr w:type="gramEnd"/>
      <w:r w:rsidR="00A5255D">
        <w:rPr>
          <w:b/>
          <w:bCs/>
          <w:lang w:val="en-US"/>
        </w:rPr>
        <w:t xml:space="preserve"> data and evidence </w:t>
      </w:r>
      <w:r w:rsidR="00B5568F">
        <w:rPr>
          <w:b/>
          <w:bCs/>
          <w:lang w:val="en-US"/>
        </w:rPr>
        <w:t xml:space="preserve">and </w:t>
      </w:r>
      <w:r w:rsidR="00737336" w:rsidRPr="6F5B4044">
        <w:rPr>
          <w:b/>
          <w:bCs/>
          <w:lang w:val="en-US"/>
        </w:rPr>
        <w:t xml:space="preserve">has proven to work </w:t>
      </w:r>
      <w:r w:rsidR="34CABBC0" w:rsidRPr="6F5B4044">
        <w:rPr>
          <w:b/>
          <w:bCs/>
          <w:lang w:val="en-US"/>
        </w:rPr>
        <w:t>well</w:t>
      </w:r>
      <w:r w:rsidR="00B5568F">
        <w:rPr>
          <w:b/>
          <w:bCs/>
          <w:lang w:val="en-US"/>
        </w:rPr>
        <w:t xml:space="preserve"> - </w:t>
      </w:r>
      <w:r w:rsidR="00B17F01" w:rsidRPr="6F5B4044">
        <w:rPr>
          <w:b/>
          <w:bCs/>
          <w:lang w:val="en-US"/>
        </w:rPr>
        <w:t>t</w:t>
      </w:r>
      <w:r w:rsidR="00BE1E0C" w:rsidRPr="6F5B4044">
        <w:rPr>
          <w:rFonts w:eastAsia="Times New Roman"/>
          <w:b/>
          <w:bCs/>
          <w:lang w:val="en-US"/>
        </w:rPr>
        <w:t xml:space="preserve">he calibration of the new risk correction methodology should </w:t>
      </w:r>
      <w:r w:rsidR="00D2753F" w:rsidRPr="6F5B4044">
        <w:rPr>
          <w:rFonts w:eastAsia="Times New Roman"/>
          <w:b/>
          <w:bCs/>
          <w:lang w:val="en-US"/>
        </w:rPr>
        <w:t>not deviate significantly in terms of outcomes</w:t>
      </w:r>
      <w:r w:rsidR="00BE1E0C" w:rsidRPr="6F5B4044">
        <w:rPr>
          <w:rFonts w:eastAsia="Times New Roman"/>
          <w:b/>
          <w:bCs/>
          <w:lang w:val="en-US"/>
        </w:rPr>
        <w:t>.</w:t>
      </w:r>
    </w:p>
    <w:p w14:paraId="73F55525" w14:textId="0BD60A94" w:rsidR="00723D7D" w:rsidRDefault="00723D7D" w:rsidP="00723D7D">
      <w:pPr>
        <w:pStyle w:val="Odsekzoznamu"/>
        <w:numPr>
          <w:ilvl w:val="0"/>
          <w:numId w:val="13"/>
        </w:numPr>
        <w:jc w:val="both"/>
        <w:rPr>
          <w:b/>
          <w:bCs/>
          <w:lang w:val="en-US"/>
        </w:rPr>
      </w:pPr>
      <w:r w:rsidRPr="6F5B4044">
        <w:rPr>
          <w:b/>
          <w:bCs/>
          <w:lang w:val="en-US"/>
        </w:rPr>
        <w:t xml:space="preserve">The new risk correction parameters should be calibrated </w:t>
      </w:r>
      <w:r>
        <w:rPr>
          <w:b/>
          <w:bCs/>
          <w:lang w:val="en-US"/>
        </w:rPr>
        <w:t xml:space="preserve">using real world data </w:t>
      </w:r>
      <w:r w:rsidR="00BB7E1B">
        <w:rPr>
          <w:b/>
          <w:bCs/>
          <w:lang w:val="en-US"/>
        </w:rPr>
        <w:t xml:space="preserve">and concrete evidence </w:t>
      </w:r>
      <w:r w:rsidRPr="6F5B4044">
        <w:rPr>
          <w:b/>
          <w:bCs/>
          <w:lang w:val="en-US"/>
        </w:rPr>
        <w:t>expected losses, unexpected credit risk or any other risk, based on historical evidence.</w:t>
      </w:r>
    </w:p>
    <w:p w14:paraId="59E7ABAD" w14:textId="5CF27F0F" w:rsidR="00854BE8" w:rsidRDefault="00A5255D" w:rsidP="6F5B4044">
      <w:pPr>
        <w:pStyle w:val="Odsekzoznamu"/>
        <w:numPr>
          <w:ilvl w:val="0"/>
          <w:numId w:val="13"/>
        </w:numPr>
        <w:jc w:val="both"/>
        <w:rPr>
          <w:b/>
          <w:bCs/>
          <w:lang w:val="en-US"/>
        </w:rPr>
      </w:pPr>
      <w:r>
        <w:rPr>
          <w:b/>
          <w:bCs/>
          <w:lang w:val="en-US"/>
        </w:rPr>
        <w:t xml:space="preserve">While </w:t>
      </w:r>
      <w:r w:rsidR="00D2753F" w:rsidRPr="6F5B4044">
        <w:rPr>
          <w:b/>
          <w:bCs/>
          <w:lang w:val="en-US"/>
        </w:rPr>
        <w:t xml:space="preserve">co-legislators </w:t>
      </w:r>
      <w:r>
        <w:rPr>
          <w:b/>
          <w:bCs/>
          <w:lang w:val="en-US"/>
        </w:rPr>
        <w:t xml:space="preserve">compromised on </w:t>
      </w:r>
      <w:r w:rsidR="008C5224">
        <w:rPr>
          <w:b/>
          <w:bCs/>
          <w:lang w:val="en-US"/>
        </w:rPr>
        <w:t xml:space="preserve">certain changes to the risk correction, they also </w:t>
      </w:r>
      <w:r w:rsidR="00D2753F" w:rsidRPr="6F5B4044">
        <w:rPr>
          <w:b/>
          <w:bCs/>
          <w:lang w:val="en-US"/>
        </w:rPr>
        <w:t xml:space="preserve">introduced </w:t>
      </w:r>
      <w:r>
        <w:rPr>
          <w:b/>
          <w:bCs/>
          <w:lang w:val="en-US"/>
        </w:rPr>
        <w:t xml:space="preserve">in Level 1 </w:t>
      </w:r>
      <w:r w:rsidR="00D2753F" w:rsidRPr="6F5B4044">
        <w:rPr>
          <w:b/>
          <w:bCs/>
          <w:lang w:val="en-US"/>
        </w:rPr>
        <w:t xml:space="preserve">an </w:t>
      </w:r>
      <w:r w:rsidR="00C6798B" w:rsidRPr="6F5B4044">
        <w:rPr>
          <w:b/>
          <w:bCs/>
          <w:lang w:val="en-US"/>
        </w:rPr>
        <w:t xml:space="preserve">important </w:t>
      </w:r>
      <w:r w:rsidR="00854BE8" w:rsidRPr="6F5B4044">
        <w:rPr>
          <w:b/>
          <w:bCs/>
          <w:lang w:val="en-US"/>
        </w:rPr>
        <w:t>safeguard against excessive volatility and procyclicality in periods of market turbulence</w:t>
      </w:r>
      <w:r w:rsidR="008C5224">
        <w:rPr>
          <w:b/>
          <w:bCs/>
          <w:lang w:val="en-US"/>
        </w:rPr>
        <w:t>.</w:t>
      </w:r>
    </w:p>
    <w:p w14:paraId="3B9B59BD" w14:textId="5A236711" w:rsidR="00737336" w:rsidRDefault="00737336" w:rsidP="6F5B4044">
      <w:pPr>
        <w:pStyle w:val="Odsekzoznamu"/>
        <w:numPr>
          <w:ilvl w:val="0"/>
          <w:numId w:val="13"/>
        </w:numPr>
        <w:jc w:val="both"/>
        <w:rPr>
          <w:b/>
          <w:bCs/>
          <w:lang w:val="en-US"/>
        </w:rPr>
      </w:pPr>
      <w:r w:rsidRPr="6F5B4044">
        <w:rPr>
          <w:b/>
          <w:bCs/>
          <w:lang w:val="en-US"/>
        </w:rPr>
        <w:t xml:space="preserve">The starting point of the calibration work should be to technically substantiate the Cap, which will in turn define percentages associated to the three scenarios envisaged by the agreement.  </w:t>
      </w:r>
    </w:p>
    <w:p w14:paraId="6E8B9C20" w14:textId="56BA9BD5" w:rsidR="00603605" w:rsidRPr="00FF2FCC" w:rsidRDefault="00603605" w:rsidP="00FF2FCC">
      <w:pPr>
        <w:pStyle w:val="Odsekzoznamu"/>
        <w:rPr>
          <w:b/>
          <w:bCs/>
          <w:lang w:val="en-US"/>
        </w:rPr>
      </w:pPr>
    </w:p>
    <w:p w14:paraId="635C5C07" w14:textId="05D44E8C" w:rsidR="00B2319A" w:rsidRPr="00B2319A" w:rsidRDefault="00B2319A">
      <w:pPr>
        <w:rPr>
          <w:b/>
          <w:bCs/>
          <w:lang w:val="en-US"/>
        </w:rPr>
      </w:pPr>
      <w:r w:rsidRPr="00B2319A">
        <w:rPr>
          <w:b/>
          <w:bCs/>
          <w:lang w:val="en-US"/>
        </w:rPr>
        <w:t>Background</w:t>
      </w:r>
    </w:p>
    <w:p w14:paraId="26BF8ACC" w14:textId="16DD2A37" w:rsidR="00840591" w:rsidRDefault="00330005" w:rsidP="6F5B4044">
      <w:pPr>
        <w:jc w:val="both"/>
        <w:rPr>
          <w:lang w:val="en-US"/>
        </w:rPr>
      </w:pPr>
      <w:r w:rsidRPr="6F5B4044">
        <w:rPr>
          <w:lang w:val="en-US"/>
        </w:rPr>
        <w:t>Insurers invest significantly in both government and corporate bond</w:t>
      </w:r>
      <w:r w:rsidR="001C36A9" w:rsidRPr="6F5B4044">
        <w:rPr>
          <w:lang w:val="en-US"/>
        </w:rPr>
        <w:t>s. The bonds are typically chosen by the insurer to match the</w:t>
      </w:r>
      <w:r w:rsidR="00491AC2" w:rsidRPr="6F5B4044">
        <w:rPr>
          <w:lang w:val="en-US"/>
        </w:rPr>
        <w:t xml:space="preserve"> characteristics of their </w:t>
      </w:r>
      <w:r w:rsidR="001C36A9" w:rsidRPr="6F5B4044">
        <w:rPr>
          <w:lang w:val="en-US"/>
        </w:rPr>
        <w:t>liabilities</w:t>
      </w:r>
      <w:r w:rsidR="00502EAC" w:rsidRPr="6F5B4044">
        <w:rPr>
          <w:lang w:val="en-US"/>
        </w:rPr>
        <w:t xml:space="preserve">, </w:t>
      </w:r>
      <w:r w:rsidR="00491AC2" w:rsidRPr="6F5B4044">
        <w:rPr>
          <w:lang w:val="en-US"/>
        </w:rPr>
        <w:t>notably their duration</w:t>
      </w:r>
      <w:r w:rsidR="00E63E99" w:rsidRPr="6F5B4044">
        <w:rPr>
          <w:lang w:val="en-US"/>
        </w:rPr>
        <w:t xml:space="preserve"> and the insurer’s risk appetite</w:t>
      </w:r>
      <w:r w:rsidR="00491AC2" w:rsidRPr="6F5B4044">
        <w:rPr>
          <w:lang w:val="en-US"/>
        </w:rPr>
        <w:t xml:space="preserve">. </w:t>
      </w:r>
      <w:r w:rsidR="00794D72">
        <w:rPr>
          <w:lang w:val="en-US"/>
        </w:rPr>
        <w:t>I</w:t>
      </w:r>
      <w:r w:rsidR="00934AFD" w:rsidRPr="6F5B4044">
        <w:rPr>
          <w:lang w:val="en-US"/>
        </w:rPr>
        <w:t>n aggregate</w:t>
      </w:r>
      <w:r w:rsidR="00C8431A" w:rsidRPr="6F5B4044">
        <w:rPr>
          <w:lang w:val="en-US"/>
        </w:rPr>
        <w:t>,</w:t>
      </w:r>
      <w:r w:rsidR="00AE4601" w:rsidRPr="6F5B4044">
        <w:rPr>
          <w:lang w:val="en-US"/>
        </w:rPr>
        <w:t xml:space="preserve"> t</w:t>
      </w:r>
      <w:r w:rsidR="00875811" w:rsidRPr="6F5B4044">
        <w:rPr>
          <w:lang w:val="en-US"/>
        </w:rPr>
        <w:t xml:space="preserve">he payments from the bonds, </w:t>
      </w:r>
      <w:proofErr w:type="gramStart"/>
      <w:r w:rsidR="65E11705" w:rsidRPr="6F5B4044">
        <w:rPr>
          <w:lang w:val="en-US"/>
        </w:rPr>
        <w:t>i.e.</w:t>
      </w:r>
      <w:r w:rsidR="00AE4601" w:rsidRPr="6F5B4044">
        <w:rPr>
          <w:lang w:val="en-US"/>
        </w:rPr>
        <w:t>.</w:t>
      </w:r>
      <w:proofErr w:type="gramEnd"/>
      <w:r w:rsidR="00AE4601" w:rsidRPr="6F5B4044">
        <w:rPr>
          <w:lang w:val="en-US"/>
        </w:rPr>
        <w:t xml:space="preserve"> </w:t>
      </w:r>
      <w:r w:rsidR="00875811" w:rsidRPr="6F5B4044">
        <w:rPr>
          <w:lang w:val="en-US"/>
        </w:rPr>
        <w:t xml:space="preserve">the coupons and redemption </w:t>
      </w:r>
      <w:r w:rsidR="0D5F1A87" w:rsidRPr="6F5B4044">
        <w:rPr>
          <w:lang w:val="en-US"/>
        </w:rPr>
        <w:t>proceeds</w:t>
      </w:r>
      <w:r w:rsidR="00AE4601" w:rsidRPr="6F5B4044">
        <w:rPr>
          <w:lang w:val="en-US"/>
        </w:rPr>
        <w:t xml:space="preserve"> will be used to pay the </w:t>
      </w:r>
      <w:r w:rsidR="00E63E99" w:rsidRPr="6F5B4044">
        <w:rPr>
          <w:lang w:val="en-US"/>
        </w:rPr>
        <w:t xml:space="preserve">liabilities as they fall due. </w:t>
      </w:r>
    </w:p>
    <w:p w14:paraId="1B568C6F" w14:textId="6A1068BD" w:rsidR="00330005" w:rsidRDefault="008C5322" w:rsidP="6F5B4044">
      <w:pPr>
        <w:jc w:val="both"/>
        <w:rPr>
          <w:lang w:val="en-US"/>
        </w:rPr>
      </w:pPr>
      <w:r>
        <w:rPr>
          <w:lang w:val="en-US"/>
        </w:rPr>
        <w:t xml:space="preserve">Because insurers </w:t>
      </w:r>
      <w:r w:rsidR="00F266C5">
        <w:rPr>
          <w:lang w:val="en-US"/>
        </w:rPr>
        <w:t xml:space="preserve">can typically manage their overall liabilities </w:t>
      </w:r>
      <w:r w:rsidR="00645749">
        <w:rPr>
          <w:lang w:val="en-US"/>
        </w:rPr>
        <w:t xml:space="preserve">and claims </w:t>
      </w:r>
      <w:r w:rsidR="00F266C5">
        <w:rPr>
          <w:lang w:val="en-US"/>
        </w:rPr>
        <w:t xml:space="preserve">at aggregate </w:t>
      </w:r>
      <w:r w:rsidR="00645749">
        <w:rPr>
          <w:lang w:val="en-US"/>
        </w:rPr>
        <w:t xml:space="preserve">portfolio level together with their aggregate </w:t>
      </w:r>
      <w:r w:rsidR="00FA48C7">
        <w:rPr>
          <w:lang w:val="en-US"/>
        </w:rPr>
        <w:t>asset portfolio</w:t>
      </w:r>
      <w:r w:rsidR="004810DE" w:rsidRPr="6F5B4044">
        <w:rPr>
          <w:lang w:val="en-US"/>
        </w:rPr>
        <w:t>, short</w:t>
      </w:r>
      <w:r w:rsidR="006B2284" w:rsidRPr="6F5B4044">
        <w:rPr>
          <w:lang w:val="en-US"/>
        </w:rPr>
        <w:t>-</w:t>
      </w:r>
      <w:r w:rsidR="004810DE" w:rsidRPr="6F5B4044">
        <w:rPr>
          <w:lang w:val="en-US"/>
        </w:rPr>
        <w:t xml:space="preserve">term fluctuations in the </w:t>
      </w:r>
      <w:r w:rsidR="00FA48C7">
        <w:rPr>
          <w:lang w:val="en-US"/>
        </w:rPr>
        <w:t xml:space="preserve">market </w:t>
      </w:r>
      <w:r w:rsidR="004810DE" w:rsidRPr="6F5B4044">
        <w:rPr>
          <w:lang w:val="en-US"/>
        </w:rPr>
        <w:t xml:space="preserve">value of the bonds do </w:t>
      </w:r>
      <w:r w:rsidR="00FB7F4E" w:rsidRPr="6F5B4044">
        <w:rPr>
          <w:lang w:val="en-US"/>
        </w:rPr>
        <w:t xml:space="preserve">not </w:t>
      </w:r>
      <w:r w:rsidR="006B2284" w:rsidRPr="6F5B4044">
        <w:rPr>
          <w:lang w:val="en-US"/>
        </w:rPr>
        <w:t xml:space="preserve">impair </w:t>
      </w:r>
      <w:r w:rsidR="00FB7F4E" w:rsidRPr="6F5B4044">
        <w:rPr>
          <w:lang w:val="en-US"/>
        </w:rPr>
        <w:t xml:space="preserve">its ability </w:t>
      </w:r>
      <w:r w:rsidR="001126A0" w:rsidRPr="6F5B4044">
        <w:rPr>
          <w:lang w:val="en-US"/>
        </w:rPr>
        <w:t>to pay the liabilities</w:t>
      </w:r>
      <w:r w:rsidR="006B2284" w:rsidRPr="6F5B4044">
        <w:rPr>
          <w:lang w:val="en-US"/>
        </w:rPr>
        <w:t xml:space="preserve"> (as the bonds will still pay the same coupon and redemption payments despite a change in </w:t>
      </w:r>
      <w:r w:rsidR="002B76E0" w:rsidRPr="6F5B4044">
        <w:rPr>
          <w:lang w:val="en-US"/>
        </w:rPr>
        <w:t xml:space="preserve">the </w:t>
      </w:r>
      <w:r w:rsidR="00FA48C7">
        <w:rPr>
          <w:lang w:val="en-US"/>
        </w:rPr>
        <w:t>market price</w:t>
      </w:r>
      <w:r w:rsidR="002B76E0" w:rsidRPr="6F5B4044">
        <w:rPr>
          <w:lang w:val="en-US"/>
        </w:rPr>
        <w:t>)</w:t>
      </w:r>
      <w:r w:rsidR="001126A0" w:rsidRPr="6F5B4044">
        <w:rPr>
          <w:lang w:val="en-US"/>
        </w:rPr>
        <w:t xml:space="preserve">. </w:t>
      </w:r>
      <w:r w:rsidR="0079735E" w:rsidRPr="6F5B4044">
        <w:rPr>
          <w:lang w:val="en-US"/>
        </w:rPr>
        <w:t xml:space="preserve">It is when </w:t>
      </w:r>
      <w:r w:rsidR="002B76E0" w:rsidRPr="6F5B4044">
        <w:rPr>
          <w:lang w:val="en-US"/>
        </w:rPr>
        <w:t>a b</w:t>
      </w:r>
      <w:r w:rsidR="0079735E" w:rsidRPr="6F5B4044">
        <w:rPr>
          <w:lang w:val="en-US"/>
        </w:rPr>
        <w:t xml:space="preserve">ond defaults that the insurer will </w:t>
      </w:r>
      <w:r w:rsidR="00B32BE7">
        <w:rPr>
          <w:lang w:val="en-US"/>
        </w:rPr>
        <w:t xml:space="preserve">be impacted. </w:t>
      </w:r>
      <w:r w:rsidR="00691BC8">
        <w:rPr>
          <w:lang w:val="en-US"/>
        </w:rPr>
        <w:t xml:space="preserve">This ability to manage </w:t>
      </w:r>
      <w:r w:rsidR="005311BC">
        <w:rPr>
          <w:lang w:val="en-US"/>
        </w:rPr>
        <w:t xml:space="preserve">assets and liabilities together and focus on cashflows rather than temporary market value changes is a core feature of the </w:t>
      </w:r>
      <w:r w:rsidR="00691BC8">
        <w:rPr>
          <w:lang w:val="en-US"/>
        </w:rPr>
        <w:t>insurer’s long-term business model</w:t>
      </w:r>
      <w:r w:rsidR="005311BC">
        <w:rPr>
          <w:lang w:val="en-US"/>
        </w:rPr>
        <w:t>.</w:t>
      </w:r>
    </w:p>
    <w:p w14:paraId="158F285E" w14:textId="181D1A08" w:rsidR="00B2319A" w:rsidRPr="00FD29DE" w:rsidRDefault="00FD29DE" w:rsidP="6F5B4044">
      <w:pPr>
        <w:jc w:val="both"/>
        <w:rPr>
          <w:b/>
          <w:bCs/>
          <w:lang w:val="en-US"/>
        </w:rPr>
      </w:pPr>
      <w:r w:rsidRPr="6F5B4044">
        <w:rPr>
          <w:b/>
          <w:bCs/>
          <w:lang w:val="en-US"/>
        </w:rPr>
        <w:t>Solvency balance sheet</w:t>
      </w:r>
    </w:p>
    <w:p w14:paraId="0EA0F769" w14:textId="77777777" w:rsidR="004F4E6E" w:rsidRDefault="00356514" w:rsidP="6F5B4044">
      <w:pPr>
        <w:jc w:val="both"/>
        <w:rPr>
          <w:lang w:val="en-US"/>
        </w:rPr>
      </w:pPr>
      <w:r w:rsidRPr="6F5B4044">
        <w:rPr>
          <w:lang w:val="en-US"/>
        </w:rPr>
        <w:t xml:space="preserve">The </w:t>
      </w:r>
      <w:r w:rsidR="00FF5864" w:rsidRPr="6F5B4044">
        <w:rPr>
          <w:lang w:val="en-US"/>
        </w:rPr>
        <w:t xml:space="preserve">VA is </w:t>
      </w:r>
      <w:r w:rsidR="002F0734" w:rsidRPr="6F5B4044">
        <w:rPr>
          <w:lang w:val="en-US"/>
        </w:rPr>
        <w:t xml:space="preserve">a measure </w:t>
      </w:r>
      <w:r w:rsidR="00FF5864" w:rsidRPr="6F5B4044">
        <w:rPr>
          <w:lang w:val="en-US"/>
        </w:rPr>
        <w:t xml:space="preserve">that was </w:t>
      </w:r>
      <w:r w:rsidR="002F0734" w:rsidRPr="6F5B4044">
        <w:rPr>
          <w:lang w:val="en-US"/>
        </w:rPr>
        <w:t xml:space="preserve">introduced into the Solvency II framework to </w:t>
      </w:r>
      <w:r w:rsidR="00FD29DE" w:rsidRPr="6F5B4044">
        <w:rPr>
          <w:lang w:val="en-US"/>
        </w:rPr>
        <w:t xml:space="preserve">better reflect </w:t>
      </w:r>
      <w:r w:rsidR="00863ECC" w:rsidRPr="6F5B4044">
        <w:rPr>
          <w:lang w:val="en-US"/>
        </w:rPr>
        <w:t>the asset-liability matching and risk management practices of insurance companies</w:t>
      </w:r>
      <w:r w:rsidR="00B2319A" w:rsidRPr="6F5B4044">
        <w:rPr>
          <w:lang w:val="en-US"/>
        </w:rPr>
        <w:t xml:space="preserve"> described above</w:t>
      </w:r>
      <w:r w:rsidR="00863ECC" w:rsidRPr="6F5B4044">
        <w:rPr>
          <w:lang w:val="en-US"/>
        </w:rPr>
        <w:t xml:space="preserve">. </w:t>
      </w:r>
    </w:p>
    <w:p w14:paraId="6E000920" w14:textId="54CC1ED9" w:rsidR="00356514" w:rsidRDefault="00FF5864" w:rsidP="6F5B4044">
      <w:pPr>
        <w:jc w:val="both"/>
        <w:rPr>
          <w:lang w:val="en-US"/>
        </w:rPr>
      </w:pPr>
      <w:r w:rsidRPr="6F5B4044">
        <w:rPr>
          <w:lang w:val="en-US"/>
        </w:rPr>
        <w:lastRenderedPageBreak/>
        <w:t xml:space="preserve">As the value of </w:t>
      </w:r>
      <w:r w:rsidR="00430CFC" w:rsidRPr="6F5B4044">
        <w:rPr>
          <w:lang w:val="en-US"/>
        </w:rPr>
        <w:t xml:space="preserve">an insurers’ </w:t>
      </w:r>
      <w:r w:rsidRPr="6F5B4044">
        <w:rPr>
          <w:lang w:val="en-US"/>
        </w:rPr>
        <w:t xml:space="preserve">bond portfolio </w:t>
      </w:r>
      <w:r w:rsidR="00430CFC" w:rsidRPr="6F5B4044">
        <w:rPr>
          <w:lang w:val="en-US"/>
        </w:rPr>
        <w:t>changes</w:t>
      </w:r>
      <w:r w:rsidR="004F4E6E" w:rsidRPr="6F5B4044">
        <w:rPr>
          <w:lang w:val="en-US"/>
        </w:rPr>
        <w:t>, impacting the asset side of its balance sheet</w:t>
      </w:r>
      <w:r w:rsidR="00430CFC" w:rsidRPr="6F5B4044">
        <w:rPr>
          <w:lang w:val="en-US"/>
        </w:rPr>
        <w:t xml:space="preserve">, the VA provides an offsetting impact on the </w:t>
      </w:r>
      <w:r w:rsidR="004F4E6E" w:rsidRPr="6F5B4044">
        <w:rPr>
          <w:lang w:val="en-US"/>
        </w:rPr>
        <w:t xml:space="preserve">liability side of its balance sheet. This </w:t>
      </w:r>
      <w:r w:rsidR="00E2193C">
        <w:rPr>
          <w:lang w:val="en-US"/>
        </w:rPr>
        <w:t xml:space="preserve">reflects the </w:t>
      </w:r>
      <w:r w:rsidR="00B844A2">
        <w:rPr>
          <w:lang w:val="en-US"/>
        </w:rPr>
        <w:t xml:space="preserve">economic reality and </w:t>
      </w:r>
      <w:r w:rsidR="004F4E6E" w:rsidRPr="6F5B4044">
        <w:rPr>
          <w:lang w:val="en-US"/>
        </w:rPr>
        <w:t xml:space="preserve">creates </w:t>
      </w:r>
      <w:r w:rsidR="00651618" w:rsidRPr="6F5B4044">
        <w:rPr>
          <w:lang w:val="en-US"/>
        </w:rPr>
        <w:t xml:space="preserve">overall </w:t>
      </w:r>
      <w:r w:rsidR="004F4E6E" w:rsidRPr="6F5B4044">
        <w:rPr>
          <w:lang w:val="en-US"/>
        </w:rPr>
        <w:t>stability</w:t>
      </w:r>
      <w:r w:rsidR="00194254" w:rsidRPr="6F5B4044">
        <w:rPr>
          <w:lang w:val="en-US"/>
        </w:rPr>
        <w:t xml:space="preserve"> on the balance sheet by </w:t>
      </w:r>
      <w:r w:rsidR="00651618" w:rsidRPr="6F5B4044">
        <w:rPr>
          <w:lang w:val="en-US"/>
        </w:rPr>
        <w:t xml:space="preserve">removing some of the </w:t>
      </w:r>
      <w:r w:rsidR="00460BDF">
        <w:rPr>
          <w:lang w:val="en-US"/>
        </w:rPr>
        <w:t>“</w:t>
      </w:r>
      <w:r w:rsidR="00B844A2">
        <w:rPr>
          <w:lang w:val="en-US"/>
        </w:rPr>
        <w:t>artificial</w:t>
      </w:r>
      <w:r w:rsidR="00460BDF">
        <w:rPr>
          <w:lang w:val="en-US"/>
        </w:rPr>
        <w:t>”</w:t>
      </w:r>
      <w:r w:rsidR="00B844A2">
        <w:rPr>
          <w:lang w:val="en-US"/>
        </w:rPr>
        <w:t xml:space="preserve"> </w:t>
      </w:r>
      <w:r w:rsidR="00651618" w:rsidRPr="6F5B4044">
        <w:rPr>
          <w:lang w:val="en-US"/>
        </w:rPr>
        <w:t xml:space="preserve">effects of the short-term </w:t>
      </w:r>
      <w:r w:rsidR="002D6084" w:rsidRPr="6F5B4044">
        <w:rPr>
          <w:lang w:val="en-US"/>
        </w:rPr>
        <w:t>volatility that the insurer is not exposed to.</w:t>
      </w:r>
    </w:p>
    <w:p w14:paraId="3215EA4C" w14:textId="2AD6C756" w:rsidR="00AC7735" w:rsidRDefault="002C53CD" w:rsidP="6F5B4044">
      <w:pPr>
        <w:jc w:val="both"/>
        <w:rPr>
          <w:b/>
          <w:bCs/>
          <w:lang w:val="en-US"/>
        </w:rPr>
      </w:pPr>
      <w:r w:rsidRPr="6F5B4044">
        <w:rPr>
          <w:b/>
          <w:bCs/>
          <w:lang w:val="en-US"/>
        </w:rPr>
        <w:t>Improving the VA</w:t>
      </w:r>
    </w:p>
    <w:p w14:paraId="6FDC6A94" w14:textId="4A066D24" w:rsidR="008A6B36" w:rsidRDefault="00B46C1C" w:rsidP="6F5B4044">
      <w:pPr>
        <w:jc w:val="both"/>
        <w:rPr>
          <w:lang w:val="en-US"/>
        </w:rPr>
      </w:pPr>
      <w:r w:rsidRPr="6F5B4044">
        <w:rPr>
          <w:lang w:val="en-US"/>
        </w:rPr>
        <w:t>When developing the VA</w:t>
      </w:r>
      <w:r w:rsidR="00354DE3" w:rsidRPr="6F5B4044">
        <w:rPr>
          <w:lang w:val="en-US"/>
        </w:rPr>
        <w:t xml:space="preserve"> in 2014</w:t>
      </w:r>
      <w:r w:rsidRPr="6F5B4044">
        <w:rPr>
          <w:lang w:val="en-US"/>
        </w:rPr>
        <w:t>, EIOPA took an overly conservative approach</w:t>
      </w:r>
      <w:r w:rsidR="00E5549D" w:rsidRPr="6F5B4044">
        <w:rPr>
          <w:lang w:val="en-US"/>
        </w:rPr>
        <w:t xml:space="preserve"> by adding in many margins of prudence</w:t>
      </w:r>
      <w:r w:rsidR="008F60B8" w:rsidRPr="6F5B4044">
        <w:rPr>
          <w:lang w:val="en-US"/>
        </w:rPr>
        <w:t xml:space="preserve">, </w:t>
      </w:r>
      <w:r w:rsidR="00E5549D" w:rsidRPr="6F5B4044">
        <w:rPr>
          <w:lang w:val="en-US"/>
        </w:rPr>
        <w:t>buffers</w:t>
      </w:r>
      <w:r w:rsidR="008F60B8" w:rsidRPr="6F5B4044">
        <w:rPr>
          <w:lang w:val="en-US"/>
        </w:rPr>
        <w:t xml:space="preserve"> and </w:t>
      </w:r>
      <w:r w:rsidR="00582FC2">
        <w:rPr>
          <w:lang w:val="en-US"/>
        </w:rPr>
        <w:t xml:space="preserve">limiting </w:t>
      </w:r>
      <w:r w:rsidR="00BF1164">
        <w:rPr>
          <w:lang w:val="en-US"/>
        </w:rPr>
        <w:t xml:space="preserve">the </w:t>
      </w:r>
      <w:r w:rsidR="00582FC2">
        <w:rPr>
          <w:lang w:val="en-US"/>
        </w:rPr>
        <w:t xml:space="preserve">real economic </w:t>
      </w:r>
      <w:r w:rsidR="00BF1164">
        <w:rPr>
          <w:lang w:val="en-US"/>
        </w:rPr>
        <w:t xml:space="preserve">link between assets and liabilities. </w:t>
      </w:r>
      <w:r w:rsidR="006B1F98" w:rsidRPr="6F5B4044">
        <w:rPr>
          <w:lang w:val="en-US"/>
        </w:rPr>
        <w:t>Insurance Europe has long</w:t>
      </w:r>
      <w:r w:rsidR="00E23734" w:rsidRPr="6F5B4044">
        <w:rPr>
          <w:lang w:val="en-US"/>
        </w:rPr>
        <w:t xml:space="preserve"> </w:t>
      </w:r>
      <w:r w:rsidR="00FA4496" w:rsidRPr="6F5B4044">
        <w:rPr>
          <w:lang w:val="en-US"/>
        </w:rPr>
        <w:t>highlighted the deficiencies in the current approach. T</w:t>
      </w:r>
      <w:r w:rsidR="009F5D77" w:rsidRPr="6F5B4044">
        <w:rPr>
          <w:lang w:val="en-US"/>
        </w:rPr>
        <w:t xml:space="preserve">hese </w:t>
      </w:r>
      <w:r w:rsidR="008F60B8" w:rsidRPr="6F5B4044">
        <w:rPr>
          <w:lang w:val="en-US"/>
        </w:rPr>
        <w:t xml:space="preserve">shortcomings were </w:t>
      </w:r>
      <w:r w:rsidR="009F5D77" w:rsidRPr="6F5B4044">
        <w:rPr>
          <w:lang w:val="en-US"/>
        </w:rPr>
        <w:t xml:space="preserve">also </w:t>
      </w:r>
      <w:r w:rsidR="00582FC2">
        <w:rPr>
          <w:lang w:val="en-US"/>
        </w:rPr>
        <w:t>recogni</w:t>
      </w:r>
      <w:r w:rsidR="0074690F">
        <w:rPr>
          <w:lang w:val="en-US"/>
        </w:rPr>
        <w:t>s</w:t>
      </w:r>
      <w:r w:rsidR="00582FC2">
        <w:rPr>
          <w:lang w:val="en-US"/>
        </w:rPr>
        <w:t xml:space="preserve">ed </w:t>
      </w:r>
      <w:r w:rsidR="008F60B8" w:rsidRPr="6F5B4044">
        <w:rPr>
          <w:lang w:val="en-US"/>
        </w:rPr>
        <w:t>by EIOPA itself, the Commission and both co-legislators</w:t>
      </w:r>
      <w:r w:rsidR="008A6B36" w:rsidRPr="6F5B4044">
        <w:rPr>
          <w:lang w:val="en-US"/>
        </w:rPr>
        <w:t xml:space="preserve"> in their proposals to amend the Solvency II </w:t>
      </w:r>
      <w:r w:rsidR="00F916B5" w:rsidRPr="6F5B4044">
        <w:rPr>
          <w:lang w:val="en-US"/>
        </w:rPr>
        <w:t>Directive</w:t>
      </w:r>
      <w:r w:rsidR="008A6B36" w:rsidRPr="6F5B4044">
        <w:rPr>
          <w:lang w:val="en-US"/>
        </w:rPr>
        <w:t>.</w:t>
      </w:r>
    </w:p>
    <w:p w14:paraId="5338ECCB" w14:textId="5E00E6ED" w:rsidR="00A23580" w:rsidRDefault="00713018" w:rsidP="6F5B4044">
      <w:pPr>
        <w:jc w:val="both"/>
        <w:rPr>
          <w:lang w:val="en-US"/>
        </w:rPr>
      </w:pPr>
      <w:r w:rsidRPr="6F5B4044">
        <w:rPr>
          <w:lang w:val="en-US"/>
        </w:rPr>
        <w:t xml:space="preserve">To address these shortcomings, the </w:t>
      </w:r>
      <w:r w:rsidR="00A23580" w:rsidRPr="6F5B4044">
        <w:rPr>
          <w:lang w:val="en-US"/>
        </w:rPr>
        <w:t xml:space="preserve">Commission </w:t>
      </w:r>
      <w:r w:rsidRPr="6F5B4044">
        <w:rPr>
          <w:lang w:val="en-US"/>
        </w:rPr>
        <w:t xml:space="preserve">proposed a number of improvements which </w:t>
      </w:r>
      <w:r w:rsidR="00A23580" w:rsidRPr="6F5B4044">
        <w:rPr>
          <w:lang w:val="en-US"/>
        </w:rPr>
        <w:t>will improve the functioning of the VA and are welcomed and supported by the industry (see annex for more information on these).</w:t>
      </w:r>
    </w:p>
    <w:p w14:paraId="62D20480" w14:textId="77777777" w:rsidR="008F55B3" w:rsidRDefault="00713018" w:rsidP="6F5B4044">
      <w:pPr>
        <w:jc w:val="both"/>
        <w:rPr>
          <w:lang w:val="en-US"/>
        </w:rPr>
      </w:pPr>
      <w:r w:rsidRPr="6F5B4044">
        <w:rPr>
          <w:b/>
          <w:bCs/>
          <w:lang w:val="en-US"/>
        </w:rPr>
        <w:t xml:space="preserve">However, </w:t>
      </w:r>
      <w:r w:rsidR="00FA05C3" w:rsidRPr="6F5B4044">
        <w:rPr>
          <w:b/>
          <w:bCs/>
          <w:lang w:val="en-US"/>
        </w:rPr>
        <w:t xml:space="preserve">the ultimate effectiveness of the new VA will depend on </w:t>
      </w:r>
      <w:r w:rsidR="008F55B3" w:rsidRPr="6F5B4044">
        <w:rPr>
          <w:b/>
          <w:bCs/>
          <w:lang w:val="en-US"/>
        </w:rPr>
        <w:t>a key parameter called the risk correction</w:t>
      </w:r>
      <w:r w:rsidR="008F55B3" w:rsidRPr="6F5B4044">
        <w:rPr>
          <w:lang w:val="en-US"/>
        </w:rPr>
        <w:t>.</w:t>
      </w:r>
    </w:p>
    <w:p w14:paraId="318279DC" w14:textId="77777777" w:rsidR="008F0976" w:rsidRDefault="0018514A" w:rsidP="6F5B4044">
      <w:pPr>
        <w:jc w:val="both"/>
        <w:rPr>
          <w:lang w:val="en-US"/>
        </w:rPr>
      </w:pPr>
      <w:r w:rsidRPr="6F5B4044">
        <w:rPr>
          <w:lang w:val="en-US"/>
        </w:rPr>
        <w:t>In their work on the level 1 text, the co-legislators have set the framework for the design of the risk correction</w:t>
      </w:r>
      <w:r w:rsidR="00F04A2A" w:rsidRPr="6F5B4044">
        <w:rPr>
          <w:lang w:val="en-US"/>
        </w:rPr>
        <w:t xml:space="preserve">. </w:t>
      </w:r>
      <w:r w:rsidR="008F0976" w:rsidRPr="6F5B4044">
        <w:rPr>
          <w:lang w:val="en-US"/>
        </w:rPr>
        <w:t xml:space="preserve">However, its calibration will be defined in Level 2. </w:t>
      </w:r>
    </w:p>
    <w:p w14:paraId="62DA0898" w14:textId="77777777" w:rsidR="008F0976" w:rsidRDefault="008F0976" w:rsidP="6F5B4044">
      <w:pPr>
        <w:jc w:val="both"/>
        <w:rPr>
          <w:b/>
          <w:bCs/>
          <w:lang w:val="en-US"/>
        </w:rPr>
      </w:pPr>
      <w:r w:rsidRPr="6F5B4044">
        <w:rPr>
          <w:b/>
          <w:bCs/>
          <w:lang w:val="en-US"/>
        </w:rPr>
        <w:t>To deliver on the co-</w:t>
      </w:r>
      <w:proofErr w:type="gramStart"/>
      <w:r w:rsidRPr="6F5B4044">
        <w:rPr>
          <w:b/>
          <w:bCs/>
          <w:lang w:val="en-US"/>
        </w:rPr>
        <w:t>legislators</w:t>
      </w:r>
      <w:proofErr w:type="gramEnd"/>
      <w:r w:rsidRPr="6F5B4044">
        <w:rPr>
          <w:b/>
          <w:bCs/>
          <w:lang w:val="en-US"/>
        </w:rPr>
        <w:t xml:space="preserve"> ambitions for the review, it is imperative that the calibration of the risk correction is technically sound, risk-based and does not introduce unnecessary procyclicality.</w:t>
      </w:r>
    </w:p>
    <w:p w14:paraId="1BAEBD75" w14:textId="77777777" w:rsidR="002B3AC4" w:rsidRDefault="002B3AC4" w:rsidP="6F5B4044">
      <w:pPr>
        <w:jc w:val="both"/>
        <w:rPr>
          <w:b/>
          <w:bCs/>
          <w:lang w:val="en-US"/>
        </w:rPr>
      </w:pPr>
    </w:p>
    <w:p w14:paraId="4E3659DB" w14:textId="33C15A37" w:rsidR="004B3672" w:rsidRDefault="004B3672" w:rsidP="6F5B4044">
      <w:pPr>
        <w:jc w:val="both"/>
        <w:rPr>
          <w:b/>
          <w:bCs/>
          <w:lang w:val="en-US"/>
        </w:rPr>
      </w:pPr>
      <w:r w:rsidRPr="6F5B4044">
        <w:rPr>
          <w:b/>
          <w:bCs/>
          <w:lang w:val="en-US"/>
        </w:rPr>
        <w:t>What is the risk correction?</w:t>
      </w:r>
    </w:p>
    <w:p w14:paraId="162203B3" w14:textId="37751932" w:rsidR="004B3672" w:rsidRDefault="004B3672" w:rsidP="6F5B4044">
      <w:pPr>
        <w:jc w:val="both"/>
        <w:rPr>
          <w:lang w:val="en-US"/>
        </w:rPr>
      </w:pPr>
      <w:r>
        <w:rPr>
          <w:lang w:val="en-US"/>
        </w:rPr>
        <w:t xml:space="preserve">The risk correction adjusts the volatility adjustment </w:t>
      </w:r>
      <w:proofErr w:type="gramStart"/>
      <w:r>
        <w:rPr>
          <w:lang w:val="en-US"/>
        </w:rPr>
        <w:t>for  “</w:t>
      </w:r>
      <w:proofErr w:type="gramEnd"/>
      <w:r w:rsidRPr="6F5B4044">
        <w:rPr>
          <w:i/>
          <w:iCs/>
          <w:lang w:val="en-US"/>
        </w:rPr>
        <w:t>a realistic assessment of expected losses or unexpected credit or other risk of the assets</w:t>
      </w:r>
      <w:r>
        <w:rPr>
          <w:lang w:val="en-US"/>
        </w:rPr>
        <w:t>”</w:t>
      </w:r>
      <w:r>
        <w:rPr>
          <w:rStyle w:val="Odkaznapoznmkupodiarou"/>
          <w:lang w:val="en-US"/>
        </w:rPr>
        <w:footnoteReference w:id="2"/>
      </w:r>
      <w:r w:rsidRPr="001C24A0">
        <w:rPr>
          <w:lang w:val="en-US"/>
        </w:rPr>
        <w:t>.</w:t>
      </w:r>
      <w:r>
        <w:rPr>
          <w:lang w:val="en-US"/>
        </w:rPr>
        <w:t xml:space="preserve"> In other words, it ensures that the insurer does not take credit for income that it </w:t>
      </w:r>
      <w:r w:rsidR="00724888">
        <w:rPr>
          <w:lang w:val="en-US"/>
        </w:rPr>
        <w:t xml:space="preserve">does </w:t>
      </w:r>
      <w:r>
        <w:rPr>
          <w:lang w:val="en-US"/>
        </w:rPr>
        <w:t xml:space="preserve">not </w:t>
      </w:r>
      <w:r w:rsidR="00724888">
        <w:rPr>
          <w:lang w:val="en-US"/>
        </w:rPr>
        <w:t xml:space="preserve">expect to </w:t>
      </w:r>
      <w:r>
        <w:rPr>
          <w:lang w:val="en-US"/>
        </w:rPr>
        <w:t xml:space="preserve">receive from the bond portfolio. As discussed above, this is </w:t>
      </w:r>
      <w:r w:rsidR="009730D6">
        <w:rPr>
          <w:lang w:val="en-US"/>
        </w:rPr>
        <w:t xml:space="preserve">the expected losses due to </w:t>
      </w:r>
      <w:r>
        <w:rPr>
          <w:lang w:val="en-US"/>
        </w:rPr>
        <w:t>default</w:t>
      </w:r>
      <w:r w:rsidR="009730D6">
        <w:rPr>
          <w:lang w:val="en-US"/>
        </w:rPr>
        <w:t>s</w:t>
      </w:r>
      <w:r>
        <w:rPr>
          <w:lang w:val="en-US"/>
        </w:rPr>
        <w:t xml:space="preserve">. </w:t>
      </w:r>
    </w:p>
    <w:p w14:paraId="31F4950A" w14:textId="7079AD8F" w:rsidR="004B3672" w:rsidRDefault="005E2563" w:rsidP="6F5B4044">
      <w:pPr>
        <w:jc w:val="both"/>
        <w:rPr>
          <w:lang w:val="en-US"/>
        </w:rPr>
      </w:pPr>
      <w:r>
        <w:rPr>
          <w:lang w:val="en-US"/>
        </w:rPr>
        <w:t>The e</w:t>
      </w:r>
      <w:r w:rsidR="00AF020C">
        <w:rPr>
          <w:lang w:val="en-US"/>
        </w:rPr>
        <w:t>xpected d</w:t>
      </w:r>
      <w:r w:rsidR="004B3672" w:rsidRPr="6F5B4044">
        <w:rPr>
          <w:lang w:val="en-US"/>
        </w:rPr>
        <w:t xml:space="preserve">efault </w:t>
      </w:r>
      <w:r w:rsidR="009730D6">
        <w:rPr>
          <w:lang w:val="en-US"/>
        </w:rPr>
        <w:t xml:space="preserve">losses </w:t>
      </w:r>
      <w:r>
        <w:rPr>
          <w:lang w:val="en-US"/>
        </w:rPr>
        <w:t xml:space="preserve">can be </w:t>
      </w:r>
      <w:r w:rsidR="004B3672" w:rsidRPr="6F5B4044">
        <w:rPr>
          <w:lang w:val="en-US"/>
        </w:rPr>
        <w:t xml:space="preserve">calculated through an analysis of historical default rates, which are provided by credit rating agencies. The default rates of the individual bonds are aggregated to calculate the total expected default rate for the portfolio. </w:t>
      </w:r>
    </w:p>
    <w:p w14:paraId="34911A6B" w14:textId="77777777" w:rsidR="00B11D3C" w:rsidRDefault="00B11D3C" w:rsidP="6F5B4044">
      <w:pPr>
        <w:jc w:val="both"/>
        <w:rPr>
          <w:b/>
          <w:bCs/>
          <w:lang w:val="en-US"/>
        </w:rPr>
      </w:pPr>
    </w:p>
    <w:p w14:paraId="0F065E27" w14:textId="70B0A661" w:rsidR="004B3672" w:rsidRPr="008708E0" w:rsidRDefault="00CD0B7C" w:rsidP="6F5B4044">
      <w:pPr>
        <w:jc w:val="both"/>
        <w:rPr>
          <w:b/>
          <w:bCs/>
          <w:lang w:val="en-US"/>
        </w:rPr>
      </w:pPr>
      <w:r w:rsidRPr="6F5B4044">
        <w:rPr>
          <w:b/>
          <w:bCs/>
          <w:lang w:val="en-US"/>
        </w:rPr>
        <w:t>Are there any</w:t>
      </w:r>
      <w:r w:rsidR="00404F41" w:rsidRPr="6F5B4044">
        <w:rPr>
          <w:b/>
          <w:bCs/>
          <w:lang w:val="en-US"/>
        </w:rPr>
        <w:t xml:space="preserve"> problem</w:t>
      </w:r>
      <w:r w:rsidRPr="6F5B4044">
        <w:rPr>
          <w:b/>
          <w:bCs/>
          <w:lang w:val="en-US"/>
        </w:rPr>
        <w:t>s</w:t>
      </w:r>
      <w:r w:rsidR="00404F41" w:rsidRPr="6F5B4044">
        <w:rPr>
          <w:b/>
          <w:bCs/>
          <w:lang w:val="en-US"/>
        </w:rPr>
        <w:t xml:space="preserve"> with the cur</w:t>
      </w:r>
      <w:r w:rsidR="004B3672" w:rsidRPr="6F5B4044">
        <w:rPr>
          <w:b/>
          <w:bCs/>
          <w:lang w:val="en-US"/>
        </w:rPr>
        <w:t>rent risk correction</w:t>
      </w:r>
      <w:r w:rsidR="00404F41" w:rsidRPr="6F5B4044">
        <w:rPr>
          <w:b/>
          <w:bCs/>
          <w:lang w:val="en-US"/>
        </w:rPr>
        <w:t>?</w:t>
      </w:r>
    </w:p>
    <w:p w14:paraId="0256B685" w14:textId="75A4A2B6" w:rsidR="004B3672" w:rsidRDefault="004B3672" w:rsidP="6F5B4044">
      <w:pPr>
        <w:jc w:val="both"/>
        <w:rPr>
          <w:lang w:val="en-US"/>
        </w:rPr>
      </w:pPr>
      <w:r w:rsidRPr="6F5B4044">
        <w:rPr>
          <w:lang w:val="en-US"/>
        </w:rPr>
        <w:t xml:space="preserve">The risk correction is currently based on the default approach outlined above with the addition of a </w:t>
      </w:r>
      <w:r w:rsidRPr="6F5B4044">
        <w:rPr>
          <w:i/>
          <w:iCs/>
          <w:lang w:val="en-US"/>
        </w:rPr>
        <w:t>Cost of Downgrade</w:t>
      </w:r>
      <w:r w:rsidRPr="6F5B4044">
        <w:rPr>
          <w:lang w:val="en-US"/>
        </w:rPr>
        <w:t xml:space="preserve"> to </w:t>
      </w:r>
      <w:r w:rsidR="0049798C">
        <w:rPr>
          <w:lang w:val="en-US"/>
        </w:rPr>
        <w:t xml:space="preserve">also </w:t>
      </w:r>
      <w:r w:rsidRPr="6F5B4044">
        <w:rPr>
          <w:lang w:val="en-US"/>
        </w:rPr>
        <w:t xml:space="preserve">reflect the impact of ratings migration. In addition, there is an additional safeguard that the default risk and cost of downgrade are increased to a minimum of 35% of the long-term average spread, providing an additional prudential buffer. </w:t>
      </w:r>
    </w:p>
    <w:p w14:paraId="53A4B035" w14:textId="7470300F" w:rsidR="004B3672" w:rsidRDefault="003B61BD" w:rsidP="6F5B4044">
      <w:pPr>
        <w:spacing w:after="0" w:line="240" w:lineRule="auto"/>
        <w:jc w:val="both"/>
        <w:rPr>
          <w:rFonts w:eastAsia="Times New Roman"/>
          <w:lang w:val="en-US"/>
        </w:rPr>
      </w:pPr>
      <w:r w:rsidRPr="003B61BD">
        <w:rPr>
          <w:rFonts w:eastAsia="Times New Roman"/>
          <w:noProof/>
          <w:lang w:val="en-US"/>
        </w:rPr>
        <w:lastRenderedPageBreak/>
        <mc:AlternateContent>
          <mc:Choice Requires="wps">
            <w:drawing>
              <wp:anchor distT="45720" distB="45720" distL="114300" distR="114300" simplePos="0" relativeHeight="251658242" behindDoc="0" locked="0" layoutInCell="1" allowOverlap="1" wp14:anchorId="0EF0B161" wp14:editId="4282540C">
                <wp:simplePos x="0" y="0"/>
                <wp:positionH relativeFrom="column">
                  <wp:posOffset>1718945</wp:posOffset>
                </wp:positionH>
                <wp:positionV relativeFrom="paragraph">
                  <wp:posOffset>186055</wp:posOffset>
                </wp:positionV>
                <wp:extent cx="4263390" cy="1450975"/>
                <wp:effectExtent l="0" t="0" r="22860" b="15875"/>
                <wp:wrapSquare wrapText="bothSides"/>
                <wp:docPr id="1582701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50975"/>
                        </a:xfrm>
                        <a:prstGeom prst="rect">
                          <a:avLst/>
                        </a:prstGeom>
                        <a:solidFill>
                          <a:srgbClr val="FFFFFF"/>
                        </a:solidFill>
                        <a:ln w="9525">
                          <a:solidFill>
                            <a:srgbClr val="000000"/>
                          </a:solidFill>
                          <a:miter lim="800000"/>
                          <a:headEnd/>
                          <a:tailEnd/>
                        </a:ln>
                      </wps:spPr>
                      <wps:txbx>
                        <w:txbxContent>
                          <w:p w14:paraId="4A18BDE6" w14:textId="34B2A4B7" w:rsidR="003B61BD" w:rsidRDefault="003B61BD">
                            <w:r>
                              <w:rPr>
                                <w:noProof/>
                              </w:rPr>
                              <w:drawing>
                                <wp:inline distT="0" distB="0" distL="0" distR="0" wp14:anchorId="1BD35189" wp14:editId="0A02794C">
                                  <wp:extent cx="4052648" cy="1212574"/>
                                  <wp:effectExtent l="0" t="0" r="5080" b="6985"/>
                                  <wp:docPr id="2305679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67911" name="Picture 1" descr="A screenshot of a computer&#10;&#10;Description automatically generated"/>
                                          <pic:cNvPicPr/>
                                        </pic:nvPicPr>
                                        <pic:blipFill>
                                          <a:blip r:embed="rId11"/>
                                          <a:stretch>
                                            <a:fillRect/>
                                          </a:stretch>
                                        </pic:blipFill>
                                        <pic:spPr>
                                          <a:xfrm>
                                            <a:off x="0" y="0"/>
                                            <a:ext cx="4066482" cy="12167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0B161" id="_x0000_t202" coordsize="21600,21600" o:spt="202" path="m,l,21600r21600,l21600,xe">
                <v:stroke joinstyle="miter"/>
                <v:path gradientshapeok="t" o:connecttype="rect"/>
              </v:shapetype>
              <v:shape id="Text Box 2" o:spid="_x0000_s1026" type="#_x0000_t202" style="position:absolute;left:0;text-align:left;margin-left:135.35pt;margin-top:14.65pt;width:335.7pt;height:11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1vEQIAACAEAAAOAAAAZHJzL2Uyb0RvYy54bWysU9tu2zAMfR+wfxD0vthJk7Yx4hRdugwD&#10;ugvQ7QNoWY6FyaImKbG7rx+luGl2exmmB4EUqUPykFzdDJ1mB+m8QlPy6STnTBqBtTK7kn/5vH11&#10;zZkPYGrQaGTJH6XnN+uXL1a9LeQMW9S1dIxAjC96W/I2BFtkmRet7MBP0EpDxgZdB4FUt8tqBz2h&#10;dzqb5fll1qOrrUMhvafXu6ORrxN+00gRPjaNl4HpklNuId0u3VW8s/UKip0D2yoxpgH/kEUHylDQ&#10;E9QdBGB7p36D6pRw6LEJE4Fdhk2jhEw1UDXT/JdqHlqwMtVC5Hh7osn/P1jx4fBgPzkWhtc4UANT&#10;Ed7eo/jqmcFNC2Ynb53DvpVQU+BppCzrrS/Gr5FqX/gIUvXvsaYmwz5gAhoa10VWqE5G6NSAxxPp&#10;cghM0ON8dnlxsSSTINt0vsiXV4sUA4qn79b58FZix6JQckddTfBwuPchpgPFk0uM5lGrequ0Torb&#10;VRvt2AFoArbpjOg/uWnD+pIvF7PFkYG/QuTp/AmiU4FGWauu5NcnJygib29MnQYtgNJHmVLWZiQy&#10;cndkMQzVQI6R0ArrR6LU4XFkacVIaNF956yncS25/7YHJznT7wy1ZTmdz+N8J2W+uJqR4s4t1bkF&#10;jCCokgfOjuImpJ2IhBm8pfY1KhH7nMmYK41h4ntcmTjn53ryel7s9Q8AAAD//wMAUEsDBBQABgAI&#10;AAAAIQA3BYQQ4AAAAAoBAAAPAAAAZHJzL2Rvd25yZXYueG1sTI/LTsMwEEX3SPyDNUhsUOs0Lc2D&#10;OBVCAtEdtAi2bjxNIvwItpuGv2dYwW4eR3fOVJvJaDaiD72zAhbzBBjaxqnetgLe9o+zHFiI0iqp&#10;nUUB3xhgU19eVLJU7mxfcdzFllGIDaUU0MU4lJyHpkMjw9wNaGl3dN7ISK1vufLyTOFG8zRJ1tzI&#10;3tKFTg740GHzuTsZAfnqefwI2+XLe7M+6iLeZOPTlxfi+mq6vwMWcYp/MPzqkzrU5HRwJ6sC0wLS&#10;LMkIpaJYAiOgWKULYAca3GY58Lri/1+ofwAAAP//AwBQSwECLQAUAAYACAAAACEAtoM4kv4AAADh&#10;AQAAEwAAAAAAAAAAAAAAAAAAAAAAW0NvbnRlbnRfVHlwZXNdLnhtbFBLAQItABQABgAIAAAAIQA4&#10;/SH/1gAAAJQBAAALAAAAAAAAAAAAAAAAAC8BAABfcmVscy8ucmVsc1BLAQItABQABgAIAAAAIQBY&#10;oe1vEQIAACAEAAAOAAAAAAAAAAAAAAAAAC4CAABkcnMvZTJvRG9jLnhtbFBLAQItABQABgAIAAAA&#10;IQA3BYQQ4AAAAAoBAAAPAAAAAAAAAAAAAAAAAGsEAABkcnMvZG93bnJldi54bWxQSwUGAAAAAAQA&#10;BADzAAAAeAUAAAAA&#10;">
                <v:textbox>
                  <w:txbxContent>
                    <w:p w14:paraId="4A18BDE6" w14:textId="34B2A4B7" w:rsidR="003B61BD" w:rsidRDefault="003B61BD">
                      <w:r>
                        <w:rPr>
                          <w:noProof/>
                        </w:rPr>
                        <w:drawing>
                          <wp:inline distT="0" distB="0" distL="0" distR="0" wp14:anchorId="1BD35189" wp14:editId="0A02794C">
                            <wp:extent cx="4052648" cy="1212574"/>
                            <wp:effectExtent l="0" t="0" r="5080" b="6985"/>
                            <wp:docPr id="2305679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67911" name="Picture 1" descr="A screenshot of a computer&#10;&#10;Description automatically generated"/>
                                    <pic:cNvPicPr/>
                                  </pic:nvPicPr>
                                  <pic:blipFill>
                                    <a:blip r:embed="rId11"/>
                                    <a:stretch>
                                      <a:fillRect/>
                                    </a:stretch>
                                  </pic:blipFill>
                                  <pic:spPr>
                                    <a:xfrm>
                                      <a:off x="0" y="0"/>
                                      <a:ext cx="4066482" cy="1216713"/>
                                    </a:xfrm>
                                    <a:prstGeom prst="rect">
                                      <a:avLst/>
                                    </a:prstGeom>
                                  </pic:spPr>
                                </pic:pic>
                              </a:graphicData>
                            </a:graphic>
                          </wp:inline>
                        </w:drawing>
                      </w:r>
                    </w:p>
                  </w:txbxContent>
                </v:textbox>
                <w10:wrap type="square"/>
              </v:shape>
            </w:pict>
          </mc:Fallback>
        </mc:AlternateContent>
      </w:r>
      <w:r w:rsidR="004B3672" w:rsidRPr="6F5B4044">
        <w:rPr>
          <w:rFonts w:eastAsia="Times New Roman"/>
          <w:lang w:val="en-US"/>
        </w:rPr>
        <w:t xml:space="preserve">Neither EIOPA, nor the Commission has provided any robust evidence that the current approach does not sufficiently capture the risk. The “evidence” put forward by EIOPA to justify a change to the risk correction was based on BB-rated bonds which represent less than 1% of insurers’ investments and focused on changes </w:t>
      </w:r>
      <w:r w:rsidR="003241A7" w:rsidRPr="6F5B4044">
        <w:rPr>
          <w:rFonts w:eastAsia="Times New Roman"/>
          <w:lang w:val="en-US"/>
        </w:rPr>
        <w:t xml:space="preserve">in credit spreads </w:t>
      </w:r>
      <w:r w:rsidR="004B3672" w:rsidRPr="6F5B4044">
        <w:rPr>
          <w:rFonts w:eastAsia="Times New Roman"/>
          <w:lang w:val="en-US"/>
        </w:rPr>
        <w:t>and not defaults.</w:t>
      </w:r>
      <w:r w:rsidR="003241A7" w:rsidRPr="6F5B4044">
        <w:rPr>
          <w:rFonts w:eastAsia="Times New Roman"/>
          <w:lang w:val="en-US"/>
        </w:rPr>
        <w:t xml:space="preserve"> </w:t>
      </w:r>
    </w:p>
    <w:p w14:paraId="7008BB51" w14:textId="77777777" w:rsidR="004B3672" w:rsidRDefault="004B3672" w:rsidP="6F5B4044">
      <w:pPr>
        <w:spacing w:after="0" w:line="240" w:lineRule="auto"/>
        <w:jc w:val="both"/>
        <w:rPr>
          <w:rFonts w:eastAsia="Times New Roman"/>
          <w:lang w:val="en-US"/>
        </w:rPr>
      </w:pPr>
    </w:p>
    <w:p w14:paraId="1A071002" w14:textId="77777777" w:rsidR="004B3672" w:rsidRDefault="004B3672" w:rsidP="6F5B4044">
      <w:pPr>
        <w:spacing w:after="0" w:line="240" w:lineRule="auto"/>
        <w:jc w:val="both"/>
        <w:rPr>
          <w:rFonts w:eastAsia="Times New Roman"/>
          <w:lang w:val="en-US"/>
        </w:rPr>
      </w:pPr>
      <w:r>
        <w:rPr>
          <w:rFonts w:eastAsia="Times New Roman"/>
          <w:lang w:val="en-US"/>
        </w:rPr>
        <w:t>On the contrary, t</w:t>
      </w:r>
      <w:r w:rsidRPr="00E015D5">
        <w:rPr>
          <w:rFonts w:eastAsia="Times New Roman"/>
          <w:lang w:val="en-US"/>
        </w:rPr>
        <w:t xml:space="preserve">he current approach has proven to work well to assess </w:t>
      </w:r>
      <w:r w:rsidRPr="00D8530E">
        <w:rPr>
          <w:rFonts w:eastAsia="Times New Roman"/>
          <w:lang w:val="en-US"/>
        </w:rPr>
        <w:t>downgrade</w:t>
      </w:r>
      <w:r w:rsidRPr="00E015D5">
        <w:rPr>
          <w:rFonts w:eastAsia="Times New Roman"/>
          <w:lang w:val="en-US"/>
        </w:rPr>
        <w:t xml:space="preserve"> and default risk.</w:t>
      </w:r>
      <w:r>
        <w:rPr>
          <w:rFonts w:eastAsia="Times New Roman"/>
          <w:lang w:val="en-US"/>
        </w:rPr>
        <w:t xml:space="preserve"> EIOPA’s own analysis of risk corrections</w:t>
      </w:r>
      <w:r>
        <w:rPr>
          <w:rStyle w:val="Odkaznapoznmkupodiarou"/>
          <w:rFonts w:eastAsia="Times New Roman"/>
          <w:lang w:val="en-US"/>
        </w:rPr>
        <w:footnoteReference w:id="3"/>
      </w:r>
      <w:r>
        <w:rPr>
          <w:rFonts w:eastAsia="Times New Roman"/>
          <w:lang w:val="en-US"/>
        </w:rPr>
        <w:t xml:space="preserve"> vs incurred losses from default and downgrade in its LTG Reports </w:t>
      </w:r>
      <w:hyperlink r:id="rId12" w:anchor="=page44" w:history="1">
        <w:r>
          <w:rPr>
            <w:rStyle w:val="Hypertextovprepojenie"/>
            <w:rFonts w:eastAsia="Times New Roman"/>
            <w:lang w:val="en-US"/>
          </w:rPr>
          <w:t>2018</w:t>
        </w:r>
      </w:hyperlink>
      <w:r>
        <w:rPr>
          <w:rFonts w:eastAsia="Times New Roman"/>
          <w:lang w:val="en-US"/>
        </w:rPr>
        <w:t xml:space="preserve">, </w:t>
      </w:r>
      <w:hyperlink r:id="rId13" w:anchor="=page44" w:history="1">
        <w:r>
          <w:rPr>
            <w:rStyle w:val="Hypertextovprepojenie"/>
            <w:rFonts w:eastAsia="Times New Roman"/>
            <w:lang w:val="en-US"/>
          </w:rPr>
          <w:t>2019</w:t>
        </w:r>
      </w:hyperlink>
      <w:r>
        <w:rPr>
          <w:rFonts w:eastAsia="Times New Roman"/>
          <w:lang w:val="en-US"/>
        </w:rPr>
        <w:t xml:space="preserve">, </w:t>
      </w:r>
      <w:hyperlink r:id="rId14" w:anchor="=page36" w:history="1">
        <w:r>
          <w:rPr>
            <w:rStyle w:val="Hypertextovprepojenie"/>
            <w:rFonts w:eastAsia="Times New Roman"/>
            <w:lang w:val="en-US"/>
          </w:rPr>
          <w:t>2020</w:t>
        </w:r>
      </w:hyperlink>
      <w:r>
        <w:rPr>
          <w:rFonts w:eastAsia="Times New Roman"/>
          <w:lang w:val="en-US"/>
        </w:rPr>
        <w:t xml:space="preserve"> </w:t>
      </w:r>
      <w:bookmarkStart w:id="0" w:name="_Int_CZE2e2aV"/>
      <w:r>
        <w:rPr>
          <w:rFonts w:eastAsia="Times New Roman"/>
          <w:lang w:val="en-US"/>
        </w:rPr>
        <w:t>evidences</w:t>
      </w:r>
      <w:bookmarkEnd w:id="0"/>
      <w:r>
        <w:rPr>
          <w:rFonts w:eastAsia="Times New Roman"/>
          <w:lang w:val="en-US"/>
        </w:rPr>
        <w:t xml:space="preserve"> this.</w:t>
      </w:r>
    </w:p>
    <w:p w14:paraId="615DD97A" w14:textId="77777777" w:rsidR="00E42CCD" w:rsidRDefault="00E42CCD" w:rsidP="004B3672">
      <w:pPr>
        <w:spacing w:after="0" w:line="240" w:lineRule="auto"/>
        <w:rPr>
          <w:rFonts w:eastAsia="Times New Roman"/>
          <w:lang w:val="en-US"/>
        </w:rPr>
      </w:pPr>
    </w:p>
    <w:p w14:paraId="0C10146C" w14:textId="236871AB" w:rsidR="00E716AB" w:rsidRDefault="00E42CCD" w:rsidP="6F5B4044">
      <w:pPr>
        <w:jc w:val="both"/>
        <w:rPr>
          <w:lang w:val="en-US"/>
        </w:rPr>
      </w:pPr>
      <w:r w:rsidRPr="6F5B4044">
        <w:rPr>
          <w:rFonts w:eastAsia="Times New Roman"/>
          <w:b/>
          <w:bCs/>
          <w:lang w:val="en-US"/>
        </w:rPr>
        <w:t xml:space="preserve">As such, Insurance Europe supports a calibration of the new risk correction methodology which </w:t>
      </w:r>
      <w:r w:rsidR="00346853" w:rsidRPr="6F5B4044">
        <w:rPr>
          <w:rFonts w:eastAsia="Times New Roman"/>
          <w:b/>
          <w:bCs/>
          <w:lang w:val="en-US"/>
        </w:rPr>
        <w:t xml:space="preserve">delivers broadly consistent outcomes as the </w:t>
      </w:r>
      <w:r w:rsidRPr="6F5B4044">
        <w:rPr>
          <w:rFonts w:eastAsia="Times New Roman"/>
          <w:b/>
          <w:bCs/>
          <w:lang w:val="en-US"/>
        </w:rPr>
        <w:t>current approach.</w:t>
      </w:r>
    </w:p>
    <w:p w14:paraId="4817E7AC" w14:textId="1B1431F6" w:rsidR="008F0976" w:rsidRDefault="005B2397" w:rsidP="6F5B4044">
      <w:pPr>
        <w:jc w:val="both"/>
        <w:rPr>
          <w:b/>
          <w:bCs/>
          <w:lang w:val="en-US"/>
        </w:rPr>
      </w:pPr>
      <w:r w:rsidRPr="6F5B4044">
        <w:rPr>
          <w:b/>
          <w:bCs/>
          <w:lang w:val="en-US"/>
        </w:rPr>
        <w:t>The Commission’s flawed proposal</w:t>
      </w:r>
      <w:r w:rsidR="00D17C08" w:rsidRPr="6F5B4044">
        <w:rPr>
          <w:b/>
          <w:bCs/>
          <w:lang w:val="en-US"/>
        </w:rPr>
        <w:t>….</w:t>
      </w:r>
    </w:p>
    <w:p w14:paraId="0CD1B8DD" w14:textId="21820CBA" w:rsidR="00320E05" w:rsidRDefault="00320E05" w:rsidP="6F5B4044">
      <w:pPr>
        <w:jc w:val="both"/>
        <w:rPr>
          <w:lang w:val="en-US"/>
        </w:rPr>
      </w:pPr>
      <w:r w:rsidRPr="6F5B4044">
        <w:rPr>
          <w:lang w:val="en-US"/>
        </w:rPr>
        <w:t xml:space="preserve">Despite the lack of evidence to justify a change in the risk correction methodology, the Commission proposed to change the </w:t>
      </w:r>
      <w:r w:rsidR="00874507" w:rsidRPr="6F5B4044">
        <w:rPr>
          <w:lang w:val="en-US"/>
        </w:rPr>
        <w:t>methodology to calculate the risk correction</w:t>
      </w:r>
      <w:r w:rsidR="000A0647" w:rsidRPr="6F5B4044">
        <w:rPr>
          <w:lang w:val="en-US"/>
        </w:rPr>
        <w:t xml:space="preserve"> using a flawed approach</w:t>
      </w:r>
      <w:r w:rsidR="00CC432C" w:rsidRPr="6F5B4044">
        <w:rPr>
          <w:lang w:val="en-US"/>
        </w:rPr>
        <w:t>, originally</w:t>
      </w:r>
      <w:r w:rsidR="000A0647" w:rsidRPr="6F5B4044">
        <w:rPr>
          <w:lang w:val="en-US"/>
        </w:rPr>
        <w:t xml:space="preserve"> proposed by EIOPA. </w:t>
      </w:r>
    </w:p>
    <w:p w14:paraId="4F0CD2F9" w14:textId="41EED3D1" w:rsidR="0034242C" w:rsidRDefault="000A0647" w:rsidP="6F5B4044">
      <w:pPr>
        <w:jc w:val="both"/>
        <w:rPr>
          <w:lang w:val="en-US"/>
        </w:rPr>
      </w:pPr>
      <w:r w:rsidRPr="6F5B4044">
        <w:rPr>
          <w:lang w:val="en-US"/>
        </w:rPr>
        <w:t>In EIOPA’s proposal, t</w:t>
      </w:r>
      <w:r w:rsidR="00161745" w:rsidRPr="6F5B4044">
        <w:rPr>
          <w:lang w:val="en-US"/>
        </w:rPr>
        <w:t xml:space="preserve">he risk correction </w:t>
      </w:r>
      <w:r w:rsidRPr="6F5B4044">
        <w:rPr>
          <w:lang w:val="en-US"/>
        </w:rPr>
        <w:t xml:space="preserve">is </w:t>
      </w:r>
      <w:r w:rsidR="007A0A8C" w:rsidRPr="6F5B4044">
        <w:rPr>
          <w:lang w:val="en-US"/>
        </w:rPr>
        <w:t xml:space="preserve">directly </w:t>
      </w:r>
      <w:r w:rsidR="00EB4277" w:rsidRPr="6F5B4044">
        <w:rPr>
          <w:lang w:val="en-US"/>
        </w:rPr>
        <w:t>link</w:t>
      </w:r>
      <w:r w:rsidR="00AC6D00" w:rsidRPr="6F5B4044">
        <w:rPr>
          <w:lang w:val="en-US"/>
        </w:rPr>
        <w:t>ed</w:t>
      </w:r>
      <w:r w:rsidR="00EB4277" w:rsidRPr="6F5B4044">
        <w:rPr>
          <w:lang w:val="en-US"/>
        </w:rPr>
        <w:t xml:space="preserve"> to </w:t>
      </w:r>
      <w:r w:rsidR="0057583C" w:rsidRPr="6F5B4044">
        <w:rPr>
          <w:lang w:val="en-US"/>
        </w:rPr>
        <w:t>short-term</w:t>
      </w:r>
      <w:r w:rsidR="00D13732" w:rsidRPr="6F5B4044">
        <w:rPr>
          <w:lang w:val="en-US"/>
        </w:rPr>
        <w:t xml:space="preserve"> market </w:t>
      </w:r>
      <w:r w:rsidR="007A0A8C" w:rsidRPr="6F5B4044">
        <w:rPr>
          <w:lang w:val="en-US"/>
        </w:rPr>
        <w:t>turbulence</w:t>
      </w:r>
      <w:r w:rsidRPr="6F5B4044">
        <w:rPr>
          <w:lang w:val="en-US"/>
        </w:rPr>
        <w:t>. I</w:t>
      </w:r>
      <w:r w:rsidR="009B3B4A" w:rsidRPr="6F5B4044">
        <w:rPr>
          <w:lang w:val="en-US"/>
        </w:rPr>
        <w:t>n</w:t>
      </w:r>
      <w:r w:rsidRPr="6F5B4044">
        <w:rPr>
          <w:lang w:val="en-US"/>
        </w:rPr>
        <w:t xml:space="preserve"> other words, when </w:t>
      </w:r>
      <w:r w:rsidR="007A0A8C" w:rsidRPr="6F5B4044">
        <w:rPr>
          <w:lang w:val="en-US"/>
        </w:rPr>
        <w:t xml:space="preserve">markets are volatile, the risk correction is </w:t>
      </w:r>
      <w:r w:rsidR="005410EF" w:rsidRPr="6F5B4044">
        <w:rPr>
          <w:lang w:val="en-US"/>
        </w:rPr>
        <w:t>volatile</w:t>
      </w:r>
      <w:r w:rsidRPr="6F5B4044">
        <w:rPr>
          <w:lang w:val="en-US"/>
        </w:rPr>
        <w:t xml:space="preserve">. This is </w:t>
      </w:r>
      <w:r w:rsidR="007A0A8C" w:rsidRPr="6F5B4044">
        <w:rPr>
          <w:lang w:val="en-US"/>
        </w:rPr>
        <w:t xml:space="preserve">clearly an undesirable quality for a </w:t>
      </w:r>
      <w:r w:rsidR="00390089" w:rsidRPr="6F5B4044">
        <w:rPr>
          <w:lang w:val="en-US"/>
        </w:rPr>
        <w:t>parameter which should provide stability.</w:t>
      </w:r>
      <w:r w:rsidR="0034242C" w:rsidRPr="6F5B4044">
        <w:rPr>
          <w:lang w:val="en-US"/>
        </w:rPr>
        <w:t xml:space="preserve"> </w:t>
      </w:r>
    </w:p>
    <w:p w14:paraId="5767B8B3" w14:textId="54EAB0DE" w:rsidR="005700D7" w:rsidRDefault="005700D7" w:rsidP="6F5B4044">
      <w:pPr>
        <w:spacing w:after="0" w:line="240" w:lineRule="auto"/>
        <w:jc w:val="both"/>
        <w:rPr>
          <w:rFonts w:eastAsia="Times New Roman"/>
          <w:lang w:val="en-US"/>
        </w:rPr>
      </w:pPr>
      <w:r w:rsidRPr="6F5B4044">
        <w:rPr>
          <w:rFonts w:eastAsia="Times New Roman"/>
          <w:lang w:val="en-US"/>
        </w:rPr>
        <w:t xml:space="preserve">Moreover, </w:t>
      </w:r>
      <w:r w:rsidR="006147E6" w:rsidRPr="6F5B4044">
        <w:rPr>
          <w:rFonts w:eastAsia="Times New Roman"/>
          <w:lang w:val="en-US"/>
        </w:rPr>
        <w:t>in our opinion</w:t>
      </w:r>
      <w:r w:rsidR="009320D6" w:rsidRPr="6F5B4044">
        <w:rPr>
          <w:rFonts w:eastAsia="Times New Roman"/>
          <w:lang w:val="en-US"/>
        </w:rPr>
        <w:t>,</w:t>
      </w:r>
      <w:r w:rsidR="006147E6" w:rsidRPr="6F5B4044">
        <w:rPr>
          <w:rFonts w:eastAsia="Times New Roman"/>
          <w:lang w:val="en-US"/>
        </w:rPr>
        <w:t xml:space="preserve"> </w:t>
      </w:r>
      <w:r w:rsidRPr="6F5B4044">
        <w:rPr>
          <w:rFonts w:eastAsia="Times New Roman"/>
          <w:lang w:val="en-US"/>
        </w:rPr>
        <w:t xml:space="preserve">the academic paper used as a starting point of </w:t>
      </w:r>
      <w:r w:rsidR="009320D6" w:rsidRPr="6F5B4044">
        <w:rPr>
          <w:rFonts w:eastAsia="Times New Roman"/>
          <w:lang w:val="en-US"/>
        </w:rPr>
        <w:t xml:space="preserve">EIOPA’s </w:t>
      </w:r>
      <w:r w:rsidRPr="6F5B4044">
        <w:rPr>
          <w:rFonts w:eastAsia="Times New Roman"/>
          <w:lang w:val="en-US"/>
        </w:rPr>
        <w:t xml:space="preserve">calibration </w:t>
      </w:r>
      <w:r w:rsidR="006147E6" w:rsidRPr="6F5B4044">
        <w:rPr>
          <w:rFonts w:eastAsia="Times New Roman"/>
          <w:lang w:val="en-US"/>
        </w:rPr>
        <w:t xml:space="preserve">is </w:t>
      </w:r>
      <w:r w:rsidRPr="6F5B4044">
        <w:rPr>
          <w:rFonts w:eastAsia="Times New Roman"/>
          <w:lang w:val="en-US"/>
        </w:rPr>
        <w:t>unsuitable for the purpose for several reasons.</w:t>
      </w:r>
    </w:p>
    <w:p w14:paraId="6C163662" w14:textId="77777777" w:rsidR="00453545" w:rsidRDefault="00453545" w:rsidP="6F5B4044">
      <w:pPr>
        <w:spacing w:after="0" w:line="240" w:lineRule="auto"/>
        <w:jc w:val="both"/>
        <w:rPr>
          <w:rFonts w:eastAsia="Times New Roman"/>
          <w:lang w:val="en-US"/>
        </w:rPr>
      </w:pPr>
    </w:p>
    <w:p w14:paraId="650BE4A5" w14:textId="41CC72AE" w:rsidR="007E0EF4" w:rsidRDefault="00EA0050" w:rsidP="6F5B4044">
      <w:pPr>
        <w:spacing w:after="0" w:line="240" w:lineRule="auto"/>
        <w:jc w:val="both"/>
        <w:rPr>
          <w:rFonts w:eastAsia="Times New Roman"/>
          <w:lang w:val="en-US"/>
        </w:rPr>
      </w:pPr>
      <w:r w:rsidRPr="6F5B4044">
        <w:rPr>
          <w:rFonts w:eastAsia="Times New Roman"/>
          <w:lang w:val="en-US"/>
        </w:rPr>
        <w:t>First</w:t>
      </w:r>
      <w:r w:rsidR="00634631" w:rsidRPr="6F5B4044">
        <w:rPr>
          <w:rFonts w:eastAsia="Times New Roman"/>
          <w:lang w:val="en-US"/>
        </w:rPr>
        <w:t>, i</w:t>
      </w:r>
      <w:r w:rsidR="007E0EF4" w:rsidRPr="6F5B4044">
        <w:rPr>
          <w:rFonts w:eastAsia="Times New Roman"/>
          <w:lang w:val="en-US"/>
        </w:rPr>
        <w:t xml:space="preserve">n our view it is very misleading to start the calibration work taking an old methodology as a reference point; this did not envisage several elements of the risk correction agreed in the trilogue negotiations, such as a third scenario and a cap. </w:t>
      </w:r>
    </w:p>
    <w:p w14:paraId="2EE564C5" w14:textId="77777777" w:rsidR="00825330" w:rsidRPr="007E0EF4" w:rsidRDefault="00825330" w:rsidP="6F5B4044">
      <w:pPr>
        <w:spacing w:after="0" w:line="240" w:lineRule="auto"/>
        <w:jc w:val="both"/>
        <w:rPr>
          <w:rFonts w:eastAsia="Times New Roman"/>
          <w:lang w:val="en-US"/>
        </w:rPr>
      </w:pPr>
    </w:p>
    <w:p w14:paraId="144F7499" w14:textId="07CE1F0A" w:rsidR="007E0EF4" w:rsidRPr="007E0EF4" w:rsidRDefault="007E0EF4" w:rsidP="6F5B4044">
      <w:pPr>
        <w:spacing w:after="0" w:line="240" w:lineRule="auto"/>
        <w:jc w:val="both"/>
        <w:rPr>
          <w:rFonts w:eastAsia="Times New Roman"/>
          <w:lang w:val="en-US"/>
        </w:rPr>
      </w:pPr>
      <w:r w:rsidRPr="007E0EF4">
        <w:rPr>
          <w:rFonts w:eastAsia="Times New Roman"/>
          <w:lang w:val="en-US"/>
        </w:rPr>
        <w:t xml:space="preserve">Furthermore, the </w:t>
      </w:r>
      <w:r w:rsidR="00825330">
        <w:rPr>
          <w:rFonts w:eastAsia="Times New Roman"/>
          <w:lang w:val="en-US"/>
        </w:rPr>
        <w:t xml:space="preserve">proposed </w:t>
      </w:r>
      <w:r w:rsidRPr="007E0EF4">
        <w:rPr>
          <w:rFonts w:eastAsia="Times New Roman"/>
          <w:lang w:val="en-US"/>
        </w:rPr>
        <w:t>percentages were calibrated starting from the conclusion of Giesecke et al. (2011)</w:t>
      </w:r>
      <w:r w:rsidRPr="007E0EF4">
        <w:rPr>
          <w:rFonts w:eastAsia="Times New Roman"/>
          <w:vertAlign w:val="superscript"/>
          <w:lang w:val="en-US"/>
        </w:rPr>
        <w:footnoteReference w:id="4"/>
      </w:r>
      <w:r w:rsidRPr="007E0EF4">
        <w:rPr>
          <w:rFonts w:eastAsia="Times New Roman"/>
          <w:lang w:val="en-US"/>
        </w:rPr>
        <w:t>, a paper the published in a prestigious journal but unsuitable for several reasons:</w:t>
      </w:r>
    </w:p>
    <w:p w14:paraId="4738BF37" w14:textId="17F5B243" w:rsidR="007E0EF4" w:rsidRPr="007E0EF4" w:rsidRDefault="007E0EF4" w:rsidP="6F5B4044">
      <w:pPr>
        <w:numPr>
          <w:ilvl w:val="0"/>
          <w:numId w:val="9"/>
        </w:numPr>
        <w:spacing w:after="0" w:line="240" w:lineRule="auto"/>
        <w:ind w:left="426" w:hanging="426"/>
        <w:jc w:val="both"/>
        <w:rPr>
          <w:rFonts w:eastAsia="Times New Roman"/>
          <w:lang w:val="en-US"/>
        </w:rPr>
      </w:pPr>
      <w:r w:rsidRPr="6F5B4044">
        <w:rPr>
          <w:rFonts w:eastAsia="Times New Roman"/>
          <w:lang w:val="en-US"/>
        </w:rPr>
        <w:t>It posited, perhaps correctly, that credit spreads are not reliable predictors of defaults. In fact, authors state that there is no evidence that credit spreads respond to current default rates;</w:t>
      </w:r>
      <w:r w:rsidR="00360573" w:rsidRPr="6F5B4044">
        <w:rPr>
          <w:rFonts w:eastAsia="Times New Roman"/>
          <w:lang w:val="en-US"/>
        </w:rPr>
        <w:t xml:space="preserve"> </w:t>
      </w:r>
      <w:r w:rsidR="00AA7A99" w:rsidRPr="6F5B4044">
        <w:rPr>
          <w:rFonts w:eastAsia="Times New Roman"/>
          <w:lang w:val="en-US"/>
        </w:rPr>
        <w:t>this c</w:t>
      </w:r>
      <w:r w:rsidRPr="6F5B4044">
        <w:rPr>
          <w:rFonts w:eastAsia="Times New Roman"/>
          <w:lang w:val="en-US"/>
        </w:rPr>
        <w:t xml:space="preserve">ontradicts </w:t>
      </w:r>
      <w:r w:rsidR="00AA7A99" w:rsidRPr="6F5B4044">
        <w:rPr>
          <w:rFonts w:eastAsia="Times New Roman"/>
          <w:lang w:val="en-US"/>
        </w:rPr>
        <w:t>EIOPA’s basic i</w:t>
      </w:r>
      <w:r w:rsidRPr="6F5B4044">
        <w:rPr>
          <w:rFonts w:eastAsia="Times New Roman"/>
          <w:lang w:val="en-US"/>
        </w:rPr>
        <w:t xml:space="preserve">dea </w:t>
      </w:r>
      <w:r w:rsidR="00AA7A99" w:rsidRPr="6F5B4044">
        <w:rPr>
          <w:rFonts w:eastAsia="Times New Roman"/>
          <w:lang w:val="en-US"/>
        </w:rPr>
        <w:t xml:space="preserve">that the </w:t>
      </w:r>
      <w:r w:rsidRPr="6F5B4044">
        <w:rPr>
          <w:rFonts w:eastAsia="Times New Roman"/>
          <w:lang w:val="en-US"/>
        </w:rPr>
        <w:t xml:space="preserve">risk correction </w:t>
      </w:r>
      <w:r w:rsidR="00AA7A99" w:rsidRPr="6F5B4044">
        <w:rPr>
          <w:rFonts w:eastAsia="Times New Roman"/>
          <w:lang w:val="en-US"/>
        </w:rPr>
        <w:t xml:space="preserve">should be a </w:t>
      </w:r>
      <w:r w:rsidRPr="6F5B4044">
        <w:rPr>
          <w:rFonts w:eastAsia="Times New Roman"/>
          <w:lang w:val="en-US"/>
        </w:rPr>
        <w:t>proportion</w:t>
      </w:r>
      <w:r w:rsidR="00AA7A99" w:rsidRPr="6F5B4044">
        <w:rPr>
          <w:rFonts w:eastAsia="Times New Roman"/>
          <w:lang w:val="en-US"/>
        </w:rPr>
        <w:t xml:space="preserve"> of</w:t>
      </w:r>
      <w:r w:rsidRPr="6F5B4044">
        <w:rPr>
          <w:rFonts w:eastAsia="Times New Roman"/>
          <w:lang w:val="en-US"/>
        </w:rPr>
        <w:t xml:space="preserve"> the credit spread.</w:t>
      </w:r>
    </w:p>
    <w:p w14:paraId="163E7AED" w14:textId="77777777" w:rsidR="00B00657" w:rsidRDefault="00B00657" w:rsidP="6F5B4044">
      <w:pPr>
        <w:spacing w:after="0" w:line="240" w:lineRule="auto"/>
        <w:ind w:left="426"/>
        <w:jc w:val="both"/>
        <w:rPr>
          <w:rFonts w:eastAsia="Times New Roman"/>
          <w:lang w:val="en-US"/>
        </w:rPr>
      </w:pPr>
    </w:p>
    <w:p w14:paraId="670C6C35" w14:textId="66E264B6" w:rsidR="007E0EF4" w:rsidRPr="007E0EF4" w:rsidRDefault="007E0EF4" w:rsidP="6F5B4044">
      <w:pPr>
        <w:numPr>
          <w:ilvl w:val="0"/>
          <w:numId w:val="9"/>
        </w:numPr>
        <w:spacing w:after="0" w:line="240" w:lineRule="auto"/>
        <w:ind w:left="426" w:hanging="426"/>
        <w:jc w:val="both"/>
        <w:rPr>
          <w:rFonts w:eastAsia="Times New Roman"/>
          <w:lang w:val="en-US"/>
        </w:rPr>
      </w:pPr>
      <w:r w:rsidRPr="6F5B4044">
        <w:rPr>
          <w:rFonts w:eastAsia="Times New Roman"/>
          <w:lang w:val="en-US"/>
        </w:rPr>
        <w:t>It considered only non-financial corporate bonds (including those of a very small amount and not listed) issued in the US from 1866-2008, thus analyzing a portfolio potentially much riskier than the “insurance reference portfolio”.</w:t>
      </w:r>
    </w:p>
    <w:p w14:paraId="39F8C54A" w14:textId="77777777" w:rsidR="003A4B7B" w:rsidRDefault="003A4B7B" w:rsidP="6F5B4044">
      <w:pPr>
        <w:spacing w:after="0" w:line="240" w:lineRule="auto"/>
        <w:jc w:val="both"/>
        <w:rPr>
          <w:rFonts w:eastAsia="Times New Roman"/>
          <w:lang w:val="en-US"/>
        </w:rPr>
      </w:pPr>
    </w:p>
    <w:p w14:paraId="76B63828" w14:textId="2AC1F5BD" w:rsidR="0035321D" w:rsidRDefault="00D17C08" w:rsidP="6F5B4044">
      <w:pPr>
        <w:spacing w:after="0" w:line="240" w:lineRule="auto"/>
        <w:jc w:val="both"/>
        <w:rPr>
          <w:rFonts w:eastAsia="Times New Roman"/>
          <w:b/>
          <w:bCs/>
          <w:lang w:val="en-US"/>
        </w:rPr>
      </w:pPr>
      <w:r w:rsidRPr="6F5B4044">
        <w:rPr>
          <w:b/>
          <w:bCs/>
          <w:lang w:val="en-US"/>
        </w:rPr>
        <w:t>…and the co-legislators’ solution?</w:t>
      </w:r>
    </w:p>
    <w:p w14:paraId="461668AA" w14:textId="77777777" w:rsidR="0035321D" w:rsidRDefault="0035321D" w:rsidP="6F5B4044">
      <w:pPr>
        <w:spacing w:after="0" w:line="240" w:lineRule="auto"/>
        <w:jc w:val="both"/>
        <w:rPr>
          <w:rFonts w:eastAsia="Times New Roman"/>
          <w:b/>
          <w:bCs/>
          <w:lang w:val="en-US"/>
        </w:rPr>
      </w:pPr>
    </w:p>
    <w:p w14:paraId="07496190" w14:textId="77777777" w:rsidR="00D17C08" w:rsidRDefault="00D17C08" w:rsidP="6F5B4044">
      <w:pPr>
        <w:jc w:val="both"/>
        <w:rPr>
          <w:lang w:val="en-US"/>
        </w:rPr>
      </w:pPr>
      <w:r w:rsidRPr="6F5B4044">
        <w:rPr>
          <w:lang w:val="en-US"/>
        </w:rPr>
        <w:t xml:space="preserve">The risk correction framework agreed by the co-legislators is based on EIOPA’s flawed approach. However, very importantly, pushed by European Parliament’s concerns about the procyclicality and balance sheet volatility introduced by EIOPA’s flawed proposed, the political agreement introduced a cap linked to long term average spreads. This cap acts as a safeguard when market volatility is particularly turbulent.  </w:t>
      </w:r>
    </w:p>
    <w:p w14:paraId="2530871E" w14:textId="7AD7AC54" w:rsidR="00D17C08" w:rsidRDefault="00D17C08" w:rsidP="6F5B4044">
      <w:pPr>
        <w:jc w:val="both"/>
        <w:rPr>
          <w:lang w:val="en-US"/>
        </w:rPr>
      </w:pPr>
      <w:r w:rsidRPr="6F5B4044">
        <w:rPr>
          <w:lang w:val="en-US"/>
        </w:rPr>
        <w:t>This agreement is a compromise between what has been considered to represent a too punitive and dangerously procyclical methodology (</w:t>
      </w:r>
      <w:r w:rsidR="77254D5C" w:rsidRPr="6F5B4044">
        <w:rPr>
          <w:lang w:val="en-US"/>
        </w:rPr>
        <w:t>i.e.</w:t>
      </w:r>
      <w:r w:rsidRPr="6F5B4044">
        <w:rPr>
          <w:lang w:val="en-US"/>
        </w:rPr>
        <w:t xml:space="preserve"> EIOPA/EC proposals) and a methodology which was not deemed to be sufficiently conservative (</w:t>
      </w:r>
      <w:bookmarkStart w:id="1" w:name="_Int_SxqAClm4"/>
      <w:r w:rsidR="659B6F16" w:rsidRPr="6F5B4044">
        <w:rPr>
          <w:lang w:val="en-US"/>
        </w:rPr>
        <w:t>i.e.</w:t>
      </w:r>
      <w:bookmarkEnd w:id="1"/>
      <w:r w:rsidRPr="6F5B4044">
        <w:rPr>
          <w:lang w:val="en-US"/>
        </w:rPr>
        <w:t xml:space="preserve"> the current risk correction, depending only on long term average spreads).</w:t>
      </w:r>
    </w:p>
    <w:p w14:paraId="51713D62" w14:textId="77777777" w:rsidR="0035321D" w:rsidRDefault="0035321D" w:rsidP="6F5B4044">
      <w:pPr>
        <w:spacing w:after="0" w:line="240" w:lineRule="auto"/>
        <w:jc w:val="both"/>
        <w:rPr>
          <w:rFonts w:eastAsia="Times New Roman"/>
          <w:b/>
          <w:bCs/>
          <w:lang w:val="en-US"/>
        </w:rPr>
      </w:pPr>
    </w:p>
    <w:p w14:paraId="66DC3F07" w14:textId="13977675" w:rsidR="004D6F5C" w:rsidRPr="004D6F5C" w:rsidRDefault="004D6F5C" w:rsidP="6F5B4044">
      <w:pPr>
        <w:spacing w:after="0" w:line="240" w:lineRule="auto"/>
        <w:jc w:val="both"/>
        <w:rPr>
          <w:rFonts w:eastAsia="Times New Roman"/>
          <w:b/>
          <w:bCs/>
          <w:lang w:val="en-US"/>
        </w:rPr>
      </w:pPr>
      <w:r w:rsidRPr="6F5B4044">
        <w:rPr>
          <w:rFonts w:eastAsia="Times New Roman"/>
          <w:b/>
          <w:bCs/>
          <w:lang w:val="en-US"/>
        </w:rPr>
        <w:t>EGBPI non paper proposals</w:t>
      </w:r>
    </w:p>
    <w:p w14:paraId="57CFD4B6" w14:textId="0E5F0C9B" w:rsidR="00E62332" w:rsidRPr="00712373" w:rsidRDefault="00BE799A" w:rsidP="6F5B4044">
      <w:pPr>
        <w:spacing w:after="0" w:line="240" w:lineRule="auto"/>
        <w:jc w:val="both"/>
        <w:rPr>
          <w:rFonts w:eastAsia="Times New Roman"/>
          <w:lang w:val="en-GB"/>
        </w:rPr>
      </w:pPr>
      <w:r w:rsidRPr="6F5B4044">
        <w:rPr>
          <w:rFonts w:eastAsia="Times New Roman"/>
          <w:lang w:val="en-US"/>
        </w:rPr>
        <w:t>R</w:t>
      </w:r>
      <w:r w:rsidR="00E62332" w:rsidRPr="6F5B4044">
        <w:rPr>
          <w:rFonts w:eastAsia="Times New Roman"/>
          <w:lang w:val="en-US"/>
        </w:rPr>
        <w:t xml:space="preserve">ecently, </w:t>
      </w:r>
      <w:r w:rsidR="0072401B" w:rsidRPr="6F5B4044">
        <w:rPr>
          <w:rFonts w:eastAsia="Times New Roman"/>
          <w:lang w:val="en-US"/>
        </w:rPr>
        <w:t xml:space="preserve">in a non-paper to the EGBPI, </w:t>
      </w:r>
      <w:r w:rsidR="00E62332" w:rsidRPr="6F5B4044">
        <w:rPr>
          <w:rFonts w:eastAsia="Times New Roman"/>
          <w:lang w:val="en-US"/>
        </w:rPr>
        <w:t xml:space="preserve">the Commission </w:t>
      </w:r>
      <w:r w:rsidR="0072401B" w:rsidRPr="6F5B4044">
        <w:rPr>
          <w:rFonts w:eastAsia="Times New Roman"/>
          <w:lang w:val="en-US"/>
        </w:rPr>
        <w:t xml:space="preserve">proposed some initial </w:t>
      </w:r>
      <w:r w:rsidR="00E62332" w:rsidRPr="6F5B4044">
        <w:rPr>
          <w:rFonts w:eastAsia="Times New Roman"/>
          <w:lang w:val="en-US"/>
        </w:rPr>
        <w:t>calibration</w:t>
      </w:r>
      <w:r w:rsidR="0072401B" w:rsidRPr="6F5B4044">
        <w:rPr>
          <w:rFonts w:eastAsia="Times New Roman"/>
          <w:lang w:val="en-US"/>
        </w:rPr>
        <w:t>s</w:t>
      </w:r>
      <w:r w:rsidR="00E62332" w:rsidRPr="6F5B4044">
        <w:rPr>
          <w:rFonts w:eastAsia="Times New Roman"/>
          <w:lang w:val="en-US"/>
        </w:rPr>
        <w:t xml:space="preserve"> of the risk correction</w:t>
      </w:r>
      <w:r w:rsidR="0072401B" w:rsidRPr="6F5B4044">
        <w:rPr>
          <w:rFonts w:eastAsia="Times New Roman"/>
          <w:lang w:val="en-US"/>
        </w:rPr>
        <w:t xml:space="preserve"> which were very concerning and </w:t>
      </w:r>
      <w:r w:rsidR="00E62332" w:rsidRPr="00712373">
        <w:rPr>
          <w:rFonts w:eastAsia="Times New Roman"/>
          <w:lang w:val="en-GB"/>
        </w:rPr>
        <w:t>would</w:t>
      </w:r>
      <w:r w:rsidR="0062503C" w:rsidRPr="00712373">
        <w:rPr>
          <w:rFonts w:eastAsia="Times New Roman"/>
          <w:lang w:val="en-GB"/>
        </w:rPr>
        <w:t>:</w:t>
      </w:r>
    </w:p>
    <w:p w14:paraId="36A7D49B" w14:textId="77777777" w:rsidR="0062503C" w:rsidRPr="00712373" w:rsidRDefault="0062503C" w:rsidP="00E62332">
      <w:pPr>
        <w:spacing w:after="0" w:line="240" w:lineRule="auto"/>
        <w:rPr>
          <w:rFonts w:eastAsia="Times New Roman"/>
          <w:lang w:val="en-GB"/>
        </w:rPr>
      </w:pPr>
    </w:p>
    <w:p w14:paraId="5B203C02" w14:textId="42A5A92D" w:rsidR="00E62332" w:rsidRPr="006A6AB7" w:rsidRDefault="00E62332" w:rsidP="00E62332">
      <w:pPr>
        <w:pStyle w:val="Odsekzoznamu"/>
        <w:numPr>
          <w:ilvl w:val="0"/>
          <w:numId w:val="6"/>
        </w:numPr>
        <w:spacing w:after="0" w:line="240" w:lineRule="auto"/>
        <w:rPr>
          <w:rFonts w:eastAsia="Times New Roman"/>
        </w:rPr>
      </w:pPr>
      <w:r w:rsidRPr="006A6AB7">
        <w:rPr>
          <w:rFonts w:eastAsia="Times New Roman"/>
        </w:rPr>
        <w:t>significantly overstate the risks</w:t>
      </w:r>
    </w:p>
    <w:p w14:paraId="7EAAF629" w14:textId="6BB8FFFE" w:rsidR="00E62332" w:rsidRPr="00FF2FCC" w:rsidRDefault="00E62332" w:rsidP="00E62332">
      <w:pPr>
        <w:pStyle w:val="Odsekzoznamu"/>
        <w:numPr>
          <w:ilvl w:val="0"/>
          <w:numId w:val="6"/>
        </w:numPr>
        <w:spacing w:after="0" w:line="240" w:lineRule="auto"/>
        <w:rPr>
          <w:rFonts w:eastAsia="Times New Roman"/>
          <w:lang w:val="en-US"/>
        </w:rPr>
      </w:pPr>
      <w:r w:rsidRPr="00FF2FCC">
        <w:rPr>
          <w:rFonts w:eastAsia="Times New Roman"/>
          <w:lang w:val="en-US"/>
        </w:rPr>
        <w:t xml:space="preserve">reduce the ability of the VA to protect against short-term volatility; and </w:t>
      </w:r>
    </w:p>
    <w:p w14:paraId="7FB27023" w14:textId="54C2D2DA" w:rsidR="00E62332" w:rsidRPr="006A6AB7" w:rsidRDefault="00E62332" w:rsidP="00E62332">
      <w:pPr>
        <w:pStyle w:val="Odsekzoznamu"/>
        <w:numPr>
          <w:ilvl w:val="0"/>
          <w:numId w:val="6"/>
        </w:numPr>
        <w:spacing w:after="0" w:line="240" w:lineRule="auto"/>
        <w:rPr>
          <w:rFonts w:eastAsia="Times New Roman"/>
        </w:rPr>
      </w:pPr>
      <w:r w:rsidRPr="006A6AB7">
        <w:rPr>
          <w:rFonts w:eastAsia="Times New Roman"/>
        </w:rPr>
        <w:t>introduce unnecessary procyclicality.</w:t>
      </w:r>
    </w:p>
    <w:p w14:paraId="7B84E89F" w14:textId="06DC3A7B" w:rsidR="00E62332" w:rsidRDefault="004D6F5C" w:rsidP="00E62332">
      <w:pPr>
        <w:spacing w:after="0" w:line="240" w:lineRule="auto"/>
        <w:rPr>
          <w:rFonts w:eastAsia="Times New Roman"/>
        </w:rPr>
      </w:pPr>
      <w:r w:rsidRPr="00E378A3">
        <w:rPr>
          <w:noProof/>
          <w:lang w:val="en-US"/>
        </w:rPr>
        <mc:AlternateContent>
          <mc:Choice Requires="wps">
            <w:drawing>
              <wp:anchor distT="45720" distB="45720" distL="114300" distR="114300" simplePos="0" relativeHeight="251658240" behindDoc="0" locked="0" layoutInCell="1" allowOverlap="1" wp14:anchorId="331DBA98" wp14:editId="49BC2A7E">
                <wp:simplePos x="0" y="0"/>
                <wp:positionH relativeFrom="margin">
                  <wp:align>right</wp:align>
                </wp:positionH>
                <wp:positionV relativeFrom="paragraph">
                  <wp:posOffset>-337612</wp:posOffset>
                </wp:positionV>
                <wp:extent cx="2269490" cy="1564005"/>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1564005"/>
                        </a:xfrm>
                        <a:prstGeom prst="rect">
                          <a:avLst/>
                        </a:prstGeom>
                        <a:solidFill>
                          <a:srgbClr val="FFFFFF"/>
                        </a:solidFill>
                        <a:ln w="9525">
                          <a:solidFill>
                            <a:srgbClr val="000000"/>
                          </a:solidFill>
                          <a:miter lim="800000"/>
                          <a:headEnd/>
                          <a:tailEnd/>
                        </a:ln>
                      </wps:spPr>
                      <wps:txbx>
                        <w:txbxContent>
                          <w:p w14:paraId="38650B92" w14:textId="77777777" w:rsidR="0071190F" w:rsidRDefault="0071190F">
                            <w:pPr>
                              <w:rPr>
                                <w:lang w:val="en-US"/>
                              </w:rPr>
                            </w:pPr>
                            <w:r>
                              <w:rPr>
                                <w:lang w:val="en-US"/>
                              </w:rPr>
                              <w:t xml:space="preserve">Chart </w:t>
                            </w:r>
                            <w:proofErr w:type="gramStart"/>
                            <w:r>
                              <w:rPr>
                                <w:lang w:val="en-US"/>
                              </w:rPr>
                              <w:t>1  -</w:t>
                            </w:r>
                            <w:proofErr w:type="gramEnd"/>
                            <w:r>
                              <w:rPr>
                                <w:lang w:val="en-US"/>
                              </w:rPr>
                              <w:t xml:space="preserve"> </w:t>
                            </w:r>
                          </w:p>
                          <w:p w14:paraId="29D3F004" w14:textId="00428B2B" w:rsidR="00E378A3" w:rsidRDefault="0071190F">
                            <w:pPr>
                              <w:rPr>
                                <w:lang w:val="en-US"/>
                              </w:rPr>
                            </w:pPr>
                            <w:r w:rsidRPr="0071190F">
                              <w:rPr>
                                <w:highlight w:val="yellow"/>
                                <w:lang w:val="en-US"/>
                              </w:rPr>
                              <w:t>[In development</w:t>
                            </w:r>
                            <w:r>
                              <w:rPr>
                                <w:lang w:val="en-US"/>
                              </w:rPr>
                              <w:t xml:space="preserve">] </w:t>
                            </w:r>
                            <w:r w:rsidR="00E378A3">
                              <w:rPr>
                                <w:lang w:val="en-US"/>
                              </w:rPr>
                              <w:t>Chart with € amounts of RC in 2008</w:t>
                            </w:r>
                          </w:p>
                          <w:p w14:paraId="40A6BDDA" w14:textId="156BBD2E" w:rsidR="00E378A3" w:rsidRPr="00E378A3" w:rsidRDefault="00E378A3" w:rsidP="00E378A3">
                            <w:pPr>
                              <w:pStyle w:val="Odsekzoznamu"/>
                              <w:numPr>
                                <w:ilvl w:val="0"/>
                                <w:numId w:val="5"/>
                              </w:numPr>
                              <w:rPr>
                                <w:lang w:val="en-US"/>
                              </w:rPr>
                            </w:pPr>
                            <w:r w:rsidRPr="00E378A3">
                              <w:rPr>
                                <w:lang w:val="en-US"/>
                              </w:rPr>
                              <w:t>Current</w:t>
                            </w:r>
                          </w:p>
                          <w:p w14:paraId="38B7820D" w14:textId="2A201A97" w:rsidR="00E378A3" w:rsidRPr="00E378A3" w:rsidRDefault="00E378A3" w:rsidP="00E378A3">
                            <w:pPr>
                              <w:pStyle w:val="Odsekzoznamu"/>
                              <w:numPr>
                                <w:ilvl w:val="0"/>
                                <w:numId w:val="5"/>
                              </w:numPr>
                              <w:rPr>
                                <w:lang w:val="en-US"/>
                              </w:rPr>
                            </w:pPr>
                            <w:r w:rsidRPr="00E378A3">
                              <w:rPr>
                                <w:lang w:val="en-US"/>
                              </w:rPr>
                              <w:t>Commission proposal</w:t>
                            </w:r>
                          </w:p>
                          <w:p w14:paraId="6703408B" w14:textId="3465437A" w:rsidR="00E378A3" w:rsidRPr="00E378A3" w:rsidRDefault="00E378A3" w:rsidP="00E378A3">
                            <w:pPr>
                              <w:pStyle w:val="Odsekzoznamu"/>
                              <w:numPr>
                                <w:ilvl w:val="0"/>
                                <w:numId w:val="5"/>
                              </w:numPr>
                              <w:rPr>
                                <w:lang w:val="en-US"/>
                              </w:rPr>
                            </w:pPr>
                            <w:r w:rsidRPr="00E378A3">
                              <w:rPr>
                                <w:lang w:val="en-US"/>
                              </w:rPr>
                              <w:t>Actual defaults</w:t>
                            </w:r>
                          </w:p>
                          <w:p w14:paraId="77321F5A" w14:textId="77777777" w:rsidR="00E378A3" w:rsidRDefault="00E378A3">
                            <w:pPr>
                              <w:rPr>
                                <w:lang w:val="en-US"/>
                              </w:rPr>
                            </w:pPr>
                          </w:p>
                          <w:p w14:paraId="167A1A16" w14:textId="77777777" w:rsidR="00E378A3" w:rsidRPr="00E378A3" w:rsidRDefault="00E378A3">
                            <w:pPr>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31DBA98" id="_x0000_s1027" type="#_x0000_t202" style="position:absolute;margin-left:127.5pt;margin-top:-26.6pt;width:178.7pt;height:123.15pt;z-index:25165824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y9EwIAACcEAAAOAAAAZHJzL2Uyb0RvYy54bWysk82O2yAQx++V+g6Ie2PHStKNFWe1zTZV&#10;pe220rYPgAHHqJihQGJvn74D9mbTr0tVDohh4M/Mb4bN9dBpcpLOKzAVnc9ySqThIJQ5VPTL5/2r&#10;K0p8YEYwDUZW9FF6er19+WLT21IW0IIW0hEUMb7sbUXbEGyZZZ63smN+BlYadDbgOhbQdIdMONaj&#10;eqezIs9XWQ9OWAdceo+7t6OTbpN+00gePjaNl4HoimJsIc0uzXWcs+2GlQfHbKv4FAb7hyg6pgw+&#10;epa6ZYGRo1O/SXWKO/DQhBmHLoOmUVymHDCbef5LNg8tszLlgnC8PWPy/0+W358e7CdHwvAGBixg&#10;SsLbO+BfPTGwa5k5yBvnoG8lE/jwPCLLeuvL6WpE7UsfRer+AwgsMjsGSEJD47pIBfMkqI4FeDxD&#10;l0MgHDeLYrVerNHF0TdfrhZ5vkxvsPLpunU+vJPQkbioqMOqJnl2uvMhhsPKpyPxNQ9aib3SOhnu&#10;UO+0IyeGHbBPY1L/6Zg2pK/oelksRwJ/lcjT+JNEpwK2slZdRa/Oh1gZub01IjVaYEqPawxZmwlk&#10;ZDdSDEM9ECUmypFrDeIRyToYOxd/Gi5acN8p6bFrK+q/HZmTlOj3Bquzni8Wsc2TsVi+LtBwl576&#10;0sMMR6mKBkrG5S6krxG5GbjBKjYq8X2OZAoZuzFhn35ObPdLO516/t/bHwAAAP//AwBQSwMEFAAG&#10;AAgAAAAhAL+2sOveAAAACAEAAA8AAABkcnMvZG93bnJldi54bWxMj81OwzAQhO9IvIO1SNxaJw3h&#10;J8SpUKVeeiNU0KObLLHbeB3Fbpu+PcsJjqMZzXxTLifXizOOwXpSkM4TEEiNby11CrYf69kziBA1&#10;tbr3hAquGGBZ3d6Uumj9hd7xXMdOcAmFQiswMQ6FlKEx6HSY+wGJvW8/Oh1Zjp1sR33hctfLRZI8&#10;Sqct8YLRA64MNsf65BSEY7rOv/xha3abq6kPO/tpNyul7u+mt1cQEaf4F4ZffEaHipn2/kRtEL0C&#10;PhIVzPJsAYLtLH96ALHn3EuWgqxK+f9A9QMAAP//AwBQSwECLQAUAAYACAAAACEAtoM4kv4AAADh&#10;AQAAEwAAAAAAAAAAAAAAAAAAAAAAW0NvbnRlbnRfVHlwZXNdLnhtbFBLAQItABQABgAIAAAAIQA4&#10;/SH/1gAAAJQBAAALAAAAAAAAAAAAAAAAAC8BAABfcmVscy8ucmVsc1BLAQItABQABgAIAAAAIQC3&#10;YOy9EwIAACcEAAAOAAAAAAAAAAAAAAAAAC4CAABkcnMvZTJvRG9jLnhtbFBLAQItABQABgAIAAAA&#10;IQC/trDr3gAAAAgBAAAPAAAAAAAAAAAAAAAAAG0EAABkcnMvZG93bnJldi54bWxQSwUGAAAAAAQA&#10;BADzAAAAeAUAAAAA&#10;">
                <v:textbox>
                  <w:txbxContent>
                    <w:p w14:paraId="38650B92" w14:textId="77777777" w:rsidR="0071190F" w:rsidRDefault="0071190F">
                      <w:pPr>
                        <w:rPr>
                          <w:lang w:val="en-US"/>
                        </w:rPr>
                      </w:pPr>
                      <w:r>
                        <w:rPr>
                          <w:lang w:val="en-US"/>
                        </w:rPr>
                        <w:t xml:space="preserve">Chart </w:t>
                      </w:r>
                      <w:proofErr w:type="gramStart"/>
                      <w:r>
                        <w:rPr>
                          <w:lang w:val="en-US"/>
                        </w:rPr>
                        <w:t>1  -</w:t>
                      </w:r>
                      <w:proofErr w:type="gramEnd"/>
                      <w:r>
                        <w:rPr>
                          <w:lang w:val="en-US"/>
                        </w:rPr>
                        <w:t xml:space="preserve"> </w:t>
                      </w:r>
                    </w:p>
                    <w:p w14:paraId="29D3F004" w14:textId="00428B2B" w:rsidR="00E378A3" w:rsidRDefault="0071190F">
                      <w:pPr>
                        <w:rPr>
                          <w:lang w:val="en-US"/>
                        </w:rPr>
                      </w:pPr>
                      <w:r w:rsidRPr="0071190F">
                        <w:rPr>
                          <w:highlight w:val="yellow"/>
                          <w:lang w:val="en-US"/>
                        </w:rPr>
                        <w:t>[In development</w:t>
                      </w:r>
                      <w:r>
                        <w:rPr>
                          <w:lang w:val="en-US"/>
                        </w:rPr>
                        <w:t xml:space="preserve">] </w:t>
                      </w:r>
                      <w:r w:rsidR="00E378A3">
                        <w:rPr>
                          <w:lang w:val="en-US"/>
                        </w:rPr>
                        <w:t>Chart with € amounts of RC in 2008</w:t>
                      </w:r>
                    </w:p>
                    <w:p w14:paraId="40A6BDDA" w14:textId="156BBD2E" w:rsidR="00E378A3" w:rsidRPr="00E378A3" w:rsidRDefault="00E378A3" w:rsidP="00E378A3">
                      <w:pPr>
                        <w:pStyle w:val="Odsekzoznamu"/>
                        <w:numPr>
                          <w:ilvl w:val="0"/>
                          <w:numId w:val="5"/>
                        </w:numPr>
                        <w:rPr>
                          <w:lang w:val="en-US"/>
                        </w:rPr>
                      </w:pPr>
                      <w:r w:rsidRPr="00E378A3">
                        <w:rPr>
                          <w:lang w:val="en-US"/>
                        </w:rPr>
                        <w:t>Current</w:t>
                      </w:r>
                    </w:p>
                    <w:p w14:paraId="38B7820D" w14:textId="2A201A97" w:rsidR="00E378A3" w:rsidRPr="00E378A3" w:rsidRDefault="00E378A3" w:rsidP="00E378A3">
                      <w:pPr>
                        <w:pStyle w:val="Odsekzoznamu"/>
                        <w:numPr>
                          <w:ilvl w:val="0"/>
                          <w:numId w:val="5"/>
                        </w:numPr>
                        <w:rPr>
                          <w:lang w:val="en-US"/>
                        </w:rPr>
                      </w:pPr>
                      <w:r w:rsidRPr="00E378A3">
                        <w:rPr>
                          <w:lang w:val="en-US"/>
                        </w:rPr>
                        <w:t>Commission proposal</w:t>
                      </w:r>
                    </w:p>
                    <w:p w14:paraId="6703408B" w14:textId="3465437A" w:rsidR="00E378A3" w:rsidRPr="00E378A3" w:rsidRDefault="00E378A3" w:rsidP="00E378A3">
                      <w:pPr>
                        <w:pStyle w:val="Odsekzoznamu"/>
                        <w:numPr>
                          <w:ilvl w:val="0"/>
                          <w:numId w:val="5"/>
                        </w:numPr>
                        <w:rPr>
                          <w:lang w:val="en-US"/>
                        </w:rPr>
                      </w:pPr>
                      <w:r w:rsidRPr="00E378A3">
                        <w:rPr>
                          <w:lang w:val="en-US"/>
                        </w:rPr>
                        <w:t>Actual defaults</w:t>
                      </w:r>
                    </w:p>
                    <w:p w14:paraId="77321F5A" w14:textId="77777777" w:rsidR="00E378A3" w:rsidRDefault="00E378A3">
                      <w:pPr>
                        <w:rPr>
                          <w:lang w:val="en-US"/>
                        </w:rPr>
                      </w:pPr>
                    </w:p>
                    <w:p w14:paraId="167A1A16" w14:textId="77777777" w:rsidR="00E378A3" w:rsidRPr="00E378A3" w:rsidRDefault="00E378A3">
                      <w:pPr>
                        <w:rPr>
                          <w:lang w:val="en-US"/>
                        </w:rPr>
                      </w:pPr>
                    </w:p>
                  </w:txbxContent>
                </v:textbox>
                <w10:wrap type="square" anchorx="margin"/>
              </v:shape>
            </w:pict>
          </mc:Fallback>
        </mc:AlternateContent>
      </w:r>
    </w:p>
    <w:p w14:paraId="205F3245" w14:textId="56C25B69" w:rsidR="0062503C" w:rsidRPr="00712373" w:rsidRDefault="0062503C" w:rsidP="6F5B4044">
      <w:pPr>
        <w:spacing w:after="0" w:line="240" w:lineRule="auto"/>
        <w:jc w:val="both"/>
        <w:rPr>
          <w:rFonts w:eastAsia="Times New Roman"/>
          <w:lang w:val="en-GB"/>
        </w:rPr>
      </w:pPr>
      <w:r w:rsidRPr="00712373">
        <w:rPr>
          <w:rFonts w:eastAsia="Times New Roman"/>
          <w:lang w:val="en-GB"/>
        </w:rPr>
        <w:t xml:space="preserve">The </w:t>
      </w:r>
      <w:r w:rsidRPr="00712373">
        <w:rPr>
          <w:rFonts w:eastAsia="Times New Roman"/>
          <w:b/>
          <w:bCs/>
          <w:lang w:val="en-GB"/>
        </w:rPr>
        <w:t>chart in box 1</w:t>
      </w:r>
      <w:r w:rsidR="00332CF2" w:rsidRPr="00712373">
        <w:rPr>
          <w:rFonts w:eastAsia="Times New Roman"/>
          <w:lang w:val="en-GB"/>
        </w:rPr>
        <w:t xml:space="preserve"> shows the amount the average EU-insurer would have to reserve</w:t>
      </w:r>
      <w:r w:rsidR="00F64AB7" w:rsidRPr="00712373">
        <w:rPr>
          <w:rFonts w:eastAsia="Times New Roman"/>
          <w:lang w:val="en-GB"/>
        </w:rPr>
        <w:t xml:space="preserve"> for </w:t>
      </w:r>
      <w:r w:rsidR="00EF02A0" w:rsidRPr="00712373">
        <w:rPr>
          <w:rFonts w:eastAsia="Times New Roman"/>
          <w:lang w:val="en-GB"/>
        </w:rPr>
        <w:t xml:space="preserve">the risk correction for </w:t>
      </w:r>
      <w:r w:rsidR="00F64AB7" w:rsidRPr="00712373">
        <w:rPr>
          <w:rFonts w:eastAsia="Times New Roman"/>
          <w:lang w:val="en-GB"/>
        </w:rPr>
        <w:t>a €1 billion portfolio</w:t>
      </w:r>
      <w:r w:rsidR="00EF02A0" w:rsidRPr="00712373">
        <w:rPr>
          <w:rFonts w:eastAsia="Times New Roman"/>
          <w:lang w:val="en-GB"/>
        </w:rPr>
        <w:t xml:space="preserve"> in 2008, under the current approach, the Commission’s proposed approach as well as the actual </w:t>
      </w:r>
      <w:proofErr w:type="gramStart"/>
      <w:r w:rsidR="00EF02A0" w:rsidRPr="00712373">
        <w:rPr>
          <w:rFonts w:eastAsia="Times New Roman"/>
          <w:lang w:val="en-GB"/>
        </w:rPr>
        <w:t>amount</w:t>
      </w:r>
      <w:proofErr w:type="gramEnd"/>
      <w:r w:rsidR="00EF02A0" w:rsidRPr="00712373">
        <w:rPr>
          <w:rFonts w:eastAsia="Times New Roman"/>
          <w:lang w:val="en-GB"/>
        </w:rPr>
        <w:t xml:space="preserve"> of losses it would have incurred from defaults. </w:t>
      </w:r>
    </w:p>
    <w:p w14:paraId="01A83D62" w14:textId="77777777" w:rsidR="00EF02A0" w:rsidRPr="00712373" w:rsidRDefault="00EF02A0" w:rsidP="00E62332">
      <w:pPr>
        <w:spacing w:after="0" w:line="240" w:lineRule="auto"/>
        <w:rPr>
          <w:rFonts w:eastAsia="Times New Roman"/>
          <w:lang w:val="en-GB"/>
        </w:rPr>
      </w:pPr>
    </w:p>
    <w:p w14:paraId="6864E73A" w14:textId="6E9AD9C1" w:rsidR="00EF02A0" w:rsidRPr="00712373" w:rsidRDefault="00EF02A0" w:rsidP="00E62332">
      <w:pPr>
        <w:spacing w:after="0" w:line="240" w:lineRule="auto"/>
        <w:rPr>
          <w:rFonts w:eastAsia="Times New Roman"/>
          <w:lang w:val="en-GB"/>
        </w:rPr>
      </w:pPr>
      <w:r w:rsidRPr="00712373">
        <w:rPr>
          <w:rFonts w:eastAsia="Times New Roman"/>
          <w:lang w:val="en-GB"/>
        </w:rPr>
        <w:t xml:space="preserve">The </w:t>
      </w:r>
      <w:r w:rsidRPr="00712373">
        <w:rPr>
          <w:rFonts w:eastAsia="Times New Roman"/>
          <w:b/>
          <w:bCs/>
          <w:lang w:val="en-GB"/>
        </w:rPr>
        <w:t xml:space="preserve">chart in box 2 </w:t>
      </w:r>
      <w:r w:rsidRPr="00712373">
        <w:rPr>
          <w:rFonts w:eastAsia="Times New Roman"/>
          <w:lang w:val="en-GB"/>
        </w:rPr>
        <w:t xml:space="preserve">shows the </w:t>
      </w:r>
      <w:r w:rsidR="00712371" w:rsidRPr="00712373">
        <w:rPr>
          <w:rFonts w:eastAsia="Times New Roman"/>
          <w:lang w:val="en-GB"/>
        </w:rPr>
        <w:t xml:space="preserve">additional solvency volatility a simplified hypothetical insurer would have incurred from introducing the Commission’s proposals. </w:t>
      </w:r>
    </w:p>
    <w:p w14:paraId="5E820BB8" w14:textId="77777777" w:rsidR="0062503C" w:rsidRPr="00712373" w:rsidRDefault="0062503C" w:rsidP="00E62332">
      <w:pPr>
        <w:spacing w:after="0" w:line="240" w:lineRule="auto"/>
        <w:rPr>
          <w:rFonts w:eastAsia="Times New Roman"/>
          <w:lang w:val="en-GB"/>
        </w:rPr>
      </w:pPr>
    </w:p>
    <w:p w14:paraId="34DD09FB" w14:textId="0F4BA506" w:rsidR="00E62332" w:rsidRDefault="004D6F5C" w:rsidP="00E62332">
      <w:pPr>
        <w:rPr>
          <w:lang w:val="en-US"/>
        </w:rPr>
      </w:pPr>
      <w:r w:rsidRPr="00E378A3">
        <w:rPr>
          <w:noProof/>
          <w:lang w:val="en-US"/>
        </w:rPr>
        <mc:AlternateContent>
          <mc:Choice Requires="wps">
            <w:drawing>
              <wp:anchor distT="45720" distB="45720" distL="114300" distR="114300" simplePos="0" relativeHeight="251658241" behindDoc="0" locked="0" layoutInCell="1" allowOverlap="1" wp14:anchorId="12975448" wp14:editId="64067FF0">
                <wp:simplePos x="0" y="0"/>
                <wp:positionH relativeFrom="margin">
                  <wp:align>right</wp:align>
                </wp:positionH>
                <wp:positionV relativeFrom="paragraph">
                  <wp:posOffset>80019</wp:posOffset>
                </wp:positionV>
                <wp:extent cx="2269490" cy="1564005"/>
                <wp:effectExtent l="0" t="0" r="12700" b="17145"/>
                <wp:wrapSquare wrapText="bothSides"/>
                <wp:docPr id="1677455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1564005"/>
                        </a:xfrm>
                        <a:prstGeom prst="rect">
                          <a:avLst/>
                        </a:prstGeom>
                        <a:solidFill>
                          <a:srgbClr val="FFFFFF"/>
                        </a:solidFill>
                        <a:ln w="9525">
                          <a:solidFill>
                            <a:srgbClr val="000000"/>
                          </a:solidFill>
                          <a:miter lim="800000"/>
                          <a:headEnd/>
                          <a:tailEnd/>
                        </a:ln>
                      </wps:spPr>
                      <wps:txbx>
                        <w:txbxContent>
                          <w:p w14:paraId="54102C12" w14:textId="044D3C30" w:rsidR="0071190F" w:rsidRDefault="0071190F" w:rsidP="0071190F">
                            <w:pPr>
                              <w:rPr>
                                <w:lang w:val="en-US"/>
                              </w:rPr>
                            </w:pPr>
                            <w:r>
                              <w:rPr>
                                <w:lang w:val="en-US"/>
                              </w:rPr>
                              <w:t>Chart 2 –</w:t>
                            </w:r>
                          </w:p>
                          <w:p w14:paraId="0FDABF2A" w14:textId="77777777" w:rsidR="0071190F" w:rsidRDefault="0071190F" w:rsidP="0071190F">
                            <w:pPr>
                              <w:rPr>
                                <w:lang w:val="en-US"/>
                              </w:rPr>
                            </w:pPr>
                            <w:r>
                              <w:rPr>
                                <w:lang w:val="en-US"/>
                              </w:rPr>
                              <w:t>[</w:t>
                            </w:r>
                            <w:r w:rsidRPr="0071190F">
                              <w:rPr>
                                <w:highlight w:val="yellow"/>
                                <w:lang w:val="en-US"/>
                              </w:rPr>
                              <w:t>In development</w:t>
                            </w:r>
                            <w:r>
                              <w:rPr>
                                <w:lang w:val="en-US"/>
                              </w:rPr>
                              <w:t xml:space="preserve">] </w:t>
                            </w:r>
                          </w:p>
                          <w:p w14:paraId="069DE01C" w14:textId="1BBA7578" w:rsidR="00E62332" w:rsidRPr="00E378A3" w:rsidRDefault="00E62332" w:rsidP="00E62332">
                            <w:pPr>
                              <w:rPr>
                                <w:lang w:val="en-US"/>
                              </w:rPr>
                            </w:pPr>
                            <w:r>
                              <w:rPr>
                                <w:lang w:val="en-US"/>
                              </w:rPr>
                              <w:t>Chart of model SCR ratio</w:t>
                            </w:r>
                            <w:r w:rsidR="0071190F">
                              <w:rPr>
                                <w:lang w:val="en-US"/>
                              </w:rPr>
                              <w:t xml:space="preserve"> in 2008 / 2011/Covid </w:t>
                            </w:r>
                            <w:proofErr w:type="spellStart"/>
                            <w:r w:rsidR="0071190F">
                              <w:rPr>
                                <w:lang w:val="en-US"/>
                              </w:rPr>
                              <w:t>etc</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975448" id="_x0000_s1028" type="#_x0000_t202" style="position:absolute;margin-left:127.5pt;margin-top:6.3pt;width:178.7pt;height:123.15pt;z-index:251658241;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58FQIAACcEAAAOAAAAZHJzL2Uyb0RvYy54bWysk82O0zAQx+9IvIPlO00atWUbNV0tXYqQ&#10;lgVp4QEc22ksHI+x3SbL0zN2st3ydUHkYHky9n9mfjPeXA+dJifpvAJT0fksp0QaDkKZQ0W/fN6/&#10;uqLEB2YE02BkRR+lp9fbly82vS1lAS1oIR1BEePL3la0DcGWWeZ5KzvmZ2ClQWcDrmMBTXfIhGM9&#10;qnc6K/J8lfXghHXApff493Z00m3SbxrJw8em8TIQXVHMLaTVpbWOa7bdsPLgmG0Vn9Jg/5BFx5TB&#10;oGepWxYYOTr1m1SnuAMPTZhx6DJoGsVlqgGrmee/VPPQMitTLQjH2zMm//9k+f3pwX5yJAxvYMAG&#10;piK8vQP+1RMDu5aZg7xxDvpWMoGB5xFZ1ltfTlcjal/6KFL3H0Bgk9kxQBIaGtdFKlgnQXVswOMZ&#10;uhwC4fizKFbrxRpdHH3z5WqR58sUg5VP163z4Z2EjsRNRR12Ncmz050PMR1WPh2J0TxoJfZK62S4&#10;Q73TjpwYTsA+fZP6T8e0IX1F18tiORL4q0Sevj9JdCrgKGvVVfTqfIiVkdtbI9KgBab0uMeUtZlA&#10;RnYjxTDUA1ECocQAkWsN4hHJOhgnF18ablpw3ynpcWor6r8dmZOU6PcGu7OeLxZxzJOxWL4u0HCX&#10;nvrSwwxHqYoGSsbtLqSnEbkZuMEuNirxfc5kShmnMWGfXk4c90s7nXp+39sfAAAA//8DAFBLAwQU&#10;AAYACAAAACEAISdmsd0AAAAHAQAADwAAAGRycy9kb3ducmV2LnhtbEyPwW7CMBBE75X6D9ZW6q04&#10;pA2laRxUIXHh1hS1HE28jQPxOooNhL/vcqLHnRnNvC0Wo+vECYfQelIwnSQgkGpvWmoUbL5WT3MQ&#10;IWoyuvOECi4YYFHe3xU6N/5Mn3iqYiO4hEKuFdgY+1zKUFt0Okx8j8Terx+cjnwOjTSDPnO562Sa&#10;JDPpdEu8YHWPS4v1oTo6BeEwXWU/fr+x2/XFVvtt+92ul0o9Powf7yAijvEWhis+o0PJTDt/JBNE&#10;p4AfiaymMxDsPmevLyB2CtJs/gayLOR//vIPAAD//wMAUEsBAi0AFAAGAAgAAAAhALaDOJL+AAAA&#10;4QEAABMAAAAAAAAAAAAAAAAAAAAAAFtDb250ZW50X1R5cGVzXS54bWxQSwECLQAUAAYACAAAACEA&#10;OP0h/9YAAACUAQAACwAAAAAAAAAAAAAAAAAvAQAAX3JlbHMvLnJlbHNQSwECLQAUAAYACAAAACEA&#10;gL4ufBUCAAAnBAAADgAAAAAAAAAAAAAAAAAuAgAAZHJzL2Uyb0RvYy54bWxQSwECLQAUAAYACAAA&#10;ACEAISdmsd0AAAAHAQAADwAAAAAAAAAAAAAAAABvBAAAZHJzL2Rvd25yZXYueG1sUEsFBgAAAAAE&#10;AAQA8wAAAHkFAAAAAA==&#10;">
                <v:textbox>
                  <w:txbxContent>
                    <w:p w14:paraId="54102C12" w14:textId="044D3C30" w:rsidR="0071190F" w:rsidRDefault="0071190F" w:rsidP="0071190F">
                      <w:pPr>
                        <w:rPr>
                          <w:lang w:val="en-US"/>
                        </w:rPr>
                      </w:pPr>
                      <w:r>
                        <w:rPr>
                          <w:lang w:val="en-US"/>
                        </w:rPr>
                        <w:t>Chart 2 –</w:t>
                      </w:r>
                    </w:p>
                    <w:p w14:paraId="0FDABF2A" w14:textId="77777777" w:rsidR="0071190F" w:rsidRDefault="0071190F" w:rsidP="0071190F">
                      <w:pPr>
                        <w:rPr>
                          <w:lang w:val="en-US"/>
                        </w:rPr>
                      </w:pPr>
                      <w:r>
                        <w:rPr>
                          <w:lang w:val="en-US"/>
                        </w:rPr>
                        <w:t>[</w:t>
                      </w:r>
                      <w:r w:rsidRPr="0071190F">
                        <w:rPr>
                          <w:highlight w:val="yellow"/>
                          <w:lang w:val="en-US"/>
                        </w:rPr>
                        <w:t>In development</w:t>
                      </w:r>
                      <w:r>
                        <w:rPr>
                          <w:lang w:val="en-US"/>
                        </w:rPr>
                        <w:t xml:space="preserve">] </w:t>
                      </w:r>
                    </w:p>
                    <w:p w14:paraId="069DE01C" w14:textId="1BBA7578" w:rsidR="00E62332" w:rsidRPr="00E378A3" w:rsidRDefault="00E62332" w:rsidP="00E62332">
                      <w:pPr>
                        <w:rPr>
                          <w:lang w:val="en-US"/>
                        </w:rPr>
                      </w:pPr>
                      <w:r>
                        <w:rPr>
                          <w:lang w:val="en-US"/>
                        </w:rPr>
                        <w:t>Chart of model SCR ratio</w:t>
                      </w:r>
                      <w:r w:rsidR="0071190F">
                        <w:rPr>
                          <w:lang w:val="en-US"/>
                        </w:rPr>
                        <w:t xml:space="preserve"> in 2008 / 2011/Covid </w:t>
                      </w:r>
                      <w:proofErr w:type="spellStart"/>
                      <w:r w:rsidR="0071190F">
                        <w:rPr>
                          <w:lang w:val="en-US"/>
                        </w:rPr>
                        <w:t>etc</w:t>
                      </w:r>
                      <w:proofErr w:type="spellEnd"/>
                    </w:p>
                  </w:txbxContent>
                </v:textbox>
                <w10:wrap type="square" anchorx="margin"/>
              </v:shape>
            </w:pict>
          </mc:Fallback>
        </mc:AlternateContent>
      </w:r>
      <w:r w:rsidR="0062503C">
        <w:rPr>
          <w:lang w:val="en-US"/>
        </w:rPr>
        <w:t>Furthermore, t</w:t>
      </w:r>
      <w:r w:rsidR="00E62332">
        <w:rPr>
          <w:lang w:val="en-US"/>
        </w:rPr>
        <w:t>he Commission’s proposed calibrations would also create inconsistency within the Solvency II framework because insurers who use the matching adjustment would have to reserve a different amount for the same risks. For example, a VA-user would have to reserve up to 195% of the LTAS to reflect the default risk of a corporate bond whereas a MA-user would only have to reserve 35% of the LTAS.</w:t>
      </w:r>
    </w:p>
    <w:p w14:paraId="2DFAEBFF" w14:textId="77777777" w:rsidR="00E62332" w:rsidRDefault="00E62332" w:rsidP="00E62332">
      <w:pPr>
        <w:rPr>
          <w:lang w:val="en-US"/>
        </w:rPr>
      </w:pPr>
    </w:p>
    <w:p w14:paraId="0E3C5A80" w14:textId="5CF47F3B" w:rsidR="00E62332" w:rsidRPr="004D6F5C" w:rsidRDefault="004D6F5C" w:rsidP="00E62332">
      <w:pPr>
        <w:rPr>
          <w:b/>
          <w:bCs/>
          <w:lang w:val="en-US"/>
        </w:rPr>
      </w:pPr>
      <w:r w:rsidRPr="004D6F5C">
        <w:rPr>
          <w:b/>
          <w:bCs/>
          <w:lang w:val="en-US"/>
        </w:rPr>
        <w:t>How should the risk correction be calibrated?</w:t>
      </w:r>
    </w:p>
    <w:p w14:paraId="0ED72DB2" w14:textId="6763BC43" w:rsidR="00D301CC" w:rsidRDefault="00C4167D" w:rsidP="6F5B4044">
      <w:pPr>
        <w:spacing w:after="0" w:line="240" w:lineRule="auto"/>
        <w:jc w:val="both"/>
        <w:rPr>
          <w:rFonts w:eastAsia="Times New Roman"/>
          <w:lang w:val="en-US"/>
        </w:rPr>
      </w:pPr>
      <w:r w:rsidRPr="6F5B4044">
        <w:rPr>
          <w:rFonts w:eastAsia="Times New Roman"/>
          <w:lang w:val="en-US"/>
        </w:rPr>
        <w:t>C</w:t>
      </w:r>
      <w:r w:rsidR="007E0EF4" w:rsidRPr="6F5B4044">
        <w:rPr>
          <w:rFonts w:eastAsia="Times New Roman"/>
          <w:lang w:val="en-US"/>
        </w:rPr>
        <w:t>ontrary</w:t>
      </w:r>
      <w:r w:rsidRPr="6F5B4044">
        <w:rPr>
          <w:rFonts w:eastAsia="Times New Roman"/>
          <w:lang w:val="en-US"/>
        </w:rPr>
        <w:t xml:space="preserve"> to the Commission’s approach</w:t>
      </w:r>
      <w:r w:rsidR="007E0EF4" w:rsidRPr="6F5B4044">
        <w:rPr>
          <w:rFonts w:eastAsia="Times New Roman"/>
          <w:lang w:val="en-US"/>
        </w:rPr>
        <w:t xml:space="preserve">, we believe that the </w:t>
      </w:r>
      <w:r w:rsidR="00227BF8" w:rsidRPr="6F5B4044">
        <w:rPr>
          <w:rFonts w:eastAsia="Times New Roman"/>
          <w:lang w:val="en-US"/>
        </w:rPr>
        <w:t xml:space="preserve">risk correction parameters </w:t>
      </w:r>
      <w:r w:rsidR="007E0EF4" w:rsidRPr="6F5B4044">
        <w:rPr>
          <w:rFonts w:eastAsia="Times New Roman"/>
          <w:lang w:val="en-US"/>
        </w:rPr>
        <w:t>should b</w:t>
      </w:r>
      <w:r w:rsidR="00B7248A" w:rsidRPr="6F5B4044">
        <w:rPr>
          <w:rFonts w:eastAsia="Times New Roman"/>
          <w:lang w:val="en-US"/>
        </w:rPr>
        <w:t>e b</w:t>
      </w:r>
      <w:r w:rsidR="00EB70E4" w:rsidRPr="6F5B4044">
        <w:rPr>
          <w:rFonts w:eastAsia="Times New Roman"/>
          <w:lang w:val="en-US"/>
        </w:rPr>
        <w:t xml:space="preserve">ased on: </w:t>
      </w:r>
    </w:p>
    <w:p w14:paraId="40EB03FB" w14:textId="74D9E153" w:rsidR="00D301CC" w:rsidRDefault="00D301CC" w:rsidP="6F5B4044">
      <w:pPr>
        <w:spacing w:after="0" w:line="240" w:lineRule="auto"/>
        <w:jc w:val="both"/>
        <w:rPr>
          <w:rFonts w:eastAsia="Times New Roman"/>
          <w:lang w:val="en-US"/>
        </w:rPr>
      </w:pPr>
    </w:p>
    <w:p w14:paraId="6A8FF403" w14:textId="00CCA4EE" w:rsidR="00D301CC" w:rsidRDefault="00EB70E4" w:rsidP="6F5B4044">
      <w:pPr>
        <w:spacing w:after="0" w:line="240" w:lineRule="auto"/>
        <w:jc w:val="both"/>
        <w:rPr>
          <w:rFonts w:eastAsia="Times New Roman"/>
          <w:lang w:val="en-US"/>
        </w:rPr>
      </w:pPr>
      <w:proofErr w:type="spellStart"/>
      <w:r w:rsidRPr="6F5B4044">
        <w:rPr>
          <w:rFonts w:eastAsia="Times New Roman"/>
          <w:lang w:val="en-US"/>
        </w:rPr>
        <w:t>i</w:t>
      </w:r>
      <w:proofErr w:type="spellEnd"/>
      <w:r w:rsidRPr="6F5B4044">
        <w:rPr>
          <w:rFonts w:eastAsia="Times New Roman"/>
          <w:lang w:val="en-US"/>
        </w:rPr>
        <w:t xml:space="preserve">) credit spreads from the EIOPA reference portfolio; </w:t>
      </w:r>
    </w:p>
    <w:p w14:paraId="7A110665" w14:textId="1CD931FD" w:rsidR="00D301CC" w:rsidRDefault="00EB70E4" w:rsidP="6F5B4044">
      <w:pPr>
        <w:spacing w:after="0" w:line="240" w:lineRule="auto"/>
        <w:jc w:val="both"/>
        <w:rPr>
          <w:rFonts w:eastAsia="Times New Roman"/>
          <w:lang w:val="en-US"/>
        </w:rPr>
      </w:pPr>
      <w:r w:rsidRPr="6F5B4044">
        <w:rPr>
          <w:rFonts w:eastAsia="Times New Roman"/>
          <w:lang w:val="en-US"/>
        </w:rPr>
        <w:t>ii) a suitable time series span which includes all relevant crisis event for European insurance companies (element which is not taken into account by the current proposal).</w:t>
      </w:r>
    </w:p>
    <w:p w14:paraId="5ACBB2B0" w14:textId="77777777" w:rsidR="003A4B7B" w:rsidRDefault="003A4B7B" w:rsidP="6F5B4044">
      <w:pPr>
        <w:spacing w:after="0" w:line="240" w:lineRule="auto"/>
        <w:jc w:val="both"/>
        <w:rPr>
          <w:rFonts w:eastAsia="Times New Roman"/>
          <w:lang w:val="en-US"/>
        </w:rPr>
      </w:pPr>
    </w:p>
    <w:p w14:paraId="2A1215A6" w14:textId="5CA1EE5C" w:rsidR="00D301CC" w:rsidRDefault="00544F36" w:rsidP="6F5B4044">
      <w:pPr>
        <w:spacing w:after="0" w:line="240" w:lineRule="auto"/>
        <w:jc w:val="both"/>
        <w:rPr>
          <w:rFonts w:eastAsia="Times New Roman"/>
          <w:b/>
          <w:bCs/>
          <w:lang w:val="en-US"/>
        </w:rPr>
      </w:pPr>
      <w:r w:rsidRPr="6F5B4044">
        <w:rPr>
          <w:rFonts w:eastAsia="Times New Roman"/>
          <w:b/>
          <w:bCs/>
          <w:lang w:val="en-US"/>
        </w:rPr>
        <w:t xml:space="preserve">The EC should </w:t>
      </w:r>
      <w:r w:rsidR="00766FD3" w:rsidRPr="6F5B4044">
        <w:rPr>
          <w:rFonts w:eastAsia="Times New Roman"/>
          <w:b/>
          <w:bCs/>
          <w:lang w:val="en-US"/>
        </w:rPr>
        <w:t xml:space="preserve">calibrate the </w:t>
      </w:r>
      <w:r w:rsidR="007137CC" w:rsidRPr="6F5B4044">
        <w:rPr>
          <w:rFonts w:eastAsia="Times New Roman"/>
          <w:b/>
          <w:bCs/>
          <w:lang w:val="en-US"/>
        </w:rPr>
        <w:t>specific parameters</w:t>
      </w:r>
      <w:r w:rsidRPr="6F5B4044">
        <w:rPr>
          <w:rFonts w:eastAsia="Times New Roman"/>
          <w:b/>
          <w:bCs/>
          <w:lang w:val="en-US"/>
        </w:rPr>
        <w:t xml:space="preserve"> based on a realistic assessment of the risks, keeping in mind how procyclicality should be kept at a minimum, in favor of a stable and well calibrated mechanism</w:t>
      </w:r>
      <w:r w:rsidR="007137CC" w:rsidRPr="6F5B4044">
        <w:rPr>
          <w:rFonts w:eastAsia="Times New Roman"/>
          <w:b/>
          <w:bCs/>
          <w:lang w:val="en-US"/>
        </w:rPr>
        <w:t xml:space="preserve"> which does not </w:t>
      </w:r>
      <w:r w:rsidR="00C86EC7" w:rsidRPr="6F5B4044">
        <w:rPr>
          <w:rFonts w:eastAsia="Times New Roman"/>
          <w:b/>
          <w:bCs/>
          <w:lang w:val="en-US"/>
        </w:rPr>
        <w:t>influence</w:t>
      </w:r>
      <w:r w:rsidRPr="6F5B4044">
        <w:rPr>
          <w:rFonts w:eastAsia="Times New Roman"/>
          <w:b/>
          <w:bCs/>
          <w:lang w:val="en-US"/>
        </w:rPr>
        <w:t xml:space="preserve"> insurers</w:t>
      </w:r>
      <w:r w:rsidR="00C86EC7" w:rsidRPr="6F5B4044">
        <w:rPr>
          <w:rFonts w:eastAsia="Times New Roman"/>
          <w:b/>
          <w:bCs/>
          <w:lang w:val="en-US"/>
        </w:rPr>
        <w:t>’</w:t>
      </w:r>
      <w:r w:rsidRPr="6F5B4044">
        <w:rPr>
          <w:rFonts w:eastAsia="Times New Roman"/>
          <w:b/>
          <w:bCs/>
          <w:lang w:val="en-US"/>
        </w:rPr>
        <w:t xml:space="preserve"> investment strategies</w:t>
      </w:r>
      <w:r w:rsidR="002B5755" w:rsidRPr="6F5B4044">
        <w:rPr>
          <w:rFonts w:eastAsia="Times New Roman"/>
          <w:b/>
          <w:bCs/>
          <w:lang w:val="en-US"/>
        </w:rPr>
        <w:t>.</w:t>
      </w:r>
    </w:p>
    <w:p w14:paraId="6CA83487" w14:textId="77777777" w:rsidR="002B5755" w:rsidRDefault="002B5755" w:rsidP="6F5B4044">
      <w:pPr>
        <w:spacing w:after="0" w:line="240" w:lineRule="auto"/>
        <w:jc w:val="both"/>
        <w:rPr>
          <w:rFonts w:eastAsia="Times New Roman"/>
          <w:b/>
          <w:bCs/>
          <w:lang w:val="en-US"/>
        </w:rPr>
      </w:pPr>
    </w:p>
    <w:p w14:paraId="07712F7F" w14:textId="15F7BBC2" w:rsidR="002B5755" w:rsidRPr="00FF2FCC" w:rsidRDefault="002B5755" w:rsidP="6F5B4044">
      <w:pPr>
        <w:spacing w:after="0" w:line="240" w:lineRule="auto"/>
        <w:jc w:val="both"/>
        <w:rPr>
          <w:rFonts w:eastAsia="Times New Roman"/>
          <w:lang w:val="en-US"/>
        </w:rPr>
      </w:pPr>
      <w:r w:rsidRPr="6F5B4044">
        <w:rPr>
          <w:rFonts w:eastAsia="Times New Roman"/>
          <w:lang w:val="en-US"/>
        </w:rPr>
        <w:t>In particular, the starting point of the calibration work should be to technically substantiate the Cap, which will in turn define percentages associated to the three scenarios envisaged by the agreemen</w:t>
      </w:r>
      <w:r w:rsidR="777C826C" w:rsidRPr="6F5B4044">
        <w:rPr>
          <w:rFonts w:eastAsia="Times New Roman"/>
          <w:lang w:val="en-US"/>
        </w:rPr>
        <w:t xml:space="preserve">t. </w:t>
      </w:r>
    </w:p>
    <w:p w14:paraId="09AC4771" w14:textId="77777777" w:rsidR="00E015D5" w:rsidRPr="00EA72C6" w:rsidRDefault="00E015D5" w:rsidP="00E015D5">
      <w:pPr>
        <w:spacing w:after="0" w:line="240" w:lineRule="auto"/>
        <w:rPr>
          <w:rFonts w:eastAsia="Times New Roman"/>
          <w:lang w:val="en-US"/>
        </w:rPr>
      </w:pPr>
    </w:p>
    <w:p w14:paraId="3D54F82D" w14:textId="77777777" w:rsidR="00C4167D" w:rsidRDefault="00C4167D">
      <w:pPr>
        <w:rPr>
          <w:b/>
          <w:bCs/>
          <w:lang w:val="en-US"/>
        </w:rPr>
      </w:pPr>
      <w:r>
        <w:rPr>
          <w:b/>
          <w:bCs/>
          <w:lang w:val="en-US"/>
        </w:rPr>
        <w:br w:type="page"/>
      </w:r>
    </w:p>
    <w:p w14:paraId="707F56C6" w14:textId="067E8C3F" w:rsidR="008A6B36" w:rsidRDefault="00634C62">
      <w:pPr>
        <w:rPr>
          <w:b/>
          <w:bCs/>
          <w:lang w:val="en-US"/>
        </w:rPr>
      </w:pPr>
      <w:r>
        <w:rPr>
          <w:b/>
          <w:bCs/>
          <w:lang w:val="en-US"/>
        </w:rPr>
        <w:t>The industry’s</w:t>
      </w:r>
      <w:r w:rsidR="00C4167D">
        <w:rPr>
          <w:b/>
          <w:bCs/>
          <w:lang w:val="en-US"/>
        </w:rPr>
        <w:t xml:space="preserve"> proposal for a </w:t>
      </w:r>
      <w:r w:rsidR="006A6AB7" w:rsidRPr="006A6AB7">
        <w:rPr>
          <w:b/>
          <w:bCs/>
          <w:lang w:val="en-US"/>
        </w:rPr>
        <w:t>risk-based and justified calibration</w:t>
      </w:r>
    </w:p>
    <w:p w14:paraId="7192A142" w14:textId="7188FA3B" w:rsidR="00540191" w:rsidRPr="00FF2FCC" w:rsidRDefault="00540191" w:rsidP="6F5B4044">
      <w:pPr>
        <w:jc w:val="both"/>
        <w:rPr>
          <w:lang w:val="en-US"/>
        </w:rPr>
      </w:pPr>
      <w:r w:rsidRPr="6F5B4044">
        <w:rPr>
          <w:lang w:val="en-US"/>
        </w:rPr>
        <w:t xml:space="preserve">As underlined in the above section, an appropriate calibration of the risk correction and, therefore, of a reasonable cap expressed in terms of long-term averages spreads (LTAS) and </w:t>
      </w:r>
      <w:r w:rsidR="0063706D" w:rsidRPr="6F5B4044">
        <w:rPr>
          <w:lang w:val="en-US"/>
        </w:rPr>
        <w:t>consistent</w:t>
      </w:r>
      <w:r w:rsidR="004D5030" w:rsidRPr="6F5B4044">
        <w:rPr>
          <w:lang w:val="en-US"/>
        </w:rPr>
        <w:t xml:space="preserve"> </w:t>
      </w:r>
      <w:r w:rsidR="00657B2D" w:rsidRPr="6F5B4044">
        <w:rPr>
          <w:lang w:val="en-US"/>
        </w:rPr>
        <w:t>percentages associated to the three tiers</w:t>
      </w:r>
      <w:r w:rsidRPr="6F5B4044">
        <w:rPr>
          <w:lang w:val="en-US"/>
        </w:rPr>
        <w:t>, should be based on historical evidence and on a “realistic assessment of expected losses, unexpected credit risk or any other risk</w:t>
      </w:r>
      <w:bookmarkStart w:id="2" w:name="_Int_yc7FyVSF"/>
      <w:r w:rsidRPr="6F5B4044">
        <w:rPr>
          <w:lang w:val="en-US"/>
        </w:rPr>
        <w:t>”.</w:t>
      </w:r>
      <w:bookmarkEnd w:id="2"/>
    </w:p>
    <w:p w14:paraId="09BB0E48" w14:textId="12DCDB65" w:rsidR="00142574" w:rsidRDefault="005F44B9" w:rsidP="6F5B4044">
      <w:pPr>
        <w:pStyle w:val="Odsekzoznamu"/>
        <w:numPr>
          <w:ilvl w:val="0"/>
          <w:numId w:val="10"/>
        </w:numPr>
        <w:ind w:left="284" w:hanging="284"/>
        <w:jc w:val="both"/>
        <w:rPr>
          <w:lang w:val="en-US"/>
        </w:rPr>
      </w:pPr>
      <w:r w:rsidRPr="6F5B4044">
        <w:rPr>
          <w:lang w:val="en-US"/>
        </w:rPr>
        <w:t>Therefore, t</w:t>
      </w:r>
      <w:r w:rsidR="0037076A" w:rsidRPr="6F5B4044">
        <w:rPr>
          <w:lang w:val="en-US"/>
        </w:rPr>
        <w:t>aking</w:t>
      </w:r>
      <w:r w:rsidR="00903FEF" w:rsidRPr="6F5B4044">
        <w:rPr>
          <w:lang w:val="en-US"/>
        </w:rPr>
        <w:t xml:space="preserve"> real wor</w:t>
      </w:r>
      <w:r w:rsidR="00C363D9" w:rsidRPr="6F5B4044">
        <w:rPr>
          <w:lang w:val="en-US"/>
        </w:rPr>
        <w:t>l</w:t>
      </w:r>
      <w:r w:rsidR="00903FEF" w:rsidRPr="6F5B4044">
        <w:rPr>
          <w:lang w:val="en-US"/>
        </w:rPr>
        <w:t xml:space="preserve">d </w:t>
      </w:r>
      <w:r w:rsidR="006C1004" w:rsidRPr="6F5B4044">
        <w:rPr>
          <w:lang w:val="en-US"/>
        </w:rPr>
        <w:t xml:space="preserve">statistics on </w:t>
      </w:r>
      <w:r w:rsidR="00903FEF" w:rsidRPr="6F5B4044">
        <w:rPr>
          <w:lang w:val="en-US"/>
        </w:rPr>
        <w:t xml:space="preserve">defaults </w:t>
      </w:r>
      <w:r w:rsidR="006C1004" w:rsidRPr="6F5B4044">
        <w:rPr>
          <w:lang w:val="en-US"/>
        </w:rPr>
        <w:t xml:space="preserve">and rating transitions </w:t>
      </w:r>
      <w:r w:rsidR="0037076A" w:rsidRPr="6F5B4044">
        <w:rPr>
          <w:lang w:val="en-US"/>
        </w:rPr>
        <w:t>as a reference</w:t>
      </w:r>
      <w:r w:rsidR="00C363D9" w:rsidRPr="6F5B4044">
        <w:rPr>
          <w:lang w:val="en-US"/>
        </w:rPr>
        <w:t xml:space="preserve">, </w:t>
      </w:r>
      <w:r w:rsidR="004D7CE3" w:rsidRPr="6F5B4044">
        <w:rPr>
          <w:lang w:val="en-US"/>
        </w:rPr>
        <w:t>the</w:t>
      </w:r>
      <w:r w:rsidR="00903FEF" w:rsidRPr="6F5B4044">
        <w:rPr>
          <w:lang w:val="en-US"/>
        </w:rPr>
        <w:t xml:space="preserve"> proposed approach </w:t>
      </w:r>
      <w:r w:rsidR="0016254D" w:rsidRPr="6F5B4044">
        <w:rPr>
          <w:lang w:val="en-US"/>
        </w:rPr>
        <w:t>is</w:t>
      </w:r>
      <w:r w:rsidR="00781F1D" w:rsidRPr="6F5B4044">
        <w:rPr>
          <w:lang w:val="en-US"/>
        </w:rPr>
        <w:t xml:space="preserve"> </w:t>
      </w:r>
      <w:r w:rsidR="009A6945" w:rsidRPr="6F5B4044">
        <w:rPr>
          <w:lang w:val="en-US"/>
        </w:rPr>
        <w:t>based on the following</w:t>
      </w:r>
      <w:r w:rsidR="00CF10BF" w:rsidRPr="6F5B4044">
        <w:rPr>
          <w:lang w:val="en-US"/>
        </w:rPr>
        <w:t xml:space="preserve"> </w:t>
      </w:r>
      <w:proofErr w:type="spellStart"/>
      <w:proofErr w:type="gramStart"/>
      <w:r w:rsidR="00DF53F7" w:rsidRPr="6F5B4044">
        <w:rPr>
          <w:lang w:val="en-US"/>
        </w:rPr>
        <w:t>input</w:t>
      </w:r>
      <w:r w:rsidR="00CF10BF" w:rsidRPr="6F5B4044">
        <w:rPr>
          <w:lang w:val="en-US"/>
        </w:rPr>
        <w:t>s</w:t>
      </w:r>
      <w:r w:rsidR="009A6945" w:rsidRPr="6F5B4044">
        <w:rPr>
          <w:lang w:val="en-US"/>
        </w:rPr>
        <w:t>:</w:t>
      </w:r>
      <w:r w:rsidR="00142574" w:rsidRPr="6F5B4044">
        <w:rPr>
          <w:lang w:val="en-US"/>
        </w:rPr>
        <w:t>time</w:t>
      </w:r>
      <w:proofErr w:type="spellEnd"/>
      <w:proofErr w:type="gramEnd"/>
      <w:r w:rsidR="00142574" w:rsidRPr="6F5B4044">
        <w:rPr>
          <w:lang w:val="en-US"/>
        </w:rPr>
        <w:t xml:space="preserve"> series regarding daily European market spreads </w:t>
      </w:r>
      <w:r w:rsidR="007A73F2" w:rsidRPr="6F5B4044">
        <w:rPr>
          <w:lang w:val="en-US"/>
        </w:rPr>
        <w:t xml:space="preserve">and including </w:t>
      </w:r>
      <w:r w:rsidR="00AB6EBC" w:rsidRPr="6F5B4044">
        <w:rPr>
          <w:lang w:val="en-US"/>
        </w:rPr>
        <w:t xml:space="preserve">the most important crisis event related to </w:t>
      </w:r>
      <w:r w:rsidR="000F7DE3" w:rsidRPr="6F5B4044">
        <w:rPr>
          <w:lang w:val="en-US"/>
        </w:rPr>
        <w:t>this market;</w:t>
      </w:r>
    </w:p>
    <w:p w14:paraId="30EFE450" w14:textId="15719112" w:rsidR="009A6945" w:rsidRDefault="009A6945" w:rsidP="6F5B4044">
      <w:pPr>
        <w:pStyle w:val="Odsekzoznamu"/>
        <w:numPr>
          <w:ilvl w:val="0"/>
          <w:numId w:val="10"/>
        </w:numPr>
        <w:ind w:left="284" w:hanging="284"/>
        <w:jc w:val="both"/>
        <w:rPr>
          <w:lang w:val="en-US"/>
        </w:rPr>
      </w:pPr>
      <w:r w:rsidRPr="6F5B4044">
        <w:rPr>
          <w:lang w:val="en-US"/>
        </w:rPr>
        <w:t xml:space="preserve">most severe historical probabilities of defaults </w:t>
      </w:r>
      <w:r w:rsidR="006C1004" w:rsidRPr="6F5B4044">
        <w:rPr>
          <w:lang w:val="en-US"/>
        </w:rPr>
        <w:t xml:space="preserve">and rating transitions </w:t>
      </w:r>
      <w:r w:rsidRPr="6F5B4044">
        <w:rPr>
          <w:lang w:val="en-US"/>
        </w:rPr>
        <w:t>observed in the last decades</w:t>
      </w:r>
      <w:r w:rsidR="00985DDD" w:rsidRPr="6F5B4044">
        <w:rPr>
          <w:lang w:val="en-US"/>
        </w:rPr>
        <w:t>;</w:t>
      </w:r>
    </w:p>
    <w:p w14:paraId="670618ED" w14:textId="3E55F44A" w:rsidR="00382382" w:rsidRPr="00FF2FCC" w:rsidRDefault="005F2982" w:rsidP="6F5B4044">
      <w:pPr>
        <w:pStyle w:val="Odsekzoznamu"/>
        <w:numPr>
          <w:ilvl w:val="0"/>
          <w:numId w:val="10"/>
        </w:numPr>
        <w:ind w:left="284" w:hanging="284"/>
        <w:jc w:val="both"/>
        <w:rPr>
          <w:lang w:val="en-US"/>
        </w:rPr>
      </w:pPr>
      <w:r w:rsidRPr="6F5B4044">
        <w:rPr>
          <w:lang w:val="en-US"/>
        </w:rPr>
        <w:t xml:space="preserve">use of </w:t>
      </w:r>
      <w:r w:rsidR="00382382" w:rsidRPr="6F5B4044">
        <w:rPr>
          <w:lang w:val="en-US"/>
        </w:rPr>
        <w:t>EIOPA’s reference portfolio</w:t>
      </w:r>
      <w:r w:rsidRPr="6F5B4044">
        <w:rPr>
          <w:lang w:val="en-US"/>
        </w:rPr>
        <w:t>.</w:t>
      </w:r>
    </w:p>
    <w:p w14:paraId="7916C4E5" w14:textId="53F1B544" w:rsidR="00307F77" w:rsidRPr="00FF2FCC" w:rsidRDefault="00307F77" w:rsidP="6F5B4044">
      <w:pPr>
        <w:jc w:val="both"/>
        <w:rPr>
          <w:lang w:val="en-US"/>
        </w:rPr>
      </w:pPr>
      <w:r w:rsidRPr="6F5B4044">
        <w:rPr>
          <w:lang w:val="en-US"/>
        </w:rPr>
        <w:t xml:space="preserve">The </w:t>
      </w:r>
      <w:r w:rsidR="00DF53F7" w:rsidRPr="6F5B4044">
        <w:rPr>
          <w:lang w:val="en-US"/>
        </w:rPr>
        <w:t xml:space="preserve">logic </w:t>
      </w:r>
      <w:r w:rsidR="00616D4F" w:rsidRPr="6F5B4044">
        <w:rPr>
          <w:lang w:val="en-US"/>
        </w:rPr>
        <w:t>behind</w:t>
      </w:r>
      <w:r w:rsidR="005E1E82" w:rsidRPr="6F5B4044">
        <w:rPr>
          <w:lang w:val="en-US"/>
        </w:rPr>
        <w:t xml:space="preserve"> the approach is to:</w:t>
      </w:r>
    </w:p>
    <w:p w14:paraId="5F76A92C" w14:textId="4F45C31C" w:rsidR="005F2982" w:rsidRPr="005F2982" w:rsidRDefault="00F453DC" w:rsidP="6F5B4044">
      <w:pPr>
        <w:pStyle w:val="Odsekzoznamu"/>
        <w:numPr>
          <w:ilvl w:val="0"/>
          <w:numId w:val="12"/>
        </w:numPr>
        <w:ind w:left="284" w:hanging="284"/>
        <w:jc w:val="both"/>
        <w:rPr>
          <w:lang w:val="en-US"/>
        </w:rPr>
      </w:pPr>
      <w:r w:rsidRPr="6F5B4044">
        <w:rPr>
          <w:lang w:val="en-US"/>
        </w:rPr>
        <w:t>c</w:t>
      </w:r>
      <w:r w:rsidR="00307F77" w:rsidRPr="6F5B4044">
        <w:rPr>
          <w:lang w:val="en-US"/>
        </w:rPr>
        <w:t>alibrat</w:t>
      </w:r>
      <w:r w:rsidR="005E1E82" w:rsidRPr="6F5B4044">
        <w:rPr>
          <w:lang w:val="en-US"/>
        </w:rPr>
        <w:t>e</w:t>
      </w:r>
      <w:r w:rsidR="00307F77" w:rsidRPr="6F5B4044">
        <w:rPr>
          <w:lang w:val="en-US"/>
        </w:rPr>
        <w:t xml:space="preserve"> the percentage of the long-term average spreads acting as a cap (CAP%), based on historical evidence representing a realistic assessment of </w:t>
      </w:r>
      <w:r w:rsidR="006C1004" w:rsidRPr="6F5B4044">
        <w:rPr>
          <w:lang w:val="en-US"/>
        </w:rPr>
        <w:t>defaults and rating transitions rates</w:t>
      </w:r>
      <w:r w:rsidR="00307F77" w:rsidRPr="6F5B4044">
        <w:rPr>
          <w:lang w:val="en-US"/>
        </w:rPr>
        <w:t>.</w:t>
      </w:r>
    </w:p>
    <w:p w14:paraId="6B3FAAEA" w14:textId="0C1234D1" w:rsidR="00E26D6F" w:rsidRPr="00FF2FCC" w:rsidRDefault="005E1E82" w:rsidP="6F5B4044">
      <w:pPr>
        <w:pStyle w:val="Odsekzoznamu"/>
        <w:numPr>
          <w:ilvl w:val="0"/>
          <w:numId w:val="12"/>
        </w:numPr>
        <w:ind w:left="284" w:hanging="284"/>
        <w:jc w:val="both"/>
        <w:rPr>
          <w:lang w:val="en-US"/>
        </w:rPr>
      </w:pPr>
      <w:r w:rsidRPr="6F5B4044">
        <w:rPr>
          <w:lang w:val="en-US"/>
        </w:rPr>
        <w:t>c</w:t>
      </w:r>
      <w:r w:rsidR="00307F77" w:rsidRPr="6F5B4044">
        <w:rPr>
          <w:lang w:val="en-US"/>
        </w:rPr>
        <w:t>alibrat</w:t>
      </w:r>
      <w:r w:rsidRPr="6F5B4044">
        <w:rPr>
          <w:lang w:val="en-US"/>
        </w:rPr>
        <w:t>e</w:t>
      </w:r>
      <w:r w:rsidR="00307F77" w:rsidRPr="6F5B4044">
        <w:rPr>
          <w:lang w:val="en-US"/>
        </w:rPr>
        <w:t xml:space="preserve"> the 3-</w:t>
      </w:r>
      <w:r w:rsidR="00616D4F" w:rsidRPr="6F5B4044">
        <w:rPr>
          <w:lang w:val="en-US"/>
        </w:rPr>
        <w:t>tier</w:t>
      </w:r>
      <w:r w:rsidR="00307F77" w:rsidRPr="6F5B4044">
        <w:rPr>
          <w:lang w:val="en-US"/>
        </w:rPr>
        <w:t xml:space="preserve"> percentages, based on the historical data used to calibrate the cap and on the new definition of risk correction which states that these percentages decrease as spread increases. Moreover, in order </w:t>
      </w:r>
      <w:r w:rsidR="2C1E9923" w:rsidRPr="6F5B4044">
        <w:rPr>
          <w:lang w:val="en-US"/>
        </w:rPr>
        <w:t xml:space="preserve">for </w:t>
      </w:r>
      <w:r w:rsidR="00307F77" w:rsidRPr="6F5B4044">
        <w:rPr>
          <w:lang w:val="en-US"/>
        </w:rPr>
        <w:t xml:space="preserve">the risk correction formula to be consistent, </w:t>
      </w:r>
      <w:r w:rsidR="25883C7F" w:rsidRPr="6F5B4044">
        <w:rPr>
          <w:lang w:val="en-US"/>
        </w:rPr>
        <w:t>the</w:t>
      </w:r>
      <w:r w:rsidR="00307F77" w:rsidRPr="6F5B4044">
        <w:rPr>
          <w:lang w:val="en-US"/>
        </w:rPr>
        <w:t xml:space="preserve"> percentages should be such that the percentages related to the first two </w:t>
      </w:r>
      <w:r w:rsidR="00616D4F" w:rsidRPr="6F5B4044">
        <w:rPr>
          <w:lang w:val="en-US"/>
        </w:rPr>
        <w:t>tiers</w:t>
      </w:r>
      <w:r w:rsidR="00307F77" w:rsidRPr="6F5B4044">
        <w:rPr>
          <w:lang w:val="en-US"/>
        </w:rPr>
        <w:t xml:space="preserve"> should not be higher than the percentage related to the cap.</w:t>
      </w:r>
    </w:p>
    <w:p w14:paraId="24F22572" w14:textId="791823DD" w:rsidR="00E26D6F" w:rsidRDefault="00BD5760">
      <w:pPr>
        <w:rPr>
          <w:b/>
          <w:bCs/>
          <w:lang w:val="en-US"/>
        </w:rPr>
      </w:pPr>
      <w:r>
        <w:rPr>
          <w:b/>
          <w:bCs/>
          <w:lang w:val="en-US"/>
        </w:rPr>
        <w:t>Summary of the methodological approach:</w:t>
      </w:r>
    </w:p>
    <w:p w14:paraId="433D1464" w14:textId="1473626D" w:rsidR="00BD5760" w:rsidRDefault="0029525C" w:rsidP="6F5B4044">
      <w:pPr>
        <w:jc w:val="both"/>
        <w:rPr>
          <w:lang w:val="en-US"/>
        </w:rPr>
      </w:pPr>
      <w:r w:rsidRPr="6F5B4044">
        <w:rPr>
          <w:b/>
          <w:bCs/>
          <w:lang w:val="en-US"/>
        </w:rPr>
        <w:t xml:space="preserve">Step 1: </w:t>
      </w:r>
      <w:r w:rsidR="00BF2F7C" w:rsidRPr="6F5B4044">
        <w:rPr>
          <w:lang w:val="en-US"/>
        </w:rPr>
        <w:t>estimate</w:t>
      </w:r>
      <w:r w:rsidR="00E33AC7" w:rsidRPr="6F5B4044">
        <w:rPr>
          <w:lang w:val="en-US"/>
        </w:rPr>
        <w:t xml:space="preserve">, from Jan-2008 to Feb-2024, </w:t>
      </w:r>
      <w:r w:rsidR="00BF2F7C" w:rsidRPr="6F5B4044">
        <w:rPr>
          <w:lang w:val="en-US"/>
        </w:rPr>
        <w:t xml:space="preserve">the </w:t>
      </w:r>
      <w:r w:rsidR="00B5355D" w:rsidRPr="6F5B4044">
        <w:rPr>
          <w:lang w:val="en-US"/>
        </w:rPr>
        <w:t xml:space="preserve">risk correction </w:t>
      </w:r>
      <w:r w:rsidR="00E33AC7" w:rsidRPr="6F5B4044">
        <w:rPr>
          <w:lang w:val="en-US"/>
        </w:rPr>
        <w:t xml:space="preserve">as </w:t>
      </w:r>
      <w:r w:rsidR="00B5355D" w:rsidRPr="6F5B4044">
        <w:rPr>
          <w:lang w:val="en-US"/>
        </w:rPr>
        <w:t xml:space="preserve">the </w:t>
      </w:r>
      <w:r w:rsidR="00BF2F7C" w:rsidRPr="6F5B4044">
        <w:rPr>
          <w:lang w:val="en-US"/>
        </w:rPr>
        <w:t xml:space="preserve">portion of the credit spread </w:t>
      </w:r>
      <w:r w:rsidR="0049494C" w:rsidRPr="6F5B4044">
        <w:rPr>
          <w:lang w:val="en-US"/>
        </w:rPr>
        <w:t>(</w:t>
      </w:r>
      <w:r w:rsidR="001A2631" w:rsidRPr="6F5B4044">
        <w:rPr>
          <w:lang w:val="en-US"/>
        </w:rPr>
        <w:t xml:space="preserve">based on </w:t>
      </w:r>
      <w:r w:rsidR="003631E5" w:rsidRPr="6F5B4044">
        <w:rPr>
          <w:lang w:val="en-US"/>
        </w:rPr>
        <w:t>EIOPA’s reference portfolio</w:t>
      </w:r>
      <w:r w:rsidR="0049494C" w:rsidRPr="6F5B4044">
        <w:rPr>
          <w:lang w:val="en-US"/>
        </w:rPr>
        <w:t>)</w:t>
      </w:r>
      <w:r w:rsidR="003631E5" w:rsidRPr="6F5B4044">
        <w:rPr>
          <w:lang w:val="en-US"/>
        </w:rPr>
        <w:t xml:space="preserve"> </w:t>
      </w:r>
      <w:r w:rsidR="00BF2F7C" w:rsidRPr="6F5B4044">
        <w:rPr>
          <w:lang w:val="en-US"/>
        </w:rPr>
        <w:t xml:space="preserve">attributable to </w:t>
      </w:r>
      <w:r w:rsidR="006C1004" w:rsidRPr="6F5B4044">
        <w:rPr>
          <w:lang w:val="en-US"/>
        </w:rPr>
        <w:t>defaults and rating transition rates</w:t>
      </w:r>
      <w:r w:rsidR="00BF2F7C" w:rsidRPr="6F5B4044">
        <w:rPr>
          <w:lang w:val="en-US"/>
        </w:rPr>
        <w:t xml:space="preserve"> as a proxy for “expected losses, unexpected credit risk or any other risk” using the frequencies of defaults</w:t>
      </w:r>
      <w:r w:rsidR="006C1004" w:rsidRPr="6F5B4044">
        <w:rPr>
          <w:lang w:val="en-US"/>
        </w:rPr>
        <w:t xml:space="preserve"> and rating transitions</w:t>
      </w:r>
      <w:r w:rsidR="00BF2F7C" w:rsidRPr="6F5B4044">
        <w:rPr>
          <w:lang w:val="en-US"/>
        </w:rPr>
        <w:t xml:space="preserve"> observed during 2009</w:t>
      </w:r>
      <w:r w:rsidR="00E7652E" w:rsidRPr="6F5B4044">
        <w:rPr>
          <w:lang w:val="en-US"/>
        </w:rPr>
        <w:t xml:space="preserve">, </w:t>
      </w:r>
      <w:r w:rsidR="00FE2A4A" w:rsidRPr="6F5B4044">
        <w:rPr>
          <w:lang w:val="en-US"/>
        </w:rPr>
        <w:t xml:space="preserve">following the financial </w:t>
      </w:r>
      <w:r w:rsidR="00E7652E" w:rsidRPr="6F5B4044">
        <w:rPr>
          <w:lang w:val="en-US"/>
        </w:rPr>
        <w:t>turbulences</w:t>
      </w:r>
      <w:r w:rsidR="00FE2A4A" w:rsidRPr="6F5B4044">
        <w:rPr>
          <w:lang w:val="en-US"/>
        </w:rPr>
        <w:t xml:space="preserve"> triggered by the Lehman Brothers bankrupt</w:t>
      </w:r>
      <w:r w:rsidR="001A2631" w:rsidRPr="6F5B4044">
        <w:rPr>
          <w:lang w:val="en-US"/>
        </w:rPr>
        <w:t xml:space="preserve"> (</w:t>
      </w:r>
      <w:r w:rsidR="00E7652E" w:rsidRPr="6F5B4044">
        <w:rPr>
          <w:lang w:val="en-US"/>
        </w:rPr>
        <w:t>which</w:t>
      </w:r>
      <w:r w:rsidR="00FE2A4A" w:rsidRPr="6F5B4044">
        <w:rPr>
          <w:lang w:val="en-US"/>
        </w:rPr>
        <w:t xml:space="preserve"> have been identified as the most severe </w:t>
      </w:r>
      <w:r w:rsidR="00E7652E" w:rsidRPr="6F5B4044">
        <w:rPr>
          <w:lang w:val="en-US"/>
        </w:rPr>
        <w:t xml:space="preserve">crisis </w:t>
      </w:r>
      <w:r w:rsidR="00FE2A4A" w:rsidRPr="6F5B4044">
        <w:rPr>
          <w:lang w:val="en-US"/>
        </w:rPr>
        <w:t>in the last decades</w:t>
      </w:r>
      <w:r w:rsidR="001A2631" w:rsidRPr="6F5B4044">
        <w:rPr>
          <w:lang w:val="en-US"/>
        </w:rPr>
        <w:t>)</w:t>
      </w:r>
      <w:r w:rsidR="00FE2A4A" w:rsidRPr="6F5B4044">
        <w:rPr>
          <w:lang w:val="en-US"/>
        </w:rPr>
        <w:t>.</w:t>
      </w:r>
      <w:r w:rsidR="00444B99" w:rsidRPr="6F5B4044">
        <w:rPr>
          <w:lang w:val="en-US"/>
        </w:rPr>
        <w:t xml:space="preserve"> The calculation i</w:t>
      </w:r>
      <w:r w:rsidR="001A2631" w:rsidRPr="6F5B4044">
        <w:rPr>
          <w:lang w:val="en-US"/>
        </w:rPr>
        <w:t>s</w:t>
      </w:r>
      <w:r w:rsidR="00444B99" w:rsidRPr="6F5B4044">
        <w:rPr>
          <w:lang w:val="en-US"/>
        </w:rPr>
        <w:t xml:space="preserve"> performed for each point in time along the whole </w:t>
      </w:r>
      <w:r w:rsidR="00734275" w:rsidRPr="6F5B4044">
        <w:rPr>
          <w:lang w:val="en-US"/>
        </w:rPr>
        <w:t>time series considered.</w:t>
      </w:r>
    </w:p>
    <w:p w14:paraId="12A6F9E2" w14:textId="77777777" w:rsidR="00522F1C" w:rsidRDefault="0049494C" w:rsidP="6F5B4044">
      <w:pPr>
        <w:jc w:val="both"/>
        <w:rPr>
          <w:lang w:val="en-US"/>
        </w:rPr>
      </w:pPr>
      <w:r w:rsidRPr="6F5B4044">
        <w:rPr>
          <w:b/>
          <w:bCs/>
          <w:lang w:val="en-US"/>
        </w:rPr>
        <w:t>Step 2</w:t>
      </w:r>
      <w:r w:rsidRPr="6F5B4044">
        <w:rPr>
          <w:lang w:val="en-US"/>
        </w:rPr>
        <w:t xml:space="preserve">: </w:t>
      </w:r>
      <w:r w:rsidR="00746B1D" w:rsidRPr="6F5B4044">
        <w:rPr>
          <w:lang w:val="en-US"/>
        </w:rPr>
        <w:t xml:space="preserve">calculate the </w:t>
      </w:r>
      <w:r w:rsidR="00734275" w:rsidRPr="6F5B4044">
        <w:rPr>
          <w:lang w:val="en-US"/>
        </w:rPr>
        <w:t xml:space="preserve">empirical distribution of the </w:t>
      </w:r>
      <w:r w:rsidR="00746B1D" w:rsidRPr="6F5B4044">
        <w:rPr>
          <w:lang w:val="en-US"/>
        </w:rPr>
        <w:t>portion of LTAS attributable to those risks</w:t>
      </w:r>
      <w:r w:rsidR="00522F1C" w:rsidRPr="6F5B4044">
        <w:rPr>
          <w:lang w:val="en-US"/>
        </w:rPr>
        <w:t>;</w:t>
      </w:r>
    </w:p>
    <w:p w14:paraId="1FF40DC5" w14:textId="32434EB1" w:rsidR="0049494C" w:rsidRDefault="00522F1C" w:rsidP="6F5B4044">
      <w:pPr>
        <w:jc w:val="both"/>
        <w:rPr>
          <w:lang w:val="en-US"/>
        </w:rPr>
      </w:pPr>
      <w:r w:rsidRPr="6F5B4044">
        <w:rPr>
          <w:b/>
          <w:bCs/>
          <w:lang w:val="en-US"/>
        </w:rPr>
        <w:t>Step 3</w:t>
      </w:r>
      <w:r w:rsidRPr="6F5B4044">
        <w:rPr>
          <w:lang w:val="en-US"/>
        </w:rPr>
        <w:t xml:space="preserve">: </w:t>
      </w:r>
      <w:r w:rsidR="00444B99" w:rsidRPr="6F5B4044">
        <w:rPr>
          <w:lang w:val="en-US"/>
        </w:rPr>
        <w:t xml:space="preserve"> </w:t>
      </w:r>
      <w:r w:rsidRPr="6F5B4044">
        <w:rPr>
          <w:lang w:val="en-US"/>
        </w:rPr>
        <w:t>estimate the CAP% as an appropriate percentile from the distribution of the values obtained in previous step;</w:t>
      </w:r>
    </w:p>
    <w:p w14:paraId="5DFD364D" w14:textId="22E071C2" w:rsidR="004037C2" w:rsidRDefault="00F8339F" w:rsidP="6F5B4044">
      <w:pPr>
        <w:jc w:val="both"/>
        <w:rPr>
          <w:lang w:val="en-US"/>
        </w:rPr>
      </w:pPr>
      <w:r w:rsidRPr="6F5B4044">
        <w:rPr>
          <w:b/>
          <w:bCs/>
          <w:lang w:val="en-US"/>
        </w:rPr>
        <w:t>Step 4</w:t>
      </w:r>
      <w:r w:rsidRPr="6F5B4044">
        <w:rPr>
          <w:lang w:val="en-US"/>
        </w:rPr>
        <w:t xml:space="preserve">: calibrate the </w:t>
      </w:r>
      <w:r w:rsidR="0076021B" w:rsidRPr="6F5B4044">
        <w:rPr>
          <w:lang w:val="en-US"/>
        </w:rPr>
        <w:t>three</w:t>
      </w:r>
      <w:r w:rsidRPr="6F5B4044">
        <w:rPr>
          <w:lang w:val="en-US"/>
        </w:rPr>
        <w:t xml:space="preserve"> percentages</w:t>
      </w:r>
      <w:r w:rsidR="0076021B" w:rsidRPr="6F5B4044">
        <w:rPr>
          <w:lang w:val="en-US"/>
        </w:rPr>
        <w:t xml:space="preserve"> </w:t>
      </w:r>
      <w:r w:rsidR="00F642FB" w:rsidRPr="6F5B4044">
        <w:rPr>
          <w:lang w:val="en-US"/>
        </w:rPr>
        <w:t xml:space="preserve">which determine </w:t>
      </w:r>
      <w:r w:rsidR="0076021B" w:rsidRPr="6F5B4044">
        <w:rPr>
          <w:lang w:val="en-US"/>
        </w:rPr>
        <w:t xml:space="preserve">the </w:t>
      </w:r>
      <w:r w:rsidR="00F642FB" w:rsidRPr="6F5B4044">
        <w:rPr>
          <w:lang w:val="en-US"/>
        </w:rPr>
        <w:t xml:space="preserve">value of the </w:t>
      </w:r>
      <w:r w:rsidR="0076021B" w:rsidRPr="6F5B4044">
        <w:rPr>
          <w:lang w:val="en-US"/>
        </w:rPr>
        <w:t xml:space="preserve">risk correction </w:t>
      </w:r>
      <w:r w:rsidR="004037C2" w:rsidRPr="6F5B4044">
        <w:rPr>
          <w:lang w:val="en-US"/>
        </w:rPr>
        <w:t>coherently with the estimated cap and with the data used in the previous steps.</w:t>
      </w:r>
    </w:p>
    <w:p w14:paraId="159B7722" w14:textId="7B11916C" w:rsidR="00196DC8" w:rsidRPr="00196DC8" w:rsidRDefault="00196DC8" w:rsidP="6F5B4044">
      <w:pPr>
        <w:jc w:val="both"/>
        <w:rPr>
          <w:lang w:val="en-US"/>
        </w:rPr>
      </w:pPr>
      <w:r w:rsidRPr="6F5B4044">
        <w:rPr>
          <w:lang w:val="en-US"/>
        </w:rPr>
        <w:t xml:space="preserve">According to our analysis, observed data on </w:t>
      </w:r>
      <w:r w:rsidR="00E33AC7" w:rsidRPr="6F5B4044">
        <w:rPr>
          <w:lang w:val="en-US"/>
        </w:rPr>
        <w:t xml:space="preserve">corporate </w:t>
      </w:r>
      <w:r w:rsidRPr="6F5B4044">
        <w:rPr>
          <w:lang w:val="en-US"/>
        </w:rPr>
        <w:t xml:space="preserve">market spread including the most severe crisis periods experienced by European insurance companies and based on </w:t>
      </w:r>
      <w:r w:rsidR="00580A12" w:rsidRPr="6F5B4044">
        <w:rPr>
          <w:lang w:val="en-US"/>
        </w:rPr>
        <w:t xml:space="preserve">EIOPA’s reference portfolios </w:t>
      </w:r>
      <w:r w:rsidRPr="6F5B4044">
        <w:rPr>
          <w:lang w:val="en-US"/>
        </w:rPr>
        <w:t xml:space="preserve">would justify </w:t>
      </w:r>
      <w:r w:rsidR="00580A12" w:rsidRPr="6F5B4044">
        <w:rPr>
          <w:lang w:val="en-US"/>
        </w:rPr>
        <w:t>the following calib</w:t>
      </w:r>
      <w:r w:rsidR="00A04A27" w:rsidRPr="6F5B4044">
        <w:rPr>
          <w:lang w:val="en-US"/>
        </w:rPr>
        <w:t>rations:</w:t>
      </w:r>
    </w:p>
    <w:p w14:paraId="0B061A7A" w14:textId="728366CA" w:rsidR="00BA0029" w:rsidRDefault="00BA0029" w:rsidP="00E7652E">
      <w:pPr>
        <w:rPr>
          <w:lang w:val="en-US"/>
        </w:rPr>
      </w:pPr>
      <w:r>
        <w:rPr>
          <w:lang w:val="en-US"/>
        </w:rPr>
        <w:t>For corporate bonds:</w:t>
      </w:r>
    </w:p>
    <w:p w14:paraId="2958A381" w14:textId="77777777" w:rsidR="00A40E9A" w:rsidRDefault="001354A9" w:rsidP="00A40E9A">
      <w:pPr>
        <w:pStyle w:val="Odsekzoznamu"/>
        <w:numPr>
          <w:ilvl w:val="0"/>
          <w:numId w:val="12"/>
        </w:numPr>
        <w:rPr>
          <w:lang w:val="en-US"/>
        </w:rPr>
      </w:pPr>
      <w:r>
        <w:rPr>
          <w:lang w:val="en-US"/>
        </w:rPr>
        <w:t xml:space="preserve">A value for the cap% equal to </w:t>
      </w:r>
      <w:r w:rsidR="00A20C34">
        <w:rPr>
          <w:lang w:val="en-US"/>
        </w:rPr>
        <w:t>6</w:t>
      </w:r>
      <w:r w:rsidR="00FA6C80">
        <w:rPr>
          <w:lang w:val="en-US"/>
        </w:rPr>
        <w:t xml:space="preserve">0% </w:t>
      </w:r>
    </w:p>
    <w:p w14:paraId="215D66C6" w14:textId="20CE672B" w:rsidR="009528B0" w:rsidRPr="00A40E9A" w:rsidRDefault="005A32E2" w:rsidP="00A40E9A">
      <w:pPr>
        <w:pStyle w:val="Odsekzoznamu"/>
        <w:numPr>
          <w:ilvl w:val="0"/>
          <w:numId w:val="12"/>
        </w:numPr>
        <w:rPr>
          <w:lang w:val="en-US"/>
        </w:rPr>
      </w:pPr>
      <w:r w:rsidRPr="00A40E9A">
        <w:rPr>
          <w:lang w:val="en-US"/>
        </w:rPr>
        <w:t xml:space="preserve">Percentages </w:t>
      </w:r>
      <w:r w:rsidR="001E2FEB" w:rsidRPr="00A40E9A">
        <w:rPr>
          <w:lang w:val="en-US"/>
        </w:rPr>
        <w:t>to be determined coherently with the cap (for example</w:t>
      </w:r>
      <w:r w:rsidR="00262F1D" w:rsidRPr="00A40E9A">
        <w:rPr>
          <w:lang w:val="en-US"/>
        </w:rPr>
        <w:t xml:space="preserve"> 30%, 20%,10%</w:t>
      </w:r>
      <w:r w:rsidR="001E2FEB" w:rsidRPr="00A40E9A">
        <w:rPr>
          <w:lang w:val="en-US"/>
        </w:rPr>
        <w:t>)</w:t>
      </w:r>
    </w:p>
    <w:p w14:paraId="28D05516" w14:textId="769090A9" w:rsidR="00BA0029" w:rsidRDefault="00DE5A12" w:rsidP="00BA0029">
      <w:pPr>
        <w:rPr>
          <w:lang w:val="en-US"/>
        </w:rPr>
      </w:pPr>
      <w:r w:rsidRPr="00DE5A12">
        <w:rPr>
          <w:lang w:val="en-US"/>
        </w:rPr>
        <w:t xml:space="preserve">As empirical evidence on </w:t>
      </w:r>
      <w:r w:rsidR="006C1004">
        <w:rPr>
          <w:lang w:val="en-US"/>
        </w:rPr>
        <w:t>transitions</w:t>
      </w:r>
      <w:r w:rsidRPr="00DE5A12">
        <w:rPr>
          <w:lang w:val="en-US"/>
        </w:rPr>
        <w:t xml:space="preserve"> </w:t>
      </w:r>
      <w:r w:rsidR="005055A8">
        <w:rPr>
          <w:lang w:val="en-US"/>
        </w:rPr>
        <w:t>matrices for</w:t>
      </w:r>
      <w:r w:rsidRPr="00DE5A12">
        <w:rPr>
          <w:lang w:val="en-US"/>
        </w:rPr>
        <w:t xml:space="preserve"> government bonds is limited,</w:t>
      </w:r>
      <w:r w:rsidR="00643D9A">
        <w:rPr>
          <w:lang w:val="en-US"/>
        </w:rPr>
        <w:t xml:space="preserve"> </w:t>
      </w:r>
      <w:r w:rsidR="008B4E16">
        <w:rPr>
          <w:lang w:val="en-US"/>
        </w:rPr>
        <w:t xml:space="preserve">historical </w:t>
      </w:r>
      <w:r w:rsidR="00B22D63">
        <w:rPr>
          <w:lang w:val="en-US"/>
        </w:rPr>
        <w:t xml:space="preserve">evidence </w:t>
      </w:r>
      <w:r w:rsidR="00ED2BAA">
        <w:rPr>
          <w:lang w:val="en-US"/>
        </w:rPr>
        <w:t>would suggest applying l</w:t>
      </w:r>
      <w:r w:rsidR="00BB38B0">
        <w:rPr>
          <w:lang w:val="en-US"/>
        </w:rPr>
        <w:t xml:space="preserve">ower percentages </w:t>
      </w:r>
      <w:r w:rsidR="00FE240F">
        <w:rPr>
          <w:lang w:val="en-US"/>
        </w:rPr>
        <w:t>to</w:t>
      </w:r>
      <w:r w:rsidR="00BA0029">
        <w:rPr>
          <w:lang w:val="en-US"/>
        </w:rPr>
        <w:t xml:space="preserve"> government bonds: </w:t>
      </w:r>
    </w:p>
    <w:p w14:paraId="273F291B" w14:textId="22206FAD" w:rsidR="00BA0029" w:rsidRDefault="00BA0029" w:rsidP="00BA0029">
      <w:pPr>
        <w:pStyle w:val="Odsekzoznamu"/>
        <w:numPr>
          <w:ilvl w:val="0"/>
          <w:numId w:val="12"/>
        </w:numPr>
        <w:rPr>
          <w:lang w:val="en-US"/>
        </w:rPr>
      </w:pPr>
      <w:r>
        <w:rPr>
          <w:lang w:val="en-US"/>
        </w:rPr>
        <w:t xml:space="preserve">A value for the cap% equal to </w:t>
      </w:r>
      <w:r w:rsidR="00A4121F">
        <w:rPr>
          <w:lang w:val="en-US"/>
        </w:rPr>
        <w:t>4</w:t>
      </w:r>
      <w:r>
        <w:rPr>
          <w:lang w:val="en-US"/>
        </w:rPr>
        <w:t xml:space="preserve">0% </w:t>
      </w:r>
    </w:p>
    <w:p w14:paraId="6DA96CB2" w14:textId="6697A700" w:rsidR="00BA0029" w:rsidRPr="00516930" w:rsidRDefault="00516930" w:rsidP="00516930">
      <w:pPr>
        <w:pStyle w:val="Odsekzoznamu"/>
        <w:numPr>
          <w:ilvl w:val="0"/>
          <w:numId w:val="12"/>
        </w:numPr>
        <w:rPr>
          <w:lang w:val="en-US"/>
        </w:rPr>
      </w:pPr>
      <w:r w:rsidRPr="00A40E9A">
        <w:rPr>
          <w:lang w:val="en-US"/>
        </w:rPr>
        <w:t xml:space="preserve">Percentages to be determined coherently with the cap (for example </w:t>
      </w:r>
      <w:r>
        <w:rPr>
          <w:lang w:val="en-US"/>
        </w:rPr>
        <w:t>2</w:t>
      </w:r>
      <w:r w:rsidRPr="00A40E9A">
        <w:rPr>
          <w:lang w:val="en-US"/>
        </w:rPr>
        <w:t xml:space="preserve">0%, </w:t>
      </w:r>
      <w:r>
        <w:rPr>
          <w:lang w:val="en-US"/>
        </w:rPr>
        <w:t>15</w:t>
      </w:r>
      <w:r w:rsidRPr="00A40E9A">
        <w:rPr>
          <w:lang w:val="en-US"/>
        </w:rPr>
        <w:t>%,</w:t>
      </w:r>
      <w:r>
        <w:rPr>
          <w:lang w:val="en-US"/>
        </w:rPr>
        <w:t>5</w:t>
      </w:r>
      <w:r w:rsidRPr="00A40E9A">
        <w:rPr>
          <w:lang w:val="en-US"/>
        </w:rPr>
        <w:t>%)</w:t>
      </w:r>
    </w:p>
    <w:p w14:paraId="43ECC851" w14:textId="6DCDB333" w:rsidR="00E26D6F" w:rsidRDefault="00E26D6F">
      <w:pPr>
        <w:rPr>
          <w:b/>
          <w:bCs/>
          <w:highlight w:val="yellow"/>
          <w:lang w:val="en-US"/>
        </w:rPr>
      </w:pPr>
      <w:r>
        <w:rPr>
          <w:b/>
          <w:bCs/>
          <w:highlight w:val="yellow"/>
          <w:lang w:val="en-US"/>
        </w:rPr>
        <w:br w:type="page"/>
      </w:r>
    </w:p>
    <w:p w14:paraId="07609B53" w14:textId="12B79990" w:rsidR="00E26D6F" w:rsidRDefault="00E26D6F">
      <w:pPr>
        <w:rPr>
          <w:b/>
          <w:bCs/>
          <w:lang w:val="en-US"/>
        </w:rPr>
      </w:pPr>
      <w:r>
        <w:rPr>
          <w:b/>
          <w:bCs/>
          <w:lang w:val="en-US"/>
        </w:rPr>
        <w:t>Annex – Improvements to the VA</w:t>
      </w:r>
    </w:p>
    <w:tbl>
      <w:tblPr>
        <w:tblStyle w:val="Mriekatabuky"/>
        <w:tblW w:w="0" w:type="auto"/>
        <w:tblLook w:val="04A0" w:firstRow="1" w:lastRow="0" w:firstColumn="1" w:lastColumn="0" w:noHBand="0" w:noVBand="1"/>
      </w:tblPr>
      <w:tblGrid>
        <w:gridCol w:w="2122"/>
        <w:gridCol w:w="3888"/>
        <w:gridCol w:w="3006"/>
      </w:tblGrid>
      <w:tr w:rsidR="00E26D6F" w:rsidRPr="005F1462" w14:paraId="47591753" w14:textId="77777777" w:rsidTr="00ED6029">
        <w:tc>
          <w:tcPr>
            <w:tcW w:w="2122" w:type="dxa"/>
            <w:shd w:val="clear" w:color="auto" w:fill="156082" w:themeFill="accent1"/>
          </w:tcPr>
          <w:p w14:paraId="20FD1401" w14:textId="7D8EF276" w:rsidR="00E26D6F" w:rsidRPr="00C24B7A" w:rsidRDefault="00E26D6F">
            <w:pPr>
              <w:rPr>
                <w:b/>
                <w:bCs/>
                <w:color w:val="FFFFFF" w:themeColor="background1"/>
                <w:lang w:val="en-US"/>
              </w:rPr>
            </w:pPr>
            <w:r w:rsidRPr="00C24B7A">
              <w:rPr>
                <w:b/>
                <w:bCs/>
                <w:color w:val="FFFFFF" w:themeColor="background1"/>
                <w:lang w:val="en-US"/>
              </w:rPr>
              <w:t>Improvement</w:t>
            </w:r>
          </w:p>
        </w:tc>
        <w:tc>
          <w:tcPr>
            <w:tcW w:w="3888" w:type="dxa"/>
            <w:shd w:val="clear" w:color="auto" w:fill="156082" w:themeFill="accent1"/>
          </w:tcPr>
          <w:p w14:paraId="27F53D9C" w14:textId="15ABF194" w:rsidR="00E26D6F" w:rsidRPr="00C24B7A" w:rsidRDefault="00E26D6F">
            <w:pPr>
              <w:rPr>
                <w:b/>
                <w:bCs/>
                <w:color w:val="FFFFFF" w:themeColor="background1"/>
                <w:lang w:val="en-US"/>
              </w:rPr>
            </w:pPr>
            <w:r w:rsidRPr="00C24B7A">
              <w:rPr>
                <w:b/>
                <w:bCs/>
                <w:color w:val="FFFFFF" w:themeColor="background1"/>
                <w:lang w:val="en-US"/>
              </w:rPr>
              <w:t>What is it?</w:t>
            </w:r>
          </w:p>
        </w:tc>
        <w:tc>
          <w:tcPr>
            <w:tcW w:w="3006" w:type="dxa"/>
            <w:shd w:val="clear" w:color="auto" w:fill="156082" w:themeFill="accent1"/>
          </w:tcPr>
          <w:p w14:paraId="06495BF2" w14:textId="67599DC0" w:rsidR="00E26D6F" w:rsidRPr="00C24B7A" w:rsidRDefault="00E26D6F">
            <w:pPr>
              <w:rPr>
                <w:b/>
                <w:bCs/>
                <w:color w:val="FFFFFF" w:themeColor="background1"/>
                <w:lang w:val="en-US"/>
              </w:rPr>
            </w:pPr>
            <w:r w:rsidRPr="00C24B7A">
              <w:rPr>
                <w:b/>
                <w:bCs/>
                <w:color w:val="FFFFFF" w:themeColor="background1"/>
                <w:lang w:val="en-US"/>
              </w:rPr>
              <w:t>Why does it make sense?</w:t>
            </w:r>
          </w:p>
        </w:tc>
      </w:tr>
      <w:tr w:rsidR="00E26D6F" w14:paraId="6A12E3BB" w14:textId="77777777" w:rsidTr="00ED6029">
        <w:tc>
          <w:tcPr>
            <w:tcW w:w="2122" w:type="dxa"/>
          </w:tcPr>
          <w:p w14:paraId="3FE09EC6" w14:textId="22EB902B" w:rsidR="00E26D6F" w:rsidRDefault="00E26D6F">
            <w:pPr>
              <w:rPr>
                <w:b/>
                <w:bCs/>
                <w:lang w:val="en-US"/>
              </w:rPr>
            </w:pPr>
            <w:r>
              <w:rPr>
                <w:b/>
                <w:bCs/>
                <w:lang w:val="en-US"/>
              </w:rPr>
              <w:t>Macro-VA</w:t>
            </w:r>
          </w:p>
        </w:tc>
        <w:tc>
          <w:tcPr>
            <w:tcW w:w="3888" w:type="dxa"/>
          </w:tcPr>
          <w:p w14:paraId="2737E0AE" w14:textId="5E79EB41" w:rsidR="00E26D6F" w:rsidRPr="0071190F" w:rsidRDefault="00FD72E7">
            <w:pPr>
              <w:rPr>
                <w:b/>
                <w:bCs/>
                <w:highlight w:val="yellow"/>
                <w:lang w:val="en-US"/>
              </w:rPr>
            </w:pPr>
            <w:r w:rsidRPr="0071190F">
              <w:rPr>
                <w:b/>
                <w:bCs/>
                <w:highlight w:val="yellow"/>
                <w:lang w:val="en-US"/>
              </w:rPr>
              <w:t>[to be completed]</w:t>
            </w:r>
          </w:p>
        </w:tc>
        <w:tc>
          <w:tcPr>
            <w:tcW w:w="3006" w:type="dxa"/>
          </w:tcPr>
          <w:p w14:paraId="25B34961" w14:textId="13E818A6" w:rsidR="00E26D6F" w:rsidRPr="0071190F" w:rsidRDefault="00FD72E7">
            <w:pPr>
              <w:rPr>
                <w:b/>
                <w:bCs/>
                <w:highlight w:val="yellow"/>
                <w:lang w:val="en-US"/>
              </w:rPr>
            </w:pPr>
            <w:r w:rsidRPr="0071190F">
              <w:rPr>
                <w:b/>
                <w:bCs/>
                <w:highlight w:val="yellow"/>
                <w:lang w:val="en-US"/>
              </w:rPr>
              <w:t>[to be completed]</w:t>
            </w:r>
          </w:p>
        </w:tc>
      </w:tr>
      <w:tr w:rsidR="00E26D6F" w14:paraId="4135E77F" w14:textId="77777777" w:rsidTr="00ED6029">
        <w:tc>
          <w:tcPr>
            <w:tcW w:w="2122" w:type="dxa"/>
          </w:tcPr>
          <w:p w14:paraId="71B76070" w14:textId="42BD56DC" w:rsidR="00E26D6F" w:rsidRDefault="00E26D6F">
            <w:pPr>
              <w:rPr>
                <w:b/>
                <w:bCs/>
                <w:lang w:val="en-US"/>
              </w:rPr>
            </w:pPr>
            <w:r>
              <w:rPr>
                <w:b/>
                <w:bCs/>
                <w:lang w:val="en-US"/>
              </w:rPr>
              <w:t>Increased GAR</w:t>
            </w:r>
          </w:p>
        </w:tc>
        <w:tc>
          <w:tcPr>
            <w:tcW w:w="3888" w:type="dxa"/>
          </w:tcPr>
          <w:p w14:paraId="22FB8AEC" w14:textId="56ED888C" w:rsidR="00E26D6F" w:rsidRPr="0071190F" w:rsidRDefault="00FD72E7">
            <w:pPr>
              <w:rPr>
                <w:b/>
                <w:bCs/>
                <w:highlight w:val="yellow"/>
                <w:lang w:val="en-US"/>
              </w:rPr>
            </w:pPr>
            <w:r w:rsidRPr="0071190F">
              <w:rPr>
                <w:b/>
                <w:bCs/>
                <w:highlight w:val="yellow"/>
                <w:lang w:val="en-US"/>
              </w:rPr>
              <w:t>[to be completed]</w:t>
            </w:r>
          </w:p>
        </w:tc>
        <w:tc>
          <w:tcPr>
            <w:tcW w:w="3006" w:type="dxa"/>
          </w:tcPr>
          <w:p w14:paraId="270D384F" w14:textId="719C4AA2" w:rsidR="00E26D6F" w:rsidRPr="0071190F" w:rsidRDefault="00FD72E7">
            <w:pPr>
              <w:rPr>
                <w:b/>
                <w:bCs/>
                <w:highlight w:val="yellow"/>
                <w:lang w:val="en-US"/>
              </w:rPr>
            </w:pPr>
            <w:r w:rsidRPr="0071190F">
              <w:rPr>
                <w:b/>
                <w:bCs/>
                <w:highlight w:val="yellow"/>
                <w:lang w:val="en-US"/>
              </w:rPr>
              <w:t>[to be completed]</w:t>
            </w:r>
          </w:p>
        </w:tc>
      </w:tr>
      <w:tr w:rsidR="00E26D6F" w14:paraId="760DCBA2" w14:textId="77777777" w:rsidTr="00ED6029">
        <w:tc>
          <w:tcPr>
            <w:tcW w:w="2122" w:type="dxa"/>
          </w:tcPr>
          <w:p w14:paraId="4BFEC0D6" w14:textId="393DA644" w:rsidR="00E26D6F" w:rsidRDefault="00E26D6F">
            <w:pPr>
              <w:rPr>
                <w:b/>
                <w:bCs/>
                <w:lang w:val="en-US"/>
              </w:rPr>
            </w:pPr>
            <w:r>
              <w:rPr>
                <w:b/>
                <w:bCs/>
                <w:lang w:val="en-US"/>
              </w:rPr>
              <w:t>Resc</w:t>
            </w:r>
            <w:r w:rsidR="00C24B7A">
              <w:rPr>
                <w:b/>
                <w:bCs/>
                <w:lang w:val="en-US"/>
              </w:rPr>
              <w:t>a</w:t>
            </w:r>
            <w:r>
              <w:rPr>
                <w:b/>
                <w:bCs/>
                <w:lang w:val="en-US"/>
              </w:rPr>
              <w:t>le parameter</w:t>
            </w:r>
          </w:p>
        </w:tc>
        <w:tc>
          <w:tcPr>
            <w:tcW w:w="3888" w:type="dxa"/>
          </w:tcPr>
          <w:p w14:paraId="0738B972" w14:textId="168A3765" w:rsidR="00E26D6F" w:rsidRPr="0071190F" w:rsidRDefault="00FD72E7">
            <w:pPr>
              <w:rPr>
                <w:b/>
                <w:bCs/>
                <w:highlight w:val="yellow"/>
                <w:lang w:val="en-US"/>
              </w:rPr>
            </w:pPr>
            <w:r w:rsidRPr="0071190F">
              <w:rPr>
                <w:b/>
                <w:bCs/>
                <w:highlight w:val="yellow"/>
                <w:lang w:val="en-US"/>
              </w:rPr>
              <w:t>[to be completed]</w:t>
            </w:r>
          </w:p>
        </w:tc>
        <w:tc>
          <w:tcPr>
            <w:tcW w:w="3006" w:type="dxa"/>
          </w:tcPr>
          <w:p w14:paraId="262F0CE1" w14:textId="4A064C14" w:rsidR="00E26D6F" w:rsidRPr="0071190F" w:rsidRDefault="00FD72E7">
            <w:pPr>
              <w:rPr>
                <w:b/>
                <w:bCs/>
                <w:highlight w:val="yellow"/>
                <w:lang w:val="en-US"/>
              </w:rPr>
            </w:pPr>
            <w:r w:rsidRPr="0071190F">
              <w:rPr>
                <w:b/>
                <w:bCs/>
                <w:highlight w:val="yellow"/>
                <w:lang w:val="en-US"/>
              </w:rPr>
              <w:t>[to be completed]</w:t>
            </w:r>
          </w:p>
        </w:tc>
      </w:tr>
      <w:tr w:rsidR="00E26D6F" w14:paraId="2C732043" w14:textId="77777777" w:rsidTr="00ED6029">
        <w:tc>
          <w:tcPr>
            <w:tcW w:w="2122" w:type="dxa"/>
          </w:tcPr>
          <w:p w14:paraId="0A49F307" w14:textId="7E625A98" w:rsidR="00E26D6F" w:rsidRDefault="00ED6029">
            <w:pPr>
              <w:rPr>
                <w:b/>
                <w:bCs/>
                <w:lang w:val="en-US"/>
              </w:rPr>
            </w:pPr>
            <w:r>
              <w:rPr>
                <w:b/>
                <w:bCs/>
                <w:lang w:val="en-US"/>
              </w:rPr>
              <w:t>CSSR</w:t>
            </w:r>
          </w:p>
        </w:tc>
        <w:tc>
          <w:tcPr>
            <w:tcW w:w="3888" w:type="dxa"/>
          </w:tcPr>
          <w:p w14:paraId="51FCF9AE" w14:textId="460A5C78" w:rsidR="00E26D6F" w:rsidRPr="0071190F" w:rsidRDefault="00FD72E7">
            <w:pPr>
              <w:rPr>
                <w:b/>
                <w:bCs/>
                <w:highlight w:val="yellow"/>
                <w:lang w:val="en-US"/>
              </w:rPr>
            </w:pPr>
            <w:r w:rsidRPr="0071190F">
              <w:rPr>
                <w:b/>
                <w:bCs/>
                <w:highlight w:val="yellow"/>
                <w:lang w:val="en-US"/>
              </w:rPr>
              <w:t>[to be completed]</w:t>
            </w:r>
          </w:p>
        </w:tc>
        <w:tc>
          <w:tcPr>
            <w:tcW w:w="3006" w:type="dxa"/>
          </w:tcPr>
          <w:p w14:paraId="71037381" w14:textId="6EA188CF" w:rsidR="00E26D6F" w:rsidRPr="0071190F" w:rsidRDefault="00FD72E7">
            <w:pPr>
              <w:rPr>
                <w:b/>
                <w:bCs/>
                <w:highlight w:val="yellow"/>
                <w:lang w:val="en-US"/>
              </w:rPr>
            </w:pPr>
            <w:r w:rsidRPr="0071190F">
              <w:rPr>
                <w:b/>
                <w:bCs/>
                <w:highlight w:val="yellow"/>
                <w:lang w:val="en-US"/>
              </w:rPr>
              <w:t>[to be completed]</w:t>
            </w:r>
          </w:p>
        </w:tc>
      </w:tr>
    </w:tbl>
    <w:p w14:paraId="75A35C41" w14:textId="77777777" w:rsidR="00E26D6F" w:rsidRDefault="00E26D6F">
      <w:pPr>
        <w:rPr>
          <w:b/>
          <w:bCs/>
          <w:lang w:val="en-US"/>
        </w:rPr>
      </w:pPr>
    </w:p>
    <w:sectPr w:rsidR="00E26D6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CF709" w14:textId="77777777" w:rsidR="00357C17" w:rsidRDefault="00357C17" w:rsidP="00D41625">
      <w:pPr>
        <w:spacing w:after="0" w:line="240" w:lineRule="auto"/>
      </w:pPr>
      <w:r>
        <w:separator/>
      </w:r>
    </w:p>
  </w:endnote>
  <w:endnote w:type="continuationSeparator" w:id="0">
    <w:p w14:paraId="4E759E1C" w14:textId="77777777" w:rsidR="00357C17" w:rsidRDefault="00357C17" w:rsidP="00D41625">
      <w:pPr>
        <w:spacing w:after="0" w:line="240" w:lineRule="auto"/>
      </w:pPr>
      <w:r>
        <w:continuationSeparator/>
      </w:r>
    </w:p>
  </w:endnote>
  <w:endnote w:type="continuationNotice" w:id="1">
    <w:p w14:paraId="4D194B53" w14:textId="77777777" w:rsidR="00357C17" w:rsidRDefault="00357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3B7C6" w14:textId="77777777" w:rsidR="001615FC" w:rsidRDefault="001615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1D21" w14:textId="77777777" w:rsidR="001615FC" w:rsidRDefault="001615F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C3CB" w14:textId="77777777" w:rsidR="001615FC" w:rsidRDefault="001615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0739F" w14:textId="77777777" w:rsidR="00357C17" w:rsidRDefault="00357C17" w:rsidP="00D41625">
      <w:pPr>
        <w:spacing w:after="0" w:line="240" w:lineRule="auto"/>
      </w:pPr>
      <w:r>
        <w:separator/>
      </w:r>
    </w:p>
  </w:footnote>
  <w:footnote w:type="continuationSeparator" w:id="0">
    <w:p w14:paraId="762F7ACD" w14:textId="77777777" w:rsidR="00357C17" w:rsidRDefault="00357C17" w:rsidP="00D41625">
      <w:pPr>
        <w:spacing w:after="0" w:line="240" w:lineRule="auto"/>
      </w:pPr>
      <w:r>
        <w:continuationSeparator/>
      </w:r>
    </w:p>
  </w:footnote>
  <w:footnote w:type="continuationNotice" w:id="1">
    <w:p w14:paraId="53A363B9" w14:textId="77777777" w:rsidR="00357C17" w:rsidRDefault="00357C17">
      <w:pPr>
        <w:spacing w:after="0" w:line="240" w:lineRule="auto"/>
      </w:pPr>
    </w:p>
  </w:footnote>
  <w:footnote w:id="2">
    <w:p w14:paraId="1BFDE0B0" w14:textId="77777777" w:rsidR="004B3672" w:rsidRPr="00FF2FCC" w:rsidRDefault="004B3672" w:rsidP="004B3672">
      <w:pPr>
        <w:pStyle w:val="Textpoznmkypodiarou"/>
        <w:rPr>
          <w:lang w:val="en-US"/>
        </w:rPr>
      </w:pPr>
      <w:r>
        <w:rPr>
          <w:rStyle w:val="Odkaznapoznmkupodiarou"/>
        </w:rPr>
        <w:footnoteRef/>
      </w:r>
      <w:r w:rsidRPr="00FF2FCC">
        <w:rPr>
          <w:lang w:val="en-US"/>
        </w:rPr>
        <w:t xml:space="preserve"> Solvency II Directive Article </w:t>
      </w:r>
      <w:r w:rsidRPr="00FF2FCC">
        <w:rPr>
          <w:highlight w:val="yellow"/>
          <w:lang w:val="en-US"/>
        </w:rPr>
        <w:t>77c</w:t>
      </w:r>
    </w:p>
  </w:footnote>
  <w:footnote w:id="3">
    <w:p w14:paraId="75A1901C" w14:textId="77777777" w:rsidR="004B3672" w:rsidRPr="00D41625" w:rsidRDefault="004B3672" w:rsidP="004B3672">
      <w:pPr>
        <w:pStyle w:val="Textpoznmkypodiarou"/>
        <w:rPr>
          <w:lang w:val="en-US"/>
        </w:rPr>
      </w:pPr>
      <w:r>
        <w:rPr>
          <w:rStyle w:val="Odkaznapoznmkupodiarou"/>
        </w:rPr>
        <w:footnoteRef/>
      </w:r>
      <w:r w:rsidRPr="00FF2FCC">
        <w:rPr>
          <w:lang w:val="en-US"/>
        </w:rPr>
        <w:t xml:space="preserve"> </w:t>
      </w:r>
      <w:r>
        <w:rPr>
          <w:lang w:val="en-US"/>
        </w:rPr>
        <w:t xml:space="preserve">EIOPA analysis of the fundamental spread for MA portfolios which uses the same method as the current risk </w:t>
      </w:r>
      <w:r>
        <w:rPr>
          <w:lang w:val="en-US"/>
        </w:rPr>
        <w:t>correction</w:t>
      </w:r>
    </w:p>
  </w:footnote>
  <w:footnote w:id="4">
    <w:p w14:paraId="14F2EAAA" w14:textId="77777777" w:rsidR="007E0EF4" w:rsidRDefault="007E0EF4" w:rsidP="007E0EF4">
      <w:pPr>
        <w:pStyle w:val="Textpoznmkypodiarou"/>
        <w:rPr>
          <w:lang w:val="en-US"/>
        </w:rPr>
      </w:pPr>
      <w:r>
        <w:rPr>
          <w:rStyle w:val="Odkaznapoznmkupodiarou"/>
        </w:rPr>
        <w:footnoteRef/>
      </w:r>
      <w:r w:rsidRPr="001E3ADE">
        <w:rPr>
          <w:lang w:val="en-US"/>
        </w:rPr>
        <w:t xml:space="preserve"> K. Giesecke, F. Longstaff, S. Schaefer, I. </w:t>
      </w:r>
      <w:r w:rsidRPr="001E3ADE">
        <w:rPr>
          <w:lang w:val="en-US"/>
        </w:rPr>
        <w:t xml:space="preserve">Strebulaev, 2011. Corporate Bond Default Risk: A 150-Year Perspective. Journal of Financial Economics, 102(2), 233-250. </w:t>
      </w:r>
      <w:r>
        <w:rPr>
          <w:lang w:val="en-US"/>
        </w:rPr>
        <w:t>Here is the summary of the paper.</w:t>
      </w:r>
    </w:p>
    <w:p w14:paraId="462148A2" w14:textId="77777777" w:rsidR="007E0EF4" w:rsidRPr="001E3ADE" w:rsidRDefault="007E0EF4" w:rsidP="007E0EF4">
      <w:pPr>
        <w:pStyle w:val="Textpoznmkypodiarou"/>
        <w:rPr>
          <w:lang w:val="en-US"/>
        </w:rPr>
      </w:pPr>
      <w:r w:rsidRPr="001E3ADE">
        <w:rPr>
          <w:lang w:val="en-US"/>
        </w:rPr>
        <w:t>“</w:t>
      </w:r>
      <w:r w:rsidRPr="001E3ADE">
        <w:rPr>
          <w:i/>
          <w:iCs/>
          <w:lang w:val="en-US"/>
        </w:rPr>
        <w:t>We study corporate bond default rates using an extensive new data set spanning the 1866–2008 period. We find that the corporate bond market has repeatedly suffered clustered default events much worse than those experienced during the Great Depression. For example, during the railroad crisis of 1873–1875, total defaults amounted to 36% of the par value of the entire corporate bond market. Using a regime-switching model, we examine the extent to which default rates can be forecast by financial and macroeconomic variables. We find that stock returns, stock return volatility, and changes in GDP are strong predictors of default rates. Surprisingly, however, credit spreads are not. Over the long term, credit spreads are roughly twice as large as default losses, resulting in an average credit risk premium of about 80 basis points. We also find that credit spreads do not adjust in response to realized default rates</w:t>
      </w:r>
      <w:r w:rsidRPr="001E3ADE">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64BA0" w14:textId="77777777" w:rsidR="001615FC" w:rsidRDefault="001615F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53929"/>
      <w:docPartObj>
        <w:docPartGallery w:val="Watermarks"/>
        <w:docPartUnique/>
      </w:docPartObj>
    </w:sdtPr>
    <w:sdtEndPr/>
    <w:sdtContent>
      <w:p w14:paraId="6CEF1C0A" w14:textId="0E0BF5C7" w:rsidR="001615FC" w:rsidRDefault="001F5266">
        <w:pPr>
          <w:pStyle w:val="Hlavika"/>
        </w:pPr>
        <w:r>
          <w:rPr>
            <w:noProof/>
          </w:rPr>
          <w:pict w14:anchorId="7C5A3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45C0A" w14:textId="77777777" w:rsidR="001615FC" w:rsidRDefault="001615FC">
    <w:pPr>
      <w:pStyle w:val="Hlavika"/>
    </w:pPr>
  </w:p>
</w:hdr>
</file>

<file path=word/intelligence2.xml><?xml version="1.0" encoding="utf-8"?>
<int2:intelligence xmlns:int2="http://schemas.microsoft.com/office/intelligence/2020/intelligence" xmlns:oel="http://schemas.microsoft.com/office/2019/extlst">
  <int2:observations>
    <int2:textHash int2:hashCode="3cNjKDL6hnv9Dt" int2:id="3H127YNX">
      <int2:state int2:value="Rejected" int2:type="AugLoop_Text_Critique"/>
    </int2:textHash>
    <int2:textHash int2:hashCode="CVXdgYIGpA6JEB" int2:id="4o9jYTaR">
      <int2:state int2:value="Rejected" int2:type="AugLoop_Text_Critique"/>
    </int2:textHash>
    <int2:textHash int2:hashCode="sNQqztcs2armkN" int2:id="B8RExJVK">
      <int2:state int2:value="Rejected" int2:type="AugLoop_Text_Critique"/>
    </int2:textHash>
    <int2:textHash int2:hashCode="rLA/jxpykAh47J" int2:id="huCu0lru">
      <int2:state int2:value="Rejected" int2:type="AugLoop_Text_Critique"/>
    </int2:textHash>
    <int2:bookmark int2:bookmarkName="_Int_CZE2e2aV" int2:invalidationBookmarkName="" int2:hashCode="pSH/7M8U6layM+" int2:id="5hLVi6B6">
      <int2:state int2:value="Rejected" int2:type="AugLoop_Text_Critique"/>
    </int2:bookmark>
    <int2:bookmark int2:bookmarkName="_Int_SxqAClm4" int2:invalidationBookmarkName="" int2:hashCode="LDoO9u9DFubl0c" int2:id="c9NJmNJa">
      <int2:state int2:value="Rejected" int2:type="AugLoop_Text_Critique"/>
    </int2:bookmark>
    <int2:bookmark int2:bookmarkName="_Int_yc7FyVSF" int2:invalidationBookmarkName="" int2:hashCode="+hy8M85sF9u9T4" int2:id="pZOCDmC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066F2"/>
    <w:multiLevelType w:val="hybridMultilevel"/>
    <w:tmpl w:val="329AAB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233D0923"/>
    <w:multiLevelType w:val="hybridMultilevel"/>
    <w:tmpl w:val="EDD8FC30"/>
    <w:lvl w:ilvl="0" w:tplc="0C0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23C5778C"/>
    <w:multiLevelType w:val="hybridMultilevel"/>
    <w:tmpl w:val="193463F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DB77DFC"/>
    <w:multiLevelType w:val="hybridMultilevel"/>
    <w:tmpl w:val="9DDA5392"/>
    <w:lvl w:ilvl="0" w:tplc="5DF4E4EA">
      <w:start w:val="1"/>
      <w:numFmt w:val="lowerRoman"/>
      <w:lvlText w:val="%1)"/>
      <w:lvlJc w:val="left"/>
      <w:pPr>
        <w:ind w:left="1080" w:hanging="72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BD635C"/>
    <w:multiLevelType w:val="hybridMultilevel"/>
    <w:tmpl w:val="D73EF15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412973B9"/>
    <w:multiLevelType w:val="hybridMultilevel"/>
    <w:tmpl w:val="EDD6F3EA"/>
    <w:lvl w:ilvl="0" w:tplc="67FED4D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9E6495"/>
    <w:multiLevelType w:val="hybridMultilevel"/>
    <w:tmpl w:val="56AC94CE"/>
    <w:lvl w:ilvl="0" w:tplc="DAE87E86">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FA23CB"/>
    <w:multiLevelType w:val="hybridMultilevel"/>
    <w:tmpl w:val="2DDE13F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47CC0F3E"/>
    <w:multiLevelType w:val="hybridMultilevel"/>
    <w:tmpl w:val="93CEDF54"/>
    <w:lvl w:ilvl="0" w:tplc="B87CE3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8427BC"/>
    <w:multiLevelType w:val="hybridMultilevel"/>
    <w:tmpl w:val="B1906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308F6"/>
    <w:multiLevelType w:val="hybridMultilevel"/>
    <w:tmpl w:val="E10AD62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F4A302E"/>
    <w:multiLevelType w:val="hybridMultilevel"/>
    <w:tmpl w:val="3304A28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762482522">
    <w:abstractNumId w:val="2"/>
  </w:num>
  <w:num w:numId="2" w16cid:durableId="320817590">
    <w:abstractNumId w:val="1"/>
  </w:num>
  <w:num w:numId="3" w16cid:durableId="1997685703">
    <w:abstractNumId w:val="1"/>
  </w:num>
  <w:num w:numId="4" w16cid:durableId="741147964">
    <w:abstractNumId w:val="0"/>
  </w:num>
  <w:num w:numId="5" w16cid:durableId="303657964">
    <w:abstractNumId w:val="11"/>
  </w:num>
  <w:num w:numId="6" w16cid:durableId="637223520">
    <w:abstractNumId w:val="7"/>
  </w:num>
  <w:num w:numId="7" w16cid:durableId="1577473655">
    <w:abstractNumId w:val="4"/>
  </w:num>
  <w:num w:numId="8" w16cid:durableId="200703153">
    <w:abstractNumId w:val="9"/>
  </w:num>
  <w:num w:numId="9" w16cid:durableId="1518688230">
    <w:abstractNumId w:val="8"/>
  </w:num>
  <w:num w:numId="10" w16cid:durableId="1956668715">
    <w:abstractNumId w:val="3"/>
  </w:num>
  <w:num w:numId="11" w16cid:durableId="1733851445">
    <w:abstractNumId w:val="5"/>
  </w:num>
  <w:num w:numId="12" w16cid:durableId="1404789508">
    <w:abstractNumId w:val="6"/>
  </w:num>
  <w:num w:numId="13" w16cid:durableId="1259095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14"/>
    <w:rsid w:val="000074D9"/>
    <w:rsid w:val="00021DBC"/>
    <w:rsid w:val="00023BF7"/>
    <w:rsid w:val="00060C14"/>
    <w:rsid w:val="0006624C"/>
    <w:rsid w:val="00072135"/>
    <w:rsid w:val="00077FAD"/>
    <w:rsid w:val="00090E0C"/>
    <w:rsid w:val="000A0647"/>
    <w:rsid w:val="000B3D36"/>
    <w:rsid w:val="000B46A9"/>
    <w:rsid w:val="000D3B62"/>
    <w:rsid w:val="000D4E54"/>
    <w:rsid w:val="000D6001"/>
    <w:rsid w:val="000F1939"/>
    <w:rsid w:val="000F7DE3"/>
    <w:rsid w:val="00107E85"/>
    <w:rsid w:val="001126A0"/>
    <w:rsid w:val="00131EC8"/>
    <w:rsid w:val="00133DAA"/>
    <w:rsid w:val="001354A9"/>
    <w:rsid w:val="00142574"/>
    <w:rsid w:val="001520DC"/>
    <w:rsid w:val="00154C4F"/>
    <w:rsid w:val="00155C30"/>
    <w:rsid w:val="00157242"/>
    <w:rsid w:val="00157EB8"/>
    <w:rsid w:val="001615FC"/>
    <w:rsid w:val="00161745"/>
    <w:rsid w:val="0016254D"/>
    <w:rsid w:val="00167D75"/>
    <w:rsid w:val="0018514A"/>
    <w:rsid w:val="00194254"/>
    <w:rsid w:val="00196213"/>
    <w:rsid w:val="00196DC8"/>
    <w:rsid w:val="001A2631"/>
    <w:rsid w:val="001A6EA4"/>
    <w:rsid w:val="001B383A"/>
    <w:rsid w:val="001C24A0"/>
    <w:rsid w:val="001C36A9"/>
    <w:rsid w:val="001D78C1"/>
    <w:rsid w:val="001E2FEB"/>
    <w:rsid w:val="001F5266"/>
    <w:rsid w:val="001F7D78"/>
    <w:rsid w:val="00212F7D"/>
    <w:rsid w:val="002149D0"/>
    <w:rsid w:val="00222CED"/>
    <w:rsid w:val="00227BF8"/>
    <w:rsid w:val="002427B5"/>
    <w:rsid w:val="002445B2"/>
    <w:rsid w:val="00252429"/>
    <w:rsid w:val="00262F1D"/>
    <w:rsid w:val="002728F0"/>
    <w:rsid w:val="00274517"/>
    <w:rsid w:val="00283737"/>
    <w:rsid w:val="0029006A"/>
    <w:rsid w:val="00290B57"/>
    <w:rsid w:val="00290BA1"/>
    <w:rsid w:val="00292805"/>
    <w:rsid w:val="0029525C"/>
    <w:rsid w:val="002A4383"/>
    <w:rsid w:val="002B181B"/>
    <w:rsid w:val="002B3AC4"/>
    <w:rsid w:val="002B3D6D"/>
    <w:rsid w:val="002B5755"/>
    <w:rsid w:val="002B76E0"/>
    <w:rsid w:val="002B7775"/>
    <w:rsid w:val="002C39E5"/>
    <w:rsid w:val="002C53CD"/>
    <w:rsid w:val="002D6084"/>
    <w:rsid w:val="002F0734"/>
    <w:rsid w:val="002F69CA"/>
    <w:rsid w:val="00301AE6"/>
    <w:rsid w:val="003043CE"/>
    <w:rsid w:val="003072B2"/>
    <w:rsid w:val="00307F77"/>
    <w:rsid w:val="003177C2"/>
    <w:rsid w:val="00320E05"/>
    <w:rsid w:val="00322E37"/>
    <w:rsid w:val="003241A7"/>
    <w:rsid w:val="003248F1"/>
    <w:rsid w:val="00330005"/>
    <w:rsid w:val="00332CF2"/>
    <w:rsid w:val="0034242C"/>
    <w:rsid w:val="00346853"/>
    <w:rsid w:val="0035321D"/>
    <w:rsid w:val="00353712"/>
    <w:rsid w:val="00354DE3"/>
    <w:rsid w:val="00356514"/>
    <w:rsid w:val="00357C17"/>
    <w:rsid w:val="00360573"/>
    <w:rsid w:val="003631E5"/>
    <w:rsid w:val="0037076A"/>
    <w:rsid w:val="00382382"/>
    <w:rsid w:val="00390089"/>
    <w:rsid w:val="00395423"/>
    <w:rsid w:val="003A237B"/>
    <w:rsid w:val="003A4B7B"/>
    <w:rsid w:val="003A77FE"/>
    <w:rsid w:val="003B01E6"/>
    <w:rsid w:val="003B4D89"/>
    <w:rsid w:val="003B61BD"/>
    <w:rsid w:val="003D27E5"/>
    <w:rsid w:val="003E1EF0"/>
    <w:rsid w:val="003E6F12"/>
    <w:rsid w:val="003F0627"/>
    <w:rsid w:val="004037C2"/>
    <w:rsid w:val="00404F41"/>
    <w:rsid w:val="004222CB"/>
    <w:rsid w:val="00430CFC"/>
    <w:rsid w:val="00432719"/>
    <w:rsid w:val="00433E6C"/>
    <w:rsid w:val="00436651"/>
    <w:rsid w:val="00442077"/>
    <w:rsid w:val="00444AA7"/>
    <w:rsid w:val="00444B99"/>
    <w:rsid w:val="00453545"/>
    <w:rsid w:val="00460BDF"/>
    <w:rsid w:val="00472306"/>
    <w:rsid w:val="00472B87"/>
    <w:rsid w:val="00476AC0"/>
    <w:rsid w:val="004810DE"/>
    <w:rsid w:val="00481298"/>
    <w:rsid w:val="00484391"/>
    <w:rsid w:val="00491AC2"/>
    <w:rsid w:val="004921BF"/>
    <w:rsid w:val="0049494C"/>
    <w:rsid w:val="0049798C"/>
    <w:rsid w:val="004A7161"/>
    <w:rsid w:val="004B3672"/>
    <w:rsid w:val="004B4E43"/>
    <w:rsid w:val="004C3971"/>
    <w:rsid w:val="004C3ABE"/>
    <w:rsid w:val="004D5030"/>
    <w:rsid w:val="004D6F5C"/>
    <w:rsid w:val="004D7CE3"/>
    <w:rsid w:val="004E3352"/>
    <w:rsid w:val="004F4E6E"/>
    <w:rsid w:val="0050114F"/>
    <w:rsid w:val="00502EAC"/>
    <w:rsid w:val="005055A8"/>
    <w:rsid w:val="00516930"/>
    <w:rsid w:val="00522F1C"/>
    <w:rsid w:val="005311BC"/>
    <w:rsid w:val="00537A34"/>
    <w:rsid w:val="00540191"/>
    <w:rsid w:val="005410EF"/>
    <w:rsid w:val="005431EA"/>
    <w:rsid w:val="00544CA4"/>
    <w:rsid w:val="00544F36"/>
    <w:rsid w:val="005501E4"/>
    <w:rsid w:val="005700D7"/>
    <w:rsid w:val="005733A9"/>
    <w:rsid w:val="0057583C"/>
    <w:rsid w:val="00577225"/>
    <w:rsid w:val="00580A12"/>
    <w:rsid w:val="00582FC2"/>
    <w:rsid w:val="00587FCD"/>
    <w:rsid w:val="00595319"/>
    <w:rsid w:val="005A32E2"/>
    <w:rsid w:val="005A5A3A"/>
    <w:rsid w:val="005A6EAC"/>
    <w:rsid w:val="005B2397"/>
    <w:rsid w:val="005B71FD"/>
    <w:rsid w:val="005C2442"/>
    <w:rsid w:val="005E1E82"/>
    <w:rsid w:val="005E2563"/>
    <w:rsid w:val="005F1462"/>
    <w:rsid w:val="005F2982"/>
    <w:rsid w:val="005F44B9"/>
    <w:rsid w:val="005F4D70"/>
    <w:rsid w:val="00603605"/>
    <w:rsid w:val="006147E6"/>
    <w:rsid w:val="00616D4F"/>
    <w:rsid w:val="0062503C"/>
    <w:rsid w:val="0063108F"/>
    <w:rsid w:val="00634631"/>
    <w:rsid w:val="00634C62"/>
    <w:rsid w:val="0063706D"/>
    <w:rsid w:val="00640D25"/>
    <w:rsid w:val="0064291F"/>
    <w:rsid w:val="00643129"/>
    <w:rsid w:val="00643D9A"/>
    <w:rsid w:val="00645749"/>
    <w:rsid w:val="00651618"/>
    <w:rsid w:val="00657852"/>
    <w:rsid w:val="00657B2D"/>
    <w:rsid w:val="00663833"/>
    <w:rsid w:val="0066712A"/>
    <w:rsid w:val="00674845"/>
    <w:rsid w:val="00691BC8"/>
    <w:rsid w:val="00694284"/>
    <w:rsid w:val="00695553"/>
    <w:rsid w:val="00696615"/>
    <w:rsid w:val="006A6AB7"/>
    <w:rsid w:val="006B1F98"/>
    <w:rsid w:val="006B2284"/>
    <w:rsid w:val="006C1004"/>
    <w:rsid w:val="006C1B4F"/>
    <w:rsid w:val="006D15A8"/>
    <w:rsid w:val="006E3338"/>
    <w:rsid w:val="006E3C3D"/>
    <w:rsid w:val="006E47BF"/>
    <w:rsid w:val="006F18D4"/>
    <w:rsid w:val="00701F14"/>
    <w:rsid w:val="007073AF"/>
    <w:rsid w:val="0071190F"/>
    <w:rsid w:val="00712371"/>
    <w:rsid w:val="00712373"/>
    <w:rsid w:val="00713018"/>
    <w:rsid w:val="007137CC"/>
    <w:rsid w:val="00723D7D"/>
    <w:rsid w:val="0072401B"/>
    <w:rsid w:val="00724888"/>
    <w:rsid w:val="00730D01"/>
    <w:rsid w:val="00732165"/>
    <w:rsid w:val="0073347C"/>
    <w:rsid w:val="00734275"/>
    <w:rsid w:val="00737336"/>
    <w:rsid w:val="00740878"/>
    <w:rsid w:val="00743572"/>
    <w:rsid w:val="00744EB7"/>
    <w:rsid w:val="0074690F"/>
    <w:rsid w:val="00746B1D"/>
    <w:rsid w:val="0076021B"/>
    <w:rsid w:val="00765FDA"/>
    <w:rsid w:val="00766FD3"/>
    <w:rsid w:val="00770312"/>
    <w:rsid w:val="00770D6B"/>
    <w:rsid w:val="007714B7"/>
    <w:rsid w:val="00774721"/>
    <w:rsid w:val="0077737A"/>
    <w:rsid w:val="00781F1D"/>
    <w:rsid w:val="00782E04"/>
    <w:rsid w:val="00794D72"/>
    <w:rsid w:val="0079524B"/>
    <w:rsid w:val="0079735E"/>
    <w:rsid w:val="007A0A8C"/>
    <w:rsid w:val="007A73F2"/>
    <w:rsid w:val="007B0A6B"/>
    <w:rsid w:val="007B259B"/>
    <w:rsid w:val="007B5D58"/>
    <w:rsid w:val="007D2953"/>
    <w:rsid w:val="007E0EF4"/>
    <w:rsid w:val="007E76FC"/>
    <w:rsid w:val="007F3632"/>
    <w:rsid w:val="00802EB6"/>
    <w:rsid w:val="008122FC"/>
    <w:rsid w:val="00814254"/>
    <w:rsid w:val="008227E1"/>
    <w:rsid w:val="00825330"/>
    <w:rsid w:val="00827286"/>
    <w:rsid w:val="00840591"/>
    <w:rsid w:val="008452A2"/>
    <w:rsid w:val="00854BE8"/>
    <w:rsid w:val="00863ECC"/>
    <w:rsid w:val="008708E0"/>
    <w:rsid w:val="00874507"/>
    <w:rsid w:val="008749FE"/>
    <w:rsid w:val="00875811"/>
    <w:rsid w:val="00893A0D"/>
    <w:rsid w:val="008960B4"/>
    <w:rsid w:val="008A5BC8"/>
    <w:rsid w:val="008A6B36"/>
    <w:rsid w:val="008A7194"/>
    <w:rsid w:val="008B4E16"/>
    <w:rsid w:val="008C5224"/>
    <w:rsid w:val="008C5322"/>
    <w:rsid w:val="008C7F10"/>
    <w:rsid w:val="008F0976"/>
    <w:rsid w:val="008F55B3"/>
    <w:rsid w:val="008F60B8"/>
    <w:rsid w:val="00903180"/>
    <w:rsid w:val="00903FEF"/>
    <w:rsid w:val="00913709"/>
    <w:rsid w:val="00917122"/>
    <w:rsid w:val="009320D6"/>
    <w:rsid w:val="009327C2"/>
    <w:rsid w:val="0093434E"/>
    <w:rsid w:val="00934AFD"/>
    <w:rsid w:val="009528B0"/>
    <w:rsid w:val="009550FD"/>
    <w:rsid w:val="00956A24"/>
    <w:rsid w:val="0096102A"/>
    <w:rsid w:val="009622F0"/>
    <w:rsid w:val="009730D6"/>
    <w:rsid w:val="00985DDD"/>
    <w:rsid w:val="00990BA4"/>
    <w:rsid w:val="009A6945"/>
    <w:rsid w:val="009B3B4A"/>
    <w:rsid w:val="009B684E"/>
    <w:rsid w:val="009C4C04"/>
    <w:rsid w:val="009D2D47"/>
    <w:rsid w:val="009F0F90"/>
    <w:rsid w:val="009F548D"/>
    <w:rsid w:val="009F5D77"/>
    <w:rsid w:val="009F726F"/>
    <w:rsid w:val="00A0138C"/>
    <w:rsid w:val="00A02AF7"/>
    <w:rsid w:val="00A04A27"/>
    <w:rsid w:val="00A20C34"/>
    <w:rsid w:val="00A23580"/>
    <w:rsid w:val="00A40E9A"/>
    <w:rsid w:val="00A4121F"/>
    <w:rsid w:val="00A4202D"/>
    <w:rsid w:val="00A4262B"/>
    <w:rsid w:val="00A5255D"/>
    <w:rsid w:val="00A560EB"/>
    <w:rsid w:val="00A621F1"/>
    <w:rsid w:val="00AA2DF8"/>
    <w:rsid w:val="00AA6E5A"/>
    <w:rsid w:val="00AA7A99"/>
    <w:rsid w:val="00AB6EBC"/>
    <w:rsid w:val="00AC1725"/>
    <w:rsid w:val="00AC6D00"/>
    <w:rsid w:val="00AC7735"/>
    <w:rsid w:val="00AE4601"/>
    <w:rsid w:val="00AE5126"/>
    <w:rsid w:val="00AF020C"/>
    <w:rsid w:val="00B00657"/>
    <w:rsid w:val="00B054ED"/>
    <w:rsid w:val="00B11D3C"/>
    <w:rsid w:val="00B17780"/>
    <w:rsid w:val="00B17F01"/>
    <w:rsid w:val="00B22D63"/>
    <w:rsid w:val="00B2319A"/>
    <w:rsid w:val="00B257F3"/>
    <w:rsid w:val="00B32BE7"/>
    <w:rsid w:val="00B37E06"/>
    <w:rsid w:val="00B46C1C"/>
    <w:rsid w:val="00B50E45"/>
    <w:rsid w:val="00B5355D"/>
    <w:rsid w:val="00B5568F"/>
    <w:rsid w:val="00B564A4"/>
    <w:rsid w:val="00B614CC"/>
    <w:rsid w:val="00B7248A"/>
    <w:rsid w:val="00B76E81"/>
    <w:rsid w:val="00B844A2"/>
    <w:rsid w:val="00B84A06"/>
    <w:rsid w:val="00B8522C"/>
    <w:rsid w:val="00B86404"/>
    <w:rsid w:val="00B962B7"/>
    <w:rsid w:val="00BA0029"/>
    <w:rsid w:val="00BA2C19"/>
    <w:rsid w:val="00BA6AC4"/>
    <w:rsid w:val="00BB38B0"/>
    <w:rsid w:val="00BB60E3"/>
    <w:rsid w:val="00BB6934"/>
    <w:rsid w:val="00BB7E1B"/>
    <w:rsid w:val="00BC34D2"/>
    <w:rsid w:val="00BD0648"/>
    <w:rsid w:val="00BD0ACD"/>
    <w:rsid w:val="00BD5760"/>
    <w:rsid w:val="00BE1E0C"/>
    <w:rsid w:val="00BE713A"/>
    <w:rsid w:val="00BE799A"/>
    <w:rsid w:val="00BF1164"/>
    <w:rsid w:val="00BF2F7C"/>
    <w:rsid w:val="00BF367C"/>
    <w:rsid w:val="00C11ED4"/>
    <w:rsid w:val="00C17370"/>
    <w:rsid w:val="00C24B7A"/>
    <w:rsid w:val="00C30738"/>
    <w:rsid w:val="00C363D9"/>
    <w:rsid w:val="00C4167D"/>
    <w:rsid w:val="00C424DC"/>
    <w:rsid w:val="00C51A6A"/>
    <w:rsid w:val="00C5527F"/>
    <w:rsid w:val="00C55FA3"/>
    <w:rsid w:val="00C622BC"/>
    <w:rsid w:val="00C6697F"/>
    <w:rsid w:val="00C6798B"/>
    <w:rsid w:val="00C8431A"/>
    <w:rsid w:val="00C86EC7"/>
    <w:rsid w:val="00C9069F"/>
    <w:rsid w:val="00C957B5"/>
    <w:rsid w:val="00CA4E92"/>
    <w:rsid w:val="00CC2603"/>
    <w:rsid w:val="00CC432C"/>
    <w:rsid w:val="00CC4DC6"/>
    <w:rsid w:val="00CD0B7C"/>
    <w:rsid w:val="00CD4E56"/>
    <w:rsid w:val="00CE7414"/>
    <w:rsid w:val="00CF10BF"/>
    <w:rsid w:val="00CF6C2C"/>
    <w:rsid w:val="00D13732"/>
    <w:rsid w:val="00D138E6"/>
    <w:rsid w:val="00D13F81"/>
    <w:rsid w:val="00D17C08"/>
    <w:rsid w:val="00D2753F"/>
    <w:rsid w:val="00D301CC"/>
    <w:rsid w:val="00D41625"/>
    <w:rsid w:val="00D676D5"/>
    <w:rsid w:val="00D8530E"/>
    <w:rsid w:val="00DE075B"/>
    <w:rsid w:val="00DE5A12"/>
    <w:rsid w:val="00DE690A"/>
    <w:rsid w:val="00DE728C"/>
    <w:rsid w:val="00DF0786"/>
    <w:rsid w:val="00DF53F7"/>
    <w:rsid w:val="00E015D5"/>
    <w:rsid w:val="00E0175A"/>
    <w:rsid w:val="00E1336F"/>
    <w:rsid w:val="00E13CB2"/>
    <w:rsid w:val="00E2193C"/>
    <w:rsid w:val="00E23734"/>
    <w:rsid w:val="00E26D6F"/>
    <w:rsid w:val="00E26F8F"/>
    <w:rsid w:val="00E33AC7"/>
    <w:rsid w:val="00E360C2"/>
    <w:rsid w:val="00E378A3"/>
    <w:rsid w:val="00E4033E"/>
    <w:rsid w:val="00E42CCD"/>
    <w:rsid w:val="00E50CB9"/>
    <w:rsid w:val="00E5549D"/>
    <w:rsid w:val="00E55E20"/>
    <w:rsid w:val="00E62332"/>
    <w:rsid w:val="00E63E99"/>
    <w:rsid w:val="00E659EB"/>
    <w:rsid w:val="00E710AB"/>
    <w:rsid w:val="00E716AB"/>
    <w:rsid w:val="00E7652E"/>
    <w:rsid w:val="00E77BEB"/>
    <w:rsid w:val="00E91D14"/>
    <w:rsid w:val="00E9485B"/>
    <w:rsid w:val="00EA0050"/>
    <w:rsid w:val="00EA26C3"/>
    <w:rsid w:val="00EA72C6"/>
    <w:rsid w:val="00EB4277"/>
    <w:rsid w:val="00EB70E4"/>
    <w:rsid w:val="00EB758D"/>
    <w:rsid w:val="00EC2FA9"/>
    <w:rsid w:val="00EC65FB"/>
    <w:rsid w:val="00ED2BAA"/>
    <w:rsid w:val="00ED6029"/>
    <w:rsid w:val="00ED6FDC"/>
    <w:rsid w:val="00EF02A0"/>
    <w:rsid w:val="00EF2D0F"/>
    <w:rsid w:val="00F04A2A"/>
    <w:rsid w:val="00F238FF"/>
    <w:rsid w:val="00F266C5"/>
    <w:rsid w:val="00F435E1"/>
    <w:rsid w:val="00F4482A"/>
    <w:rsid w:val="00F453DC"/>
    <w:rsid w:val="00F45EA4"/>
    <w:rsid w:val="00F642FB"/>
    <w:rsid w:val="00F64AB7"/>
    <w:rsid w:val="00F8339F"/>
    <w:rsid w:val="00F916B5"/>
    <w:rsid w:val="00F931FD"/>
    <w:rsid w:val="00FA05C3"/>
    <w:rsid w:val="00FA4496"/>
    <w:rsid w:val="00FA48C7"/>
    <w:rsid w:val="00FA6C80"/>
    <w:rsid w:val="00FB001C"/>
    <w:rsid w:val="00FB7F4E"/>
    <w:rsid w:val="00FD233A"/>
    <w:rsid w:val="00FD29DE"/>
    <w:rsid w:val="00FD7060"/>
    <w:rsid w:val="00FD72E7"/>
    <w:rsid w:val="00FE240F"/>
    <w:rsid w:val="00FE2A4A"/>
    <w:rsid w:val="00FF1CD7"/>
    <w:rsid w:val="00FF2FCC"/>
    <w:rsid w:val="00FF5864"/>
    <w:rsid w:val="02533FE9"/>
    <w:rsid w:val="07ED0AF6"/>
    <w:rsid w:val="0D5F1A87"/>
    <w:rsid w:val="1A244B97"/>
    <w:rsid w:val="20F7C961"/>
    <w:rsid w:val="25883C7F"/>
    <w:rsid w:val="2C1E9923"/>
    <w:rsid w:val="2E650ED1"/>
    <w:rsid w:val="34CABBC0"/>
    <w:rsid w:val="381E6B99"/>
    <w:rsid w:val="41FE3FF0"/>
    <w:rsid w:val="492F8504"/>
    <w:rsid w:val="5382CB1B"/>
    <w:rsid w:val="62788A89"/>
    <w:rsid w:val="62984EC5"/>
    <w:rsid w:val="659B6F16"/>
    <w:rsid w:val="65E11705"/>
    <w:rsid w:val="6D0384BC"/>
    <w:rsid w:val="6F5B4044"/>
    <w:rsid w:val="752CC8BE"/>
    <w:rsid w:val="77254D5C"/>
    <w:rsid w:val="777C826C"/>
    <w:rsid w:val="7E96031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B1DC4"/>
  <w15:chartTrackingRefBased/>
  <w15:docId w15:val="{9AF080C2-814D-4177-80EE-B2BA1F2B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56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56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5651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5651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5651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5651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5651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5651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5651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5651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5651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5651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5651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5651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5651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5651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5651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56514"/>
    <w:rPr>
      <w:rFonts w:eastAsiaTheme="majorEastAsia" w:cstheme="majorBidi"/>
      <w:color w:val="272727" w:themeColor="text1" w:themeTint="D8"/>
    </w:rPr>
  </w:style>
  <w:style w:type="paragraph" w:styleId="Nzov">
    <w:name w:val="Title"/>
    <w:basedOn w:val="Normlny"/>
    <w:next w:val="Normlny"/>
    <w:link w:val="NzovChar"/>
    <w:uiPriority w:val="10"/>
    <w:qFormat/>
    <w:rsid w:val="00356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5651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5651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5651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5651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56514"/>
    <w:rPr>
      <w:i/>
      <w:iCs/>
      <w:color w:val="404040" w:themeColor="text1" w:themeTint="BF"/>
    </w:rPr>
  </w:style>
  <w:style w:type="paragraph" w:styleId="Odsekzoznamu">
    <w:name w:val="List Paragraph"/>
    <w:basedOn w:val="Normlny"/>
    <w:uiPriority w:val="34"/>
    <w:qFormat/>
    <w:rsid w:val="00356514"/>
    <w:pPr>
      <w:ind w:left="720"/>
      <w:contextualSpacing/>
    </w:pPr>
  </w:style>
  <w:style w:type="character" w:styleId="Intenzvnezvraznenie">
    <w:name w:val="Intense Emphasis"/>
    <w:basedOn w:val="Predvolenpsmoodseku"/>
    <w:uiPriority w:val="21"/>
    <w:qFormat/>
    <w:rsid w:val="00356514"/>
    <w:rPr>
      <w:i/>
      <w:iCs/>
      <w:color w:val="0F4761" w:themeColor="accent1" w:themeShade="BF"/>
    </w:rPr>
  </w:style>
  <w:style w:type="paragraph" w:styleId="Zvraznencitcia">
    <w:name w:val="Intense Quote"/>
    <w:basedOn w:val="Normlny"/>
    <w:next w:val="Normlny"/>
    <w:link w:val="ZvraznencitciaChar"/>
    <w:uiPriority w:val="30"/>
    <w:qFormat/>
    <w:rsid w:val="00356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56514"/>
    <w:rPr>
      <w:i/>
      <w:iCs/>
      <w:color w:val="0F4761" w:themeColor="accent1" w:themeShade="BF"/>
    </w:rPr>
  </w:style>
  <w:style w:type="character" w:styleId="Zvraznenodkaz">
    <w:name w:val="Intense Reference"/>
    <w:basedOn w:val="Predvolenpsmoodseku"/>
    <w:uiPriority w:val="32"/>
    <w:qFormat/>
    <w:rsid w:val="00356514"/>
    <w:rPr>
      <w:b/>
      <w:bCs/>
      <w:smallCaps/>
      <w:color w:val="0F4761" w:themeColor="accent1" w:themeShade="BF"/>
      <w:spacing w:val="5"/>
    </w:rPr>
  </w:style>
  <w:style w:type="character" w:styleId="Hypertextovprepojenie">
    <w:name w:val="Hyperlink"/>
    <w:basedOn w:val="Predvolenpsmoodseku"/>
    <w:uiPriority w:val="99"/>
    <w:semiHidden/>
    <w:unhideWhenUsed/>
    <w:rsid w:val="00B84A06"/>
    <w:rPr>
      <w:color w:val="0563C1"/>
      <w:u w:val="single"/>
    </w:rPr>
  </w:style>
  <w:style w:type="paragraph" w:styleId="Textpoznmkypodiarou">
    <w:name w:val="footnote text"/>
    <w:basedOn w:val="Normlny"/>
    <w:link w:val="TextpoznmkypodiarouChar"/>
    <w:uiPriority w:val="99"/>
    <w:semiHidden/>
    <w:unhideWhenUsed/>
    <w:rsid w:val="00D416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41625"/>
    <w:rPr>
      <w:sz w:val="20"/>
      <w:szCs w:val="20"/>
    </w:rPr>
  </w:style>
  <w:style w:type="character" w:styleId="Odkaznapoznmkupodiarou">
    <w:name w:val="footnote reference"/>
    <w:basedOn w:val="Predvolenpsmoodseku"/>
    <w:uiPriority w:val="99"/>
    <w:semiHidden/>
    <w:unhideWhenUsed/>
    <w:rsid w:val="00D41625"/>
    <w:rPr>
      <w:vertAlign w:val="superscript"/>
    </w:rPr>
  </w:style>
  <w:style w:type="table" w:styleId="Mriekatabuky">
    <w:name w:val="Table Grid"/>
    <w:basedOn w:val="Normlnatabuka"/>
    <w:uiPriority w:val="39"/>
    <w:rsid w:val="00E2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360C2"/>
    <w:pPr>
      <w:spacing w:after="0" w:line="240" w:lineRule="auto"/>
    </w:pPr>
  </w:style>
  <w:style w:type="character" w:styleId="Odkaznakomentr">
    <w:name w:val="annotation reference"/>
    <w:basedOn w:val="Predvolenpsmoodseku"/>
    <w:uiPriority w:val="99"/>
    <w:semiHidden/>
    <w:unhideWhenUsed/>
    <w:rsid w:val="00F238FF"/>
    <w:rPr>
      <w:sz w:val="16"/>
      <w:szCs w:val="16"/>
    </w:rPr>
  </w:style>
  <w:style w:type="paragraph" w:styleId="Textkomentra">
    <w:name w:val="annotation text"/>
    <w:basedOn w:val="Normlny"/>
    <w:link w:val="TextkomentraChar"/>
    <w:uiPriority w:val="99"/>
    <w:unhideWhenUsed/>
    <w:rsid w:val="00F238FF"/>
    <w:pPr>
      <w:spacing w:line="240" w:lineRule="auto"/>
    </w:pPr>
    <w:rPr>
      <w:sz w:val="20"/>
      <w:szCs w:val="20"/>
    </w:rPr>
  </w:style>
  <w:style w:type="character" w:customStyle="1" w:styleId="TextkomentraChar">
    <w:name w:val="Text komentára Char"/>
    <w:basedOn w:val="Predvolenpsmoodseku"/>
    <w:link w:val="Textkomentra"/>
    <w:uiPriority w:val="99"/>
    <w:rsid w:val="00F238FF"/>
    <w:rPr>
      <w:sz w:val="20"/>
      <w:szCs w:val="20"/>
    </w:rPr>
  </w:style>
  <w:style w:type="paragraph" w:styleId="Predmetkomentra">
    <w:name w:val="annotation subject"/>
    <w:basedOn w:val="Textkomentra"/>
    <w:next w:val="Textkomentra"/>
    <w:link w:val="PredmetkomentraChar"/>
    <w:uiPriority w:val="99"/>
    <w:semiHidden/>
    <w:unhideWhenUsed/>
    <w:rsid w:val="00F238FF"/>
    <w:rPr>
      <w:b/>
      <w:bCs/>
    </w:rPr>
  </w:style>
  <w:style w:type="character" w:customStyle="1" w:styleId="PredmetkomentraChar">
    <w:name w:val="Predmet komentára Char"/>
    <w:basedOn w:val="TextkomentraChar"/>
    <w:link w:val="Predmetkomentra"/>
    <w:uiPriority w:val="99"/>
    <w:semiHidden/>
    <w:rsid w:val="00F238FF"/>
    <w:rPr>
      <w:b/>
      <w:bCs/>
      <w:sz w:val="20"/>
      <w:szCs w:val="20"/>
    </w:rPr>
  </w:style>
  <w:style w:type="paragraph" w:styleId="Hlavika">
    <w:name w:val="header"/>
    <w:basedOn w:val="Normlny"/>
    <w:link w:val="HlavikaChar"/>
    <w:uiPriority w:val="99"/>
    <w:unhideWhenUsed/>
    <w:rsid w:val="00D676D5"/>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D676D5"/>
  </w:style>
  <w:style w:type="paragraph" w:styleId="Pta">
    <w:name w:val="footer"/>
    <w:basedOn w:val="Normlny"/>
    <w:link w:val="PtaChar"/>
    <w:uiPriority w:val="99"/>
    <w:unhideWhenUsed/>
    <w:rsid w:val="00D676D5"/>
    <w:pPr>
      <w:tabs>
        <w:tab w:val="center" w:pos="4513"/>
        <w:tab w:val="right" w:pos="9026"/>
      </w:tabs>
      <w:spacing w:after="0" w:line="240" w:lineRule="auto"/>
    </w:pPr>
  </w:style>
  <w:style w:type="character" w:customStyle="1" w:styleId="PtaChar">
    <w:name w:val="Päta Char"/>
    <w:basedOn w:val="Predvolenpsmoodseku"/>
    <w:link w:val="Pta"/>
    <w:uiPriority w:val="99"/>
    <w:rsid w:val="00D6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4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er.eiopa.europa.eu/Publications/Reports/LTG%20Report%202019.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gister.eiopa.europa.eu/Publications/Reports/2018-12-18%20_LTG%20AnnualReport201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opa.europa.eu/system/files/2020-12/eiopa-bos-20-706-long-term-guarantees-ltg-report-20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ABCF5-DF35-4EA6-BD39-264AD3608E1A}">
  <ds:schemaRefs>
    <ds:schemaRef ds:uri="http://purl.org/dc/elements/1.1/"/>
    <ds:schemaRef ds:uri="http://schemas.microsoft.com/office/2006/documentManagement/types"/>
    <ds:schemaRef ds:uri="d352728d-c7aa-455d-bd83-40fe44122be8"/>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555D1F-DC0A-4A7A-B9E5-A88C7B1CD77F}">
  <ds:schemaRefs>
    <ds:schemaRef ds:uri="http://schemas.openxmlformats.org/officeDocument/2006/bibliography"/>
  </ds:schemaRefs>
</ds:datastoreItem>
</file>

<file path=customXml/itemProps3.xml><?xml version="1.0" encoding="utf-8"?>
<ds:datastoreItem xmlns:ds="http://schemas.openxmlformats.org/officeDocument/2006/customXml" ds:itemID="{3176A31E-20D6-46E3-ABAD-97C85D7EA2CE}">
  <ds:schemaRefs>
    <ds:schemaRef ds:uri="http://schemas.microsoft.com/sharepoint/v3/contenttype/forms"/>
  </ds:schemaRefs>
</ds:datastoreItem>
</file>

<file path=customXml/itemProps4.xml><?xml version="1.0" encoding="utf-8"?>
<ds:datastoreItem xmlns:ds="http://schemas.openxmlformats.org/officeDocument/2006/customXml" ds:itemID="{2066C8CE-B103-446C-8AC0-5BA6F3C8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12376</Characters>
  <Application>Microsoft Office Word</Application>
  <DocSecurity>4</DocSecurity>
  <Lines>103</Lines>
  <Paragraphs>29</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LTG paper - Volatility adjustment</dc:title>
  <dc:subject/>
  <dc:creator>Angus</dc:creator>
  <cp:keywords/>
  <dc:description/>
  <cp:lastModifiedBy>jozef.bachnicek</cp:lastModifiedBy>
  <cp:revision>2</cp:revision>
  <dcterms:created xsi:type="dcterms:W3CDTF">2024-06-21T06:51:00Z</dcterms:created>
  <dcterms:modified xsi:type="dcterms:W3CDTF">2024-06-21T06:51:00Z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2024-06-17T18:40:33Z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7efdf7cb-3b2c-429a-9cd9-b9a7aa3944bf</vt:lpwstr>
  </property>
  <property fmtid="{D5CDD505-2E9C-101B-9397-08002B2CF9AE}" pid="8" name="MSIP_Label_5bf4bb52-9e9d-4296-940a-59002820a53c_ContentBits">
    <vt:lpwstr>0</vt:lpwstr>
  </property>
  <property fmtid="{D5CDD505-2E9C-101B-9397-08002B2CF9AE}" pid="9" name="ContentTypeId">
    <vt:lpwstr>0x0101007A2A1B97D27D6A4C90B6022E1624614C</vt:lpwstr>
  </property>
  <property fmtid="{D5CDD505-2E9C-101B-9397-08002B2CF9AE}" pid="10" name="MediaServiceImageTags">
    <vt:lpwstr/>
  </property>
</Properties>
</file>