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BA244" w14:textId="0E8E214C" w:rsidR="003A4BDB" w:rsidRPr="00B4793D" w:rsidRDefault="000C7327">
      <w:pPr>
        <w:rPr>
          <w:rFonts w:ascii="Verdana" w:hAnsi="Verdana"/>
          <w:b/>
          <w:bCs/>
          <w:sz w:val="18"/>
          <w:szCs w:val="18"/>
        </w:rPr>
      </w:pPr>
      <w:r w:rsidRPr="00B4793D">
        <w:rPr>
          <w:rFonts w:ascii="Verdana" w:hAnsi="Verdana"/>
          <w:b/>
          <w:bCs/>
          <w:sz w:val="18"/>
          <w:szCs w:val="18"/>
        </w:rPr>
        <w:t>Risk Margin</w:t>
      </w:r>
    </w:p>
    <w:p w14:paraId="393EB3DE" w14:textId="77777777" w:rsidR="00752D41" w:rsidRPr="00B4793D" w:rsidRDefault="00752D41" w:rsidP="000C7327">
      <w:pPr>
        <w:jc w:val="both"/>
        <w:rPr>
          <w:rFonts w:ascii="Verdana" w:hAnsi="Verdana"/>
          <w:sz w:val="18"/>
          <w:szCs w:val="18"/>
        </w:rPr>
      </w:pPr>
    </w:p>
    <w:p w14:paraId="688422A4" w14:textId="56CA2431" w:rsidR="00280D91" w:rsidRPr="00AB6930" w:rsidRDefault="00280D91" w:rsidP="000C7327">
      <w:pPr>
        <w:jc w:val="both"/>
        <w:rPr>
          <w:rFonts w:ascii="Verdana" w:hAnsi="Verdana"/>
          <w:b/>
          <w:bCs/>
          <w:sz w:val="18"/>
          <w:szCs w:val="18"/>
        </w:rPr>
      </w:pPr>
      <w:r w:rsidRPr="00AB6930">
        <w:rPr>
          <w:rFonts w:ascii="Verdana" w:hAnsi="Verdana"/>
          <w:b/>
          <w:bCs/>
          <w:sz w:val="18"/>
          <w:szCs w:val="18"/>
        </w:rPr>
        <w:t xml:space="preserve">Industry key </w:t>
      </w:r>
      <w:r w:rsidR="002E59B7">
        <w:rPr>
          <w:rFonts w:ascii="Verdana" w:hAnsi="Verdana"/>
          <w:b/>
          <w:bCs/>
          <w:sz w:val="18"/>
          <w:szCs w:val="18"/>
        </w:rPr>
        <w:t>views</w:t>
      </w:r>
    </w:p>
    <w:p w14:paraId="7E05B899" w14:textId="5205F06A" w:rsidR="008E247E" w:rsidRDefault="002E59B7" w:rsidP="00280D91">
      <w:pPr>
        <w:pStyle w:val="Odsekzoznamu"/>
        <w:numPr>
          <w:ilvl w:val="0"/>
          <w:numId w:val="3"/>
        </w:numPr>
        <w:jc w:val="both"/>
        <w:rPr>
          <w:rFonts w:ascii="Verdana" w:hAnsi="Verdana"/>
          <w:b/>
          <w:bCs/>
          <w:sz w:val="18"/>
          <w:szCs w:val="18"/>
        </w:rPr>
      </w:pPr>
      <w:r>
        <w:rPr>
          <w:rFonts w:ascii="Verdana" w:hAnsi="Verdana"/>
          <w:b/>
          <w:bCs/>
          <w:sz w:val="18"/>
          <w:szCs w:val="18"/>
        </w:rPr>
        <w:t xml:space="preserve">There are </w:t>
      </w:r>
      <w:r w:rsidR="008E247E">
        <w:rPr>
          <w:rFonts w:ascii="Verdana" w:hAnsi="Verdana"/>
          <w:b/>
          <w:bCs/>
          <w:sz w:val="18"/>
          <w:szCs w:val="18"/>
        </w:rPr>
        <w:t xml:space="preserve">widely acknowledged issues </w:t>
      </w:r>
      <w:r w:rsidR="0070422A">
        <w:rPr>
          <w:rFonts w:ascii="Verdana" w:hAnsi="Verdana"/>
          <w:b/>
          <w:bCs/>
          <w:sz w:val="18"/>
          <w:szCs w:val="18"/>
        </w:rPr>
        <w:t>with the</w:t>
      </w:r>
      <w:r w:rsidR="008E247E">
        <w:rPr>
          <w:rFonts w:ascii="Verdana" w:hAnsi="Verdana"/>
          <w:b/>
          <w:bCs/>
          <w:sz w:val="18"/>
          <w:szCs w:val="18"/>
        </w:rPr>
        <w:t xml:space="preserve"> design and calibration of the current risk margin.</w:t>
      </w:r>
    </w:p>
    <w:p w14:paraId="04CBDD79" w14:textId="77777777" w:rsidR="008E247E" w:rsidRDefault="008E247E" w:rsidP="00280D91">
      <w:pPr>
        <w:pStyle w:val="Odsekzoznamu"/>
        <w:numPr>
          <w:ilvl w:val="0"/>
          <w:numId w:val="3"/>
        </w:numPr>
        <w:jc w:val="both"/>
        <w:rPr>
          <w:rFonts w:ascii="Verdana" w:hAnsi="Verdana"/>
          <w:b/>
          <w:bCs/>
          <w:sz w:val="18"/>
          <w:szCs w:val="18"/>
        </w:rPr>
      </w:pPr>
      <w:r>
        <w:rPr>
          <w:rFonts w:ascii="Verdana" w:hAnsi="Verdana"/>
          <w:b/>
          <w:bCs/>
          <w:sz w:val="18"/>
          <w:szCs w:val="18"/>
        </w:rPr>
        <w:t xml:space="preserve">Insurance Europe supports the intentions of the co-legislators to address these issues through a 4.75% Cost of Capital and the introduction of an appropriate </w:t>
      </w:r>
      <w:r w:rsidRPr="008E247E">
        <w:rPr>
          <w:rFonts w:ascii="Verdana" w:hAnsi="Verdana"/>
          <w:b/>
          <w:bCs/>
          <w:sz w:val="18"/>
          <w:szCs w:val="18"/>
        </w:rPr>
        <w:t>exponential and time dependent element</w:t>
      </w:r>
      <w:r>
        <w:rPr>
          <w:rFonts w:ascii="Verdana" w:hAnsi="Verdana"/>
          <w:b/>
          <w:bCs/>
          <w:sz w:val="18"/>
          <w:szCs w:val="18"/>
        </w:rPr>
        <w:t xml:space="preserve"> (lambda parameter). </w:t>
      </w:r>
    </w:p>
    <w:p w14:paraId="77C768CD" w14:textId="6310F0DC" w:rsidR="00280D91" w:rsidRPr="00AB6930" w:rsidRDefault="00340F5A" w:rsidP="00280D91">
      <w:pPr>
        <w:pStyle w:val="Odsekzoznamu"/>
        <w:numPr>
          <w:ilvl w:val="0"/>
          <w:numId w:val="3"/>
        </w:numPr>
        <w:jc w:val="both"/>
        <w:rPr>
          <w:rFonts w:ascii="Verdana" w:hAnsi="Verdana"/>
          <w:b/>
          <w:bCs/>
          <w:sz w:val="18"/>
          <w:szCs w:val="18"/>
        </w:rPr>
      </w:pPr>
      <w:r>
        <w:rPr>
          <w:rFonts w:ascii="Verdana" w:hAnsi="Verdana"/>
          <w:b/>
          <w:bCs/>
          <w:sz w:val="18"/>
          <w:szCs w:val="18"/>
        </w:rPr>
        <w:t>I</w:t>
      </w:r>
      <w:r w:rsidR="00650B92">
        <w:rPr>
          <w:rFonts w:ascii="Verdana" w:hAnsi="Verdana"/>
          <w:b/>
          <w:bCs/>
          <w:sz w:val="18"/>
          <w:szCs w:val="18"/>
        </w:rPr>
        <w:t xml:space="preserve">ndustry supports a </w:t>
      </w:r>
      <w:r w:rsidR="0070422A">
        <w:rPr>
          <w:rFonts w:ascii="Verdana" w:hAnsi="Verdana"/>
          <w:b/>
          <w:bCs/>
          <w:sz w:val="18"/>
          <w:szCs w:val="18"/>
        </w:rPr>
        <w:t>calibration</w:t>
      </w:r>
      <w:r w:rsidR="00650B92">
        <w:rPr>
          <w:rFonts w:ascii="Verdana" w:hAnsi="Verdana"/>
          <w:b/>
          <w:bCs/>
          <w:sz w:val="18"/>
          <w:szCs w:val="18"/>
        </w:rPr>
        <w:t xml:space="preserve"> of the </w:t>
      </w:r>
      <w:r w:rsidR="0070422A">
        <w:rPr>
          <w:rFonts w:ascii="Verdana" w:hAnsi="Verdana"/>
          <w:b/>
          <w:bCs/>
          <w:sz w:val="18"/>
          <w:szCs w:val="18"/>
        </w:rPr>
        <w:t xml:space="preserve">lambda parameter </w:t>
      </w:r>
      <w:r w:rsidR="00825894">
        <w:rPr>
          <w:rFonts w:ascii="Verdana" w:hAnsi="Verdana"/>
          <w:b/>
          <w:bCs/>
          <w:sz w:val="18"/>
          <w:szCs w:val="18"/>
        </w:rPr>
        <w:t>of</w:t>
      </w:r>
      <w:r w:rsidR="0070422A">
        <w:rPr>
          <w:rFonts w:ascii="Verdana" w:hAnsi="Verdana"/>
          <w:b/>
          <w:bCs/>
          <w:sz w:val="18"/>
          <w:szCs w:val="18"/>
        </w:rPr>
        <w:t xml:space="preserve"> </w:t>
      </w:r>
      <w:r w:rsidR="00C63646">
        <w:rPr>
          <w:rFonts w:ascii="Verdana" w:hAnsi="Verdana"/>
          <w:b/>
          <w:bCs/>
          <w:sz w:val="18"/>
          <w:szCs w:val="18"/>
        </w:rPr>
        <w:t>92.5%</w:t>
      </w:r>
      <w:r w:rsidR="00AB6930" w:rsidRPr="00AB6930">
        <w:rPr>
          <w:rFonts w:ascii="Verdana" w:hAnsi="Verdana"/>
          <w:b/>
          <w:bCs/>
          <w:sz w:val="18"/>
          <w:szCs w:val="18"/>
        </w:rPr>
        <w:t>,</w:t>
      </w:r>
      <w:r w:rsidR="00280D91" w:rsidRPr="00AB6930">
        <w:rPr>
          <w:rFonts w:ascii="Verdana" w:hAnsi="Verdana"/>
          <w:b/>
          <w:bCs/>
          <w:sz w:val="18"/>
          <w:szCs w:val="18"/>
        </w:rPr>
        <w:t xml:space="preserve"> without a floor</w:t>
      </w:r>
      <w:r w:rsidR="00711441">
        <w:rPr>
          <w:rFonts w:ascii="Verdana" w:hAnsi="Verdana"/>
          <w:b/>
          <w:bCs/>
          <w:sz w:val="18"/>
          <w:szCs w:val="18"/>
        </w:rPr>
        <w:t xml:space="preserve">. This would achieve the objective of roughly halving the size and volatility of the risk margin </w:t>
      </w:r>
      <w:r w:rsidR="00072EA9">
        <w:rPr>
          <w:rFonts w:ascii="Verdana" w:hAnsi="Verdana"/>
          <w:b/>
          <w:bCs/>
          <w:sz w:val="18"/>
          <w:szCs w:val="18"/>
        </w:rPr>
        <w:t xml:space="preserve">consistent with the </w:t>
      </w:r>
      <w:r w:rsidR="00A1752D">
        <w:rPr>
          <w:rFonts w:ascii="Verdana" w:hAnsi="Verdana"/>
          <w:b/>
          <w:bCs/>
          <w:sz w:val="18"/>
          <w:szCs w:val="18"/>
        </w:rPr>
        <w:t xml:space="preserve">technical evidence and </w:t>
      </w:r>
      <w:r w:rsidR="00883B8C">
        <w:rPr>
          <w:rFonts w:ascii="Verdana" w:hAnsi="Verdana"/>
          <w:b/>
          <w:bCs/>
          <w:sz w:val="18"/>
          <w:szCs w:val="18"/>
        </w:rPr>
        <w:t xml:space="preserve">political ambition. </w:t>
      </w:r>
    </w:p>
    <w:p w14:paraId="21834115" w14:textId="2FEA1284" w:rsidR="001E0133" w:rsidRPr="00AB6930" w:rsidRDefault="00883B8C" w:rsidP="00280D91">
      <w:pPr>
        <w:pStyle w:val="Odsekzoznamu"/>
        <w:numPr>
          <w:ilvl w:val="0"/>
          <w:numId w:val="3"/>
        </w:numPr>
        <w:jc w:val="both"/>
        <w:rPr>
          <w:rFonts w:ascii="Verdana" w:hAnsi="Verdana"/>
          <w:b/>
          <w:bCs/>
          <w:sz w:val="18"/>
          <w:szCs w:val="18"/>
        </w:rPr>
      </w:pPr>
      <w:r>
        <w:rPr>
          <w:rFonts w:ascii="Verdana" w:hAnsi="Verdana"/>
          <w:b/>
          <w:bCs/>
          <w:sz w:val="18"/>
          <w:szCs w:val="18"/>
        </w:rPr>
        <w:t>In addition, th</w:t>
      </w:r>
      <w:r w:rsidR="00BD7504">
        <w:rPr>
          <w:rFonts w:ascii="Verdana" w:hAnsi="Verdana"/>
          <w:b/>
          <w:bCs/>
          <w:sz w:val="18"/>
          <w:szCs w:val="18"/>
        </w:rPr>
        <w:t>ere should be appropriate recognition of d</w:t>
      </w:r>
      <w:r w:rsidR="00373555" w:rsidRPr="00AB6930">
        <w:rPr>
          <w:rFonts w:ascii="Verdana" w:hAnsi="Verdana"/>
          <w:b/>
          <w:bCs/>
          <w:sz w:val="18"/>
          <w:szCs w:val="18"/>
        </w:rPr>
        <w:t>iversification of risks at group level</w:t>
      </w:r>
      <w:r w:rsidR="007F23C7">
        <w:rPr>
          <w:rFonts w:ascii="Verdana" w:hAnsi="Verdana"/>
          <w:b/>
          <w:bCs/>
          <w:sz w:val="18"/>
          <w:szCs w:val="18"/>
        </w:rPr>
        <w:t>.</w:t>
      </w:r>
    </w:p>
    <w:p w14:paraId="36960973" w14:textId="77777777" w:rsidR="00280D91" w:rsidRPr="00B4793D" w:rsidRDefault="00280D91" w:rsidP="000C7327">
      <w:pPr>
        <w:jc w:val="both"/>
        <w:rPr>
          <w:rFonts w:ascii="Verdana" w:hAnsi="Verdana"/>
          <w:sz w:val="18"/>
          <w:szCs w:val="18"/>
        </w:rPr>
      </w:pPr>
    </w:p>
    <w:p w14:paraId="1E0C0EB2" w14:textId="011193E9" w:rsidR="00752D41" w:rsidRPr="00B4793D" w:rsidRDefault="00752D41" w:rsidP="000C7327">
      <w:pPr>
        <w:jc w:val="both"/>
        <w:rPr>
          <w:rFonts w:ascii="Verdana" w:hAnsi="Verdana"/>
          <w:b/>
          <w:bCs/>
          <w:sz w:val="18"/>
          <w:szCs w:val="18"/>
        </w:rPr>
      </w:pPr>
      <w:r w:rsidRPr="00B4793D">
        <w:rPr>
          <w:rFonts w:ascii="Verdana" w:hAnsi="Verdana"/>
          <w:b/>
          <w:bCs/>
          <w:sz w:val="18"/>
          <w:szCs w:val="18"/>
        </w:rPr>
        <w:t>Background</w:t>
      </w:r>
    </w:p>
    <w:p w14:paraId="34D052B7" w14:textId="58728DF9" w:rsidR="00026B60" w:rsidRDefault="000C7327" w:rsidP="001C6F5F">
      <w:pPr>
        <w:spacing w:line="276" w:lineRule="auto"/>
        <w:jc w:val="both"/>
        <w:rPr>
          <w:rFonts w:ascii="Verdana" w:hAnsi="Verdana"/>
          <w:sz w:val="18"/>
          <w:szCs w:val="18"/>
        </w:rPr>
      </w:pPr>
      <w:r w:rsidRPr="00B4793D">
        <w:rPr>
          <w:rFonts w:ascii="Verdana" w:hAnsi="Verdana"/>
          <w:sz w:val="18"/>
          <w:szCs w:val="18"/>
        </w:rPr>
        <w:t>The risk margin</w:t>
      </w:r>
      <w:r w:rsidR="00820210">
        <w:rPr>
          <w:rFonts w:ascii="Verdana" w:hAnsi="Verdana"/>
          <w:sz w:val="18"/>
          <w:szCs w:val="18"/>
        </w:rPr>
        <w:t xml:space="preserve"> </w:t>
      </w:r>
      <w:r w:rsidR="008C3A85">
        <w:rPr>
          <w:rFonts w:ascii="Verdana" w:hAnsi="Verdana"/>
          <w:sz w:val="18"/>
          <w:szCs w:val="18"/>
        </w:rPr>
        <w:t xml:space="preserve">is </w:t>
      </w:r>
      <w:r w:rsidR="00820210">
        <w:rPr>
          <w:rFonts w:ascii="Verdana" w:hAnsi="Verdana"/>
          <w:sz w:val="18"/>
          <w:szCs w:val="18"/>
        </w:rPr>
        <w:t xml:space="preserve">part of </w:t>
      </w:r>
      <w:r w:rsidR="008C3A85">
        <w:rPr>
          <w:rFonts w:ascii="Verdana" w:hAnsi="Verdana"/>
          <w:sz w:val="18"/>
          <w:szCs w:val="18"/>
        </w:rPr>
        <w:t>an insurer’s</w:t>
      </w:r>
      <w:r w:rsidR="00820210">
        <w:rPr>
          <w:rFonts w:ascii="Verdana" w:hAnsi="Verdana"/>
          <w:sz w:val="18"/>
          <w:szCs w:val="18"/>
        </w:rPr>
        <w:t xml:space="preserve"> </w:t>
      </w:r>
      <w:r w:rsidR="008C3A85">
        <w:rPr>
          <w:rFonts w:ascii="Verdana" w:hAnsi="Verdana"/>
          <w:sz w:val="18"/>
          <w:szCs w:val="18"/>
        </w:rPr>
        <w:t>liabilities (known as “</w:t>
      </w:r>
      <w:r w:rsidRPr="00B4793D">
        <w:rPr>
          <w:rFonts w:ascii="Verdana" w:hAnsi="Verdana"/>
          <w:sz w:val="18"/>
          <w:szCs w:val="18"/>
        </w:rPr>
        <w:t>technical provisions</w:t>
      </w:r>
      <w:r w:rsidR="008C3A85">
        <w:rPr>
          <w:rFonts w:ascii="Verdana" w:hAnsi="Verdana"/>
          <w:sz w:val="18"/>
          <w:szCs w:val="18"/>
        </w:rPr>
        <w:t>”)</w:t>
      </w:r>
      <w:r w:rsidRPr="00B4793D">
        <w:rPr>
          <w:rFonts w:ascii="Verdana" w:hAnsi="Verdana"/>
          <w:sz w:val="18"/>
          <w:szCs w:val="18"/>
        </w:rPr>
        <w:t xml:space="preserve"> on the Solvency II balance sheet</w:t>
      </w:r>
      <w:r w:rsidR="00D61A05">
        <w:rPr>
          <w:rFonts w:ascii="Verdana" w:hAnsi="Verdana"/>
          <w:sz w:val="18"/>
          <w:szCs w:val="18"/>
        </w:rPr>
        <w:t xml:space="preserve">. It </w:t>
      </w:r>
      <w:r w:rsidR="00123FA6">
        <w:rPr>
          <w:rFonts w:ascii="Verdana" w:hAnsi="Verdana"/>
          <w:sz w:val="18"/>
          <w:szCs w:val="18"/>
        </w:rPr>
        <w:t>is</w:t>
      </w:r>
      <w:r w:rsidRPr="00B4793D">
        <w:rPr>
          <w:rFonts w:ascii="Verdana" w:hAnsi="Verdana"/>
          <w:sz w:val="18"/>
          <w:szCs w:val="18"/>
        </w:rPr>
        <w:t xml:space="preserve"> an additional </w:t>
      </w:r>
      <w:r w:rsidR="00A82A89">
        <w:rPr>
          <w:rFonts w:ascii="Verdana" w:hAnsi="Verdana"/>
          <w:sz w:val="18"/>
          <w:szCs w:val="18"/>
        </w:rPr>
        <w:t>buffer held by insurers,</w:t>
      </w:r>
      <w:r w:rsidRPr="00B4793D">
        <w:rPr>
          <w:rFonts w:ascii="Verdana" w:hAnsi="Verdana"/>
          <w:sz w:val="18"/>
          <w:szCs w:val="18"/>
        </w:rPr>
        <w:t xml:space="preserve"> above the best estimate </w:t>
      </w:r>
      <w:r w:rsidR="00384374">
        <w:rPr>
          <w:rFonts w:ascii="Verdana" w:hAnsi="Verdana"/>
          <w:sz w:val="18"/>
          <w:szCs w:val="18"/>
        </w:rPr>
        <w:t>which is expected to be</w:t>
      </w:r>
      <w:r w:rsidRPr="00B4793D">
        <w:rPr>
          <w:rFonts w:ascii="Verdana" w:hAnsi="Verdana"/>
          <w:sz w:val="18"/>
          <w:szCs w:val="18"/>
        </w:rPr>
        <w:t xml:space="preserve"> required to pay </w:t>
      </w:r>
      <w:r w:rsidR="00384374">
        <w:rPr>
          <w:rFonts w:ascii="Verdana" w:hAnsi="Verdana"/>
          <w:sz w:val="18"/>
          <w:szCs w:val="18"/>
        </w:rPr>
        <w:t xml:space="preserve">all </w:t>
      </w:r>
      <w:r w:rsidRPr="00B4793D">
        <w:rPr>
          <w:rFonts w:ascii="Verdana" w:hAnsi="Verdana"/>
          <w:sz w:val="18"/>
          <w:szCs w:val="18"/>
        </w:rPr>
        <w:t>customer</w:t>
      </w:r>
      <w:r w:rsidR="00384374">
        <w:rPr>
          <w:rFonts w:ascii="Verdana" w:hAnsi="Verdana"/>
          <w:sz w:val="18"/>
          <w:szCs w:val="18"/>
        </w:rPr>
        <w:t>s’</w:t>
      </w:r>
      <w:r w:rsidRPr="00B4793D">
        <w:rPr>
          <w:rFonts w:ascii="Verdana" w:hAnsi="Verdana"/>
          <w:sz w:val="18"/>
          <w:szCs w:val="18"/>
        </w:rPr>
        <w:t xml:space="preserve"> claims and benefits, including administration costs. </w:t>
      </w:r>
    </w:p>
    <w:p w14:paraId="29FA817F" w14:textId="3E558811" w:rsidR="00752D41" w:rsidRPr="00B4793D" w:rsidRDefault="000C7327" w:rsidP="001C6F5F">
      <w:pPr>
        <w:spacing w:line="276" w:lineRule="auto"/>
        <w:jc w:val="both"/>
        <w:rPr>
          <w:rFonts w:ascii="Verdana" w:hAnsi="Verdana"/>
          <w:sz w:val="18"/>
          <w:szCs w:val="18"/>
        </w:rPr>
      </w:pPr>
      <w:r w:rsidRPr="00B4793D">
        <w:rPr>
          <w:rFonts w:ascii="Verdana" w:hAnsi="Verdana"/>
          <w:sz w:val="18"/>
          <w:szCs w:val="18"/>
        </w:rPr>
        <w:t xml:space="preserve">Its </w:t>
      </w:r>
      <w:r w:rsidR="00F74BA1">
        <w:rPr>
          <w:rFonts w:ascii="Verdana" w:hAnsi="Verdana"/>
          <w:sz w:val="18"/>
          <w:szCs w:val="18"/>
        </w:rPr>
        <w:t>theoretical</w:t>
      </w:r>
      <w:r w:rsidRPr="00B4793D">
        <w:rPr>
          <w:rFonts w:ascii="Verdana" w:hAnsi="Verdana"/>
          <w:sz w:val="18"/>
          <w:szCs w:val="18"/>
        </w:rPr>
        <w:t xml:space="preserve"> prudential purpose is to ensure that, in the rare event of an insurer's failure, sufficient funds are available to transfer the</w:t>
      </w:r>
      <w:r w:rsidR="00746C5F">
        <w:rPr>
          <w:rFonts w:ascii="Verdana" w:hAnsi="Verdana"/>
          <w:sz w:val="18"/>
          <w:szCs w:val="18"/>
        </w:rPr>
        <w:t xml:space="preserve"> insurer’s</w:t>
      </w:r>
      <w:r w:rsidRPr="00B4793D">
        <w:rPr>
          <w:rFonts w:ascii="Verdana" w:hAnsi="Verdana"/>
          <w:sz w:val="18"/>
          <w:szCs w:val="18"/>
        </w:rPr>
        <w:t xml:space="preserve"> liabilities to a third party, such as another insurer, thereby enabling an orderly run-off of the portfolio.</w:t>
      </w:r>
      <w:r w:rsidR="00752D41" w:rsidRPr="00B4793D">
        <w:rPr>
          <w:rFonts w:ascii="Verdana" w:hAnsi="Verdana"/>
          <w:sz w:val="18"/>
          <w:szCs w:val="18"/>
        </w:rPr>
        <w:t xml:space="preserve"> </w:t>
      </w:r>
    </w:p>
    <w:p w14:paraId="4FF526D6" w14:textId="2A534AF5" w:rsidR="00752D41" w:rsidRPr="00B4793D" w:rsidRDefault="008407FB" w:rsidP="000C7327">
      <w:pPr>
        <w:jc w:val="both"/>
        <w:rPr>
          <w:rFonts w:ascii="Verdana" w:hAnsi="Verdana"/>
          <w:b/>
          <w:bCs/>
          <w:sz w:val="18"/>
          <w:szCs w:val="18"/>
        </w:rPr>
      </w:pPr>
      <w:r>
        <w:rPr>
          <w:rFonts w:ascii="Verdana" w:hAnsi="Verdana"/>
          <w:b/>
          <w:bCs/>
          <w:sz w:val="18"/>
          <w:szCs w:val="18"/>
        </w:rPr>
        <w:t>I</w:t>
      </w:r>
      <w:r w:rsidR="00752D41" w:rsidRPr="00B4793D">
        <w:rPr>
          <w:rFonts w:ascii="Verdana" w:hAnsi="Verdana"/>
          <w:b/>
          <w:bCs/>
          <w:sz w:val="18"/>
          <w:szCs w:val="18"/>
        </w:rPr>
        <w:t xml:space="preserve">ssues with the </w:t>
      </w:r>
      <w:r>
        <w:rPr>
          <w:rFonts w:ascii="Verdana" w:hAnsi="Verdana"/>
          <w:b/>
          <w:bCs/>
          <w:sz w:val="18"/>
          <w:szCs w:val="18"/>
        </w:rPr>
        <w:t xml:space="preserve">current </w:t>
      </w:r>
      <w:r w:rsidR="00752D41" w:rsidRPr="00B4793D">
        <w:rPr>
          <w:rFonts w:ascii="Verdana" w:hAnsi="Verdana"/>
          <w:b/>
          <w:bCs/>
          <w:sz w:val="18"/>
          <w:szCs w:val="18"/>
        </w:rPr>
        <w:t>risk margin</w:t>
      </w:r>
      <w:r>
        <w:rPr>
          <w:rFonts w:ascii="Verdana" w:hAnsi="Verdana"/>
          <w:b/>
          <w:bCs/>
          <w:sz w:val="18"/>
          <w:szCs w:val="18"/>
        </w:rPr>
        <w:t xml:space="preserve"> approach</w:t>
      </w:r>
    </w:p>
    <w:p w14:paraId="3A6E5F1B" w14:textId="11EDA812" w:rsidR="00367F2A" w:rsidRDefault="00FD04A1" w:rsidP="00334494">
      <w:pPr>
        <w:spacing w:line="276" w:lineRule="auto"/>
        <w:jc w:val="both"/>
        <w:rPr>
          <w:rFonts w:ascii="Verdana" w:hAnsi="Verdana"/>
          <w:sz w:val="18"/>
          <w:szCs w:val="18"/>
        </w:rPr>
      </w:pPr>
      <w:r>
        <w:rPr>
          <w:rFonts w:ascii="Verdana" w:hAnsi="Verdana"/>
          <w:sz w:val="18"/>
          <w:szCs w:val="18"/>
        </w:rPr>
        <w:t>The issue</w:t>
      </w:r>
      <w:r w:rsidR="00AB4EA3">
        <w:rPr>
          <w:rFonts w:ascii="Verdana" w:hAnsi="Verdana"/>
          <w:sz w:val="18"/>
          <w:szCs w:val="18"/>
        </w:rPr>
        <w:t>s</w:t>
      </w:r>
      <w:r>
        <w:rPr>
          <w:rFonts w:ascii="Verdana" w:hAnsi="Verdana"/>
          <w:sz w:val="18"/>
          <w:szCs w:val="18"/>
        </w:rPr>
        <w:t xml:space="preserve"> with the risk margin </w:t>
      </w:r>
      <w:r w:rsidR="00AB4EA3">
        <w:rPr>
          <w:rFonts w:ascii="Verdana" w:hAnsi="Verdana"/>
          <w:sz w:val="18"/>
          <w:szCs w:val="18"/>
        </w:rPr>
        <w:t>are</w:t>
      </w:r>
      <w:r w:rsidR="00367F2A">
        <w:rPr>
          <w:rFonts w:ascii="Verdana" w:hAnsi="Verdana"/>
          <w:sz w:val="18"/>
          <w:szCs w:val="18"/>
        </w:rPr>
        <w:t>:</w:t>
      </w:r>
    </w:p>
    <w:p w14:paraId="2E43AECD" w14:textId="4B0F3137" w:rsidR="00367F2A" w:rsidRPr="00367F2A" w:rsidRDefault="00AB4EA3" w:rsidP="00367F2A">
      <w:pPr>
        <w:spacing w:line="276" w:lineRule="auto"/>
        <w:ind w:left="720"/>
        <w:jc w:val="both"/>
        <w:rPr>
          <w:rFonts w:ascii="Verdana" w:hAnsi="Verdana"/>
          <w:b/>
          <w:bCs/>
          <w:sz w:val="18"/>
          <w:szCs w:val="18"/>
        </w:rPr>
      </w:pPr>
      <w:r w:rsidRPr="00367F2A">
        <w:rPr>
          <w:rFonts w:ascii="Verdana" w:hAnsi="Verdana"/>
          <w:b/>
          <w:bCs/>
          <w:sz w:val="18"/>
          <w:szCs w:val="18"/>
        </w:rPr>
        <w:t xml:space="preserve">1) </w:t>
      </w:r>
      <w:r w:rsidR="00FD04A1" w:rsidRPr="00367F2A">
        <w:rPr>
          <w:rFonts w:ascii="Verdana" w:hAnsi="Verdana"/>
          <w:b/>
          <w:bCs/>
          <w:sz w:val="18"/>
          <w:szCs w:val="18"/>
        </w:rPr>
        <w:t>it is very excessively calibrated</w:t>
      </w:r>
      <w:r w:rsidR="00286FC4" w:rsidRPr="00367F2A">
        <w:rPr>
          <w:rFonts w:ascii="Verdana" w:hAnsi="Verdana"/>
          <w:b/>
          <w:bCs/>
          <w:sz w:val="18"/>
          <w:szCs w:val="18"/>
        </w:rPr>
        <w:t xml:space="preserve">, </w:t>
      </w:r>
    </w:p>
    <w:p w14:paraId="0A138633" w14:textId="584B3172" w:rsidR="00367F2A" w:rsidRPr="00367F2A" w:rsidRDefault="00AB4EA3" w:rsidP="00367F2A">
      <w:pPr>
        <w:spacing w:line="276" w:lineRule="auto"/>
        <w:ind w:left="720"/>
        <w:jc w:val="both"/>
        <w:rPr>
          <w:rFonts w:ascii="Verdana" w:hAnsi="Verdana"/>
          <w:b/>
          <w:bCs/>
          <w:sz w:val="18"/>
          <w:szCs w:val="18"/>
        </w:rPr>
      </w:pPr>
      <w:r w:rsidRPr="00367F2A">
        <w:rPr>
          <w:rFonts w:ascii="Verdana" w:hAnsi="Verdana"/>
          <w:b/>
          <w:bCs/>
          <w:sz w:val="18"/>
          <w:szCs w:val="18"/>
        </w:rPr>
        <w:t xml:space="preserve">2) it penalises long-term </w:t>
      </w:r>
      <w:r w:rsidR="00975413" w:rsidRPr="00367F2A">
        <w:rPr>
          <w:rFonts w:ascii="Verdana" w:hAnsi="Verdana"/>
          <w:b/>
          <w:bCs/>
          <w:sz w:val="18"/>
          <w:szCs w:val="18"/>
        </w:rPr>
        <w:t>products</w:t>
      </w:r>
      <w:r w:rsidR="00286FC4" w:rsidRPr="00367F2A">
        <w:rPr>
          <w:rFonts w:ascii="Verdana" w:hAnsi="Verdana"/>
          <w:b/>
          <w:bCs/>
          <w:sz w:val="18"/>
          <w:szCs w:val="18"/>
        </w:rPr>
        <w:t xml:space="preserve"> and </w:t>
      </w:r>
    </w:p>
    <w:p w14:paraId="11F8BD39" w14:textId="0295E125" w:rsidR="00975413" w:rsidRPr="00367F2A" w:rsidRDefault="00286FC4" w:rsidP="00367F2A">
      <w:pPr>
        <w:spacing w:line="276" w:lineRule="auto"/>
        <w:ind w:left="720"/>
        <w:jc w:val="both"/>
        <w:rPr>
          <w:rFonts w:ascii="Verdana" w:hAnsi="Verdana"/>
          <w:b/>
          <w:bCs/>
          <w:sz w:val="18"/>
          <w:szCs w:val="18"/>
        </w:rPr>
      </w:pPr>
      <w:r w:rsidRPr="00367F2A">
        <w:rPr>
          <w:rFonts w:ascii="Verdana" w:hAnsi="Verdana"/>
          <w:b/>
          <w:bCs/>
          <w:sz w:val="18"/>
          <w:szCs w:val="18"/>
        </w:rPr>
        <w:t>3) it introduces excessive volatility</w:t>
      </w:r>
      <w:r w:rsidR="00FD04A1" w:rsidRPr="00367F2A">
        <w:rPr>
          <w:rFonts w:ascii="Verdana" w:hAnsi="Verdana"/>
          <w:b/>
          <w:bCs/>
          <w:sz w:val="18"/>
          <w:szCs w:val="18"/>
        </w:rPr>
        <w:t xml:space="preserve">. </w:t>
      </w:r>
    </w:p>
    <w:p w14:paraId="56576AE0" w14:textId="079C45CE" w:rsidR="00414D99" w:rsidRDefault="00367F2A" w:rsidP="00334494">
      <w:pPr>
        <w:spacing w:line="276" w:lineRule="auto"/>
        <w:jc w:val="both"/>
        <w:rPr>
          <w:rFonts w:ascii="Verdana" w:hAnsi="Verdana"/>
          <w:sz w:val="18"/>
          <w:szCs w:val="18"/>
        </w:rPr>
      </w:pPr>
      <w:r w:rsidRPr="00A64D70">
        <w:rPr>
          <w:rFonts w:ascii="Verdana" w:hAnsi="Verdana"/>
          <w:noProof/>
          <w:sz w:val="18"/>
          <w:szCs w:val="18"/>
        </w:rPr>
        <mc:AlternateContent>
          <mc:Choice Requires="wps">
            <w:drawing>
              <wp:anchor distT="45720" distB="45720" distL="114300" distR="114300" simplePos="0" relativeHeight="251658240" behindDoc="0" locked="0" layoutInCell="1" allowOverlap="1" wp14:anchorId="6B804C10" wp14:editId="44C03A70">
                <wp:simplePos x="0" y="0"/>
                <wp:positionH relativeFrom="margin">
                  <wp:posOffset>2945145</wp:posOffset>
                </wp:positionH>
                <wp:positionV relativeFrom="paragraph">
                  <wp:posOffset>17573</wp:posOffset>
                </wp:positionV>
                <wp:extent cx="3019425" cy="1562735"/>
                <wp:effectExtent l="0" t="0" r="2857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562735"/>
                        </a:xfrm>
                        <a:prstGeom prst="rect">
                          <a:avLst/>
                        </a:prstGeom>
                        <a:solidFill>
                          <a:srgbClr val="FFFFFF"/>
                        </a:solidFill>
                        <a:ln w="9525">
                          <a:solidFill>
                            <a:srgbClr val="000000"/>
                          </a:solidFill>
                          <a:miter lim="800000"/>
                          <a:headEnd/>
                          <a:tailEnd/>
                        </a:ln>
                      </wps:spPr>
                      <wps:txbx>
                        <w:txbxContent>
                          <w:p w14:paraId="4555D152" w14:textId="06853E51" w:rsidR="00A64D70" w:rsidRDefault="00557046">
                            <w:r>
                              <w:rPr>
                                <w:noProof/>
                              </w:rPr>
                              <w:drawing>
                                <wp:inline distT="0" distB="0" distL="0" distR="0" wp14:anchorId="361257B3" wp14:editId="5690D52F">
                                  <wp:extent cx="2623877" cy="1477926"/>
                                  <wp:effectExtent l="0" t="0" r="5080" b="8255"/>
                                  <wp:docPr id="1325126587" name="Picture 1" descr="A diagram of two people with an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126587" name="Picture 1" descr="A diagram of two people with an umbrella&#10;&#10;Description automatically generated"/>
                                          <pic:cNvPicPr/>
                                        </pic:nvPicPr>
                                        <pic:blipFill>
                                          <a:blip r:embed="rId10"/>
                                          <a:stretch>
                                            <a:fillRect/>
                                          </a:stretch>
                                        </pic:blipFill>
                                        <pic:spPr>
                                          <a:xfrm>
                                            <a:off x="0" y="0"/>
                                            <a:ext cx="2627411" cy="147991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804C10" id="_x0000_t202" coordsize="21600,21600" o:spt="202" path="m,l,21600r21600,l21600,xe">
                <v:stroke joinstyle="miter"/>
                <v:path gradientshapeok="t" o:connecttype="rect"/>
              </v:shapetype>
              <v:shape id="Text Box 2" o:spid="_x0000_s1026" type="#_x0000_t202" style="position:absolute;left:0;text-align:left;margin-left:231.9pt;margin-top:1.4pt;width:237.75pt;height:123.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">
                <v:textbox>
                  <w:txbxContent>
                    <w:p w14:paraId="4555D152" w14:textId="06853E51" w:rsidR="00A64D70" w:rsidRDefault="00557046">
                      <w:r>
                        <w:rPr>
                          <w:noProof/>
                        </w:rPr>
                        <w:drawing>
                          <wp:inline distT="0" distB="0" distL="0" distR="0" wp14:anchorId="361257B3" wp14:editId="5690D52F">
                            <wp:extent cx="2623877" cy="1477926"/>
                            <wp:effectExtent l="0" t="0" r="5080" b="8255"/>
                            <wp:docPr id="1325126587" name="Picture 1" descr="A diagram of two people with an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126587" name="Picture 1" descr="A diagram of two people with an umbrella&#10;&#10;Description automatically generated"/>
                                    <pic:cNvPicPr/>
                                  </pic:nvPicPr>
                                  <pic:blipFill>
                                    <a:blip r:embed="rId10"/>
                                    <a:stretch>
                                      <a:fillRect/>
                                    </a:stretch>
                                  </pic:blipFill>
                                  <pic:spPr>
                                    <a:xfrm>
                                      <a:off x="0" y="0"/>
                                      <a:ext cx="2627411" cy="1479916"/>
                                    </a:xfrm>
                                    <a:prstGeom prst="rect">
                                      <a:avLst/>
                                    </a:prstGeom>
                                  </pic:spPr>
                                </pic:pic>
                              </a:graphicData>
                            </a:graphic>
                          </wp:inline>
                        </w:drawing>
                      </w:r>
                    </w:p>
                  </w:txbxContent>
                </v:textbox>
                <w10:wrap type="square" anchorx="margin"/>
              </v:shape>
            </w:pict>
          </mc:Fallback>
        </mc:AlternateContent>
      </w:r>
      <w:r w:rsidR="00752D41" w:rsidRPr="00B4793D">
        <w:rPr>
          <w:rFonts w:ascii="Verdana" w:hAnsi="Verdana"/>
          <w:sz w:val="18"/>
          <w:szCs w:val="18"/>
        </w:rPr>
        <w:t xml:space="preserve">The risk margin, amounting </w:t>
      </w:r>
      <w:r w:rsidR="00752D41" w:rsidRPr="005204AA">
        <w:rPr>
          <w:rFonts w:ascii="Verdana" w:hAnsi="Verdana"/>
          <w:sz w:val="18"/>
          <w:szCs w:val="18"/>
        </w:rPr>
        <w:t>to €</w:t>
      </w:r>
      <w:r w:rsidR="00FA5324" w:rsidRPr="005204AA">
        <w:rPr>
          <w:rFonts w:ascii="Verdana" w:hAnsi="Verdana"/>
          <w:sz w:val="18"/>
          <w:szCs w:val="18"/>
        </w:rPr>
        <w:t>141</w:t>
      </w:r>
      <w:r w:rsidR="00FA5324" w:rsidRPr="005204AA">
        <w:rPr>
          <w:rStyle w:val="Odkaznapoznmkupodiarou"/>
          <w:rFonts w:ascii="Verdana" w:hAnsi="Verdana"/>
          <w:sz w:val="18"/>
          <w:szCs w:val="18"/>
        </w:rPr>
        <w:footnoteReference w:id="2"/>
      </w:r>
      <w:r w:rsidR="00752D41" w:rsidRPr="005204AA">
        <w:rPr>
          <w:rFonts w:ascii="Verdana" w:hAnsi="Verdana"/>
          <w:sz w:val="18"/>
          <w:szCs w:val="18"/>
        </w:rPr>
        <w:t xml:space="preserve">Bn for the industry, is </w:t>
      </w:r>
      <w:r w:rsidR="00534C9B" w:rsidRPr="005204AA">
        <w:rPr>
          <w:rFonts w:ascii="Verdana" w:hAnsi="Verdana"/>
          <w:sz w:val="18"/>
          <w:szCs w:val="18"/>
        </w:rPr>
        <w:t xml:space="preserve">significantly higher than necessary. </w:t>
      </w:r>
      <w:r w:rsidR="00F208DF" w:rsidRPr="005204AA">
        <w:rPr>
          <w:rFonts w:ascii="Verdana" w:hAnsi="Verdana"/>
          <w:sz w:val="18"/>
          <w:szCs w:val="18"/>
        </w:rPr>
        <w:t>T</w:t>
      </w:r>
      <w:r w:rsidR="00E14FFD" w:rsidRPr="005204AA">
        <w:rPr>
          <w:rFonts w:ascii="Verdana" w:hAnsi="Verdana"/>
          <w:sz w:val="18"/>
          <w:szCs w:val="18"/>
        </w:rPr>
        <w:t>h</w:t>
      </w:r>
      <w:r w:rsidR="00F011D9" w:rsidRPr="005204AA">
        <w:rPr>
          <w:rFonts w:ascii="Verdana" w:hAnsi="Verdana"/>
          <w:sz w:val="18"/>
          <w:szCs w:val="18"/>
        </w:rPr>
        <w:t>is is be</w:t>
      </w:r>
      <w:r w:rsidR="00126FED" w:rsidRPr="005204AA">
        <w:rPr>
          <w:rFonts w:ascii="Verdana" w:hAnsi="Verdana"/>
          <w:sz w:val="18"/>
          <w:szCs w:val="18"/>
        </w:rPr>
        <w:t>cause the risk margin</w:t>
      </w:r>
      <w:r w:rsidR="000E62BB" w:rsidRPr="005204AA">
        <w:rPr>
          <w:rFonts w:ascii="Verdana" w:hAnsi="Verdana"/>
          <w:sz w:val="18"/>
          <w:szCs w:val="18"/>
        </w:rPr>
        <w:t>, and</w:t>
      </w:r>
      <w:r w:rsidR="000E62BB">
        <w:rPr>
          <w:rFonts w:ascii="Verdana" w:hAnsi="Verdana"/>
          <w:sz w:val="18"/>
          <w:szCs w:val="18"/>
        </w:rPr>
        <w:t xml:space="preserve"> in particular the Cost of Capital parameter, </w:t>
      </w:r>
      <w:r w:rsidR="009C0F89">
        <w:rPr>
          <w:rFonts w:ascii="Verdana" w:hAnsi="Verdana"/>
          <w:sz w:val="18"/>
          <w:szCs w:val="18"/>
        </w:rPr>
        <w:t>w</w:t>
      </w:r>
      <w:r w:rsidR="002D1780">
        <w:rPr>
          <w:rFonts w:ascii="Verdana" w:hAnsi="Verdana"/>
          <w:sz w:val="18"/>
          <w:szCs w:val="18"/>
        </w:rPr>
        <w:t>ere</w:t>
      </w:r>
      <w:r w:rsidR="00F208DF">
        <w:rPr>
          <w:rFonts w:ascii="Verdana" w:hAnsi="Verdana"/>
          <w:sz w:val="18"/>
          <w:szCs w:val="18"/>
        </w:rPr>
        <w:t xml:space="preserve"> </w:t>
      </w:r>
      <w:r w:rsidR="00414D99">
        <w:rPr>
          <w:rFonts w:ascii="Verdana" w:hAnsi="Verdana"/>
          <w:sz w:val="18"/>
          <w:szCs w:val="18"/>
        </w:rPr>
        <w:t xml:space="preserve">not correctly </w:t>
      </w:r>
      <w:r w:rsidR="000E62BB">
        <w:rPr>
          <w:rFonts w:ascii="Verdana" w:hAnsi="Verdana"/>
          <w:sz w:val="18"/>
          <w:szCs w:val="18"/>
        </w:rPr>
        <w:t xml:space="preserve">calibrated </w:t>
      </w:r>
      <w:r w:rsidR="00414D99">
        <w:rPr>
          <w:rFonts w:ascii="Verdana" w:hAnsi="Verdana"/>
          <w:sz w:val="18"/>
          <w:szCs w:val="18"/>
        </w:rPr>
        <w:t xml:space="preserve">when </w:t>
      </w:r>
      <w:r w:rsidR="00C3631E">
        <w:rPr>
          <w:rFonts w:ascii="Verdana" w:hAnsi="Verdana"/>
          <w:sz w:val="18"/>
          <w:szCs w:val="18"/>
        </w:rPr>
        <w:t xml:space="preserve">the Solvency II Directive was </w:t>
      </w:r>
      <w:r w:rsidR="00414D99">
        <w:rPr>
          <w:rFonts w:ascii="Verdana" w:hAnsi="Verdana"/>
          <w:sz w:val="18"/>
          <w:szCs w:val="18"/>
        </w:rPr>
        <w:t xml:space="preserve">being developed. </w:t>
      </w:r>
    </w:p>
    <w:p w14:paraId="6546AA66" w14:textId="23282D71" w:rsidR="00DC7FE9" w:rsidRDefault="00534C9B" w:rsidP="00334494">
      <w:pPr>
        <w:spacing w:line="276" w:lineRule="auto"/>
        <w:jc w:val="both"/>
        <w:rPr>
          <w:rFonts w:ascii="Verdana" w:hAnsi="Verdana"/>
          <w:sz w:val="18"/>
          <w:szCs w:val="18"/>
        </w:rPr>
      </w:pPr>
      <w:r w:rsidRPr="00534C9B">
        <w:rPr>
          <w:rFonts w:ascii="Verdana" w:hAnsi="Verdana"/>
          <w:sz w:val="18"/>
          <w:szCs w:val="18"/>
        </w:rPr>
        <w:t xml:space="preserve">The current methodology </w:t>
      </w:r>
      <w:r w:rsidR="00B94CEC">
        <w:rPr>
          <w:rFonts w:ascii="Verdana" w:hAnsi="Verdana"/>
          <w:sz w:val="18"/>
          <w:szCs w:val="18"/>
        </w:rPr>
        <w:t xml:space="preserve">also </w:t>
      </w:r>
      <w:r w:rsidRPr="00534C9B">
        <w:rPr>
          <w:rFonts w:ascii="Verdana" w:hAnsi="Verdana"/>
          <w:sz w:val="18"/>
          <w:szCs w:val="18"/>
        </w:rPr>
        <w:t xml:space="preserve">introduces </w:t>
      </w:r>
      <w:r w:rsidR="0028690D">
        <w:rPr>
          <w:rFonts w:ascii="Verdana" w:hAnsi="Verdana"/>
          <w:sz w:val="18"/>
          <w:szCs w:val="18"/>
        </w:rPr>
        <w:t xml:space="preserve">unnecessary </w:t>
      </w:r>
      <w:r w:rsidRPr="00534C9B">
        <w:rPr>
          <w:rFonts w:ascii="Verdana" w:hAnsi="Verdana"/>
          <w:sz w:val="18"/>
          <w:szCs w:val="18"/>
        </w:rPr>
        <w:t>volatility</w:t>
      </w:r>
      <w:r w:rsidR="00DC7FE9">
        <w:rPr>
          <w:rFonts w:ascii="Verdana" w:hAnsi="Verdana"/>
          <w:sz w:val="18"/>
          <w:szCs w:val="18"/>
        </w:rPr>
        <w:t xml:space="preserve"> to solvency positions by placing too much emphasis on the very long-term </w:t>
      </w:r>
      <w:r w:rsidR="00563B06">
        <w:rPr>
          <w:rFonts w:ascii="Verdana" w:hAnsi="Verdana"/>
          <w:sz w:val="18"/>
          <w:szCs w:val="18"/>
        </w:rPr>
        <w:t>projections.</w:t>
      </w:r>
    </w:p>
    <w:p w14:paraId="4050C7E8" w14:textId="31631771" w:rsidR="00076FFB" w:rsidRDefault="00076FFB" w:rsidP="00076FFB">
      <w:pPr>
        <w:spacing w:line="276" w:lineRule="auto"/>
        <w:jc w:val="both"/>
        <w:rPr>
          <w:rFonts w:ascii="Verdana" w:hAnsi="Verdana"/>
          <w:b/>
          <w:bCs/>
          <w:sz w:val="18"/>
          <w:szCs w:val="18"/>
        </w:rPr>
      </w:pPr>
      <w:r>
        <w:rPr>
          <w:rFonts w:ascii="Verdana" w:hAnsi="Verdana"/>
          <w:sz w:val="18"/>
          <w:szCs w:val="18"/>
        </w:rPr>
        <w:t xml:space="preserve">This excessive level and additional volatility introduced reduce insurers’ own funds and limits their </w:t>
      </w:r>
      <w:r w:rsidRPr="00B4793D">
        <w:rPr>
          <w:rFonts w:ascii="Verdana" w:hAnsi="Verdana"/>
          <w:sz w:val="18"/>
          <w:szCs w:val="18"/>
        </w:rPr>
        <w:t>risk and investment capacity.</w:t>
      </w:r>
    </w:p>
    <w:p w14:paraId="5E9973AE" w14:textId="521D5BED" w:rsidR="00752D41" w:rsidRPr="00334494" w:rsidRDefault="00752D41" w:rsidP="00334494">
      <w:pPr>
        <w:spacing w:line="276" w:lineRule="auto"/>
        <w:jc w:val="both"/>
        <w:rPr>
          <w:rFonts w:ascii="Verdana" w:hAnsi="Verdana"/>
          <w:sz w:val="18"/>
          <w:szCs w:val="18"/>
        </w:rPr>
      </w:pPr>
      <w:r w:rsidRPr="00B4793D">
        <w:rPr>
          <w:rFonts w:ascii="Verdana" w:hAnsi="Verdana"/>
          <w:b/>
          <w:bCs/>
          <w:sz w:val="18"/>
          <w:szCs w:val="18"/>
        </w:rPr>
        <w:t>Proposed reforms</w:t>
      </w:r>
    </w:p>
    <w:p w14:paraId="28682018" w14:textId="77777777" w:rsidR="00B34800" w:rsidRDefault="0057160C" w:rsidP="00FB1266">
      <w:pPr>
        <w:spacing w:line="276" w:lineRule="auto"/>
        <w:jc w:val="both"/>
        <w:rPr>
          <w:rFonts w:ascii="Verdana" w:hAnsi="Verdana"/>
          <w:sz w:val="18"/>
          <w:szCs w:val="18"/>
        </w:rPr>
      </w:pPr>
      <w:r>
        <w:rPr>
          <w:rFonts w:ascii="Verdana" w:hAnsi="Verdana"/>
          <w:sz w:val="18"/>
          <w:szCs w:val="18"/>
        </w:rPr>
        <w:t xml:space="preserve">In their agreed revisions to the Solvency II Directive, </w:t>
      </w:r>
      <w:r w:rsidR="00B47369">
        <w:rPr>
          <w:rFonts w:ascii="Verdana" w:hAnsi="Verdana"/>
          <w:sz w:val="18"/>
          <w:szCs w:val="18"/>
        </w:rPr>
        <w:t xml:space="preserve">the </w:t>
      </w:r>
      <w:r w:rsidR="00752D41" w:rsidRPr="00B4793D">
        <w:rPr>
          <w:rFonts w:ascii="Verdana" w:hAnsi="Verdana"/>
          <w:sz w:val="18"/>
          <w:szCs w:val="18"/>
        </w:rPr>
        <w:t xml:space="preserve">co-legislators </w:t>
      </w:r>
      <w:r w:rsidR="00B34800">
        <w:rPr>
          <w:rFonts w:ascii="Verdana" w:hAnsi="Verdana"/>
          <w:sz w:val="18"/>
          <w:szCs w:val="18"/>
        </w:rPr>
        <w:t xml:space="preserve">recognised the issues outlined above and </w:t>
      </w:r>
      <w:r w:rsidR="00694F50">
        <w:rPr>
          <w:rFonts w:ascii="Verdana" w:hAnsi="Verdana"/>
          <w:sz w:val="18"/>
          <w:szCs w:val="18"/>
        </w:rPr>
        <w:t xml:space="preserve">noted their intention to </w:t>
      </w:r>
      <w:r w:rsidR="00B135EB">
        <w:rPr>
          <w:rFonts w:ascii="Verdana" w:hAnsi="Verdana"/>
          <w:sz w:val="18"/>
          <w:szCs w:val="18"/>
        </w:rPr>
        <w:t xml:space="preserve">reduce the burden of the risk margin. </w:t>
      </w:r>
    </w:p>
    <w:p w14:paraId="4D0F7ADF" w14:textId="66013AEE" w:rsidR="00C91B8E" w:rsidRDefault="00C91B8E" w:rsidP="00FB1266">
      <w:pPr>
        <w:spacing w:line="276" w:lineRule="auto"/>
        <w:jc w:val="both"/>
        <w:rPr>
          <w:rFonts w:ascii="Verdana" w:hAnsi="Verdana"/>
          <w:sz w:val="18"/>
          <w:szCs w:val="18"/>
        </w:rPr>
      </w:pPr>
      <w:r>
        <w:rPr>
          <w:rFonts w:ascii="Verdana" w:hAnsi="Verdana"/>
          <w:sz w:val="18"/>
          <w:szCs w:val="18"/>
        </w:rPr>
        <w:lastRenderedPageBreak/>
        <w:t>To address the</w:t>
      </w:r>
      <w:r w:rsidR="00A01AE7">
        <w:rPr>
          <w:rFonts w:ascii="Verdana" w:hAnsi="Verdana"/>
          <w:sz w:val="18"/>
          <w:szCs w:val="18"/>
        </w:rPr>
        <w:t>se</w:t>
      </w:r>
      <w:r>
        <w:rPr>
          <w:rFonts w:ascii="Verdana" w:hAnsi="Verdana"/>
          <w:sz w:val="18"/>
          <w:szCs w:val="18"/>
        </w:rPr>
        <w:t xml:space="preserve"> issues, the co-legislators </w:t>
      </w:r>
      <w:r w:rsidR="00452108">
        <w:rPr>
          <w:rFonts w:ascii="Verdana" w:hAnsi="Verdana"/>
          <w:sz w:val="18"/>
          <w:szCs w:val="18"/>
        </w:rPr>
        <w:t xml:space="preserve">agreed to </w:t>
      </w:r>
      <w:r w:rsidR="00752D41" w:rsidRPr="00B4793D">
        <w:rPr>
          <w:rFonts w:ascii="Verdana" w:hAnsi="Verdana"/>
          <w:sz w:val="18"/>
          <w:szCs w:val="18"/>
        </w:rPr>
        <w:t xml:space="preserve">set the </w:t>
      </w:r>
      <w:r w:rsidR="00A01AE7">
        <w:rPr>
          <w:rFonts w:ascii="Verdana" w:hAnsi="Verdana"/>
          <w:sz w:val="18"/>
          <w:szCs w:val="18"/>
        </w:rPr>
        <w:t>C</w:t>
      </w:r>
      <w:r w:rsidR="00752D41" w:rsidRPr="00B4793D">
        <w:rPr>
          <w:rFonts w:ascii="Verdana" w:hAnsi="Verdana"/>
          <w:sz w:val="18"/>
          <w:szCs w:val="18"/>
        </w:rPr>
        <w:t xml:space="preserve">ost of </w:t>
      </w:r>
      <w:r w:rsidR="00A01AE7">
        <w:rPr>
          <w:rFonts w:ascii="Verdana" w:hAnsi="Verdana"/>
          <w:sz w:val="18"/>
          <w:szCs w:val="18"/>
        </w:rPr>
        <w:t>C</w:t>
      </w:r>
      <w:r w:rsidR="00752D41" w:rsidRPr="00B4793D">
        <w:rPr>
          <w:rFonts w:ascii="Verdana" w:hAnsi="Verdana"/>
          <w:sz w:val="18"/>
          <w:szCs w:val="18"/>
        </w:rPr>
        <w:t>apital rate at 4.75%</w:t>
      </w:r>
      <w:r w:rsidR="00A01AE7">
        <w:rPr>
          <w:rFonts w:ascii="Verdana" w:hAnsi="Verdana"/>
          <w:sz w:val="18"/>
          <w:szCs w:val="18"/>
        </w:rPr>
        <w:t>. This is a</w:t>
      </w:r>
      <w:r w:rsidR="00752D41" w:rsidRPr="00B4793D">
        <w:rPr>
          <w:rFonts w:ascii="Verdana" w:hAnsi="Verdana"/>
          <w:sz w:val="18"/>
          <w:szCs w:val="18"/>
        </w:rPr>
        <w:t xml:space="preserve"> key change</w:t>
      </w:r>
      <w:r>
        <w:rPr>
          <w:rFonts w:ascii="Verdana" w:hAnsi="Verdana"/>
          <w:sz w:val="18"/>
          <w:szCs w:val="18"/>
        </w:rPr>
        <w:t xml:space="preserve">, fully supported by industry, </w:t>
      </w:r>
      <w:r w:rsidR="00752D41" w:rsidRPr="00B4793D">
        <w:rPr>
          <w:rFonts w:ascii="Verdana" w:hAnsi="Verdana"/>
          <w:sz w:val="18"/>
          <w:szCs w:val="18"/>
        </w:rPr>
        <w:t>that alleviates</w:t>
      </w:r>
      <w:r w:rsidR="006D08D3">
        <w:rPr>
          <w:rFonts w:ascii="Verdana" w:hAnsi="Verdana"/>
          <w:sz w:val="18"/>
          <w:szCs w:val="18"/>
        </w:rPr>
        <w:t xml:space="preserve"> some of the </w:t>
      </w:r>
      <w:r w:rsidR="00752D41" w:rsidRPr="00B4793D">
        <w:rPr>
          <w:rFonts w:ascii="Verdana" w:hAnsi="Verdana"/>
          <w:sz w:val="18"/>
          <w:szCs w:val="18"/>
        </w:rPr>
        <w:t xml:space="preserve">excessive capital requirements. </w:t>
      </w:r>
    </w:p>
    <w:p w14:paraId="18E7CA2E" w14:textId="7508A6E5" w:rsidR="00EC2AA5" w:rsidRDefault="00B34800" w:rsidP="00FB1266">
      <w:pPr>
        <w:spacing w:line="276" w:lineRule="auto"/>
        <w:jc w:val="both"/>
        <w:rPr>
          <w:rFonts w:ascii="Verdana" w:hAnsi="Verdana"/>
          <w:sz w:val="18"/>
          <w:szCs w:val="18"/>
        </w:rPr>
      </w:pPr>
      <w:r>
        <w:rPr>
          <w:rFonts w:ascii="Verdana" w:hAnsi="Verdana"/>
          <w:sz w:val="18"/>
          <w:szCs w:val="18"/>
        </w:rPr>
        <w:t>T</w:t>
      </w:r>
      <w:r w:rsidR="000027C2">
        <w:rPr>
          <w:rFonts w:ascii="Verdana" w:hAnsi="Verdana"/>
          <w:sz w:val="18"/>
          <w:szCs w:val="18"/>
        </w:rPr>
        <w:t xml:space="preserve">he co-legislators also </w:t>
      </w:r>
      <w:r w:rsidR="009429C8">
        <w:rPr>
          <w:rFonts w:ascii="Verdana" w:hAnsi="Verdana"/>
          <w:sz w:val="18"/>
          <w:szCs w:val="18"/>
        </w:rPr>
        <w:t xml:space="preserve">strongly </w:t>
      </w:r>
      <w:r w:rsidR="000027C2">
        <w:rPr>
          <w:rFonts w:ascii="Verdana" w:hAnsi="Verdana"/>
          <w:sz w:val="18"/>
          <w:szCs w:val="18"/>
        </w:rPr>
        <w:t xml:space="preserve">supported </w:t>
      </w:r>
      <w:r w:rsidR="006D08D3">
        <w:rPr>
          <w:rFonts w:ascii="Verdana" w:hAnsi="Verdana"/>
          <w:sz w:val="18"/>
          <w:szCs w:val="18"/>
        </w:rPr>
        <w:t xml:space="preserve">changes to </w:t>
      </w:r>
      <w:r w:rsidR="00A01AE7">
        <w:rPr>
          <w:rFonts w:ascii="Verdana" w:hAnsi="Verdana"/>
          <w:sz w:val="18"/>
          <w:szCs w:val="18"/>
        </w:rPr>
        <w:t xml:space="preserve">design of the risk margin to </w:t>
      </w:r>
      <w:r w:rsidR="006D08D3">
        <w:rPr>
          <w:rFonts w:ascii="Verdana" w:hAnsi="Verdana"/>
          <w:sz w:val="18"/>
          <w:szCs w:val="18"/>
        </w:rPr>
        <w:t xml:space="preserve">address the punitive treatment of </w:t>
      </w:r>
      <w:r w:rsidR="00A01AE7">
        <w:rPr>
          <w:rFonts w:ascii="Verdana" w:hAnsi="Verdana"/>
          <w:sz w:val="18"/>
          <w:szCs w:val="18"/>
        </w:rPr>
        <w:t xml:space="preserve">long-term business and to address the excessive </w:t>
      </w:r>
      <w:r w:rsidR="00EC2AA5">
        <w:rPr>
          <w:rFonts w:ascii="Verdana" w:hAnsi="Verdana"/>
          <w:sz w:val="18"/>
          <w:szCs w:val="18"/>
        </w:rPr>
        <w:t xml:space="preserve">volatility. </w:t>
      </w:r>
      <w:r w:rsidR="00DD4CC5">
        <w:rPr>
          <w:rFonts w:ascii="Verdana" w:hAnsi="Verdana"/>
          <w:sz w:val="18"/>
          <w:szCs w:val="18"/>
        </w:rPr>
        <w:t>This is noted in recital 33a which states that</w:t>
      </w:r>
      <w:r w:rsidR="00962ACE">
        <w:rPr>
          <w:rFonts w:ascii="Verdana" w:hAnsi="Verdana"/>
          <w:sz w:val="18"/>
          <w:szCs w:val="18"/>
        </w:rPr>
        <w:t>:</w:t>
      </w:r>
    </w:p>
    <w:p w14:paraId="034792F1" w14:textId="27D22B4A" w:rsidR="00DD4CC5" w:rsidRPr="00962ACE" w:rsidRDefault="00962ACE" w:rsidP="00FB1266">
      <w:pPr>
        <w:spacing w:line="276" w:lineRule="auto"/>
        <w:jc w:val="both"/>
        <w:rPr>
          <w:rFonts w:ascii="Verdana" w:hAnsi="Verdana"/>
          <w:i/>
          <w:iCs/>
          <w:sz w:val="12"/>
          <w:szCs w:val="12"/>
        </w:rPr>
      </w:pPr>
      <w:r>
        <w:rPr>
          <w:rFonts w:ascii="Verdana" w:hAnsi="Verdana"/>
          <w:i/>
          <w:iCs/>
          <w:sz w:val="18"/>
          <w:szCs w:val="18"/>
        </w:rPr>
        <w:t>“</w:t>
      </w:r>
      <w:r w:rsidRPr="00962ACE">
        <w:rPr>
          <w:rFonts w:ascii="Verdana" w:hAnsi="Verdana"/>
          <w:i/>
          <w:iCs/>
          <w:sz w:val="18"/>
          <w:szCs w:val="18"/>
        </w:rPr>
        <w:t>In addition, the calculation of the risk margin should account for the time dependency of risks and reduce the amount of the risk margin in particular for long-term liabilities. This would reduce the sensitivity of the risk margin to interest rate changes. An exponential and time dependent element should be introduced to implement this adjustment</w:t>
      </w:r>
      <w:r>
        <w:rPr>
          <w:rFonts w:ascii="Verdana" w:hAnsi="Verdana"/>
          <w:i/>
          <w:iCs/>
          <w:sz w:val="18"/>
          <w:szCs w:val="18"/>
        </w:rPr>
        <w:t>”</w:t>
      </w:r>
    </w:p>
    <w:p w14:paraId="6DA13538" w14:textId="6781DB71" w:rsidR="00B02C20" w:rsidRDefault="00F63213" w:rsidP="00FB1266">
      <w:pPr>
        <w:spacing w:line="276" w:lineRule="auto"/>
        <w:jc w:val="both"/>
        <w:rPr>
          <w:rFonts w:ascii="Verdana" w:hAnsi="Verdana"/>
          <w:sz w:val="18"/>
          <w:szCs w:val="18"/>
        </w:rPr>
      </w:pPr>
      <w:r>
        <w:rPr>
          <w:rFonts w:ascii="Verdana" w:hAnsi="Verdana"/>
          <w:sz w:val="18"/>
          <w:szCs w:val="18"/>
        </w:rPr>
        <w:t>T</w:t>
      </w:r>
      <w:r w:rsidR="009429C8">
        <w:rPr>
          <w:rFonts w:ascii="Verdana" w:hAnsi="Verdana"/>
          <w:sz w:val="18"/>
          <w:szCs w:val="18"/>
        </w:rPr>
        <w:t>o achieve the</w:t>
      </w:r>
      <w:r w:rsidR="00B02C20">
        <w:rPr>
          <w:rFonts w:ascii="Verdana" w:hAnsi="Verdana"/>
          <w:sz w:val="18"/>
          <w:szCs w:val="18"/>
        </w:rPr>
        <w:t xml:space="preserve"> co-</w:t>
      </w:r>
      <w:proofErr w:type="gramStart"/>
      <w:r w:rsidR="00B02C20">
        <w:rPr>
          <w:rFonts w:ascii="Verdana" w:hAnsi="Verdana"/>
          <w:sz w:val="18"/>
          <w:szCs w:val="18"/>
        </w:rPr>
        <w:t>legislators</w:t>
      </w:r>
      <w:proofErr w:type="gramEnd"/>
      <w:r w:rsidR="00B02C20">
        <w:rPr>
          <w:rFonts w:ascii="Verdana" w:hAnsi="Verdana"/>
          <w:sz w:val="18"/>
          <w:szCs w:val="18"/>
        </w:rPr>
        <w:t xml:space="preserve"> stated intentions and deliver the necessary improvements, the calibration of the exponential and time-dependent element</w:t>
      </w:r>
      <w:r w:rsidR="00340198">
        <w:rPr>
          <w:rFonts w:ascii="Verdana" w:hAnsi="Verdana"/>
          <w:sz w:val="18"/>
          <w:szCs w:val="18"/>
        </w:rPr>
        <w:t xml:space="preserve"> (known as the lambda parameter)</w:t>
      </w:r>
      <w:r w:rsidR="00B02C20">
        <w:rPr>
          <w:rFonts w:ascii="Verdana" w:hAnsi="Verdana"/>
          <w:sz w:val="18"/>
          <w:szCs w:val="18"/>
        </w:rPr>
        <w:t xml:space="preserve"> is critical. </w:t>
      </w:r>
    </w:p>
    <w:p w14:paraId="6152F8BE" w14:textId="2B836205" w:rsidR="00B02C20" w:rsidRDefault="00340198" w:rsidP="00FB1266">
      <w:pPr>
        <w:spacing w:line="276" w:lineRule="auto"/>
        <w:jc w:val="both"/>
        <w:rPr>
          <w:rFonts w:ascii="Verdana" w:hAnsi="Verdana"/>
          <w:b/>
          <w:bCs/>
          <w:sz w:val="18"/>
          <w:szCs w:val="18"/>
        </w:rPr>
      </w:pPr>
      <w:r w:rsidRPr="00340198">
        <w:rPr>
          <w:rFonts w:ascii="Verdana" w:hAnsi="Verdana"/>
          <w:b/>
          <w:bCs/>
          <w:sz w:val="18"/>
          <w:szCs w:val="18"/>
        </w:rPr>
        <w:t>Calibrating the lambda parameter</w:t>
      </w:r>
    </w:p>
    <w:p w14:paraId="520A5160" w14:textId="2823F57F" w:rsidR="00794F7A" w:rsidRDefault="00FF11EA" w:rsidP="008F6ED1">
      <w:pPr>
        <w:spacing w:line="276" w:lineRule="auto"/>
        <w:jc w:val="both"/>
        <w:rPr>
          <w:rFonts w:ascii="Verdana" w:hAnsi="Verdana"/>
          <w:sz w:val="18"/>
          <w:szCs w:val="18"/>
          <w:lang w:val="en-US"/>
        </w:rPr>
      </w:pPr>
      <w:r w:rsidRPr="00B32B9A">
        <w:rPr>
          <w:rFonts w:ascii="Verdana" w:hAnsi="Verdana"/>
          <w:sz w:val="18"/>
          <w:szCs w:val="18"/>
          <w:lang w:val="en-US"/>
        </w:rPr>
        <w:t xml:space="preserve">Insurance Europe </w:t>
      </w:r>
      <w:r w:rsidR="00001ACC">
        <w:rPr>
          <w:rFonts w:ascii="Verdana" w:hAnsi="Verdana"/>
          <w:sz w:val="18"/>
          <w:szCs w:val="18"/>
          <w:lang w:val="en-US"/>
        </w:rPr>
        <w:t>has</w:t>
      </w:r>
      <w:r w:rsidR="000B182D">
        <w:rPr>
          <w:rFonts w:ascii="Verdana" w:hAnsi="Verdana"/>
          <w:sz w:val="18"/>
          <w:szCs w:val="18"/>
          <w:lang w:val="en-US"/>
        </w:rPr>
        <w:t xml:space="preserve"> </w:t>
      </w:r>
      <w:r w:rsidR="008F6ED1">
        <w:rPr>
          <w:rFonts w:ascii="Verdana" w:hAnsi="Verdana"/>
          <w:sz w:val="18"/>
          <w:szCs w:val="18"/>
          <w:lang w:val="en-US"/>
        </w:rPr>
        <w:t xml:space="preserve">previously evidenced </w:t>
      </w:r>
      <w:r w:rsidR="00794F7A">
        <w:rPr>
          <w:rFonts w:ascii="Verdana" w:hAnsi="Verdana"/>
          <w:sz w:val="18"/>
          <w:szCs w:val="18"/>
          <w:lang w:val="en-US"/>
        </w:rPr>
        <w:t xml:space="preserve">why </w:t>
      </w:r>
      <w:r w:rsidR="008F6ED1">
        <w:rPr>
          <w:rFonts w:ascii="Verdana" w:hAnsi="Verdana"/>
          <w:sz w:val="18"/>
          <w:szCs w:val="18"/>
          <w:lang w:val="en-US"/>
        </w:rPr>
        <w:t xml:space="preserve">a reduction in the risk margin of at least 50% </w:t>
      </w:r>
      <w:r w:rsidR="00794F7A">
        <w:rPr>
          <w:rFonts w:ascii="Verdana" w:hAnsi="Verdana"/>
          <w:sz w:val="18"/>
          <w:szCs w:val="18"/>
          <w:lang w:val="en-US"/>
        </w:rPr>
        <w:t xml:space="preserve">is justified (see </w:t>
      </w:r>
      <w:hyperlink r:id="rId11" w:history="1">
        <w:r w:rsidR="00794F7A" w:rsidRPr="00794F7A">
          <w:rPr>
            <w:rStyle w:val="Hypertextovprepojenie"/>
            <w:rFonts w:ascii="Verdana" w:hAnsi="Verdana"/>
            <w:sz w:val="18"/>
            <w:szCs w:val="18"/>
            <w:lang w:val="en-US"/>
          </w:rPr>
          <w:t>here</w:t>
        </w:r>
      </w:hyperlink>
      <w:r w:rsidR="00794F7A">
        <w:rPr>
          <w:rFonts w:ascii="Verdana" w:hAnsi="Verdana"/>
          <w:sz w:val="18"/>
          <w:szCs w:val="18"/>
          <w:lang w:val="en-US"/>
        </w:rPr>
        <w:t xml:space="preserve">). </w:t>
      </w:r>
    </w:p>
    <w:p w14:paraId="0B101098" w14:textId="16DB72FC" w:rsidR="000B182D" w:rsidRDefault="000B182D" w:rsidP="008F6ED1">
      <w:pPr>
        <w:spacing w:line="276" w:lineRule="auto"/>
        <w:jc w:val="both"/>
        <w:rPr>
          <w:rFonts w:ascii="Verdana" w:hAnsi="Verdana"/>
          <w:sz w:val="18"/>
          <w:szCs w:val="18"/>
          <w:lang w:val="en-US"/>
        </w:rPr>
      </w:pPr>
      <w:r>
        <w:rPr>
          <w:rFonts w:ascii="Verdana" w:hAnsi="Verdana"/>
          <w:sz w:val="18"/>
          <w:szCs w:val="18"/>
          <w:lang w:val="en-US"/>
        </w:rPr>
        <w:t>As such, Insurance Europe fully supports setting the lambda parameter to a level which would reduce</w:t>
      </w:r>
      <w:r w:rsidR="006F61C1">
        <w:rPr>
          <w:rFonts w:ascii="Verdana" w:hAnsi="Verdana"/>
          <w:sz w:val="18"/>
          <w:szCs w:val="18"/>
          <w:lang w:val="en-US"/>
        </w:rPr>
        <w:t xml:space="preserve">, in conjunction with the 4.75% Cost of Capital, </w:t>
      </w:r>
      <w:r>
        <w:rPr>
          <w:rFonts w:ascii="Verdana" w:hAnsi="Verdana"/>
          <w:sz w:val="18"/>
          <w:szCs w:val="18"/>
          <w:lang w:val="en-US"/>
        </w:rPr>
        <w:t>the size and volatility of the risk margin</w:t>
      </w:r>
      <w:r w:rsidR="00C80F44">
        <w:rPr>
          <w:rFonts w:ascii="Verdana" w:hAnsi="Verdana"/>
          <w:sz w:val="18"/>
          <w:szCs w:val="18"/>
          <w:lang w:val="en-US"/>
        </w:rPr>
        <w:t xml:space="preserve"> by 50% from current levels. </w:t>
      </w:r>
    </w:p>
    <w:p w14:paraId="7F803DF5" w14:textId="648FC80F" w:rsidR="00C80F44" w:rsidRPr="00F40E9A" w:rsidRDefault="00C80F44" w:rsidP="008F6ED1">
      <w:pPr>
        <w:spacing w:line="276" w:lineRule="auto"/>
        <w:jc w:val="both"/>
        <w:rPr>
          <w:rFonts w:ascii="Verdana" w:hAnsi="Verdana"/>
          <w:b/>
          <w:bCs/>
          <w:sz w:val="18"/>
          <w:szCs w:val="18"/>
        </w:rPr>
      </w:pPr>
      <w:r w:rsidRPr="00A1587F">
        <w:rPr>
          <w:rFonts w:ascii="Verdana" w:hAnsi="Verdana"/>
          <w:b/>
          <w:bCs/>
          <w:sz w:val="18"/>
          <w:szCs w:val="18"/>
          <w:lang w:val="en-US"/>
        </w:rPr>
        <w:t xml:space="preserve">Concretely, this means </w:t>
      </w:r>
      <w:r w:rsidRPr="006C77E8">
        <w:rPr>
          <w:rFonts w:ascii="Verdana" w:hAnsi="Verdana"/>
          <w:b/>
          <w:bCs/>
          <w:sz w:val="18"/>
          <w:szCs w:val="18"/>
          <w:u w:val="single"/>
          <w:lang w:val="en-US"/>
        </w:rPr>
        <w:t>the lambda parameter should be set to 9</w:t>
      </w:r>
      <w:r w:rsidR="00F40E9A">
        <w:rPr>
          <w:rFonts w:ascii="Verdana" w:hAnsi="Verdana"/>
          <w:b/>
          <w:bCs/>
          <w:sz w:val="18"/>
          <w:szCs w:val="18"/>
          <w:u w:val="single"/>
          <w:lang w:val="en-US"/>
        </w:rPr>
        <w:t>2.5</w:t>
      </w:r>
      <w:r w:rsidRPr="006C77E8">
        <w:rPr>
          <w:rFonts w:ascii="Verdana" w:hAnsi="Verdana"/>
          <w:b/>
          <w:bCs/>
          <w:sz w:val="18"/>
          <w:szCs w:val="18"/>
          <w:u w:val="single"/>
          <w:lang w:val="en-US"/>
        </w:rPr>
        <w:t xml:space="preserve">% </w:t>
      </w:r>
      <w:r w:rsidR="00A1587F" w:rsidRPr="006C77E8">
        <w:rPr>
          <w:rFonts w:ascii="Verdana" w:hAnsi="Verdana"/>
          <w:b/>
          <w:bCs/>
          <w:sz w:val="18"/>
          <w:szCs w:val="18"/>
          <w:u w:val="single"/>
          <w:lang w:val="en-US"/>
        </w:rPr>
        <w:t>without a floor</w:t>
      </w:r>
      <w:r w:rsidR="00A1587F" w:rsidRPr="00A1587F">
        <w:rPr>
          <w:rFonts w:ascii="Verdana" w:hAnsi="Verdana"/>
          <w:b/>
          <w:bCs/>
          <w:sz w:val="18"/>
          <w:szCs w:val="18"/>
          <w:lang w:val="en-US"/>
        </w:rPr>
        <w:t xml:space="preserve">. </w:t>
      </w:r>
      <w:r w:rsidRPr="00A1587F">
        <w:rPr>
          <w:rFonts w:ascii="Verdana" w:hAnsi="Verdana"/>
          <w:b/>
          <w:bCs/>
          <w:sz w:val="18"/>
          <w:szCs w:val="18"/>
          <w:lang w:val="en-US"/>
        </w:rPr>
        <w:t xml:space="preserve"> </w:t>
      </w:r>
    </w:p>
    <w:p w14:paraId="78102225" w14:textId="3ADC5A29" w:rsidR="006F7A46" w:rsidRPr="006F7A46" w:rsidRDefault="00D04FC7" w:rsidP="009A4CF4">
      <w:pPr>
        <w:spacing w:line="276" w:lineRule="auto"/>
        <w:jc w:val="both"/>
        <w:rPr>
          <w:rFonts w:ascii="Verdana" w:hAnsi="Verdana"/>
          <w:sz w:val="18"/>
          <w:szCs w:val="18"/>
        </w:rPr>
      </w:pPr>
      <w:r w:rsidRPr="00D04FC7">
        <w:rPr>
          <w:rFonts w:ascii="Verdana" w:hAnsi="Verdana"/>
          <w:noProof/>
          <w:sz w:val="18"/>
          <w:szCs w:val="18"/>
        </w:rPr>
        <mc:AlternateContent>
          <mc:Choice Requires="wps">
            <w:drawing>
              <wp:anchor distT="45720" distB="45720" distL="114300" distR="114300" simplePos="0" relativeHeight="251658241" behindDoc="0" locked="0" layoutInCell="1" allowOverlap="1" wp14:anchorId="55234BEE" wp14:editId="4C622C99">
                <wp:simplePos x="0" y="0"/>
                <wp:positionH relativeFrom="margin">
                  <wp:align>right</wp:align>
                </wp:positionH>
                <wp:positionV relativeFrom="paragraph">
                  <wp:posOffset>12140</wp:posOffset>
                </wp:positionV>
                <wp:extent cx="2360930" cy="892810"/>
                <wp:effectExtent l="0" t="0" r="12700" b="21590"/>
                <wp:wrapSquare wrapText="bothSides"/>
                <wp:docPr id="571395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92885"/>
                        </a:xfrm>
                        <a:prstGeom prst="rect">
                          <a:avLst/>
                        </a:prstGeom>
                        <a:solidFill>
                          <a:srgbClr val="FFFFFF"/>
                        </a:solidFill>
                        <a:ln w="9525">
                          <a:solidFill>
                            <a:srgbClr val="000000"/>
                          </a:solidFill>
                          <a:miter lim="800000"/>
                          <a:headEnd/>
                          <a:tailEnd/>
                        </a:ln>
                      </wps:spPr>
                      <wps:txbx>
                        <w:txbxContent>
                          <w:p w14:paraId="5AF3B8F5" w14:textId="5CE40ED1" w:rsidR="00D04FC7" w:rsidRPr="00D04FC7" w:rsidRDefault="00D04FC7">
                            <w:pPr>
                              <w:rPr>
                                <w:lang w:val="en-US"/>
                              </w:rPr>
                            </w:pPr>
                            <w:r w:rsidRPr="00A85B88">
                              <w:rPr>
                                <w:highlight w:val="yellow"/>
                                <w:lang w:val="en-US"/>
                              </w:rPr>
                              <w:t>CHART SHOWING</w:t>
                            </w:r>
                            <w:r w:rsidR="00A85B88" w:rsidRPr="00A85B88">
                              <w:rPr>
                                <w:highlight w:val="yellow"/>
                                <w:lang w:val="en-US"/>
                              </w:rPr>
                              <w:t xml:space="preserve"> RISK MARGIN REQUIREMENTS IN VARIOUS JURISDICTIONS – TO BE INCLUDED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5234BEE" id="_x0000_s1027" type="#_x0000_t202" style="position:absolute;left:0;text-align:left;margin-left:134.7pt;margin-top:.95pt;width:185.9pt;height:70.3pt;z-index:251658241;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">
                <v:textbox>
                  <w:txbxContent>
                    <w:p w14:paraId="5AF3B8F5" w14:textId="5CE40ED1" w:rsidR="00D04FC7" w:rsidRPr="00D04FC7" w:rsidRDefault="00D04FC7">
                      <w:pPr>
                        <w:rPr>
                          <w:lang w:val="en-US"/>
                        </w:rPr>
                      </w:pPr>
                      <w:r w:rsidRPr="00A85B88">
                        <w:rPr>
                          <w:highlight w:val="yellow"/>
                          <w:lang w:val="en-US"/>
                        </w:rPr>
                        <w:t>CHART SHOWING</w:t>
                      </w:r>
                      <w:r w:rsidR="00A85B88" w:rsidRPr="00A85B88">
                        <w:rPr>
                          <w:highlight w:val="yellow"/>
                          <w:lang w:val="en-US"/>
                        </w:rPr>
                        <w:t xml:space="preserve"> RISK MARGIN REQUIREMENTS IN VARIOUS JURISDICTIONS – TO BE INCLUDED</w:t>
                      </w:r>
                    </w:p>
                  </w:txbxContent>
                </v:textbox>
                <w10:wrap type="square" anchorx="margin"/>
              </v:shape>
            </w:pict>
          </mc:Fallback>
        </mc:AlternateContent>
      </w:r>
      <w:r w:rsidR="00A1587F" w:rsidRPr="006C77E8">
        <w:rPr>
          <w:rFonts w:ascii="Verdana" w:hAnsi="Verdana"/>
          <w:sz w:val="18"/>
          <w:szCs w:val="18"/>
        </w:rPr>
        <w:t xml:space="preserve">It is worthwhile highlighting that other prudential </w:t>
      </w:r>
      <w:r w:rsidR="006C77E8">
        <w:rPr>
          <w:rFonts w:ascii="Verdana" w:hAnsi="Verdana"/>
          <w:sz w:val="18"/>
          <w:szCs w:val="18"/>
        </w:rPr>
        <w:t xml:space="preserve">regimes either do not </w:t>
      </w:r>
      <w:r w:rsidR="006F7A46">
        <w:rPr>
          <w:rFonts w:ascii="Verdana" w:hAnsi="Verdana"/>
          <w:sz w:val="18"/>
          <w:szCs w:val="18"/>
        </w:rPr>
        <w:t xml:space="preserve">apply a risk margin or have a significantly lower risk margin than that in Solvency II. For example, in the UK, </w:t>
      </w:r>
      <w:r w:rsidR="006F7A46" w:rsidRPr="006F7A46">
        <w:rPr>
          <w:rFonts w:ascii="Verdana" w:hAnsi="Verdana"/>
          <w:sz w:val="18"/>
          <w:szCs w:val="18"/>
        </w:rPr>
        <w:t>the PRA has provided support to the 70% reduction of the risk margin for long-term business</w:t>
      </w:r>
      <w:r w:rsidR="00985217">
        <w:rPr>
          <w:rFonts w:ascii="Verdana" w:hAnsi="Verdana"/>
          <w:sz w:val="18"/>
          <w:szCs w:val="18"/>
        </w:rPr>
        <w:t xml:space="preserve"> through a reduced cost of capital and 0.9 lambda</w:t>
      </w:r>
      <w:r w:rsidR="006F7A46">
        <w:rPr>
          <w:rFonts w:ascii="Verdana" w:hAnsi="Verdana"/>
          <w:sz w:val="18"/>
          <w:szCs w:val="18"/>
        </w:rPr>
        <w:t xml:space="preserve">. </w:t>
      </w:r>
    </w:p>
    <w:p w14:paraId="0E79E774" w14:textId="5A3F8FA3" w:rsidR="00E76BA7" w:rsidRDefault="00E76BA7" w:rsidP="00E76BA7">
      <w:pPr>
        <w:spacing w:line="276" w:lineRule="auto"/>
        <w:rPr>
          <w:rFonts w:ascii="Verdana" w:hAnsi="Verdana"/>
          <w:b/>
          <w:bCs/>
          <w:sz w:val="18"/>
          <w:szCs w:val="18"/>
        </w:rPr>
      </w:pPr>
      <w:r>
        <w:rPr>
          <w:rFonts w:ascii="Verdana" w:hAnsi="Verdana"/>
          <w:b/>
          <w:bCs/>
          <w:sz w:val="18"/>
          <w:szCs w:val="18"/>
        </w:rPr>
        <w:t>Other improvements</w:t>
      </w:r>
    </w:p>
    <w:p w14:paraId="26AEEC1A" w14:textId="27A02798" w:rsidR="00985217" w:rsidRDefault="00597D03" w:rsidP="00597D03">
      <w:pPr>
        <w:spacing w:line="276" w:lineRule="auto"/>
        <w:jc w:val="both"/>
        <w:rPr>
          <w:rFonts w:ascii="Verdana" w:hAnsi="Verdana"/>
          <w:sz w:val="18"/>
          <w:szCs w:val="18"/>
        </w:rPr>
      </w:pPr>
      <w:r w:rsidRPr="00597D03">
        <w:rPr>
          <w:rFonts w:ascii="Verdana" w:hAnsi="Verdana"/>
          <w:sz w:val="18"/>
          <w:szCs w:val="18"/>
        </w:rPr>
        <w:t xml:space="preserve">In addition, counter-intuitively, diversification between risks at group level is not permitted when calculating the risk margin. This contrasts with other areas of the Solvency II regulation (SCR, risk margin at solo level) and practical experience – where there are many examples where groups have transferred policies as a whole. </w:t>
      </w:r>
    </w:p>
    <w:p w14:paraId="3BCFDFE2" w14:textId="2AFD8AA2" w:rsidR="00340198" w:rsidRPr="00597D03" w:rsidRDefault="00597D03" w:rsidP="00597D03">
      <w:pPr>
        <w:spacing w:line="276" w:lineRule="auto"/>
        <w:jc w:val="both"/>
        <w:rPr>
          <w:rFonts w:ascii="Verdana" w:hAnsi="Verdana"/>
          <w:sz w:val="18"/>
          <w:szCs w:val="18"/>
        </w:rPr>
      </w:pPr>
      <w:r w:rsidRPr="00597D03">
        <w:rPr>
          <w:rFonts w:ascii="Verdana" w:hAnsi="Verdana"/>
          <w:sz w:val="18"/>
          <w:szCs w:val="18"/>
        </w:rPr>
        <w:t>By not allowing for diversification between different entities within a group, the current approach to calculating the risk margin has the effect of artificially increasing the projected SCRs at group-level and hence leads to an overinflated risk margin.</w:t>
      </w:r>
    </w:p>
    <w:p w14:paraId="78FD1ED7" w14:textId="77777777" w:rsidR="00B82CC1" w:rsidRDefault="000E24E0" w:rsidP="00FB1266">
      <w:pPr>
        <w:spacing w:line="276" w:lineRule="auto"/>
        <w:jc w:val="both"/>
        <w:rPr>
          <w:rFonts w:ascii="Verdana" w:hAnsi="Verdana"/>
          <w:sz w:val="18"/>
          <w:szCs w:val="18"/>
        </w:rPr>
      </w:pPr>
      <w:r w:rsidRPr="002E59B7">
        <w:rPr>
          <w:rFonts w:ascii="Verdana" w:hAnsi="Verdana" w:cstheme="minorHAnsi"/>
          <w:sz w:val="18"/>
          <w:szCs w:val="18"/>
        </w:rPr>
        <w:t xml:space="preserve">To address this shortcoming, the arbitrary separation of obligations should be removed, and the risk margin methodology should be amended to allow for diversification between lines of business within a composite undertaking and legal entities within a group, for example </w:t>
      </w:r>
      <w:r w:rsidR="004A625C" w:rsidRPr="002E59B7">
        <w:rPr>
          <w:rFonts w:ascii="Verdana" w:hAnsi="Verdana"/>
          <w:sz w:val="18"/>
          <w:szCs w:val="18"/>
        </w:rPr>
        <w:t xml:space="preserve">by changing the Delegated Regulation as </w:t>
      </w:r>
      <w:r w:rsidR="00B82CC1">
        <w:rPr>
          <w:rFonts w:ascii="Verdana" w:hAnsi="Verdana"/>
          <w:sz w:val="18"/>
          <w:szCs w:val="18"/>
        </w:rPr>
        <w:t>set out in the annex.</w:t>
      </w:r>
    </w:p>
    <w:p w14:paraId="7193049D" w14:textId="77777777" w:rsidR="00B82CC1" w:rsidRDefault="00B82CC1" w:rsidP="00FB1266">
      <w:pPr>
        <w:spacing w:line="276" w:lineRule="auto"/>
        <w:jc w:val="both"/>
        <w:rPr>
          <w:rFonts w:ascii="Verdana" w:hAnsi="Verdana"/>
          <w:sz w:val="18"/>
          <w:szCs w:val="18"/>
        </w:rPr>
      </w:pPr>
    </w:p>
    <w:p w14:paraId="15CFC499" w14:textId="77777777" w:rsidR="00B82CC1" w:rsidRDefault="00B82CC1">
      <w:pPr>
        <w:rPr>
          <w:rFonts w:ascii="Verdana" w:hAnsi="Verdana"/>
          <w:sz w:val="18"/>
          <w:szCs w:val="18"/>
        </w:rPr>
      </w:pPr>
      <w:r>
        <w:rPr>
          <w:rFonts w:ascii="Verdana" w:hAnsi="Verdana"/>
          <w:sz w:val="18"/>
          <w:szCs w:val="18"/>
        </w:rPr>
        <w:br w:type="page"/>
      </w:r>
    </w:p>
    <w:p w14:paraId="41617E62" w14:textId="27154074" w:rsidR="000C7327" w:rsidRPr="002E59B7" w:rsidRDefault="00B82CC1" w:rsidP="00FB1266">
      <w:pPr>
        <w:spacing w:line="276" w:lineRule="auto"/>
        <w:jc w:val="both"/>
        <w:rPr>
          <w:rFonts w:ascii="Verdana" w:hAnsi="Verdana"/>
          <w:sz w:val="18"/>
          <w:szCs w:val="18"/>
        </w:rPr>
      </w:pPr>
      <w:r>
        <w:rPr>
          <w:rFonts w:ascii="Verdana" w:hAnsi="Verdana"/>
          <w:sz w:val="18"/>
          <w:szCs w:val="18"/>
        </w:rPr>
        <w:lastRenderedPageBreak/>
        <w:t>Annex – proposed amendments needed to address the diversification</w:t>
      </w:r>
      <w:r w:rsidR="004A625C" w:rsidRPr="002E59B7">
        <w:rPr>
          <w:rFonts w:ascii="Verdana" w:hAnsi="Verdana"/>
          <w:sz w:val="18"/>
          <w:szCs w:val="18"/>
        </w:rPr>
        <w:t xml:space="preserve"> </w:t>
      </w:r>
    </w:p>
    <w:p w14:paraId="7CF73842" w14:textId="170CBB13" w:rsidR="00192168" w:rsidRPr="002E59B7" w:rsidRDefault="00192168" w:rsidP="00FB1266">
      <w:pPr>
        <w:spacing w:line="276" w:lineRule="auto"/>
        <w:jc w:val="both"/>
        <w:rPr>
          <w:rFonts w:ascii="Verdana" w:hAnsi="Verdana"/>
          <w:sz w:val="18"/>
          <w:szCs w:val="18"/>
        </w:rPr>
      </w:pPr>
    </w:p>
    <w:p w14:paraId="256566E3" w14:textId="66392F66" w:rsidR="000E24E0" w:rsidRPr="002E59B7" w:rsidRDefault="00192168" w:rsidP="000E24E0">
      <w:pPr>
        <w:pStyle w:val="Odsekzoznamu"/>
        <w:numPr>
          <w:ilvl w:val="0"/>
          <w:numId w:val="4"/>
        </w:numPr>
        <w:jc w:val="both"/>
        <w:rPr>
          <w:rFonts w:ascii="Verdana" w:hAnsi="Verdana"/>
          <w:sz w:val="18"/>
          <w:szCs w:val="18"/>
        </w:rPr>
      </w:pPr>
      <w:r w:rsidRPr="002E59B7">
        <w:rPr>
          <w:rFonts w:ascii="Verdana" w:hAnsi="Verdana"/>
          <w:sz w:val="18"/>
          <w:szCs w:val="18"/>
        </w:rPr>
        <w:t xml:space="preserve">deleting Art. 38.1(b) of the </w:t>
      </w:r>
      <w:r w:rsidR="00930DAD" w:rsidRPr="002E59B7">
        <w:rPr>
          <w:rFonts w:ascii="Verdana" w:hAnsi="Verdana"/>
          <w:sz w:val="18"/>
          <w:szCs w:val="18"/>
        </w:rPr>
        <w:t>DA</w:t>
      </w:r>
      <w:r w:rsidRPr="002E59B7">
        <w:rPr>
          <w:rFonts w:ascii="Verdana" w:hAnsi="Verdana"/>
          <w:sz w:val="18"/>
          <w:szCs w:val="18"/>
        </w:rPr>
        <w:t xml:space="preserve"> and </w:t>
      </w:r>
    </w:p>
    <w:p w14:paraId="5905777D" w14:textId="6C505B34" w:rsidR="00192168" w:rsidRPr="002E59B7" w:rsidRDefault="00192168" w:rsidP="000E24E0">
      <w:pPr>
        <w:pStyle w:val="Odsekzoznamu"/>
        <w:numPr>
          <w:ilvl w:val="0"/>
          <w:numId w:val="4"/>
        </w:numPr>
        <w:jc w:val="both"/>
        <w:rPr>
          <w:rFonts w:ascii="Verdana" w:hAnsi="Verdana"/>
          <w:sz w:val="18"/>
          <w:szCs w:val="18"/>
        </w:rPr>
      </w:pPr>
      <w:r w:rsidRPr="002E59B7">
        <w:rPr>
          <w:rFonts w:ascii="Verdana" w:hAnsi="Verdana"/>
          <w:sz w:val="18"/>
          <w:szCs w:val="18"/>
        </w:rPr>
        <w:t xml:space="preserve">by replacing Art. 336 of the </w:t>
      </w:r>
      <w:r w:rsidR="00930DAD" w:rsidRPr="002E59B7">
        <w:rPr>
          <w:rFonts w:ascii="Verdana" w:hAnsi="Verdana"/>
          <w:sz w:val="18"/>
          <w:szCs w:val="18"/>
        </w:rPr>
        <w:t>DA</w:t>
      </w:r>
      <w:r w:rsidRPr="002E59B7">
        <w:rPr>
          <w:rFonts w:ascii="Verdana" w:hAnsi="Verdana"/>
          <w:sz w:val="18"/>
          <w:szCs w:val="18"/>
        </w:rPr>
        <w:t xml:space="preserve"> with: Method 1: Risk Margin</w:t>
      </w:r>
    </w:p>
    <w:p w14:paraId="41C5CE14" w14:textId="77777777" w:rsidR="00192168" w:rsidRPr="002E59B7" w:rsidRDefault="00192168" w:rsidP="000E24E0">
      <w:pPr>
        <w:ind w:left="720"/>
        <w:jc w:val="both"/>
        <w:rPr>
          <w:rFonts w:ascii="Verdana" w:hAnsi="Verdana"/>
          <w:sz w:val="18"/>
          <w:szCs w:val="18"/>
        </w:rPr>
      </w:pPr>
      <w:r w:rsidRPr="002E59B7">
        <w:rPr>
          <w:rFonts w:ascii="Verdana" w:hAnsi="Verdana"/>
          <w:sz w:val="18"/>
          <w:szCs w:val="18"/>
        </w:rPr>
        <w:t xml:space="preserve">The consolidated risk margin of technical provisions on the basis of the consolidated data shall be calculated as the sum of the following: </w:t>
      </w:r>
    </w:p>
    <w:p w14:paraId="5C7F9CAC" w14:textId="77777777" w:rsidR="00192168" w:rsidRPr="002E59B7" w:rsidRDefault="00192168" w:rsidP="000E24E0">
      <w:pPr>
        <w:ind w:left="720"/>
        <w:jc w:val="both"/>
        <w:rPr>
          <w:rFonts w:ascii="Verdana" w:hAnsi="Verdana"/>
          <w:sz w:val="18"/>
          <w:szCs w:val="18"/>
        </w:rPr>
      </w:pPr>
      <w:r w:rsidRPr="002E59B7">
        <w:rPr>
          <w:rFonts w:ascii="Verdana" w:hAnsi="Verdana"/>
          <w:sz w:val="18"/>
          <w:szCs w:val="18"/>
        </w:rPr>
        <w:t xml:space="preserve">(a) a risk margin calculated on the basis of consolidated data referred to in Article 335(1)(a), (b) and (c) of this Regulation following the rules laid down in Title I, Chapter VI, Section 4 of Directive 2009/138/EC; </w:t>
      </w:r>
    </w:p>
    <w:p w14:paraId="26AA504C" w14:textId="77777777" w:rsidR="00192168" w:rsidRPr="002E59B7" w:rsidRDefault="00192168" w:rsidP="000E24E0">
      <w:pPr>
        <w:ind w:left="720"/>
        <w:jc w:val="both"/>
        <w:rPr>
          <w:rFonts w:ascii="Verdana" w:hAnsi="Verdana"/>
          <w:sz w:val="18"/>
          <w:szCs w:val="18"/>
        </w:rPr>
      </w:pPr>
      <w:r w:rsidRPr="002E59B7">
        <w:rPr>
          <w:rFonts w:ascii="Verdana" w:hAnsi="Verdana"/>
          <w:sz w:val="18"/>
          <w:szCs w:val="18"/>
        </w:rPr>
        <w:t>(b) the proportional share of the risk margin of each undertaking referred to in Article 335(1)(d) of this Regulation; for a related third-country insurance or reinsurance undertaking which is not a subsidiary the risk margin shall be calculated as if that undertaking had its head office in the Union.</w:t>
      </w:r>
    </w:p>
    <w:p w14:paraId="43AF56DF" w14:textId="3E34A372" w:rsidR="000C7327" w:rsidRDefault="00192168" w:rsidP="002E59B7">
      <w:pPr>
        <w:jc w:val="both"/>
        <w:rPr>
          <w:rFonts w:ascii="Verdana" w:hAnsi="Verdana"/>
          <w:sz w:val="18"/>
          <w:szCs w:val="18"/>
        </w:rPr>
      </w:pPr>
      <w:r w:rsidRPr="002E59B7">
        <w:rPr>
          <w:rFonts w:ascii="Verdana" w:hAnsi="Verdana"/>
          <w:sz w:val="18"/>
          <w:szCs w:val="18"/>
        </w:rPr>
        <w:t xml:space="preserve">The replacement of Art. 336 of the </w:t>
      </w:r>
      <w:r w:rsidR="00930DAD" w:rsidRPr="002E59B7">
        <w:rPr>
          <w:rFonts w:ascii="Verdana" w:hAnsi="Verdana"/>
          <w:sz w:val="18"/>
          <w:szCs w:val="18"/>
        </w:rPr>
        <w:t>DA</w:t>
      </w:r>
      <w:r w:rsidRPr="002E59B7">
        <w:rPr>
          <w:rFonts w:ascii="Verdana" w:hAnsi="Verdana"/>
          <w:sz w:val="18"/>
          <w:szCs w:val="18"/>
        </w:rPr>
        <w:t xml:space="preserve"> in the proposed manner would lead solely to a change in the calculation technique for the risk margin on Group level, but have no consequences (e.g. in terms of reallocation) to the calculation on legal entity level, thus ensuring the same level of policyholder protection</w:t>
      </w:r>
    </w:p>
    <w:sectPr w:rsidR="000C73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1EEB8" w14:textId="77777777" w:rsidR="005B1F7F" w:rsidRDefault="005B1F7F">
      <w:pPr>
        <w:spacing w:after="0" w:line="240" w:lineRule="auto"/>
      </w:pPr>
      <w:r>
        <w:separator/>
      </w:r>
    </w:p>
  </w:endnote>
  <w:endnote w:type="continuationSeparator" w:id="0">
    <w:p w14:paraId="2470F4B2" w14:textId="77777777" w:rsidR="005B1F7F" w:rsidRDefault="005B1F7F">
      <w:pPr>
        <w:spacing w:after="0" w:line="240" w:lineRule="auto"/>
      </w:pPr>
      <w:r>
        <w:continuationSeparator/>
      </w:r>
    </w:p>
  </w:endnote>
  <w:endnote w:type="continuationNotice" w:id="1">
    <w:p w14:paraId="61F17705" w14:textId="77777777" w:rsidR="005B1F7F" w:rsidRDefault="005B1F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5D047" w14:textId="77777777" w:rsidR="005B1F7F" w:rsidRDefault="005B1F7F">
      <w:pPr>
        <w:spacing w:after="0" w:line="240" w:lineRule="auto"/>
      </w:pPr>
      <w:r>
        <w:separator/>
      </w:r>
    </w:p>
  </w:footnote>
  <w:footnote w:type="continuationSeparator" w:id="0">
    <w:p w14:paraId="2EA8586B" w14:textId="77777777" w:rsidR="005B1F7F" w:rsidRDefault="005B1F7F">
      <w:pPr>
        <w:spacing w:after="0" w:line="240" w:lineRule="auto"/>
      </w:pPr>
      <w:r>
        <w:continuationSeparator/>
      </w:r>
    </w:p>
  </w:footnote>
  <w:footnote w:type="continuationNotice" w:id="1">
    <w:p w14:paraId="5134CB57" w14:textId="77777777" w:rsidR="005B1F7F" w:rsidRDefault="005B1F7F">
      <w:pPr>
        <w:spacing w:after="0" w:line="240" w:lineRule="auto"/>
      </w:pPr>
    </w:p>
  </w:footnote>
  <w:footnote w:id="2">
    <w:p w14:paraId="112EA02B" w14:textId="6D746CC7" w:rsidR="00FA5324" w:rsidRDefault="00FA5324">
      <w:pPr>
        <w:pStyle w:val="Textpoznmkypodiarou"/>
      </w:pPr>
      <w:r>
        <w:rPr>
          <w:rStyle w:val="Odkaznapoznmkupodiarou"/>
        </w:rPr>
        <w:footnoteRef/>
      </w:r>
      <w:r>
        <w:t xml:space="preserve"> EIOPA </w:t>
      </w:r>
      <w:r w:rsidR="00F734F3">
        <w:t xml:space="preserve">Annual </w:t>
      </w:r>
      <w:r>
        <w:t>Solo</w:t>
      </w:r>
      <w:r w:rsidR="00F734F3">
        <w:t xml:space="preserve"> statistics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CA4FC0"/>
    <w:multiLevelType w:val="hybridMultilevel"/>
    <w:tmpl w:val="738060D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5A7E4CB3"/>
    <w:multiLevelType w:val="hybridMultilevel"/>
    <w:tmpl w:val="8A0EA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F1174E"/>
    <w:multiLevelType w:val="hybridMultilevel"/>
    <w:tmpl w:val="D332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414DFF"/>
    <w:multiLevelType w:val="hybridMultilevel"/>
    <w:tmpl w:val="CCFA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1256334">
    <w:abstractNumId w:val="3"/>
  </w:num>
  <w:num w:numId="2" w16cid:durableId="467012240">
    <w:abstractNumId w:val="2"/>
  </w:num>
  <w:num w:numId="3" w16cid:durableId="1407999324">
    <w:abstractNumId w:val="0"/>
  </w:num>
  <w:num w:numId="4" w16cid:durableId="2030181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YyMzcxMjUAs8yUdJSCU4uLM/PzQAoMawFhMs+mLAAAAA=="/>
  </w:docVars>
  <w:rsids>
    <w:rsidRoot w:val="000C7327"/>
    <w:rsid w:val="00001ACC"/>
    <w:rsid w:val="000027C2"/>
    <w:rsid w:val="00026B60"/>
    <w:rsid w:val="000550C0"/>
    <w:rsid w:val="0006179F"/>
    <w:rsid w:val="00072EA9"/>
    <w:rsid w:val="00076FFB"/>
    <w:rsid w:val="000B182D"/>
    <w:rsid w:val="000B3E77"/>
    <w:rsid w:val="000C7327"/>
    <w:rsid w:val="000D1697"/>
    <w:rsid w:val="000D1803"/>
    <w:rsid w:val="000E24E0"/>
    <w:rsid w:val="000E62BB"/>
    <w:rsid w:val="001079F5"/>
    <w:rsid w:val="00123FA6"/>
    <w:rsid w:val="00124691"/>
    <w:rsid w:val="00126FED"/>
    <w:rsid w:val="00130C87"/>
    <w:rsid w:val="00135884"/>
    <w:rsid w:val="00192168"/>
    <w:rsid w:val="001C6F5F"/>
    <w:rsid w:val="001E0133"/>
    <w:rsid w:val="002073B3"/>
    <w:rsid w:val="0026386F"/>
    <w:rsid w:val="00280D91"/>
    <w:rsid w:val="0028690D"/>
    <w:rsid w:val="00286FC4"/>
    <w:rsid w:val="002967ED"/>
    <w:rsid w:val="002D1780"/>
    <w:rsid w:val="002E28D6"/>
    <w:rsid w:val="002E59B7"/>
    <w:rsid w:val="002E6246"/>
    <w:rsid w:val="00334494"/>
    <w:rsid w:val="0033562B"/>
    <w:rsid w:val="00340198"/>
    <w:rsid w:val="00340F5A"/>
    <w:rsid w:val="00367F2A"/>
    <w:rsid w:val="003702E5"/>
    <w:rsid w:val="00373555"/>
    <w:rsid w:val="00384374"/>
    <w:rsid w:val="00397C58"/>
    <w:rsid w:val="00397EA2"/>
    <w:rsid w:val="003A4BDB"/>
    <w:rsid w:val="003A4FDD"/>
    <w:rsid w:val="003B0A5E"/>
    <w:rsid w:val="003D051A"/>
    <w:rsid w:val="003F0F9E"/>
    <w:rsid w:val="00414D99"/>
    <w:rsid w:val="00452108"/>
    <w:rsid w:val="004A625C"/>
    <w:rsid w:val="00511C3D"/>
    <w:rsid w:val="005204AA"/>
    <w:rsid w:val="00523A86"/>
    <w:rsid w:val="00532E19"/>
    <w:rsid w:val="00534C9B"/>
    <w:rsid w:val="00543DB5"/>
    <w:rsid w:val="00557046"/>
    <w:rsid w:val="005623B7"/>
    <w:rsid w:val="00563B06"/>
    <w:rsid w:val="0057160C"/>
    <w:rsid w:val="00597D03"/>
    <w:rsid w:val="005B1F7F"/>
    <w:rsid w:val="005C6A7B"/>
    <w:rsid w:val="005E0402"/>
    <w:rsid w:val="00624462"/>
    <w:rsid w:val="0063624A"/>
    <w:rsid w:val="006442BD"/>
    <w:rsid w:val="00650B92"/>
    <w:rsid w:val="0067457B"/>
    <w:rsid w:val="00694F50"/>
    <w:rsid w:val="0069622C"/>
    <w:rsid w:val="006C46A0"/>
    <w:rsid w:val="006C77E8"/>
    <w:rsid w:val="006D0445"/>
    <w:rsid w:val="006D08D3"/>
    <w:rsid w:val="006F61C1"/>
    <w:rsid w:val="006F7A46"/>
    <w:rsid w:val="0070422A"/>
    <w:rsid w:val="00711441"/>
    <w:rsid w:val="0072422F"/>
    <w:rsid w:val="00746C5F"/>
    <w:rsid w:val="00752D41"/>
    <w:rsid w:val="00774721"/>
    <w:rsid w:val="00794F7A"/>
    <w:rsid w:val="007B758B"/>
    <w:rsid w:val="007C06E5"/>
    <w:rsid w:val="007F23C7"/>
    <w:rsid w:val="00820210"/>
    <w:rsid w:val="00825894"/>
    <w:rsid w:val="008407FB"/>
    <w:rsid w:val="008427E3"/>
    <w:rsid w:val="008641B5"/>
    <w:rsid w:val="00865499"/>
    <w:rsid w:val="00883B8C"/>
    <w:rsid w:val="00885926"/>
    <w:rsid w:val="00886350"/>
    <w:rsid w:val="008A0AE2"/>
    <w:rsid w:val="008A338E"/>
    <w:rsid w:val="008C3A85"/>
    <w:rsid w:val="008E247E"/>
    <w:rsid w:val="008F6ED1"/>
    <w:rsid w:val="00930DAD"/>
    <w:rsid w:val="009429C8"/>
    <w:rsid w:val="00962ACE"/>
    <w:rsid w:val="00975413"/>
    <w:rsid w:val="00981908"/>
    <w:rsid w:val="00985217"/>
    <w:rsid w:val="009A3BCA"/>
    <w:rsid w:val="009A3C92"/>
    <w:rsid w:val="009A4CF4"/>
    <w:rsid w:val="009C0F89"/>
    <w:rsid w:val="009D7CCF"/>
    <w:rsid w:val="009E22BA"/>
    <w:rsid w:val="00A01AE7"/>
    <w:rsid w:val="00A1587F"/>
    <w:rsid w:val="00A1752D"/>
    <w:rsid w:val="00A2373F"/>
    <w:rsid w:val="00A64D70"/>
    <w:rsid w:val="00A82A89"/>
    <w:rsid w:val="00A85B88"/>
    <w:rsid w:val="00A97F1B"/>
    <w:rsid w:val="00AB4EA3"/>
    <w:rsid w:val="00AB6930"/>
    <w:rsid w:val="00AF03BD"/>
    <w:rsid w:val="00B02C20"/>
    <w:rsid w:val="00B135EB"/>
    <w:rsid w:val="00B13BB4"/>
    <w:rsid w:val="00B17780"/>
    <w:rsid w:val="00B32B9A"/>
    <w:rsid w:val="00B34800"/>
    <w:rsid w:val="00B47369"/>
    <w:rsid w:val="00B4793D"/>
    <w:rsid w:val="00B82CC1"/>
    <w:rsid w:val="00B85311"/>
    <w:rsid w:val="00B94CEC"/>
    <w:rsid w:val="00BC3520"/>
    <w:rsid w:val="00BD7504"/>
    <w:rsid w:val="00BF52A6"/>
    <w:rsid w:val="00C30738"/>
    <w:rsid w:val="00C3631E"/>
    <w:rsid w:val="00C63646"/>
    <w:rsid w:val="00C6766F"/>
    <w:rsid w:val="00C80F44"/>
    <w:rsid w:val="00C91B8E"/>
    <w:rsid w:val="00D04FC7"/>
    <w:rsid w:val="00D0553E"/>
    <w:rsid w:val="00D14DE2"/>
    <w:rsid w:val="00D42B02"/>
    <w:rsid w:val="00D47082"/>
    <w:rsid w:val="00D61A05"/>
    <w:rsid w:val="00DC166E"/>
    <w:rsid w:val="00DC7FE9"/>
    <w:rsid w:val="00DD29B9"/>
    <w:rsid w:val="00DD4787"/>
    <w:rsid w:val="00DD4CC5"/>
    <w:rsid w:val="00DE233A"/>
    <w:rsid w:val="00E01622"/>
    <w:rsid w:val="00E14FFD"/>
    <w:rsid w:val="00E37C8A"/>
    <w:rsid w:val="00E52D31"/>
    <w:rsid w:val="00E76BA7"/>
    <w:rsid w:val="00EC2AA5"/>
    <w:rsid w:val="00ED0744"/>
    <w:rsid w:val="00EF57BB"/>
    <w:rsid w:val="00F004EA"/>
    <w:rsid w:val="00F011D9"/>
    <w:rsid w:val="00F208DF"/>
    <w:rsid w:val="00F40E9A"/>
    <w:rsid w:val="00F472B5"/>
    <w:rsid w:val="00F63213"/>
    <w:rsid w:val="00F734F3"/>
    <w:rsid w:val="00F73FCE"/>
    <w:rsid w:val="00F74BA1"/>
    <w:rsid w:val="00F832FE"/>
    <w:rsid w:val="00F83C8B"/>
    <w:rsid w:val="00FA5324"/>
    <w:rsid w:val="00FB1266"/>
    <w:rsid w:val="00FB2E77"/>
    <w:rsid w:val="00FD025E"/>
    <w:rsid w:val="00FD04A1"/>
    <w:rsid w:val="00FD22F3"/>
    <w:rsid w:val="00FF11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B4BB6"/>
  <w15:chartTrackingRefBased/>
  <w15:docId w15:val="{0B7AFCF2-45EF-46AA-AA14-43282B23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C7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0C7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0C732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0C732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0C732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0C732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C732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C732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C732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732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0C732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0C732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0C732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0C732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0C732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C732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C732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C7327"/>
    <w:rPr>
      <w:rFonts w:eastAsiaTheme="majorEastAsia" w:cstheme="majorBidi"/>
      <w:color w:val="272727" w:themeColor="text1" w:themeTint="D8"/>
    </w:rPr>
  </w:style>
  <w:style w:type="paragraph" w:styleId="Nzov">
    <w:name w:val="Title"/>
    <w:basedOn w:val="Normlny"/>
    <w:next w:val="Normlny"/>
    <w:link w:val="NzovChar"/>
    <w:uiPriority w:val="10"/>
    <w:qFormat/>
    <w:rsid w:val="000C7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C732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C732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C732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C732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C7327"/>
    <w:rPr>
      <w:i/>
      <w:iCs/>
      <w:color w:val="404040" w:themeColor="text1" w:themeTint="BF"/>
    </w:rPr>
  </w:style>
  <w:style w:type="paragraph" w:styleId="Odsekzoznamu">
    <w:name w:val="List Paragraph"/>
    <w:basedOn w:val="Normlny"/>
    <w:uiPriority w:val="34"/>
    <w:qFormat/>
    <w:rsid w:val="000C7327"/>
    <w:pPr>
      <w:ind w:left="720"/>
      <w:contextualSpacing/>
    </w:pPr>
  </w:style>
  <w:style w:type="character" w:styleId="Intenzvnezvraznenie">
    <w:name w:val="Intense Emphasis"/>
    <w:basedOn w:val="Predvolenpsmoodseku"/>
    <w:uiPriority w:val="21"/>
    <w:qFormat/>
    <w:rsid w:val="000C7327"/>
    <w:rPr>
      <w:i/>
      <w:iCs/>
      <w:color w:val="0F4761" w:themeColor="accent1" w:themeShade="BF"/>
    </w:rPr>
  </w:style>
  <w:style w:type="paragraph" w:styleId="Zvraznencitcia">
    <w:name w:val="Intense Quote"/>
    <w:basedOn w:val="Normlny"/>
    <w:next w:val="Normlny"/>
    <w:link w:val="ZvraznencitciaChar"/>
    <w:uiPriority w:val="30"/>
    <w:qFormat/>
    <w:rsid w:val="000C7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0C7327"/>
    <w:rPr>
      <w:i/>
      <w:iCs/>
      <w:color w:val="0F4761" w:themeColor="accent1" w:themeShade="BF"/>
    </w:rPr>
  </w:style>
  <w:style w:type="character" w:styleId="Zvraznenodkaz">
    <w:name w:val="Intense Reference"/>
    <w:basedOn w:val="Predvolenpsmoodseku"/>
    <w:uiPriority w:val="32"/>
    <w:qFormat/>
    <w:rsid w:val="000C7327"/>
    <w:rPr>
      <w:b/>
      <w:bCs/>
      <w:smallCaps/>
      <w:color w:val="0F4761" w:themeColor="accent1" w:themeShade="BF"/>
      <w:spacing w:val="5"/>
    </w:rPr>
  </w:style>
  <w:style w:type="character" w:styleId="Odkaznakomentr">
    <w:name w:val="annotation reference"/>
    <w:basedOn w:val="Predvolenpsmoodseku"/>
    <w:uiPriority w:val="99"/>
    <w:semiHidden/>
    <w:unhideWhenUsed/>
    <w:rsid w:val="00F83C8B"/>
    <w:rPr>
      <w:sz w:val="16"/>
      <w:szCs w:val="16"/>
    </w:rPr>
  </w:style>
  <w:style w:type="paragraph" w:styleId="Textkomentra">
    <w:name w:val="annotation text"/>
    <w:basedOn w:val="Normlny"/>
    <w:link w:val="TextkomentraChar"/>
    <w:uiPriority w:val="99"/>
    <w:unhideWhenUsed/>
    <w:rsid w:val="00F83C8B"/>
    <w:pPr>
      <w:spacing w:line="240" w:lineRule="auto"/>
    </w:pPr>
    <w:rPr>
      <w:sz w:val="20"/>
      <w:szCs w:val="20"/>
    </w:rPr>
  </w:style>
  <w:style w:type="character" w:customStyle="1" w:styleId="TextkomentraChar">
    <w:name w:val="Text komentára Char"/>
    <w:basedOn w:val="Predvolenpsmoodseku"/>
    <w:link w:val="Textkomentra"/>
    <w:uiPriority w:val="99"/>
    <w:rsid w:val="00F83C8B"/>
    <w:rPr>
      <w:sz w:val="20"/>
      <w:szCs w:val="20"/>
    </w:rPr>
  </w:style>
  <w:style w:type="paragraph" w:styleId="Predmetkomentra">
    <w:name w:val="annotation subject"/>
    <w:basedOn w:val="Textkomentra"/>
    <w:next w:val="Textkomentra"/>
    <w:link w:val="PredmetkomentraChar"/>
    <w:uiPriority w:val="99"/>
    <w:semiHidden/>
    <w:unhideWhenUsed/>
    <w:rsid w:val="00F83C8B"/>
    <w:rPr>
      <w:b/>
      <w:bCs/>
    </w:rPr>
  </w:style>
  <w:style w:type="character" w:customStyle="1" w:styleId="PredmetkomentraChar">
    <w:name w:val="Predmet komentára Char"/>
    <w:basedOn w:val="TextkomentraChar"/>
    <w:link w:val="Predmetkomentra"/>
    <w:uiPriority w:val="99"/>
    <w:semiHidden/>
    <w:rsid w:val="00F83C8B"/>
    <w:rPr>
      <w:b/>
      <w:bCs/>
      <w:sz w:val="20"/>
      <w:szCs w:val="20"/>
    </w:rPr>
  </w:style>
  <w:style w:type="paragraph" w:styleId="Revzia">
    <w:name w:val="Revision"/>
    <w:hidden/>
    <w:uiPriority w:val="99"/>
    <w:semiHidden/>
    <w:rsid w:val="00F83C8B"/>
    <w:pPr>
      <w:spacing w:after="0" w:line="240" w:lineRule="auto"/>
    </w:pPr>
  </w:style>
  <w:style w:type="character" w:styleId="Hypertextovprepojenie">
    <w:name w:val="Hyperlink"/>
    <w:basedOn w:val="Predvolenpsmoodseku"/>
    <w:uiPriority w:val="99"/>
    <w:unhideWhenUsed/>
    <w:rsid w:val="00F83C8B"/>
    <w:rPr>
      <w:color w:val="467886" w:themeColor="hyperlink"/>
      <w:u w:val="single"/>
    </w:rPr>
  </w:style>
  <w:style w:type="character" w:styleId="Nevyrieenzmienka">
    <w:name w:val="Unresolved Mention"/>
    <w:basedOn w:val="Predvolenpsmoodseku"/>
    <w:uiPriority w:val="99"/>
    <w:semiHidden/>
    <w:unhideWhenUsed/>
    <w:rsid w:val="00F83C8B"/>
    <w:rPr>
      <w:color w:val="605E5C"/>
      <w:shd w:val="clear" w:color="auto" w:fill="E1DFDD"/>
    </w:rPr>
  </w:style>
  <w:style w:type="paragraph" w:styleId="Hlavika">
    <w:name w:val="header"/>
    <w:basedOn w:val="Normlny"/>
    <w:link w:val="HlavikaChar"/>
    <w:uiPriority w:val="99"/>
    <w:semiHidden/>
    <w:unhideWhenUsed/>
    <w:rsid w:val="00124691"/>
    <w:pPr>
      <w:tabs>
        <w:tab w:val="center" w:pos="4513"/>
        <w:tab w:val="right" w:pos="9026"/>
      </w:tabs>
      <w:spacing w:after="0" w:line="240" w:lineRule="auto"/>
    </w:pPr>
  </w:style>
  <w:style w:type="character" w:customStyle="1" w:styleId="HlavikaChar">
    <w:name w:val="Hlavička Char"/>
    <w:basedOn w:val="Predvolenpsmoodseku"/>
    <w:link w:val="Hlavika"/>
    <w:uiPriority w:val="99"/>
    <w:semiHidden/>
    <w:rsid w:val="00124691"/>
  </w:style>
  <w:style w:type="paragraph" w:styleId="Pta">
    <w:name w:val="footer"/>
    <w:basedOn w:val="Normlny"/>
    <w:link w:val="PtaChar"/>
    <w:uiPriority w:val="99"/>
    <w:semiHidden/>
    <w:unhideWhenUsed/>
    <w:rsid w:val="00124691"/>
    <w:pPr>
      <w:tabs>
        <w:tab w:val="center" w:pos="4513"/>
        <w:tab w:val="right" w:pos="9026"/>
      </w:tabs>
      <w:spacing w:after="0" w:line="240" w:lineRule="auto"/>
    </w:pPr>
  </w:style>
  <w:style w:type="character" w:customStyle="1" w:styleId="PtaChar">
    <w:name w:val="Päta Char"/>
    <w:basedOn w:val="Predvolenpsmoodseku"/>
    <w:link w:val="Pta"/>
    <w:uiPriority w:val="99"/>
    <w:semiHidden/>
    <w:rsid w:val="00124691"/>
  </w:style>
  <w:style w:type="paragraph" w:styleId="Textpoznmkypodiarou">
    <w:name w:val="footnote text"/>
    <w:basedOn w:val="Normlny"/>
    <w:link w:val="TextpoznmkypodiarouChar"/>
    <w:uiPriority w:val="99"/>
    <w:semiHidden/>
    <w:unhideWhenUsed/>
    <w:rsid w:val="0012469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24691"/>
    <w:rPr>
      <w:sz w:val="20"/>
      <w:szCs w:val="20"/>
    </w:rPr>
  </w:style>
  <w:style w:type="character" w:styleId="Odkaznapoznmkupodiarou">
    <w:name w:val="footnote reference"/>
    <w:basedOn w:val="Predvolenpsmoodseku"/>
    <w:uiPriority w:val="99"/>
    <w:semiHidden/>
    <w:unhideWhenUsed/>
    <w:rsid w:val="00124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125976">
      <w:bodyDiv w:val="1"/>
      <w:marLeft w:val="0"/>
      <w:marRight w:val="0"/>
      <w:marTop w:val="0"/>
      <w:marBottom w:val="0"/>
      <w:divBdr>
        <w:top w:val="none" w:sz="0" w:space="0" w:color="auto"/>
        <w:left w:val="none" w:sz="0" w:space="0" w:color="auto"/>
        <w:bottom w:val="none" w:sz="0" w:space="0" w:color="auto"/>
        <w:right w:val="none" w:sz="0" w:space="0" w:color="auto"/>
      </w:divBdr>
    </w:div>
    <w:div w:id="208845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uranceeurope.eu/publications/2518/response-to-ec-better-regulation-consultation-on-its-proposal-for-the-solvency-ii-review/"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ublished Documents" ma:contentTypeID="0x0101007A2A1B97D27D6A4C90B6022E1624614C" ma:contentTypeVersion="25" ma:contentTypeDescription="Published Documents Content types for Insurance Europe" ma:contentTypeScope="" ma:versionID="8a2d4692b2818bc39a2ce63c0804f6e5">
  <xsd:schema xmlns:xsd="http://www.w3.org/2001/XMLSchema" xmlns:xs="http://www.w3.org/2001/XMLSchema" xmlns:p="http://schemas.microsoft.com/office/2006/metadata/properties" xmlns:ns2="d352728d-c7aa-455d-bd83-40fe44122be8" targetNamespace="http://schemas.microsoft.com/office/2006/metadata/properties" ma:root="true" ma:fieldsID="8b95e88459e8d978ad07ee6f97c580c8" ns2:_="">
    <xsd:import namespace="d352728d-c7aa-455d-bd83-40fe44122be8"/>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728d-c7aa-455d-bd83-40fe44122be8"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adline xmlns="d352728d-c7aa-455d-bd83-40fe44122be8" xsi:nil="true"/>
    <Type_x0020_of_x0020_document xmlns="d352728d-c7aa-455d-bd83-40fe44122be8" xsi:nil="true"/>
    <Type_x0020_of_x0020_memo xmlns="d352728d-c7aa-455d-bd83-40fe44122be8" xsi:nil="true"/>
    <Uploads xmlns="d352728d-c7aa-455d-bd83-40fe44122be8" xsi:nil="true"/>
    <Leading_x0020_document xmlns="d352728d-c7aa-455d-bd83-40fe44122be8" xsi:nil="true"/>
    <Can_x0020_be_x0020_edited xmlns="d352728d-c7aa-455d-bd83-40fe44122be8">false</Can_x0020_be_x0020_edited>
    <AllowComments xmlns="d352728d-c7aa-455d-bd83-40fe44122be8">true</AllowComments>
    <Allow_x0020_uploads xmlns="d352728d-c7aa-455d-bd83-40fe44122be8" xsi:nil="true"/>
    <Display_x0020_validated_x0020_documents_x0020_library_x0020_button xmlns="d352728d-c7aa-455d-bd83-40fe44122be8">false</Display_x0020_validated_x0020_documents_x0020_library_x0020_button>
    <Validated xmlns="d352728d-c7aa-455d-bd83-40fe44122be8">false</Validated>
    <Feedback_x0020_type xmlns="d352728d-c7aa-455d-bd83-40fe44122be8" xsi:nil="true"/>
    <isAnnex xmlns="d352728d-c7aa-455d-bd83-40fe44122be8" xsi:nil="true"/>
    <ValidationComment xmlns="d352728d-c7aa-455d-bd83-40fe44122be8" xsi:nil="true"/>
    <Allow_x0020_comments xmlns="d352728d-c7aa-455d-bd83-40fe44122be8" xsi:nil="true"/>
  </documentManagement>
</p:properties>
</file>

<file path=customXml/itemProps1.xml><?xml version="1.0" encoding="utf-8"?>
<ds:datastoreItem xmlns:ds="http://schemas.openxmlformats.org/officeDocument/2006/customXml" ds:itemID="{DD094484-E8F6-4915-AA7B-0CF4D7C814C8}">
  <ds:schemaRefs>
    <ds:schemaRef ds:uri="http://schemas.microsoft.com/sharepoint/v3/contenttype/forms"/>
  </ds:schemaRefs>
</ds:datastoreItem>
</file>

<file path=customXml/itemProps2.xml><?xml version="1.0" encoding="utf-8"?>
<ds:datastoreItem xmlns:ds="http://schemas.openxmlformats.org/officeDocument/2006/customXml" ds:itemID="{9C941282-A9C4-4C60-B1DF-173766B7F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728d-c7aa-455d-bd83-40fe4412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DACE47-43E7-4214-BE8B-04FD20E56F88}">
  <ds:schemaRefs>
    <ds:schemaRef ds:uri="http://purl.org/dc/dcmitype/"/>
    <ds:schemaRef ds:uri="d352728d-c7aa-455d-bd83-40fe44122be8"/>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Links>
    <vt:vector size="6" baseType="variant">
      <vt:variant>
        <vt:i4>7274592</vt:i4>
      </vt:variant>
      <vt:variant>
        <vt:i4>0</vt:i4>
      </vt:variant>
      <vt:variant>
        <vt:i4>0</vt:i4>
      </vt:variant>
      <vt:variant>
        <vt:i4>5</vt:i4>
      </vt:variant>
      <vt:variant>
        <vt:lpwstr>https://www.insuranceeurope.eu/publications/2518/response-to-ec-better-regulation-consultation-on-its-proposal-for-the-solvency-ii-review/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LTG paper - Risk Margin</dc:title>
  <dc:subject/>
  <dc:creator>Insurance Europe</dc:creator>
  <cp:keywords/>
  <dc:description/>
  <cp:lastModifiedBy>jozef.bachnicek</cp:lastModifiedBy>
  <cp:revision>2</cp:revision>
  <dcterms:created xsi:type="dcterms:W3CDTF">2024-06-21T06:52:00Z</dcterms:created>
  <dcterms:modified xsi:type="dcterms:W3CDTF">2024-06-21T06:52:00Z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0x0101007A2A1B97D27D6A4C90B6022E1624614C</vt:lpwstr>
  </property>
  <property fmtid="{D5CDD505-2E9C-101B-9397-08002B2CF9AE}" pid="3" name="MediaServiceImageTags">
    <vt:lpwstr/>
  </property>
</Properties>
</file>