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68807" w14:textId="77777777" w:rsidR="00804363" w:rsidRPr="00A7435B" w:rsidRDefault="00804363">
      <w:pPr>
        <w:rPr>
          <w:b/>
          <w:bCs/>
        </w:rPr>
      </w:pPr>
      <w:r w:rsidRPr="00A7435B">
        <w:rPr>
          <w:b/>
          <w:bCs/>
        </w:rPr>
        <w:t>Extrapolation of risk-free rates</w:t>
      </w:r>
    </w:p>
    <w:p w14:paraId="7963E07E" w14:textId="77777777" w:rsidR="00A7435B" w:rsidRDefault="00A7435B"/>
    <w:p w14:paraId="5AD5BE23" w14:textId="27A89356" w:rsidR="00A7435B" w:rsidRPr="0051051C" w:rsidRDefault="0051051C">
      <w:pPr>
        <w:rPr>
          <w:b/>
          <w:bCs/>
        </w:rPr>
      </w:pPr>
      <w:r w:rsidRPr="0051051C">
        <w:rPr>
          <w:b/>
          <w:bCs/>
        </w:rPr>
        <w:t>Industry key views</w:t>
      </w:r>
    </w:p>
    <w:p w14:paraId="67157ADC" w14:textId="58F1A033" w:rsidR="001A7E6C" w:rsidRPr="005A1468" w:rsidRDefault="001A7E6C" w:rsidP="6BA68148">
      <w:pPr>
        <w:pStyle w:val="Odsekzoznamu"/>
        <w:numPr>
          <w:ilvl w:val="0"/>
          <w:numId w:val="1"/>
        </w:numPr>
        <w:jc w:val="both"/>
        <w:rPr>
          <w:b/>
          <w:bCs/>
          <w:lang w:val="en-US"/>
        </w:rPr>
      </w:pPr>
      <w:r w:rsidRPr="6BA68148">
        <w:rPr>
          <w:b/>
          <w:bCs/>
          <w:lang w:val="en-US"/>
        </w:rPr>
        <w:t xml:space="preserve">Stability of the </w:t>
      </w:r>
      <w:r w:rsidR="00E9679B" w:rsidRPr="6BA68148">
        <w:rPr>
          <w:b/>
          <w:bCs/>
          <w:lang w:val="en-US"/>
        </w:rPr>
        <w:t xml:space="preserve">extrapolated </w:t>
      </w:r>
      <w:r w:rsidRPr="6BA68148">
        <w:rPr>
          <w:b/>
          <w:bCs/>
          <w:lang w:val="en-US"/>
        </w:rPr>
        <w:t xml:space="preserve">part of the </w:t>
      </w:r>
      <w:r w:rsidR="6F18239C" w:rsidRPr="6BA68148">
        <w:rPr>
          <w:b/>
          <w:bCs/>
          <w:lang w:val="en-US"/>
        </w:rPr>
        <w:t>Risk-Free</w:t>
      </w:r>
      <w:r w:rsidRPr="6BA68148">
        <w:rPr>
          <w:b/>
          <w:bCs/>
          <w:lang w:val="en-US"/>
        </w:rPr>
        <w:t xml:space="preserve"> Rate (RFR) curves is paramount to avoid introducing even more artificial volatility. </w:t>
      </w:r>
    </w:p>
    <w:p w14:paraId="094BD776" w14:textId="0DDF14D8" w:rsidR="0051051C" w:rsidRPr="001A7E6C" w:rsidRDefault="001A7E6C" w:rsidP="6BA68148">
      <w:pPr>
        <w:pStyle w:val="Odsekzoznamu"/>
        <w:numPr>
          <w:ilvl w:val="0"/>
          <w:numId w:val="1"/>
        </w:numPr>
        <w:jc w:val="both"/>
        <w:rPr>
          <w:b/>
          <w:bCs/>
          <w:lang w:val="en-US"/>
        </w:rPr>
      </w:pPr>
      <w:r w:rsidRPr="6BA68148">
        <w:rPr>
          <w:b/>
          <w:bCs/>
          <w:lang w:val="en-US"/>
        </w:rPr>
        <w:t xml:space="preserve">The </w:t>
      </w:r>
      <w:r w:rsidR="26D378A9" w:rsidRPr="6BA68148">
        <w:rPr>
          <w:b/>
          <w:bCs/>
          <w:lang w:val="en-US"/>
        </w:rPr>
        <w:t xml:space="preserve">calibration for the </w:t>
      </w:r>
      <w:r w:rsidRPr="6BA68148">
        <w:rPr>
          <w:b/>
          <w:bCs/>
          <w:lang w:val="en-US"/>
        </w:rPr>
        <w:t>technical parameters of the new extrapolation methodology which determine the starting point (</w:t>
      </w:r>
      <w:r w:rsidR="7884FECA" w:rsidRPr="6BA68148">
        <w:rPr>
          <w:b/>
          <w:bCs/>
          <w:lang w:val="en-US"/>
        </w:rPr>
        <w:t>FSP/</w:t>
      </w:r>
      <w:r w:rsidRPr="6BA68148">
        <w:rPr>
          <w:b/>
          <w:bCs/>
          <w:lang w:val="en-US"/>
        </w:rPr>
        <w:t>F</w:t>
      </w:r>
      <w:r w:rsidR="37900DC4" w:rsidRPr="6BA68148">
        <w:rPr>
          <w:b/>
          <w:bCs/>
          <w:lang w:val="en-US"/>
        </w:rPr>
        <w:t xml:space="preserve">irst </w:t>
      </w:r>
      <w:r w:rsidRPr="6BA68148">
        <w:rPr>
          <w:b/>
          <w:bCs/>
          <w:lang w:val="en-US"/>
        </w:rPr>
        <w:t>S</w:t>
      </w:r>
      <w:r w:rsidR="4F9BA4C8" w:rsidRPr="6BA68148">
        <w:rPr>
          <w:b/>
          <w:bCs/>
          <w:lang w:val="en-US"/>
        </w:rPr>
        <w:t xml:space="preserve">moothing </w:t>
      </w:r>
      <w:r w:rsidR="772FFD6A" w:rsidRPr="6BA68148">
        <w:rPr>
          <w:b/>
          <w:bCs/>
          <w:lang w:val="en-US"/>
        </w:rPr>
        <w:t>P</w:t>
      </w:r>
      <w:r w:rsidR="4F9BA4C8" w:rsidRPr="6BA68148">
        <w:rPr>
          <w:b/>
          <w:bCs/>
          <w:lang w:val="en-US"/>
        </w:rPr>
        <w:t>oint</w:t>
      </w:r>
      <w:r w:rsidRPr="6BA68148">
        <w:rPr>
          <w:b/>
          <w:bCs/>
          <w:lang w:val="en-US"/>
        </w:rPr>
        <w:t>) and the convergence to the UFR (</w:t>
      </w:r>
      <w:r w:rsidR="1597C7A3" w:rsidRPr="6BA68148">
        <w:rPr>
          <w:b/>
          <w:bCs/>
          <w:lang w:val="en-US"/>
        </w:rPr>
        <w:t>i.e.</w:t>
      </w:r>
      <w:r w:rsidR="00434800" w:rsidRPr="6BA68148">
        <w:rPr>
          <w:b/>
          <w:bCs/>
          <w:lang w:val="en-US"/>
        </w:rPr>
        <w:t xml:space="preserve"> </w:t>
      </w:r>
      <w:r w:rsidRPr="6BA68148">
        <w:rPr>
          <w:b/>
          <w:bCs/>
          <w:lang w:val="en-US"/>
        </w:rPr>
        <w:t>the convergence</w:t>
      </w:r>
      <w:r w:rsidR="00434800" w:rsidRPr="6BA68148">
        <w:rPr>
          <w:b/>
          <w:bCs/>
          <w:lang w:val="en-US"/>
        </w:rPr>
        <w:t xml:space="preserve"> parameter</w:t>
      </w:r>
      <w:r w:rsidRPr="6BA68148">
        <w:rPr>
          <w:b/>
          <w:bCs/>
          <w:lang w:val="en-US"/>
        </w:rPr>
        <w:t xml:space="preserve">) should be chosen to </w:t>
      </w:r>
      <w:proofErr w:type="spellStart"/>
      <w:r w:rsidRPr="6BA68148">
        <w:rPr>
          <w:b/>
          <w:bCs/>
          <w:lang w:val="en-US"/>
        </w:rPr>
        <w:t>minimise</w:t>
      </w:r>
      <w:proofErr w:type="spellEnd"/>
      <w:r w:rsidRPr="6BA68148">
        <w:rPr>
          <w:b/>
          <w:bCs/>
          <w:lang w:val="en-US"/>
        </w:rPr>
        <w:t xml:space="preserve"> artificial balance sheet volatility, </w:t>
      </w:r>
      <w:r w:rsidR="00D9187D" w:rsidRPr="6BA68148">
        <w:rPr>
          <w:b/>
          <w:bCs/>
          <w:lang w:val="en-US"/>
        </w:rPr>
        <w:t xml:space="preserve">to </w:t>
      </w:r>
      <w:r w:rsidRPr="6BA68148">
        <w:rPr>
          <w:b/>
          <w:bCs/>
          <w:lang w:val="en-US"/>
        </w:rPr>
        <w:t xml:space="preserve">avoid incentives for procyclical </w:t>
      </w:r>
      <w:proofErr w:type="spellStart"/>
      <w:r w:rsidRPr="6BA68148">
        <w:rPr>
          <w:b/>
          <w:bCs/>
          <w:lang w:val="en-US"/>
        </w:rPr>
        <w:t>behaviour</w:t>
      </w:r>
      <w:proofErr w:type="spellEnd"/>
      <w:r w:rsidRPr="6BA68148">
        <w:rPr>
          <w:b/>
          <w:bCs/>
          <w:lang w:val="en-US"/>
        </w:rPr>
        <w:t xml:space="preserve">, and </w:t>
      </w:r>
      <w:r w:rsidR="02AED9B9" w:rsidRPr="6BA68148">
        <w:rPr>
          <w:b/>
          <w:bCs/>
          <w:lang w:val="en-US"/>
        </w:rPr>
        <w:t xml:space="preserve">to </w:t>
      </w:r>
      <w:r w:rsidRPr="6BA68148">
        <w:rPr>
          <w:b/>
          <w:bCs/>
          <w:lang w:val="en-US"/>
        </w:rPr>
        <w:t>avoid pushing insurers towards extensive derivative usage</w:t>
      </w:r>
      <w:r w:rsidRPr="6BA68148">
        <w:rPr>
          <w:lang w:val="en-US"/>
        </w:rPr>
        <w:t>.</w:t>
      </w:r>
    </w:p>
    <w:p w14:paraId="334E9431" w14:textId="77777777" w:rsidR="00435609" w:rsidRDefault="00435609">
      <w:pPr>
        <w:rPr>
          <w:b/>
          <w:bCs/>
        </w:rPr>
      </w:pPr>
    </w:p>
    <w:p w14:paraId="04B2B8DA" w14:textId="52A8DDB7" w:rsidR="00A7435B" w:rsidRPr="00A7435B" w:rsidRDefault="00A7435B">
      <w:pPr>
        <w:rPr>
          <w:b/>
          <w:bCs/>
        </w:rPr>
      </w:pPr>
      <w:r w:rsidRPr="00A7435B">
        <w:rPr>
          <w:b/>
          <w:bCs/>
        </w:rPr>
        <w:t>Background</w:t>
      </w:r>
    </w:p>
    <w:p w14:paraId="0245BD05" w14:textId="70187DB7" w:rsidR="00A7435B" w:rsidRDefault="00804363" w:rsidP="6BA68148">
      <w:pPr>
        <w:jc w:val="both"/>
      </w:pPr>
      <w:r w:rsidRPr="6BA68148">
        <w:rPr>
          <w:lang w:val="en-US"/>
        </w:rPr>
        <w:t xml:space="preserve">The risk-free interest rate term structure is needed </w:t>
      </w:r>
      <w:r w:rsidR="00AA4772" w:rsidRPr="6BA68148">
        <w:rPr>
          <w:lang w:val="en-US"/>
        </w:rPr>
        <w:t xml:space="preserve">to </w:t>
      </w:r>
      <w:r w:rsidRPr="6BA68148">
        <w:rPr>
          <w:lang w:val="en-US"/>
        </w:rPr>
        <w:t>valu</w:t>
      </w:r>
      <w:r w:rsidR="00DC06D7" w:rsidRPr="6BA68148">
        <w:rPr>
          <w:lang w:val="en-US"/>
        </w:rPr>
        <w:t>e</w:t>
      </w:r>
      <w:r w:rsidRPr="6BA68148">
        <w:rPr>
          <w:lang w:val="en-US"/>
        </w:rPr>
        <w:t xml:space="preserve"> insurers' </w:t>
      </w:r>
      <w:r w:rsidR="00DC06D7" w:rsidRPr="6BA68148">
        <w:rPr>
          <w:lang w:val="en-US"/>
        </w:rPr>
        <w:t>liabilities</w:t>
      </w:r>
      <w:r w:rsidRPr="6BA68148">
        <w:rPr>
          <w:lang w:val="en-US"/>
        </w:rPr>
        <w:t xml:space="preserve">. </w:t>
      </w:r>
      <w:r w:rsidR="00A7435B" w:rsidRPr="6BA68148">
        <w:rPr>
          <w:lang w:val="en-US"/>
        </w:rPr>
        <w:t>For short maturities the data can be sourced directly from the financial markets. However, f</w:t>
      </w:r>
      <w:r w:rsidRPr="6BA68148">
        <w:rPr>
          <w:lang w:val="en-US"/>
        </w:rPr>
        <w:t>or longer maturities, it must be extrapolated as there is not enough reliable</w:t>
      </w:r>
      <w:r w:rsidR="00DC06D7" w:rsidRPr="6BA68148">
        <w:rPr>
          <w:lang w:val="en-US"/>
        </w:rPr>
        <w:t xml:space="preserve"> </w:t>
      </w:r>
      <w:r w:rsidRPr="6BA68148">
        <w:rPr>
          <w:lang w:val="en-US"/>
        </w:rPr>
        <w:t>data available from deep, liquid and transparent markets.</w:t>
      </w:r>
    </w:p>
    <w:p w14:paraId="26618127" w14:textId="6C344083" w:rsidR="00435609" w:rsidRDefault="00804363" w:rsidP="6BA68148">
      <w:pPr>
        <w:jc w:val="both"/>
      </w:pPr>
      <w:r w:rsidRPr="6BA68148">
        <w:rPr>
          <w:lang w:val="en-US"/>
        </w:rPr>
        <w:t xml:space="preserve">The </w:t>
      </w:r>
      <w:proofErr w:type="spellStart"/>
      <w:r w:rsidRPr="6BA68148">
        <w:rPr>
          <w:lang w:val="en-US"/>
        </w:rPr>
        <w:t>parametrisation</w:t>
      </w:r>
      <w:proofErr w:type="spellEnd"/>
      <w:r w:rsidRPr="6BA68148">
        <w:rPr>
          <w:lang w:val="en-US"/>
        </w:rPr>
        <w:t xml:space="preserve"> of the extrapolation method is crucial for insurance undertakings as it significantly impacts the level and stability of their solvency position. This was underlined by the impact assessments on the Solvency II Review, in which the new extrapolation method </w:t>
      </w:r>
      <w:r w:rsidR="00ED6508" w:rsidRPr="6BA68148">
        <w:rPr>
          <w:lang w:val="en-US"/>
        </w:rPr>
        <w:t xml:space="preserve">and EIOPA’s proposed calibration </w:t>
      </w:r>
      <w:r w:rsidR="7A5912F3" w:rsidRPr="6BA68148">
        <w:rPr>
          <w:lang w:val="en-US"/>
        </w:rPr>
        <w:t>were</w:t>
      </w:r>
      <w:r w:rsidRPr="6BA68148">
        <w:rPr>
          <w:lang w:val="en-US"/>
        </w:rPr>
        <w:t xml:space="preserve"> the main driver</w:t>
      </w:r>
      <w:r w:rsidR="597AC6FA" w:rsidRPr="6BA68148">
        <w:rPr>
          <w:lang w:val="en-US"/>
        </w:rPr>
        <w:t>s</w:t>
      </w:r>
      <w:r w:rsidRPr="6BA68148">
        <w:rPr>
          <w:lang w:val="en-US"/>
        </w:rPr>
        <w:t xml:space="preserve"> </w:t>
      </w:r>
      <w:r w:rsidR="2697B08B" w:rsidRPr="6BA68148">
        <w:rPr>
          <w:lang w:val="en-US"/>
        </w:rPr>
        <w:t>behind</w:t>
      </w:r>
      <w:r w:rsidR="353266EE" w:rsidRPr="6BA68148">
        <w:rPr>
          <w:lang w:val="en-US"/>
        </w:rPr>
        <w:t xml:space="preserve"> the</w:t>
      </w:r>
      <w:r w:rsidRPr="6BA68148">
        <w:rPr>
          <w:lang w:val="en-US"/>
        </w:rPr>
        <w:t xml:space="preserve"> increase</w:t>
      </w:r>
      <w:r w:rsidR="4ECFF8B7" w:rsidRPr="6BA68148">
        <w:rPr>
          <w:lang w:val="en-US"/>
        </w:rPr>
        <w:t>d</w:t>
      </w:r>
      <w:r w:rsidRPr="6BA68148">
        <w:rPr>
          <w:lang w:val="en-US"/>
        </w:rPr>
        <w:t xml:space="preserve"> capital requirements</w:t>
      </w:r>
      <w:r w:rsidR="00C710E3" w:rsidRPr="6BA68148">
        <w:rPr>
          <w:lang w:val="en-US"/>
        </w:rPr>
        <w:t xml:space="preserve">. </w:t>
      </w:r>
    </w:p>
    <w:p w14:paraId="2383601F" w14:textId="07FD4918" w:rsidR="00435609" w:rsidRDefault="005C019E" w:rsidP="6BA68148">
      <w:pPr>
        <w:jc w:val="both"/>
      </w:pPr>
      <w:r w:rsidRPr="6BA68148">
        <w:rPr>
          <w:lang w:val="en-US"/>
        </w:rPr>
        <w:t xml:space="preserve">Based on 2020 market conditions, the </w:t>
      </w:r>
      <w:r w:rsidR="0020342B" w:rsidRPr="6BA68148">
        <w:rPr>
          <w:lang w:val="en-US"/>
        </w:rPr>
        <w:t xml:space="preserve">negative </w:t>
      </w:r>
      <w:r w:rsidRPr="6BA68148">
        <w:rPr>
          <w:lang w:val="en-US"/>
        </w:rPr>
        <w:t>impact of EIOPA’s proposals was</w:t>
      </w:r>
      <w:r w:rsidR="006C7611" w:rsidRPr="6BA68148">
        <w:rPr>
          <w:lang w:val="en-US"/>
        </w:rPr>
        <w:t xml:space="preserve"> </w:t>
      </w:r>
      <w:r w:rsidR="0FF37397" w:rsidRPr="6BA68148">
        <w:rPr>
          <w:lang w:val="en-US"/>
        </w:rPr>
        <w:t xml:space="preserve">estimated </w:t>
      </w:r>
      <w:r w:rsidR="006C7611" w:rsidRPr="6BA68148">
        <w:rPr>
          <w:lang w:val="en-US"/>
        </w:rPr>
        <w:t>around</w:t>
      </w:r>
      <w:r w:rsidRPr="6BA68148">
        <w:rPr>
          <w:lang w:val="en-US"/>
        </w:rPr>
        <w:t xml:space="preserve"> €90bn</w:t>
      </w:r>
      <w:r w:rsidR="00435609" w:rsidRPr="6BA68148">
        <w:rPr>
          <w:lang w:val="en-US"/>
        </w:rPr>
        <w:t xml:space="preserve"> which clearly demonstrates the high potential impact of the changes</w:t>
      </w:r>
      <w:r w:rsidR="0020342B" w:rsidRPr="6BA68148">
        <w:rPr>
          <w:lang w:val="en-US"/>
        </w:rPr>
        <w:t>.</w:t>
      </w:r>
    </w:p>
    <w:p w14:paraId="40A27101" w14:textId="07E8AFBC" w:rsidR="00221EA2" w:rsidRPr="00AA2646" w:rsidRDefault="00AA2646">
      <w:pPr>
        <w:rPr>
          <w:b/>
          <w:bCs/>
        </w:rPr>
      </w:pPr>
      <w:r w:rsidRPr="00AA2646">
        <w:rPr>
          <w:b/>
          <w:bCs/>
        </w:rPr>
        <w:t>Industry concerns with Commission proposal</w:t>
      </w:r>
    </w:p>
    <w:p w14:paraId="77969A9A" w14:textId="7566642C" w:rsidR="0064133F" w:rsidRDefault="008A4CD8" w:rsidP="6BA68148">
      <w:pPr>
        <w:jc w:val="both"/>
      </w:pPr>
      <w:r w:rsidRPr="6BA68148">
        <w:rPr>
          <w:lang w:val="en-US"/>
        </w:rPr>
        <w:t xml:space="preserve">While the </w:t>
      </w:r>
      <w:r w:rsidR="0052282C" w:rsidRPr="6BA68148">
        <w:rPr>
          <w:lang w:val="en-US"/>
        </w:rPr>
        <w:t>current extrapolation methodology has proven to work well over the past 8 years</w:t>
      </w:r>
      <w:r w:rsidR="00C10C2C" w:rsidRPr="6BA68148">
        <w:rPr>
          <w:lang w:val="en-US"/>
        </w:rPr>
        <w:t>, even during</w:t>
      </w:r>
      <w:r w:rsidR="0002139C" w:rsidRPr="6BA68148">
        <w:rPr>
          <w:lang w:val="en-US"/>
        </w:rPr>
        <w:t xml:space="preserve"> the</w:t>
      </w:r>
      <w:r w:rsidR="00C10C2C" w:rsidRPr="6BA68148">
        <w:rPr>
          <w:lang w:val="en-US"/>
        </w:rPr>
        <w:t xml:space="preserve"> </w:t>
      </w:r>
      <w:r w:rsidR="0002139C" w:rsidRPr="6BA68148">
        <w:rPr>
          <w:lang w:val="en-US"/>
        </w:rPr>
        <w:t xml:space="preserve">extended </w:t>
      </w:r>
      <w:r w:rsidR="00C10C2C" w:rsidRPr="6BA68148">
        <w:rPr>
          <w:lang w:val="en-US"/>
        </w:rPr>
        <w:t>period</w:t>
      </w:r>
      <w:r w:rsidR="0002139C" w:rsidRPr="6BA68148">
        <w:rPr>
          <w:lang w:val="en-US"/>
        </w:rPr>
        <w:t xml:space="preserve"> </w:t>
      </w:r>
      <w:r w:rsidR="00C10C2C" w:rsidRPr="6BA68148">
        <w:rPr>
          <w:lang w:val="en-US"/>
        </w:rPr>
        <w:t xml:space="preserve">of extremely low and negative interest rates, </w:t>
      </w:r>
      <w:r w:rsidR="009A38DF" w:rsidRPr="6BA68148">
        <w:rPr>
          <w:lang w:val="en-US"/>
        </w:rPr>
        <w:t xml:space="preserve">EIOPA and the Commission proposed to alter the methodology to </w:t>
      </w:r>
      <w:r w:rsidR="0064133F" w:rsidRPr="6BA68148">
        <w:rPr>
          <w:lang w:val="en-US"/>
        </w:rPr>
        <w:t>facilitate the inclusion of additional market data points, notably for the Euro.</w:t>
      </w:r>
    </w:p>
    <w:p w14:paraId="68DD6278" w14:textId="33491049" w:rsidR="00A7435B" w:rsidRDefault="0064133F" w:rsidP="6BA68148">
      <w:pPr>
        <w:jc w:val="both"/>
        <w:rPr>
          <w:lang w:val="en-US"/>
        </w:rPr>
      </w:pPr>
      <w:r w:rsidRPr="6BA68148">
        <w:rPr>
          <w:lang w:val="en-US"/>
        </w:rPr>
        <w:t xml:space="preserve">The industry </w:t>
      </w:r>
      <w:proofErr w:type="spellStart"/>
      <w:r w:rsidRPr="6BA68148">
        <w:rPr>
          <w:lang w:val="en-US"/>
        </w:rPr>
        <w:t>recognises</w:t>
      </w:r>
      <w:proofErr w:type="spellEnd"/>
      <w:r w:rsidRPr="6BA68148">
        <w:rPr>
          <w:lang w:val="en-US"/>
        </w:rPr>
        <w:t xml:space="preserve"> the </w:t>
      </w:r>
      <w:r w:rsidR="004C3BA3" w:rsidRPr="6BA68148">
        <w:rPr>
          <w:lang w:val="en-US"/>
        </w:rPr>
        <w:t>supervisor</w:t>
      </w:r>
      <w:r w:rsidRPr="6BA68148">
        <w:rPr>
          <w:lang w:val="en-US"/>
        </w:rPr>
        <w:t>y desire to include more data</w:t>
      </w:r>
      <w:r w:rsidR="00434D52" w:rsidRPr="6BA68148">
        <w:rPr>
          <w:lang w:val="en-US"/>
        </w:rPr>
        <w:t xml:space="preserve"> but is very concerned that the new methodology will unnecessarily increase capital requirements and </w:t>
      </w:r>
      <w:r w:rsidR="00F82F33" w:rsidRPr="6BA68148">
        <w:rPr>
          <w:lang w:val="en-US"/>
        </w:rPr>
        <w:t>volatility</w:t>
      </w:r>
      <w:r w:rsidR="0022455C" w:rsidRPr="6BA68148">
        <w:rPr>
          <w:lang w:val="en-US"/>
        </w:rPr>
        <w:t>. Th</w:t>
      </w:r>
      <w:r w:rsidR="73D743E4" w:rsidRPr="6BA68148">
        <w:rPr>
          <w:lang w:val="en-US"/>
        </w:rPr>
        <w:t>ese changes are expected to</w:t>
      </w:r>
      <w:r w:rsidR="00F80C7E" w:rsidRPr="6BA68148">
        <w:rPr>
          <w:lang w:val="en-US"/>
        </w:rPr>
        <w:t xml:space="preserve"> </w:t>
      </w:r>
      <w:r w:rsidR="0022455C" w:rsidRPr="6BA68148">
        <w:rPr>
          <w:lang w:val="en-US"/>
        </w:rPr>
        <w:t xml:space="preserve">have detrimental consequential </w:t>
      </w:r>
      <w:r w:rsidR="00296258" w:rsidRPr="6BA68148">
        <w:rPr>
          <w:lang w:val="en-US"/>
        </w:rPr>
        <w:t>impacts on</w:t>
      </w:r>
      <w:r w:rsidR="00F80C7E" w:rsidRPr="6BA68148">
        <w:rPr>
          <w:lang w:val="en-US"/>
        </w:rPr>
        <w:t xml:space="preserve"> the </w:t>
      </w:r>
      <w:r w:rsidR="20490120" w:rsidRPr="6BA68148">
        <w:rPr>
          <w:lang w:val="en-US"/>
        </w:rPr>
        <w:t xml:space="preserve">industry’s </w:t>
      </w:r>
      <w:r w:rsidR="105918BD" w:rsidRPr="6BA68148">
        <w:rPr>
          <w:lang w:val="en-US"/>
        </w:rPr>
        <w:t>ability to</w:t>
      </w:r>
      <w:r w:rsidR="00F80C7E" w:rsidRPr="6BA68148">
        <w:rPr>
          <w:lang w:val="en-US"/>
        </w:rPr>
        <w:t xml:space="preserve"> act in a countercyclical manner and </w:t>
      </w:r>
      <w:r w:rsidR="21D44F7B" w:rsidRPr="6BA68148">
        <w:rPr>
          <w:lang w:val="en-US"/>
        </w:rPr>
        <w:t xml:space="preserve">are </w:t>
      </w:r>
      <w:r w:rsidR="00F80C7E" w:rsidRPr="6BA68148">
        <w:rPr>
          <w:lang w:val="en-US"/>
        </w:rPr>
        <w:t xml:space="preserve">likely </w:t>
      </w:r>
      <w:r w:rsidR="3E24E39A" w:rsidRPr="6BA68148">
        <w:rPr>
          <w:lang w:val="en-US"/>
        </w:rPr>
        <w:t xml:space="preserve">to </w:t>
      </w:r>
      <w:r w:rsidR="00F80C7E" w:rsidRPr="6BA68148">
        <w:rPr>
          <w:lang w:val="en-US"/>
        </w:rPr>
        <w:t xml:space="preserve">also </w:t>
      </w:r>
      <w:r w:rsidR="46181DBB" w:rsidRPr="6BA68148">
        <w:rPr>
          <w:lang w:val="en-US"/>
        </w:rPr>
        <w:t>affect</w:t>
      </w:r>
      <w:r w:rsidR="00F80C7E" w:rsidRPr="6BA68148">
        <w:rPr>
          <w:lang w:val="en-US"/>
        </w:rPr>
        <w:t xml:space="preserve"> overall </w:t>
      </w:r>
      <w:r w:rsidR="00296258" w:rsidRPr="6BA68148">
        <w:rPr>
          <w:lang w:val="en-US"/>
        </w:rPr>
        <w:t xml:space="preserve">product availability and </w:t>
      </w:r>
      <w:r w:rsidR="008D1A93" w:rsidRPr="6BA68148">
        <w:rPr>
          <w:lang w:val="en-US"/>
        </w:rPr>
        <w:t xml:space="preserve">affordability. </w:t>
      </w:r>
    </w:p>
    <w:p w14:paraId="77282E1B" w14:textId="53C4D5F5" w:rsidR="008339A1" w:rsidRPr="000A6C2E" w:rsidRDefault="000A6C2E">
      <w:pPr>
        <w:rPr>
          <w:b/>
          <w:bCs/>
        </w:rPr>
      </w:pPr>
      <w:r w:rsidRPr="000A6C2E">
        <w:rPr>
          <w:b/>
          <w:bCs/>
        </w:rPr>
        <w:t>Proposed reforms</w:t>
      </w:r>
    </w:p>
    <w:p w14:paraId="4621DF75" w14:textId="23696560" w:rsidR="00D24C89" w:rsidRDefault="008339A1" w:rsidP="6BA68148">
      <w:pPr>
        <w:jc w:val="both"/>
      </w:pPr>
      <w:r>
        <w:t xml:space="preserve">In their </w:t>
      </w:r>
      <w:r w:rsidR="009D69DE">
        <w:t>agreement</w:t>
      </w:r>
      <w:r>
        <w:t xml:space="preserve"> o</w:t>
      </w:r>
      <w:r w:rsidR="009272AB">
        <w:t xml:space="preserve">n the Solvency II Directive, the co-legislators </w:t>
      </w:r>
      <w:r w:rsidR="005E5EB9">
        <w:t xml:space="preserve">supported the framework proposed by the Commission </w:t>
      </w:r>
      <w:r w:rsidR="07FA01D7">
        <w:t>and</w:t>
      </w:r>
      <w:r w:rsidR="005E5EB9">
        <w:t xml:space="preserve"> delegated </w:t>
      </w:r>
      <w:r w:rsidR="5BABBA5C">
        <w:t>the</w:t>
      </w:r>
      <w:r w:rsidR="005E5EB9">
        <w:t xml:space="preserve"> final </w:t>
      </w:r>
      <w:r w:rsidR="0DBD5CF3">
        <w:t xml:space="preserve">key </w:t>
      </w:r>
      <w:r w:rsidR="005E5EB9">
        <w:t>calibration</w:t>
      </w:r>
      <w:r w:rsidR="1DA9F3FF">
        <w:t>s</w:t>
      </w:r>
      <w:r w:rsidR="005E5EB9">
        <w:t xml:space="preserve"> to the Level 2 </w:t>
      </w:r>
      <w:r w:rsidR="00D24C89">
        <w:t>discussion</w:t>
      </w:r>
      <w:r w:rsidR="005E5EB9">
        <w:t>.</w:t>
      </w:r>
      <w:r w:rsidR="00D24C89">
        <w:t xml:space="preserve"> </w:t>
      </w:r>
    </w:p>
    <w:p w14:paraId="2CEB767A" w14:textId="2A2AC5C1" w:rsidR="009D69DE" w:rsidRDefault="00D24C89" w:rsidP="6BA68148">
      <w:pPr>
        <w:jc w:val="both"/>
      </w:pPr>
      <w:r w:rsidRPr="6BA68148">
        <w:rPr>
          <w:lang w:val="en-US"/>
        </w:rPr>
        <w:t xml:space="preserve">In </w:t>
      </w:r>
      <w:r w:rsidR="40A9D0EC" w:rsidRPr="6BA68148">
        <w:rPr>
          <w:lang w:val="en-US"/>
        </w:rPr>
        <w:t>Level</w:t>
      </w:r>
      <w:r w:rsidRPr="6BA68148">
        <w:rPr>
          <w:lang w:val="en-US"/>
        </w:rPr>
        <w:t xml:space="preserve"> 2, there are a number of key parameters which will </w:t>
      </w:r>
      <w:r w:rsidR="00635419" w:rsidRPr="6BA68148">
        <w:rPr>
          <w:lang w:val="en-US"/>
        </w:rPr>
        <w:t>determine the impact of the new extrapolation methodology.</w:t>
      </w:r>
    </w:p>
    <w:p w14:paraId="6E16B0A1" w14:textId="67E47027" w:rsidR="00635419" w:rsidRDefault="00635419" w:rsidP="00635419">
      <w:pPr>
        <w:pStyle w:val="Odsekzoznamu"/>
        <w:numPr>
          <w:ilvl w:val="0"/>
          <w:numId w:val="2"/>
        </w:numPr>
      </w:pPr>
      <w:r>
        <w:t>The convergence parameter</w:t>
      </w:r>
    </w:p>
    <w:p w14:paraId="3DF08404" w14:textId="4442CB50" w:rsidR="00635419" w:rsidRDefault="00635419" w:rsidP="00635419">
      <w:pPr>
        <w:pStyle w:val="Odsekzoznamu"/>
        <w:numPr>
          <w:ilvl w:val="0"/>
          <w:numId w:val="2"/>
        </w:numPr>
      </w:pPr>
      <w:r>
        <w:t>The First Smoothing Point.</w:t>
      </w:r>
    </w:p>
    <w:p w14:paraId="7AD15C60" w14:textId="77777777" w:rsidR="004F579B" w:rsidRDefault="004F579B" w:rsidP="004F579B"/>
    <w:p w14:paraId="3B78B2AC" w14:textId="6CB6E3A5" w:rsidR="00D514C7" w:rsidRDefault="3BA65151" w:rsidP="6BA68148">
      <w:pPr>
        <w:jc w:val="both"/>
        <w:rPr>
          <w:b/>
          <w:bCs/>
          <w:lang w:val="en-US"/>
        </w:rPr>
      </w:pPr>
      <w:r w:rsidRPr="6BA68148">
        <w:rPr>
          <w:b/>
          <w:bCs/>
          <w:lang w:val="en-US"/>
        </w:rPr>
        <w:t>Both parameters</w:t>
      </w:r>
      <w:r w:rsidR="00D514C7" w:rsidRPr="6BA68148">
        <w:rPr>
          <w:b/>
          <w:bCs/>
          <w:lang w:val="en-US"/>
        </w:rPr>
        <w:t xml:space="preserve"> must be chosen to </w:t>
      </w:r>
      <w:proofErr w:type="spellStart"/>
      <w:r w:rsidR="00D514C7" w:rsidRPr="6BA68148">
        <w:rPr>
          <w:b/>
          <w:bCs/>
          <w:lang w:val="en-US"/>
        </w:rPr>
        <w:t>minimise</w:t>
      </w:r>
      <w:proofErr w:type="spellEnd"/>
      <w:r w:rsidR="00D514C7" w:rsidRPr="6BA68148">
        <w:rPr>
          <w:b/>
          <w:bCs/>
          <w:lang w:val="en-US"/>
        </w:rPr>
        <w:t xml:space="preserve"> artificial balance sheet volatility, avoid incentives for procyclical </w:t>
      </w:r>
      <w:proofErr w:type="spellStart"/>
      <w:r w:rsidR="00D514C7" w:rsidRPr="6BA68148">
        <w:rPr>
          <w:b/>
          <w:bCs/>
          <w:lang w:val="en-US"/>
        </w:rPr>
        <w:t>behaviour</w:t>
      </w:r>
      <w:proofErr w:type="spellEnd"/>
      <w:r w:rsidR="00D514C7" w:rsidRPr="6BA68148">
        <w:rPr>
          <w:b/>
          <w:bCs/>
          <w:lang w:val="en-US"/>
        </w:rPr>
        <w:t>, and avoid pushing insurers towards extensive derivative usage.</w:t>
      </w:r>
    </w:p>
    <w:p w14:paraId="0C7A322E" w14:textId="77777777" w:rsidR="00D514C7" w:rsidRPr="00D514C7" w:rsidRDefault="00D514C7" w:rsidP="004F579B">
      <w:pPr>
        <w:rPr>
          <w:b/>
          <w:bCs/>
        </w:rPr>
      </w:pPr>
    </w:p>
    <w:p w14:paraId="0140EFA9" w14:textId="3BEBDF9D" w:rsidR="004F579B" w:rsidRPr="004F579B" w:rsidRDefault="002C511A" w:rsidP="004F579B">
      <w:pPr>
        <w:rPr>
          <w:b/>
          <w:bCs/>
        </w:rPr>
      </w:pPr>
      <w:r>
        <w:rPr>
          <w:b/>
          <w:bCs/>
        </w:rPr>
        <w:t>Calibrating th</w:t>
      </w:r>
      <w:r w:rsidR="00EA4B0A">
        <w:rPr>
          <w:b/>
          <w:bCs/>
        </w:rPr>
        <w:t>e c</w:t>
      </w:r>
      <w:r w:rsidR="004F579B" w:rsidRPr="004F579B">
        <w:rPr>
          <w:b/>
          <w:bCs/>
        </w:rPr>
        <w:t>onvergence parameter</w:t>
      </w:r>
    </w:p>
    <w:p w14:paraId="30A7156B" w14:textId="71BBD789" w:rsidR="005C085B" w:rsidRDefault="00197448" w:rsidP="6BA68148">
      <w:pPr>
        <w:jc w:val="both"/>
      </w:pPr>
      <w:r w:rsidRPr="6BA68148">
        <w:rPr>
          <w:lang w:val="en-US"/>
        </w:rPr>
        <w:t>The new extr</w:t>
      </w:r>
      <w:r w:rsidR="00011A77" w:rsidRPr="6BA68148">
        <w:rPr>
          <w:lang w:val="en-US"/>
        </w:rPr>
        <w:t xml:space="preserve">apolation methodology </w:t>
      </w:r>
      <w:r w:rsidR="00101A50" w:rsidRPr="6BA68148">
        <w:rPr>
          <w:lang w:val="en-US"/>
        </w:rPr>
        <w:t>calculates the regulatory risk-free rates by combining market data (known as the Last Liquid</w:t>
      </w:r>
      <w:r w:rsidR="00D711B6" w:rsidRPr="6BA68148">
        <w:rPr>
          <w:lang w:val="en-US"/>
        </w:rPr>
        <w:t xml:space="preserve"> Forward Rate or LLFR) with the more stable </w:t>
      </w:r>
      <w:r w:rsidR="1CDB7AB1" w:rsidRPr="6BA68148">
        <w:rPr>
          <w:lang w:val="en-US"/>
        </w:rPr>
        <w:t>Ultimate</w:t>
      </w:r>
      <w:r w:rsidR="00D711B6" w:rsidRPr="6BA68148">
        <w:rPr>
          <w:lang w:val="en-US"/>
        </w:rPr>
        <w:t xml:space="preserve"> Forward Rate (UFR). </w:t>
      </w:r>
    </w:p>
    <w:p w14:paraId="774D476B" w14:textId="65E23842" w:rsidR="002B759D" w:rsidRDefault="00D711B6" w:rsidP="6BA68148">
      <w:pPr>
        <w:jc w:val="both"/>
      </w:pPr>
      <w:r w:rsidRPr="6BA68148">
        <w:rPr>
          <w:lang w:val="en-US"/>
        </w:rPr>
        <w:t xml:space="preserve">The methodology combines these rates using a new parameter called the </w:t>
      </w:r>
      <w:r w:rsidR="000929F1" w:rsidRPr="6BA68148">
        <w:rPr>
          <w:lang w:val="en-US"/>
        </w:rPr>
        <w:t>convergence parameter</w:t>
      </w:r>
      <w:r w:rsidR="002B759D" w:rsidRPr="6BA68148">
        <w:rPr>
          <w:lang w:val="en-US"/>
        </w:rPr>
        <w:t xml:space="preserve"> which dictates the weight of the LLFR and UFR in the extrapolation. </w:t>
      </w:r>
      <w:r w:rsidR="005C085B" w:rsidRPr="6BA68148">
        <w:rPr>
          <w:lang w:val="en-US"/>
        </w:rPr>
        <w:t>A higher convergence parameter give</w:t>
      </w:r>
      <w:r w:rsidR="5E0AA8C6" w:rsidRPr="6BA68148">
        <w:rPr>
          <w:lang w:val="en-US"/>
        </w:rPr>
        <w:t>s</w:t>
      </w:r>
      <w:r w:rsidR="005C085B" w:rsidRPr="6BA68148">
        <w:rPr>
          <w:lang w:val="en-US"/>
        </w:rPr>
        <w:t xml:space="preserve"> the UFR a higher weighting than the LLFR, providing </w:t>
      </w:r>
      <w:r w:rsidR="003F19A9" w:rsidRPr="6BA68148">
        <w:rPr>
          <w:lang w:val="en-US"/>
        </w:rPr>
        <w:t xml:space="preserve">more stability to the illiquid part of the risk-free rate curves </w:t>
      </w:r>
      <w:r w:rsidR="005C085B" w:rsidRPr="6BA68148">
        <w:rPr>
          <w:lang w:val="en-US"/>
        </w:rPr>
        <w:t>and vice versa.</w:t>
      </w:r>
    </w:p>
    <w:p w14:paraId="73324EB3" w14:textId="7FC37C9D" w:rsidR="000929F1" w:rsidRPr="003F19A9" w:rsidRDefault="002B759D" w:rsidP="005C085B">
      <w:pPr>
        <w:rPr>
          <w:b/>
          <w:bCs/>
        </w:rPr>
      </w:pPr>
      <w:r w:rsidRPr="003F19A9">
        <w:rPr>
          <w:b/>
          <w:bCs/>
        </w:rPr>
        <w:t xml:space="preserve">As such, the calibration of the convergence parameter is extremely important </w:t>
      </w:r>
      <w:r w:rsidR="00726E3E" w:rsidRPr="003F19A9">
        <w:rPr>
          <w:b/>
          <w:bCs/>
        </w:rPr>
        <w:t xml:space="preserve">as it is the main driver of </w:t>
      </w:r>
      <w:r w:rsidR="005C085B" w:rsidRPr="003F19A9">
        <w:rPr>
          <w:b/>
          <w:bCs/>
        </w:rPr>
        <w:t xml:space="preserve">any </w:t>
      </w:r>
      <w:r w:rsidR="00726E3E" w:rsidRPr="003F19A9">
        <w:rPr>
          <w:b/>
          <w:bCs/>
        </w:rPr>
        <w:t>volatility</w:t>
      </w:r>
      <w:r w:rsidR="005C085B" w:rsidRPr="003F19A9">
        <w:rPr>
          <w:b/>
          <w:bCs/>
        </w:rPr>
        <w:t xml:space="preserve">. </w:t>
      </w:r>
    </w:p>
    <w:p w14:paraId="6478BE0E" w14:textId="23A0F7AA" w:rsidR="000929F1" w:rsidRDefault="00B358F9" w:rsidP="6BA68148">
      <w:pPr>
        <w:jc w:val="both"/>
      </w:pPr>
      <w:r w:rsidRPr="6BA68148">
        <w:rPr>
          <w:lang w:val="en-US"/>
        </w:rPr>
        <w:t xml:space="preserve">In their agreement, the co-legislators have </w:t>
      </w:r>
      <w:r w:rsidR="000929F1" w:rsidRPr="6BA68148">
        <w:rPr>
          <w:lang w:val="en-US"/>
        </w:rPr>
        <w:t>set</w:t>
      </w:r>
      <w:r w:rsidRPr="6BA68148">
        <w:rPr>
          <w:lang w:val="en-US"/>
        </w:rPr>
        <w:t xml:space="preserve"> </w:t>
      </w:r>
      <w:r w:rsidR="000929F1" w:rsidRPr="6BA68148">
        <w:rPr>
          <w:lang w:val="en-US"/>
        </w:rPr>
        <w:t>a minimum value for the convergence parameter</w:t>
      </w:r>
      <w:r w:rsidR="007D0108" w:rsidRPr="6BA68148">
        <w:rPr>
          <w:lang w:val="en-US"/>
        </w:rPr>
        <w:t xml:space="preserve"> of 10.975% via the technical </w:t>
      </w:r>
      <w:r w:rsidR="150DE90A" w:rsidRPr="6BA68148">
        <w:rPr>
          <w:lang w:val="en-US"/>
        </w:rPr>
        <w:t>formulation</w:t>
      </w:r>
      <w:r w:rsidR="000929F1" w:rsidRPr="6BA68148">
        <w:rPr>
          <w:rFonts w:ascii="Arial" w:hAnsi="Arial" w:cs="Arial"/>
          <w:lang w:val="en-US"/>
        </w:rPr>
        <w:t> </w:t>
      </w:r>
      <w:r w:rsidR="000929F1" w:rsidRPr="6BA68148">
        <w:rPr>
          <w:lang w:val="en-US"/>
        </w:rPr>
        <w:t>"</w:t>
      </w:r>
      <w:r w:rsidR="000929F1" w:rsidRPr="6BA68148">
        <w:rPr>
          <w:i/>
          <w:iCs/>
          <w:lang w:val="en-US"/>
        </w:rPr>
        <w:t>For maturities of at least 40 years past the first smoothing point, the weight of the UFR shall be at least 77</w:t>
      </w:r>
      <w:r w:rsidR="0E31BF93" w:rsidRPr="6BA68148">
        <w:rPr>
          <w:i/>
          <w:iCs/>
          <w:lang w:val="en-US"/>
        </w:rPr>
        <w:t>.</w:t>
      </w:r>
      <w:r w:rsidR="000929F1" w:rsidRPr="6BA68148">
        <w:rPr>
          <w:i/>
          <w:iCs/>
          <w:lang w:val="en-US"/>
        </w:rPr>
        <w:t>5%"</w:t>
      </w:r>
      <w:r w:rsidR="000929F1" w:rsidRPr="6BA68148">
        <w:rPr>
          <w:lang w:val="en-US"/>
        </w:rPr>
        <w:t xml:space="preserve">. </w:t>
      </w:r>
    </w:p>
    <w:p w14:paraId="7F163CF4" w14:textId="31413E8E" w:rsidR="007D0108" w:rsidRDefault="00B358F9" w:rsidP="6BA68148">
      <w:pPr>
        <w:jc w:val="both"/>
        <w:rPr>
          <w:lang w:val="en-US"/>
        </w:rPr>
      </w:pPr>
      <w:r w:rsidRPr="6BA68148">
        <w:rPr>
          <w:lang w:val="en-US"/>
        </w:rPr>
        <w:t xml:space="preserve">However, </w:t>
      </w:r>
      <w:r w:rsidR="007D0108" w:rsidRPr="6BA68148">
        <w:rPr>
          <w:lang w:val="en-US"/>
        </w:rPr>
        <w:t>a 10.975%</w:t>
      </w:r>
      <w:r w:rsidR="00727AE6" w:rsidRPr="6BA68148">
        <w:rPr>
          <w:lang w:val="en-US"/>
        </w:rPr>
        <w:t xml:space="preserve"> calibration would have </w:t>
      </w:r>
      <w:r w:rsidR="5D567DE2" w:rsidRPr="6BA68148">
        <w:rPr>
          <w:lang w:val="en-US"/>
        </w:rPr>
        <w:t>several</w:t>
      </w:r>
      <w:r w:rsidR="59A6FD5C" w:rsidRPr="6BA68148">
        <w:rPr>
          <w:lang w:val="en-US"/>
        </w:rPr>
        <w:t xml:space="preserve"> </w:t>
      </w:r>
      <w:r w:rsidR="00727AE6" w:rsidRPr="6BA68148">
        <w:rPr>
          <w:lang w:val="en-US"/>
        </w:rPr>
        <w:t>undesirable impacts</w:t>
      </w:r>
      <w:r w:rsidR="0084196E" w:rsidRPr="6BA68148">
        <w:rPr>
          <w:lang w:val="en-US"/>
        </w:rPr>
        <w:t xml:space="preserve"> </w:t>
      </w:r>
      <w:r w:rsidR="06B5CB9C" w:rsidRPr="6BA68148">
        <w:rPr>
          <w:lang w:val="en-US"/>
        </w:rPr>
        <w:t>including:</w:t>
      </w:r>
    </w:p>
    <w:p w14:paraId="39D9CBC5" w14:textId="3E10882B" w:rsidR="007D0108" w:rsidRDefault="3318BDA0" w:rsidP="007D0108">
      <w:pPr>
        <w:pStyle w:val="Odsekzoznamu"/>
        <w:numPr>
          <w:ilvl w:val="0"/>
          <w:numId w:val="3"/>
        </w:numPr>
      </w:pPr>
      <w:r>
        <w:t>A</w:t>
      </w:r>
      <w:r w:rsidR="007D0108">
        <w:t xml:space="preserve">dding more unnecessary </w:t>
      </w:r>
      <w:r w:rsidR="00727AE6">
        <w:t>volatility to the SII framework</w:t>
      </w:r>
      <w:r w:rsidR="136076CC">
        <w:t>.</w:t>
      </w:r>
    </w:p>
    <w:p w14:paraId="2A2B4801" w14:textId="45232FF3" w:rsidR="007D0108" w:rsidRDefault="2151E9A7" w:rsidP="007D0108">
      <w:pPr>
        <w:pStyle w:val="Odsekzoznamu"/>
        <w:numPr>
          <w:ilvl w:val="0"/>
          <w:numId w:val="3"/>
        </w:numPr>
      </w:pPr>
      <w:r w:rsidRPr="6BA68148">
        <w:rPr>
          <w:lang w:val="en-US"/>
        </w:rPr>
        <w:t>P</w:t>
      </w:r>
      <w:r w:rsidR="00727AE6" w:rsidRPr="6BA68148">
        <w:rPr>
          <w:lang w:val="en-US"/>
        </w:rPr>
        <w:t>ush</w:t>
      </w:r>
      <w:r w:rsidR="007D0108" w:rsidRPr="6BA68148">
        <w:rPr>
          <w:lang w:val="en-US"/>
        </w:rPr>
        <w:t>ing</w:t>
      </w:r>
      <w:r w:rsidR="00727AE6" w:rsidRPr="6BA68148">
        <w:rPr>
          <w:lang w:val="en-US"/>
        </w:rPr>
        <w:t xml:space="preserve"> insurers towards otherwise unnecessary procyclical </w:t>
      </w:r>
      <w:proofErr w:type="spellStart"/>
      <w:r w:rsidR="00727AE6" w:rsidRPr="6BA68148">
        <w:rPr>
          <w:lang w:val="en-US"/>
        </w:rPr>
        <w:t>behaviour</w:t>
      </w:r>
      <w:proofErr w:type="spellEnd"/>
      <w:r w:rsidR="4420BF8B" w:rsidRPr="6BA68148">
        <w:rPr>
          <w:lang w:val="en-US"/>
        </w:rPr>
        <w:t>.</w:t>
      </w:r>
      <w:r w:rsidR="00727AE6" w:rsidRPr="6BA68148">
        <w:rPr>
          <w:lang w:val="en-US"/>
        </w:rPr>
        <w:t xml:space="preserve"> </w:t>
      </w:r>
    </w:p>
    <w:p w14:paraId="0F377223" w14:textId="42B4F7E5" w:rsidR="009520DF" w:rsidRDefault="42E7C543" w:rsidP="007D0108">
      <w:pPr>
        <w:pStyle w:val="Odsekzoznamu"/>
        <w:numPr>
          <w:ilvl w:val="0"/>
          <w:numId w:val="3"/>
        </w:numPr>
      </w:pPr>
      <w:r>
        <w:t>M</w:t>
      </w:r>
      <w:r w:rsidR="00727AE6">
        <w:t>ak</w:t>
      </w:r>
      <w:r w:rsidR="009520DF">
        <w:t>ing</w:t>
      </w:r>
      <w:r w:rsidR="00727AE6">
        <w:t xml:space="preserve"> it harder for insurers to offer long-term guarantees</w:t>
      </w:r>
      <w:r w:rsidR="771E0458">
        <w:t>.</w:t>
      </w:r>
      <w:r w:rsidR="00727AE6">
        <w:t xml:space="preserve"> </w:t>
      </w:r>
    </w:p>
    <w:p w14:paraId="15E72628" w14:textId="1F017639" w:rsidR="009520DF" w:rsidRDefault="4C2B3C9C" w:rsidP="007D0108">
      <w:pPr>
        <w:pStyle w:val="Odsekzoznamu"/>
        <w:numPr>
          <w:ilvl w:val="0"/>
          <w:numId w:val="3"/>
        </w:numPr>
      </w:pPr>
      <w:r>
        <w:t>P</w:t>
      </w:r>
      <w:r w:rsidR="00727AE6">
        <w:t>ush</w:t>
      </w:r>
      <w:r w:rsidR="009520DF">
        <w:t>ing</w:t>
      </w:r>
      <w:r w:rsidR="00727AE6">
        <w:t xml:space="preserve"> insurers towards extensive derivative usage </w:t>
      </w:r>
    </w:p>
    <w:p w14:paraId="368C17AD" w14:textId="5E468390" w:rsidR="009D69DE" w:rsidRDefault="6DD65E2E" w:rsidP="007D0108">
      <w:pPr>
        <w:pStyle w:val="Odsekzoznamu"/>
        <w:numPr>
          <w:ilvl w:val="0"/>
          <w:numId w:val="3"/>
        </w:numPr>
      </w:pPr>
      <w:r w:rsidRPr="6BA68148">
        <w:rPr>
          <w:lang w:val="en-US"/>
        </w:rPr>
        <w:t>O</w:t>
      </w:r>
      <w:r w:rsidR="00727AE6" w:rsidRPr="6BA68148">
        <w:rPr>
          <w:lang w:val="en-US"/>
        </w:rPr>
        <w:t>verestimat</w:t>
      </w:r>
      <w:r w:rsidR="009520DF" w:rsidRPr="6BA68148">
        <w:rPr>
          <w:lang w:val="en-US"/>
        </w:rPr>
        <w:t>ing</w:t>
      </w:r>
      <w:r w:rsidR="00727AE6" w:rsidRPr="6BA68148">
        <w:rPr>
          <w:lang w:val="en-US"/>
        </w:rPr>
        <w:t xml:space="preserve"> </w:t>
      </w:r>
      <w:r w:rsidR="009520DF" w:rsidRPr="6BA68148">
        <w:rPr>
          <w:lang w:val="en-US"/>
        </w:rPr>
        <w:t xml:space="preserve">the value of </w:t>
      </w:r>
      <w:r w:rsidR="00727AE6" w:rsidRPr="6BA68148">
        <w:rPr>
          <w:lang w:val="en-US"/>
        </w:rPr>
        <w:t xml:space="preserve">very long-term liabilities when rates are low </w:t>
      </w:r>
      <w:r w:rsidR="3BE157E4" w:rsidRPr="6BA68148">
        <w:rPr>
          <w:lang w:val="en-US"/>
        </w:rPr>
        <w:t>and underestimating</w:t>
      </w:r>
      <w:r w:rsidR="00727AE6" w:rsidRPr="6BA68148">
        <w:rPr>
          <w:lang w:val="en-US"/>
        </w:rPr>
        <w:t xml:space="preserve"> them when rates are high</w:t>
      </w:r>
      <w:r w:rsidR="009520DF" w:rsidRPr="6BA68148">
        <w:rPr>
          <w:lang w:val="en-US"/>
        </w:rPr>
        <w:t>.</w:t>
      </w:r>
    </w:p>
    <w:p w14:paraId="541C127C" w14:textId="6D155BA9" w:rsidR="00FB458E" w:rsidRDefault="00FB458E" w:rsidP="6BA68148">
      <w:pPr>
        <w:jc w:val="both"/>
        <w:rPr>
          <w:b/>
          <w:bCs/>
        </w:rPr>
      </w:pPr>
      <w:r w:rsidRPr="6BA68148">
        <w:rPr>
          <w:b/>
          <w:bCs/>
        </w:rPr>
        <w:t xml:space="preserve">To avoid these negative impacts, Insurance Europe supports a </w:t>
      </w:r>
      <w:r w:rsidR="003A0C48" w:rsidRPr="6BA68148">
        <w:rPr>
          <w:b/>
          <w:bCs/>
        </w:rPr>
        <w:t>calibration of the convergence parameter of 15% (and 70% for the Swedish Krona).</w:t>
      </w:r>
      <w:r w:rsidR="001016C0" w:rsidRPr="6BA68148">
        <w:rPr>
          <w:b/>
          <w:bCs/>
        </w:rPr>
        <w:t xml:space="preserve"> </w:t>
      </w:r>
    </w:p>
    <w:p w14:paraId="760AC820" w14:textId="0D4782E8" w:rsidR="001016C0" w:rsidRPr="001016C0" w:rsidRDefault="001016C0" w:rsidP="6BA68148">
      <w:pPr>
        <w:jc w:val="both"/>
      </w:pPr>
      <w:r w:rsidRPr="6BA68148">
        <w:rPr>
          <w:lang w:val="en-US"/>
        </w:rPr>
        <w:t xml:space="preserve">While the impact of a lower convergence parameter is </w:t>
      </w:r>
      <w:r w:rsidR="00591107" w:rsidRPr="6BA68148">
        <w:rPr>
          <w:lang w:val="en-US"/>
        </w:rPr>
        <w:t xml:space="preserve">much less in more </w:t>
      </w:r>
      <w:proofErr w:type="spellStart"/>
      <w:r w:rsidR="00591107" w:rsidRPr="6BA68148">
        <w:rPr>
          <w:lang w:val="en-US"/>
        </w:rPr>
        <w:t>normalised</w:t>
      </w:r>
      <w:proofErr w:type="spellEnd"/>
      <w:r w:rsidR="00591107" w:rsidRPr="6BA68148">
        <w:rPr>
          <w:lang w:val="en-US"/>
        </w:rPr>
        <w:t xml:space="preserve"> market environments, it will have a significant</w:t>
      </w:r>
      <w:r w:rsidR="6755F9A7" w:rsidRPr="6BA68148">
        <w:rPr>
          <w:lang w:val="en-US"/>
        </w:rPr>
        <w:t>ly</w:t>
      </w:r>
      <w:r w:rsidR="00591107" w:rsidRPr="6BA68148">
        <w:rPr>
          <w:lang w:val="en-US"/>
        </w:rPr>
        <w:t xml:space="preserve"> detrimental impact</w:t>
      </w:r>
      <w:r w:rsidR="004527B4" w:rsidRPr="6BA68148">
        <w:rPr>
          <w:lang w:val="en-US"/>
        </w:rPr>
        <w:t xml:space="preserve"> in lower interest rate environments.</w:t>
      </w:r>
    </w:p>
    <w:p w14:paraId="2ED66540" w14:textId="198B9225" w:rsidR="009D69DE" w:rsidRDefault="009D69DE"/>
    <w:p w14:paraId="693E4AC9" w14:textId="1789CBB6" w:rsidR="0020342B" w:rsidRPr="00467AFF" w:rsidRDefault="0068187E">
      <w:pPr>
        <w:rPr>
          <w:b/>
          <w:bCs/>
        </w:rPr>
      </w:pPr>
      <w:r>
        <w:rPr>
          <w:b/>
          <w:bCs/>
        </w:rPr>
        <w:t xml:space="preserve">Setting </w:t>
      </w:r>
      <w:r w:rsidR="002C511A">
        <w:rPr>
          <w:b/>
          <w:bCs/>
        </w:rPr>
        <w:t xml:space="preserve">the </w:t>
      </w:r>
      <w:r w:rsidR="004F579B" w:rsidRPr="00467AFF">
        <w:rPr>
          <w:b/>
          <w:bCs/>
        </w:rPr>
        <w:t>First Smoo</w:t>
      </w:r>
      <w:r w:rsidR="00467AFF" w:rsidRPr="00467AFF">
        <w:rPr>
          <w:b/>
          <w:bCs/>
        </w:rPr>
        <w:t>thing Point</w:t>
      </w:r>
      <w:r>
        <w:rPr>
          <w:b/>
          <w:bCs/>
        </w:rPr>
        <w:t xml:space="preserve"> </w:t>
      </w:r>
    </w:p>
    <w:p w14:paraId="2EBF4004" w14:textId="2170EF06" w:rsidR="001729D1" w:rsidRDefault="0015357B" w:rsidP="6BA68148">
      <w:pPr>
        <w:jc w:val="both"/>
        <w:rPr>
          <w:i/>
          <w:iCs/>
        </w:rPr>
      </w:pPr>
      <w:r>
        <w:t>The</w:t>
      </w:r>
      <w:r w:rsidR="001729D1">
        <w:t xml:space="preserve"> First Smoothing Point (FSP) is a decisive parameter that prescribes the maturity at which extrapolation starts. The Solvency II amending Directive clarifies the criteria for the determination of the FSP. According to Article 77a (1), </w:t>
      </w:r>
      <w:r w:rsidR="001729D1" w:rsidRPr="6BA68148">
        <w:rPr>
          <w:i/>
          <w:iCs/>
        </w:rPr>
        <w:t>the FSP will be the highest maturity</w:t>
      </w:r>
      <w:r w:rsidR="2377D8F5" w:rsidRPr="6BA68148">
        <w:rPr>
          <w:i/>
          <w:iCs/>
        </w:rPr>
        <w:t>:</w:t>
      </w:r>
    </w:p>
    <w:p w14:paraId="123FCF66" w14:textId="6797E63F" w:rsidR="001729D1" w:rsidRDefault="001729D1" w:rsidP="6BA68148">
      <w:pPr>
        <w:ind w:left="720"/>
        <w:rPr>
          <w:i/>
          <w:iCs/>
        </w:rPr>
      </w:pPr>
      <w:r w:rsidRPr="6BA68148">
        <w:rPr>
          <w:i/>
          <w:iCs/>
        </w:rPr>
        <w:t>- for which “the markets for financial instruments […] are deep, liquid and transparent” (DLT-criterion) and</w:t>
      </w:r>
    </w:p>
    <w:p w14:paraId="35043560" w14:textId="77777777" w:rsidR="001729D1" w:rsidRDefault="001729D1" w:rsidP="6BA68148">
      <w:pPr>
        <w:ind w:left="720"/>
        <w:rPr>
          <w:i/>
          <w:iCs/>
        </w:rPr>
      </w:pPr>
      <w:r w:rsidRPr="6BA68148">
        <w:rPr>
          <w:i/>
          <w:iCs/>
        </w:rPr>
        <w:t xml:space="preserve">- which fulfils the so-called “Residual Volume Criterion”. </w:t>
      </w:r>
    </w:p>
    <w:p w14:paraId="0FD663ED" w14:textId="46F36629" w:rsidR="0053511C" w:rsidRDefault="000C30EF" w:rsidP="6BA68148">
      <w:pPr>
        <w:jc w:val="both"/>
      </w:pPr>
      <w:r w:rsidRPr="6BA68148">
        <w:rPr>
          <w:lang w:val="en-US"/>
        </w:rPr>
        <w:lastRenderedPageBreak/>
        <w:t xml:space="preserve">The residual volume criterion is one of two </w:t>
      </w:r>
      <w:r w:rsidR="236AA26B" w:rsidRPr="6BA68148">
        <w:rPr>
          <w:lang w:val="en-US"/>
        </w:rPr>
        <w:t>criteria</w:t>
      </w:r>
      <w:r w:rsidRPr="6BA68148">
        <w:rPr>
          <w:lang w:val="en-US"/>
        </w:rPr>
        <w:t xml:space="preserve"> </w:t>
      </w:r>
      <w:r w:rsidR="30CD2CF5" w:rsidRPr="6BA68148">
        <w:rPr>
          <w:lang w:val="en-US"/>
        </w:rPr>
        <w:t xml:space="preserve">that </w:t>
      </w:r>
      <w:r w:rsidRPr="6BA68148">
        <w:rPr>
          <w:lang w:val="en-US"/>
        </w:rPr>
        <w:t xml:space="preserve">determines the FSP of the extrapolation. It is set as the percentage of bonds outstanding of that or a longer maturity among all bonds outstanding in that currency (Art 77 para 1b) which are of a greater maturity than deemed to be sufficiently high. </w:t>
      </w:r>
    </w:p>
    <w:p w14:paraId="35DFBEB9" w14:textId="172C822E" w:rsidR="0053511C" w:rsidRDefault="000C30EF" w:rsidP="6BA68148">
      <w:pPr>
        <w:jc w:val="both"/>
      </w:pPr>
      <w:r w:rsidRPr="6BA68148">
        <w:rPr>
          <w:lang w:val="en-US"/>
        </w:rPr>
        <w:t>The rationale behind this criterion is the fact that insurers primarily use bonds and loans to hedge their liabilities. For maturities where bonds and loans are less available</w:t>
      </w:r>
      <w:r w:rsidR="64DD9911" w:rsidRPr="6BA68148">
        <w:rPr>
          <w:lang w:val="en-US"/>
        </w:rPr>
        <w:t>,</w:t>
      </w:r>
      <w:r w:rsidRPr="6BA68148">
        <w:rPr>
          <w:lang w:val="en-US"/>
        </w:rPr>
        <w:t xml:space="preserve"> a stable extrapolation methodology is necessary to avoid unnecessary volatility. The stability of the extrapolation methodology and ability of insurers to hedge using bonds </w:t>
      </w:r>
      <w:r w:rsidR="29CB7A03" w:rsidRPr="6BA68148">
        <w:rPr>
          <w:lang w:val="en-US"/>
        </w:rPr>
        <w:t>were</w:t>
      </w:r>
      <w:r w:rsidRPr="6BA68148">
        <w:rPr>
          <w:lang w:val="en-US"/>
        </w:rPr>
        <w:t xml:space="preserve"> fundamental</w:t>
      </w:r>
      <w:r w:rsidR="2747FEC5" w:rsidRPr="6BA68148">
        <w:rPr>
          <w:lang w:val="en-US"/>
        </w:rPr>
        <w:t xml:space="preserve"> considerations</w:t>
      </w:r>
      <w:r w:rsidRPr="6BA68148">
        <w:rPr>
          <w:lang w:val="en-US"/>
        </w:rPr>
        <w:t xml:space="preserve"> in the development of the LTG measures. </w:t>
      </w:r>
    </w:p>
    <w:p w14:paraId="7F15AE0F" w14:textId="17C4D387" w:rsidR="0053511C" w:rsidRDefault="000C30EF" w:rsidP="6BA68148">
      <w:pPr>
        <w:jc w:val="both"/>
      </w:pPr>
      <w:r w:rsidRPr="6BA68148">
        <w:rPr>
          <w:lang w:val="en-US"/>
        </w:rPr>
        <w:t xml:space="preserve">To supplement the residual volume criterion, an additional criterion called the matching criterion was also agreed </w:t>
      </w:r>
      <w:r w:rsidR="218806AD" w:rsidRPr="6BA68148">
        <w:rPr>
          <w:lang w:val="en-US"/>
        </w:rPr>
        <w:t>upon</w:t>
      </w:r>
      <w:r w:rsidRPr="6BA68148">
        <w:rPr>
          <w:lang w:val="en-US"/>
        </w:rPr>
        <w:t xml:space="preserve"> to determine the starting point of the extrapolation. In the development of the new extrapolation methodology, EIOPA proposed to retain this criterion but to implement it </w:t>
      </w:r>
      <w:r w:rsidR="779B82AC" w:rsidRPr="6BA68148">
        <w:rPr>
          <w:lang w:val="en-US"/>
        </w:rPr>
        <w:t>through</w:t>
      </w:r>
      <w:r w:rsidRPr="6BA68148">
        <w:rPr>
          <w:lang w:val="en-US"/>
        </w:rPr>
        <w:t xml:space="preserve"> the residual volume criterion. </w:t>
      </w:r>
    </w:p>
    <w:p w14:paraId="56073B0C" w14:textId="057269DA" w:rsidR="009F427D" w:rsidRDefault="000C30EF" w:rsidP="6BA68148">
      <w:pPr>
        <w:jc w:val="both"/>
      </w:pPr>
      <w:r w:rsidRPr="6BA68148">
        <w:rPr>
          <w:lang w:val="en-US"/>
        </w:rPr>
        <w:t>This intention for stability should be reflected in the determination of the residual volume criterion. Equally significant is the requirement to align with the FSP parameters established in the Directive. Specifically, the FSP for the euro is set to 20 years at the date of entry into force of the amended Solvency II Directive</w:t>
      </w:r>
      <w:r w:rsidR="1CB80AFA" w:rsidRPr="6BA68148">
        <w:rPr>
          <w:lang w:val="en-US"/>
        </w:rPr>
        <w:t>,</w:t>
      </w:r>
      <w:r w:rsidRPr="6BA68148">
        <w:rPr>
          <w:lang w:val="en-US"/>
        </w:rPr>
        <w:t xml:space="preserve"> and it is crucial to choose the parameters in such a way that the FSP remains consistent over time to avoid introducing volatility.</w:t>
      </w:r>
      <w:r w:rsidR="009F427D" w:rsidRPr="6BA68148">
        <w:rPr>
          <w:lang w:val="en-US"/>
        </w:rPr>
        <w:t xml:space="preserve"> </w:t>
      </w:r>
      <w:r w:rsidR="7877421B" w:rsidRPr="6BA68148">
        <w:rPr>
          <w:lang w:val="en-US"/>
        </w:rPr>
        <w:t xml:space="preserve">It is important to avoid a significant </w:t>
      </w:r>
      <w:r w:rsidRPr="6BA68148">
        <w:rPr>
          <w:lang w:val="en-US"/>
        </w:rPr>
        <w:t>change of the FSP</w:t>
      </w:r>
      <w:r w:rsidR="4839EF4E" w:rsidRPr="6BA68148">
        <w:rPr>
          <w:lang w:val="en-US"/>
        </w:rPr>
        <w:t xml:space="preserve"> shortly </w:t>
      </w:r>
      <w:r w:rsidR="031FEF52" w:rsidRPr="6BA68148">
        <w:rPr>
          <w:lang w:val="en-US"/>
        </w:rPr>
        <w:t>after the</w:t>
      </w:r>
      <w:r w:rsidRPr="6BA68148">
        <w:rPr>
          <w:lang w:val="en-US"/>
        </w:rPr>
        <w:t xml:space="preserve"> entry into force</w:t>
      </w:r>
      <w:r w:rsidR="13E747A2" w:rsidRPr="6BA68148">
        <w:rPr>
          <w:lang w:val="en-US"/>
        </w:rPr>
        <w:t xml:space="preserve">, which </w:t>
      </w:r>
      <w:r w:rsidR="0FFE1D11" w:rsidRPr="6BA68148">
        <w:rPr>
          <w:lang w:val="en-US"/>
        </w:rPr>
        <w:t>would cancel</w:t>
      </w:r>
      <w:r w:rsidR="10C2E1F0" w:rsidRPr="6BA68148">
        <w:rPr>
          <w:lang w:val="en-US"/>
        </w:rPr>
        <w:t xml:space="preserve"> out</w:t>
      </w:r>
      <w:r w:rsidRPr="6BA68148">
        <w:rPr>
          <w:lang w:val="en-US"/>
        </w:rPr>
        <w:t xml:space="preserve"> th</w:t>
      </w:r>
      <w:r w:rsidR="3FF1E143" w:rsidRPr="6BA68148">
        <w:rPr>
          <w:lang w:val="en-US"/>
        </w:rPr>
        <w:t>e</w:t>
      </w:r>
      <w:r w:rsidRPr="6BA68148">
        <w:rPr>
          <w:lang w:val="en-US"/>
        </w:rPr>
        <w:t xml:space="preserve"> deliberate political commitment at Level 1. </w:t>
      </w:r>
    </w:p>
    <w:p w14:paraId="6FC713B9" w14:textId="348DDC22" w:rsidR="00A7435B" w:rsidRDefault="000C30EF" w:rsidP="6BA68148">
      <w:pPr>
        <w:jc w:val="both"/>
      </w:pPr>
      <w:r w:rsidRPr="6BA68148">
        <w:rPr>
          <w:lang w:val="en-US"/>
        </w:rPr>
        <w:t xml:space="preserve">In addition, it should be </w:t>
      </w:r>
      <w:proofErr w:type="spellStart"/>
      <w:proofErr w:type="gramStart"/>
      <w:r w:rsidRPr="6BA68148">
        <w:rPr>
          <w:lang w:val="en-US"/>
        </w:rPr>
        <w:t>recognised</w:t>
      </w:r>
      <w:proofErr w:type="spellEnd"/>
      <w:r w:rsidRPr="6BA68148">
        <w:rPr>
          <w:lang w:val="en-US"/>
        </w:rPr>
        <w:t xml:space="preserve"> </w:t>
      </w:r>
      <w:r w:rsidR="2915E906" w:rsidRPr="6BA68148">
        <w:rPr>
          <w:lang w:val="en-US"/>
        </w:rPr>
        <w:t xml:space="preserve"> that</w:t>
      </w:r>
      <w:proofErr w:type="gramEnd"/>
      <w:r w:rsidR="2915E906" w:rsidRPr="6BA68148">
        <w:rPr>
          <w:lang w:val="en-US"/>
        </w:rPr>
        <w:t xml:space="preserve"> </w:t>
      </w:r>
      <w:r w:rsidRPr="6BA68148">
        <w:rPr>
          <w:lang w:val="en-US"/>
        </w:rPr>
        <w:t xml:space="preserve">since </w:t>
      </w:r>
      <w:r w:rsidR="586B82C9" w:rsidRPr="6BA68148">
        <w:rPr>
          <w:lang w:val="en-US"/>
        </w:rPr>
        <w:t xml:space="preserve">the </w:t>
      </w:r>
      <w:r w:rsidRPr="6BA68148">
        <w:rPr>
          <w:lang w:val="en-US"/>
        </w:rPr>
        <w:t xml:space="preserve">Delegated Regulation 2015/35 came into force, the proportion of bonds held by the ECB has risen sharply. These bonds held by the ECB are no longer available for insurers to hedge their liabilities and could impact the outcome of the residual volume criterion. To address these concerns, it is recommended that for the residual volume criterion the percentage of bonds outstanding with higher maturity </w:t>
      </w:r>
      <w:r w:rsidR="5CF0B4DC" w:rsidRPr="6BA68148">
        <w:rPr>
          <w:lang w:val="en-US"/>
        </w:rPr>
        <w:t>is</w:t>
      </w:r>
      <w:r w:rsidRPr="6BA68148">
        <w:rPr>
          <w:lang w:val="en-US"/>
        </w:rPr>
        <w:t xml:space="preserve"> revised upwards</w:t>
      </w:r>
      <w:r w:rsidR="172A9A5D" w:rsidRPr="6BA68148">
        <w:rPr>
          <w:lang w:val="en-US"/>
        </w:rPr>
        <w:t xml:space="preserve">. This adjustment </w:t>
      </w:r>
      <w:r w:rsidR="73BD30ED" w:rsidRPr="6BA68148">
        <w:rPr>
          <w:lang w:val="en-US"/>
        </w:rPr>
        <w:t>would provide</w:t>
      </w:r>
      <w:r w:rsidRPr="6BA68148">
        <w:rPr>
          <w:lang w:val="en-US"/>
        </w:rPr>
        <w:t xml:space="preserve"> the stability of the extrapolation which is needed for insurers with long-term liabilities.</w:t>
      </w:r>
    </w:p>
    <w:p w14:paraId="456109FD" w14:textId="77777777" w:rsidR="00ED6508" w:rsidRDefault="00ED6508"/>
    <w:p w14:paraId="72DC989B" w14:textId="77777777" w:rsidR="00037FAC" w:rsidRDefault="00037FAC"/>
    <w:sectPr w:rsidR="00037FA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0zEPozyszRec+Z" int2:id="LpTbKfao">
      <int2:state int2:value="Rejected" int2:type="AugLoop_Text_Critique"/>
    </int2:textHash>
    <int2:textHash int2:hashCode="SlYFDncvjWIs3o" int2:id="nFJH1of5">
      <int2:state int2:value="Rejected" int2:type="AugLoop_Text_Critique"/>
    </int2:textHash>
    <int2:textHash int2:hashCode="QgmNU58P0unWdN" int2:id="HjrB38nQ">
      <int2:state int2:value="Rejected" int2:type="AugLoop_Text_Critique"/>
    </int2:textHash>
    <int2:textHash int2:hashCode="v3jXqOAVqWKVSe" int2:id="F5BNHzV1">
      <int2:state int2:value="Rejected" int2:type="AugLoop_Text_Critique"/>
    </int2:textHash>
    <int2:textHash int2:hashCode="KoaxTrv1Gs2BIg" int2:id="w05NnlzO">
      <int2:state int2:value="Rejected" int2:type="AugLoop_Text_Critique"/>
    </int2:textHash>
    <int2:textHash int2:hashCode="hN6B5b8f/AaH/i" int2:id="4T9Q9fu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06D05"/>
    <w:multiLevelType w:val="hybridMultilevel"/>
    <w:tmpl w:val="30B02A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50CC6275"/>
    <w:multiLevelType w:val="hybridMultilevel"/>
    <w:tmpl w:val="F52414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744F4904"/>
    <w:multiLevelType w:val="hybridMultilevel"/>
    <w:tmpl w:val="479CADF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212691874">
    <w:abstractNumId w:val="1"/>
  </w:num>
  <w:num w:numId="2" w16cid:durableId="751463878">
    <w:abstractNumId w:val="2"/>
  </w:num>
  <w:num w:numId="3" w16cid:durableId="56495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25"/>
    <w:rsid w:val="00011A77"/>
    <w:rsid w:val="0002139C"/>
    <w:rsid w:val="00037FAC"/>
    <w:rsid w:val="000929F1"/>
    <w:rsid w:val="000A6C2E"/>
    <w:rsid w:val="000C30EF"/>
    <w:rsid w:val="000D4022"/>
    <w:rsid w:val="001016C0"/>
    <w:rsid w:val="00101A50"/>
    <w:rsid w:val="00116DA9"/>
    <w:rsid w:val="0015357B"/>
    <w:rsid w:val="001662BC"/>
    <w:rsid w:val="001729D1"/>
    <w:rsid w:val="00197448"/>
    <w:rsid w:val="001A7E6C"/>
    <w:rsid w:val="001B6ABA"/>
    <w:rsid w:val="0020342B"/>
    <w:rsid w:val="00221EA2"/>
    <w:rsid w:val="0022455C"/>
    <w:rsid w:val="00296258"/>
    <w:rsid w:val="002B759D"/>
    <w:rsid w:val="002C511A"/>
    <w:rsid w:val="002D6629"/>
    <w:rsid w:val="003A0C48"/>
    <w:rsid w:val="003F19A9"/>
    <w:rsid w:val="00434800"/>
    <w:rsid w:val="00434D52"/>
    <w:rsid w:val="00435609"/>
    <w:rsid w:val="00435A38"/>
    <w:rsid w:val="004527B4"/>
    <w:rsid w:val="00467AFF"/>
    <w:rsid w:val="00480F2C"/>
    <w:rsid w:val="00484391"/>
    <w:rsid w:val="004C3BA3"/>
    <w:rsid w:val="004F579B"/>
    <w:rsid w:val="0051051C"/>
    <w:rsid w:val="0052282C"/>
    <w:rsid w:val="0053511C"/>
    <w:rsid w:val="00591107"/>
    <w:rsid w:val="005A1468"/>
    <w:rsid w:val="005C019E"/>
    <w:rsid w:val="005C085B"/>
    <w:rsid w:val="005E5EB9"/>
    <w:rsid w:val="00635419"/>
    <w:rsid w:val="0064133F"/>
    <w:rsid w:val="0068187E"/>
    <w:rsid w:val="00697909"/>
    <w:rsid w:val="006B29F9"/>
    <w:rsid w:val="006C7611"/>
    <w:rsid w:val="006D04AD"/>
    <w:rsid w:val="00726E3E"/>
    <w:rsid w:val="00727AE6"/>
    <w:rsid w:val="00774721"/>
    <w:rsid w:val="007B35D2"/>
    <w:rsid w:val="007D0108"/>
    <w:rsid w:val="007E6111"/>
    <w:rsid w:val="00804363"/>
    <w:rsid w:val="00826225"/>
    <w:rsid w:val="008339A1"/>
    <w:rsid w:val="0084196E"/>
    <w:rsid w:val="00864473"/>
    <w:rsid w:val="008A4CD8"/>
    <w:rsid w:val="008D1A93"/>
    <w:rsid w:val="009272AB"/>
    <w:rsid w:val="00940113"/>
    <w:rsid w:val="009520DF"/>
    <w:rsid w:val="009A38DF"/>
    <w:rsid w:val="009D69DE"/>
    <w:rsid w:val="009F427D"/>
    <w:rsid w:val="00A17B9C"/>
    <w:rsid w:val="00A7435B"/>
    <w:rsid w:val="00AA2646"/>
    <w:rsid w:val="00AA4772"/>
    <w:rsid w:val="00AA60D5"/>
    <w:rsid w:val="00B17780"/>
    <w:rsid w:val="00B358F9"/>
    <w:rsid w:val="00C10C2C"/>
    <w:rsid w:val="00C30738"/>
    <w:rsid w:val="00C424DC"/>
    <w:rsid w:val="00C710E3"/>
    <w:rsid w:val="00D20E45"/>
    <w:rsid w:val="00D24C89"/>
    <w:rsid w:val="00D514C7"/>
    <w:rsid w:val="00D711B6"/>
    <w:rsid w:val="00D9187D"/>
    <w:rsid w:val="00DC06D7"/>
    <w:rsid w:val="00E212B6"/>
    <w:rsid w:val="00E91D18"/>
    <w:rsid w:val="00E9679B"/>
    <w:rsid w:val="00EA4B0A"/>
    <w:rsid w:val="00ED6508"/>
    <w:rsid w:val="00EF598E"/>
    <w:rsid w:val="00F80C7E"/>
    <w:rsid w:val="00F82F33"/>
    <w:rsid w:val="00FB458E"/>
    <w:rsid w:val="02AED9B9"/>
    <w:rsid w:val="031FEF52"/>
    <w:rsid w:val="05013B9D"/>
    <w:rsid w:val="05AA9F41"/>
    <w:rsid w:val="05F5E90E"/>
    <w:rsid w:val="06B5CB9C"/>
    <w:rsid w:val="07FA01D7"/>
    <w:rsid w:val="0AB23FF2"/>
    <w:rsid w:val="0DBD5CF3"/>
    <w:rsid w:val="0E31BF93"/>
    <w:rsid w:val="0E549A3A"/>
    <w:rsid w:val="0ECFA6DD"/>
    <w:rsid w:val="0F9C28F0"/>
    <w:rsid w:val="0FF37397"/>
    <w:rsid w:val="0FFE1D11"/>
    <w:rsid w:val="105918BD"/>
    <w:rsid w:val="10C2E1F0"/>
    <w:rsid w:val="1322F2A9"/>
    <w:rsid w:val="136076CC"/>
    <w:rsid w:val="13E747A2"/>
    <w:rsid w:val="13F13AC4"/>
    <w:rsid w:val="150DE90A"/>
    <w:rsid w:val="1597C7A3"/>
    <w:rsid w:val="172A9A5D"/>
    <w:rsid w:val="19274619"/>
    <w:rsid w:val="1CB80AFA"/>
    <w:rsid w:val="1CDB7AB1"/>
    <w:rsid w:val="1CE9DA5A"/>
    <w:rsid w:val="1D5B7BEE"/>
    <w:rsid w:val="1DA9F3FF"/>
    <w:rsid w:val="1E3A0A39"/>
    <w:rsid w:val="1F236387"/>
    <w:rsid w:val="20490120"/>
    <w:rsid w:val="2151E9A7"/>
    <w:rsid w:val="218806AD"/>
    <w:rsid w:val="21D44F7B"/>
    <w:rsid w:val="236AA26B"/>
    <w:rsid w:val="2377D8F5"/>
    <w:rsid w:val="24EF067B"/>
    <w:rsid w:val="2697B08B"/>
    <w:rsid w:val="26D378A9"/>
    <w:rsid w:val="2747FEC5"/>
    <w:rsid w:val="2915E906"/>
    <w:rsid w:val="29CB7A03"/>
    <w:rsid w:val="2A56D6B8"/>
    <w:rsid w:val="2B893C1E"/>
    <w:rsid w:val="2C6FAE18"/>
    <w:rsid w:val="30CD2CF5"/>
    <w:rsid w:val="3177956C"/>
    <w:rsid w:val="31FC28EB"/>
    <w:rsid w:val="3318BDA0"/>
    <w:rsid w:val="353266EE"/>
    <w:rsid w:val="35FEEF4B"/>
    <w:rsid w:val="3641DB73"/>
    <w:rsid w:val="37900DC4"/>
    <w:rsid w:val="3BA65151"/>
    <w:rsid w:val="3BE157E4"/>
    <w:rsid w:val="3DB770DF"/>
    <w:rsid w:val="3E24E39A"/>
    <w:rsid w:val="3E645FCF"/>
    <w:rsid w:val="3F540747"/>
    <w:rsid w:val="3FF1E143"/>
    <w:rsid w:val="40A9D0EC"/>
    <w:rsid w:val="424412D8"/>
    <w:rsid w:val="42E7C543"/>
    <w:rsid w:val="4420BF8B"/>
    <w:rsid w:val="46181DBB"/>
    <w:rsid w:val="47986984"/>
    <w:rsid w:val="4839EF4E"/>
    <w:rsid w:val="4C2B3C9C"/>
    <w:rsid w:val="4ECFF8B7"/>
    <w:rsid w:val="4F9BA4C8"/>
    <w:rsid w:val="586B82C9"/>
    <w:rsid w:val="58A2D604"/>
    <w:rsid w:val="597AC6FA"/>
    <w:rsid w:val="59A6FD5C"/>
    <w:rsid w:val="5BABBA5C"/>
    <w:rsid w:val="5CF0B4DC"/>
    <w:rsid w:val="5D567DE2"/>
    <w:rsid w:val="5DA568A0"/>
    <w:rsid w:val="5E0AA8C6"/>
    <w:rsid w:val="62DC3FC9"/>
    <w:rsid w:val="64593F53"/>
    <w:rsid w:val="64DD9911"/>
    <w:rsid w:val="6755F9A7"/>
    <w:rsid w:val="6B893E38"/>
    <w:rsid w:val="6BA68148"/>
    <w:rsid w:val="6C62AFD5"/>
    <w:rsid w:val="6DD65E2E"/>
    <w:rsid w:val="6F18239C"/>
    <w:rsid w:val="70171FA3"/>
    <w:rsid w:val="7258EA4A"/>
    <w:rsid w:val="73A2601E"/>
    <w:rsid w:val="73BD30ED"/>
    <w:rsid w:val="73D743E4"/>
    <w:rsid w:val="76D42D8B"/>
    <w:rsid w:val="771E0458"/>
    <w:rsid w:val="772FFD6A"/>
    <w:rsid w:val="779B82AC"/>
    <w:rsid w:val="77E75937"/>
    <w:rsid w:val="7877421B"/>
    <w:rsid w:val="7884FECA"/>
    <w:rsid w:val="79AA2A0B"/>
    <w:rsid w:val="7A5912F3"/>
    <w:rsid w:val="7AB713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8C53"/>
  <w15:chartTrackingRefBased/>
  <w15:docId w15:val="{CB178D69-91B4-4FE9-8329-FFE6CB68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6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26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2622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2622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2622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2622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2622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2622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2622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622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2622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2622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2622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2622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2622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2622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2622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26225"/>
    <w:rPr>
      <w:rFonts w:eastAsiaTheme="majorEastAsia" w:cstheme="majorBidi"/>
      <w:color w:val="272727" w:themeColor="text1" w:themeTint="D8"/>
    </w:rPr>
  </w:style>
  <w:style w:type="paragraph" w:styleId="Nzov">
    <w:name w:val="Title"/>
    <w:basedOn w:val="Normlny"/>
    <w:next w:val="Normlny"/>
    <w:link w:val="NzovChar"/>
    <w:uiPriority w:val="10"/>
    <w:qFormat/>
    <w:rsid w:val="00826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2622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2622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2622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2622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26225"/>
    <w:rPr>
      <w:i/>
      <w:iCs/>
      <w:color w:val="404040" w:themeColor="text1" w:themeTint="BF"/>
    </w:rPr>
  </w:style>
  <w:style w:type="paragraph" w:styleId="Odsekzoznamu">
    <w:name w:val="List Paragraph"/>
    <w:basedOn w:val="Normlny"/>
    <w:uiPriority w:val="34"/>
    <w:qFormat/>
    <w:rsid w:val="00826225"/>
    <w:pPr>
      <w:ind w:left="720"/>
      <w:contextualSpacing/>
    </w:pPr>
  </w:style>
  <w:style w:type="character" w:styleId="Intenzvnezvraznenie">
    <w:name w:val="Intense Emphasis"/>
    <w:basedOn w:val="Predvolenpsmoodseku"/>
    <w:uiPriority w:val="21"/>
    <w:qFormat/>
    <w:rsid w:val="00826225"/>
    <w:rPr>
      <w:i/>
      <w:iCs/>
      <w:color w:val="0F4761" w:themeColor="accent1" w:themeShade="BF"/>
    </w:rPr>
  </w:style>
  <w:style w:type="paragraph" w:styleId="Zvraznencitcia">
    <w:name w:val="Intense Quote"/>
    <w:basedOn w:val="Normlny"/>
    <w:next w:val="Normlny"/>
    <w:link w:val="ZvraznencitciaChar"/>
    <w:uiPriority w:val="30"/>
    <w:qFormat/>
    <w:rsid w:val="00826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26225"/>
    <w:rPr>
      <w:i/>
      <w:iCs/>
      <w:color w:val="0F4761" w:themeColor="accent1" w:themeShade="BF"/>
    </w:rPr>
  </w:style>
  <w:style w:type="character" w:styleId="Zvraznenodkaz">
    <w:name w:val="Intense Reference"/>
    <w:basedOn w:val="Predvolenpsmoodseku"/>
    <w:uiPriority w:val="32"/>
    <w:qFormat/>
    <w:rsid w:val="00826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327863">
      <w:bodyDiv w:val="1"/>
      <w:marLeft w:val="0"/>
      <w:marRight w:val="0"/>
      <w:marTop w:val="0"/>
      <w:marBottom w:val="0"/>
      <w:divBdr>
        <w:top w:val="none" w:sz="0" w:space="0" w:color="auto"/>
        <w:left w:val="none" w:sz="0" w:space="0" w:color="auto"/>
        <w:bottom w:val="none" w:sz="0" w:space="0" w:color="auto"/>
        <w:right w:val="none" w:sz="0" w:space="0" w:color="auto"/>
      </w:divBdr>
      <w:divsChild>
        <w:div w:id="1133214296">
          <w:marLeft w:val="0"/>
          <w:marRight w:val="0"/>
          <w:marTop w:val="0"/>
          <w:marBottom w:val="0"/>
          <w:divBdr>
            <w:top w:val="none" w:sz="0" w:space="0" w:color="auto"/>
            <w:left w:val="none" w:sz="0" w:space="0" w:color="auto"/>
            <w:bottom w:val="none" w:sz="0" w:space="0" w:color="auto"/>
            <w:right w:val="none" w:sz="0" w:space="0" w:color="auto"/>
          </w:divBdr>
        </w:div>
        <w:div w:id="1031613863">
          <w:marLeft w:val="0"/>
          <w:marRight w:val="0"/>
          <w:marTop w:val="0"/>
          <w:marBottom w:val="0"/>
          <w:divBdr>
            <w:top w:val="none" w:sz="0" w:space="0" w:color="auto"/>
            <w:left w:val="none" w:sz="0" w:space="0" w:color="auto"/>
            <w:bottom w:val="none" w:sz="0" w:space="0" w:color="auto"/>
            <w:right w:val="none" w:sz="0" w:space="0" w:color="auto"/>
          </w:divBdr>
        </w:div>
        <w:div w:id="1696269704">
          <w:marLeft w:val="0"/>
          <w:marRight w:val="0"/>
          <w:marTop w:val="0"/>
          <w:marBottom w:val="0"/>
          <w:divBdr>
            <w:top w:val="none" w:sz="0" w:space="0" w:color="auto"/>
            <w:left w:val="none" w:sz="0" w:space="0" w:color="auto"/>
            <w:bottom w:val="none" w:sz="0" w:space="0" w:color="auto"/>
            <w:right w:val="none" w:sz="0" w:space="0" w:color="auto"/>
          </w:divBdr>
        </w:div>
        <w:div w:id="1051809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FA023-8641-4649-B794-BF07253D25F3}">
  <ds:schemaRef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d352728d-c7aa-455d-bd83-40fe44122be8"/>
    <ds:schemaRef ds:uri="http://purl.org/dc/dcmitype/"/>
  </ds:schemaRefs>
</ds:datastoreItem>
</file>

<file path=customXml/itemProps2.xml><?xml version="1.0" encoding="utf-8"?>
<ds:datastoreItem xmlns:ds="http://schemas.openxmlformats.org/officeDocument/2006/customXml" ds:itemID="{CA26C0FB-E118-49ED-936D-1DE36E9178DB}">
  <ds:schemaRefs>
    <ds:schemaRef ds:uri="http://schemas.microsoft.com/sharepoint/v3/contenttype/forms"/>
  </ds:schemaRefs>
</ds:datastoreItem>
</file>

<file path=customXml/itemProps3.xml><?xml version="1.0" encoding="utf-8"?>
<ds:datastoreItem xmlns:ds="http://schemas.openxmlformats.org/officeDocument/2006/customXml" ds:itemID="{A4448517-A180-4145-A3BB-CF6126609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6166</Characters>
  <Application>Microsoft Office Word</Application>
  <DocSecurity>4</DocSecurity>
  <Lines>51</Lines>
  <Paragraphs>14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LTG paper - Extrapolation of risk-free rates</dc:title>
  <dc:subject/>
  <dc:creator>Angus</dc:creator>
  <cp:keywords/>
  <dc:description/>
  <cp:lastModifiedBy>jozef.bachnicek</cp:lastModifiedBy>
  <cp:revision>2</cp:revision>
  <dcterms:created xsi:type="dcterms:W3CDTF">2024-06-21T06:53:00Z</dcterms:created>
  <dcterms:modified xsi:type="dcterms:W3CDTF">2024-06-21T06:53:00Z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MediaServiceImageTags">
    <vt:lpwstr/>
  </property>
</Properties>
</file>