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3C82" w14:textId="77777777" w:rsidR="00152882" w:rsidRPr="00D615BB" w:rsidRDefault="00152882" w:rsidP="00152882">
      <w:pPr>
        <w:sectPr w:rsidR="00152882" w:rsidRPr="00D615BB" w:rsidSect="00825DAE">
          <w:headerReference w:type="even" r:id="rId11"/>
          <w:headerReference w:type="default" r:id="rId12"/>
          <w:footerReference w:type="even" r:id="rId13"/>
          <w:footerReference w:type="default" r:id="rId14"/>
          <w:headerReference w:type="first" r:id="rId15"/>
          <w:footerReference w:type="first" r:id="rId16"/>
          <w:pgSz w:w="11907" w:h="16839" w:code="9"/>
          <w:pgMar w:top="2336" w:right="900" w:bottom="1600" w:left="900" w:header="708" w:footer="236" w:gutter="0"/>
          <w:cols w:space="708"/>
          <w:titlePg/>
          <w:docGrid w:linePitch="360"/>
        </w:sectPr>
      </w:pPr>
      <w:bookmarkStart w:id="1" w:name="_GoBack"/>
      <w:bookmarkEnd w:id="1"/>
    </w:p>
    <w:p w14:paraId="30DF312D" w14:textId="77777777" w:rsidR="00152882" w:rsidRPr="00D615BB" w:rsidRDefault="00152882" w:rsidP="00152882">
      <w:pPr>
        <w:autoSpaceDE w:val="0"/>
        <w:autoSpaceDN w:val="0"/>
        <w:adjustRightInd w:val="0"/>
        <w:rPr>
          <w:b/>
          <w:color w:val="002957"/>
          <w:sz w:val="19"/>
          <w:szCs w:val="19"/>
        </w:rPr>
      </w:pPr>
      <w:r w:rsidRPr="00D615BB">
        <w:rPr>
          <w:b/>
          <w:color w:val="002957"/>
          <w:sz w:val="19"/>
          <w:szCs w:val="19"/>
        </w:rPr>
        <w:softHyphen/>
      </w:r>
      <w:r w:rsidRPr="00D615BB">
        <w:rPr>
          <w:rStyle w:val="Heading1CEAChar"/>
          <w:color w:val="002957"/>
          <w:sz w:val="19"/>
          <w:szCs w:val="19"/>
        </w:rPr>
        <w:t>Summary</w:t>
      </w:r>
    </w:p>
    <w:p w14:paraId="7F594A96" w14:textId="375DFDDF" w:rsidR="00105B24" w:rsidRDefault="00105B24" w:rsidP="00105B24">
      <w:pPr>
        <w:rPr>
          <w:sz w:val="17"/>
          <w:szCs w:val="17"/>
        </w:rPr>
      </w:pPr>
      <w:r>
        <w:rPr>
          <w:sz w:val="17"/>
          <w:szCs w:val="17"/>
        </w:rPr>
        <w:t>The European insurance industry continues to have</w:t>
      </w:r>
      <w:r w:rsidR="00C9068B">
        <w:rPr>
          <w:sz w:val="17"/>
          <w:szCs w:val="17"/>
        </w:rPr>
        <w:t xml:space="preserve"> concerns o</w:t>
      </w:r>
      <w:r>
        <w:rPr>
          <w:sz w:val="17"/>
          <w:szCs w:val="17"/>
        </w:rPr>
        <w:t xml:space="preserve">ver the Solvency II </w:t>
      </w:r>
      <w:r w:rsidR="00C9068B">
        <w:rPr>
          <w:sz w:val="17"/>
          <w:szCs w:val="17"/>
        </w:rPr>
        <w:t>reporting requirements</w:t>
      </w:r>
      <w:r>
        <w:rPr>
          <w:sz w:val="17"/>
          <w:szCs w:val="17"/>
        </w:rPr>
        <w:t>. In fact, 2 years of Solvency II application have not only confirmed that the</w:t>
      </w:r>
      <w:r w:rsidR="00C9068B">
        <w:rPr>
          <w:sz w:val="17"/>
          <w:szCs w:val="17"/>
        </w:rPr>
        <w:t xml:space="preserve"> requirements </w:t>
      </w:r>
      <w:r w:rsidR="001049FC">
        <w:rPr>
          <w:sz w:val="17"/>
          <w:szCs w:val="17"/>
        </w:rPr>
        <w:t xml:space="preserve">are </w:t>
      </w:r>
      <w:r w:rsidR="004C1EB9">
        <w:rPr>
          <w:sz w:val="17"/>
          <w:szCs w:val="17"/>
        </w:rPr>
        <w:t xml:space="preserve">overly </w:t>
      </w:r>
      <w:r w:rsidR="001049FC">
        <w:rPr>
          <w:sz w:val="17"/>
          <w:szCs w:val="17"/>
        </w:rPr>
        <w:t>burdens</w:t>
      </w:r>
      <w:r w:rsidR="00781A74">
        <w:rPr>
          <w:sz w:val="17"/>
          <w:szCs w:val="17"/>
        </w:rPr>
        <w:t xml:space="preserve">ome </w:t>
      </w:r>
      <w:r>
        <w:rPr>
          <w:sz w:val="17"/>
          <w:szCs w:val="17"/>
        </w:rPr>
        <w:t xml:space="preserve">and costly, but have also revealed the little benefit and use that some of these requirements have in practice. </w:t>
      </w:r>
    </w:p>
    <w:p w14:paraId="5A0E8CB6" w14:textId="77777777" w:rsidR="00105B24" w:rsidRDefault="00105B24" w:rsidP="00105B24">
      <w:pPr>
        <w:rPr>
          <w:sz w:val="17"/>
          <w:szCs w:val="17"/>
        </w:rPr>
      </w:pPr>
    </w:p>
    <w:p w14:paraId="779DB5CE" w14:textId="55E6A4F5" w:rsidR="00105B24" w:rsidRDefault="00105B24" w:rsidP="00105B24">
      <w:pPr>
        <w:rPr>
          <w:sz w:val="17"/>
          <w:szCs w:val="17"/>
        </w:rPr>
      </w:pPr>
      <w:r>
        <w:rPr>
          <w:sz w:val="17"/>
          <w:szCs w:val="17"/>
        </w:rPr>
        <w:t xml:space="preserve">In particular in the area of public reporting, the very little public interest in the information is significantly overweighed by the very large effort put into preparing this information. The industry strongly believes that the intended objectives of the public reporting have not been achieved. </w:t>
      </w:r>
    </w:p>
    <w:p w14:paraId="267AFF84" w14:textId="77777777" w:rsidR="00105B24" w:rsidRDefault="00105B24" w:rsidP="00105B24">
      <w:pPr>
        <w:rPr>
          <w:sz w:val="17"/>
          <w:szCs w:val="17"/>
        </w:rPr>
      </w:pPr>
    </w:p>
    <w:p w14:paraId="7EEC2D8A" w14:textId="6774F3DD" w:rsidR="00105B24" w:rsidRDefault="0063169C" w:rsidP="00105B24">
      <w:pPr>
        <w:rPr>
          <w:sz w:val="17"/>
          <w:szCs w:val="17"/>
        </w:rPr>
      </w:pPr>
      <w:r>
        <w:rPr>
          <w:sz w:val="17"/>
          <w:szCs w:val="17"/>
        </w:rPr>
        <w:t>With regard</w:t>
      </w:r>
      <w:r w:rsidR="00105B24">
        <w:rPr>
          <w:sz w:val="17"/>
          <w:szCs w:val="17"/>
        </w:rPr>
        <w:t xml:space="preserve"> to </w:t>
      </w:r>
      <w:r w:rsidR="00BC08D4">
        <w:rPr>
          <w:sz w:val="17"/>
          <w:szCs w:val="17"/>
        </w:rPr>
        <w:t xml:space="preserve">private </w:t>
      </w:r>
      <w:r w:rsidR="00105B24">
        <w:rPr>
          <w:sz w:val="17"/>
          <w:szCs w:val="17"/>
        </w:rPr>
        <w:t xml:space="preserve">supervisory reporting, the industry is today faced with significant requirements, however it remains unclear to which extent all the information provided is being made use of by supervisors and regulators, and how. </w:t>
      </w:r>
    </w:p>
    <w:p w14:paraId="72F288E2" w14:textId="77777777" w:rsidR="00105B24" w:rsidRDefault="00105B24" w:rsidP="00105B24">
      <w:pPr>
        <w:rPr>
          <w:sz w:val="17"/>
          <w:szCs w:val="17"/>
        </w:rPr>
      </w:pPr>
    </w:p>
    <w:p w14:paraId="22589BA8" w14:textId="1C9698A0" w:rsidR="00105B24" w:rsidRDefault="00105B24" w:rsidP="00105B24">
      <w:pPr>
        <w:rPr>
          <w:sz w:val="17"/>
          <w:szCs w:val="17"/>
        </w:rPr>
      </w:pPr>
      <w:r>
        <w:rPr>
          <w:sz w:val="17"/>
          <w:szCs w:val="17"/>
        </w:rPr>
        <w:t xml:space="preserve">While reporting is one of the few areas of Solvency II where proportionality is to some extent applied across member states, its application remains very poor and </w:t>
      </w:r>
      <w:r w:rsidR="00753D1D">
        <w:rPr>
          <w:sz w:val="17"/>
          <w:szCs w:val="17"/>
        </w:rPr>
        <w:t>is even on a negative trend</w:t>
      </w:r>
      <w:r>
        <w:rPr>
          <w:sz w:val="17"/>
          <w:szCs w:val="17"/>
        </w:rPr>
        <w:t>.</w:t>
      </w:r>
    </w:p>
    <w:p w14:paraId="5869F230" w14:textId="77777777" w:rsidR="00753D1D" w:rsidRDefault="00753D1D" w:rsidP="00105B24">
      <w:pPr>
        <w:rPr>
          <w:sz w:val="17"/>
          <w:szCs w:val="17"/>
        </w:rPr>
      </w:pPr>
    </w:p>
    <w:p w14:paraId="146EEFAC" w14:textId="3B34664C" w:rsidR="00753D1D" w:rsidRDefault="00753D1D" w:rsidP="00105B24">
      <w:pPr>
        <w:rPr>
          <w:sz w:val="17"/>
          <w:szCs w:val="17"/>
        </w:rPr>
      </w:pPr>
      <w:r>
        <w:rPr>
          <w:sz w:val="17"/>
          <w:szCs w:val="17"/>
        </w:rPr>
        <w:t>Some of these high-level concerns appear in fact to be acknowledged by the EC, who has launched an ambitious exercise aimed at</w:t>
      </w:r>
      <w:r w:rsidR="00D5030B" w:rsidRPr="00D5030B">
        <w:t xml:space="preserve"> </w:t>
      </w:r>
      <w:r w:rsidR="00F931A4">
        <w:rPr>
          <w:sz w:val="17"/>
          <w:szCs w:val="17"/>
        </w:rPr>
        <w:t xml:space="preserve">investigating </w:t>
      </w:r>
      <w:r w:rsidR="00D5030B" w:rsidRPr="00D5030B">
        <w:rPr>
          <w:sz w:val="17"/>
          <w:szCs w:val="17"/>
        </w:rPr>
        <w:t xml:space="preserve">the consistency, coherence, effectiveness, efficiency, and EU added value of </w:t>
      </w:r>
      <w:r w:rsidR="00F931A4">
        <w:rPr>
          <w:sz w:val="17"/>
          <w:szCs w:val="17"/>
        </w:rPr>
        <w:t>reporting</w:t>
      </w:r>
      <w:r w:rsidR="00D5030B" w:rsidRPr="00D5030B">
        <w:rPr>
          <w:sz w:val="17"/>
          <w:szCs w:val="17"/>
        </w:rPr>
        <w:t xml:space="preserve"> requirements.</w:t>
      </w:r>
      <w:r w:rsidR="00F01981">
        <w:rPr>
          <w:sz w:val="17"/>
          <w:szCs w:val="17"/>
        </w:rPr>
        <w:t xml:space="preserve"> In addition, the </w:t>
      </w:r>
      <w:r w:rsidR="00B471E2">
        <w:rPr>
          <w:sz w:val="17"/>
          <w:szCs w:val="17"/>
        </w:rPr>
        <w:t>EC</w:t>
      </w:r>
      <w:r w:rsidR="00F01981">
        <w:rPr>
          <w:sz w:val="17"/>
          <w:szCs w:val="17"/>
        </w:rPr>
        <w:t xml:space="preserve"> sought</w:t>
      </w:r>
      <w:r w:rsidR="00F01981" w:rsidRPr="00F01981">
        <w:rPr>
          <w:sz w:val="17"/>
          <w:szCs w:val="17"/>
        </w:rPr>
        <w:t xml:space="preserve"> feedback on ways in which supervisory reporting could be simplified and streamlined.</w:t>
      </w:r>
    </w:p>
    <w:p w14:paraId="475476D1" w14:textId="77777777" w:rsidR="00753D1D" w:rsidRDefault="00753D1D" w:rsidP="00105B24">
      <w:pPr>
        <w:rPr>
          <w:sz w:val="17"/>
          <w:szCs w:val="17"/>
        </w:rPr>
      </w:pPr>
    </w:p>
    <w:p w14:paraId="1CF4CBA6" w14:textId="352CCDCD" w:rsidR="007D77F1" w:rsidRDefault="00753D1D" w:rsidP="00105B24">
      <w:pPr>
        <w:rPr>
          <w:sz w:val="17"/>
          <w:szCs w:val="17"/>
        </w:rPr>
      </w:pPr>
      <w:r>
        <w:rPr>
          <w:sz w:val="17"/>
          <w:szCs w:val="17"/>
        </w:rPr>
        <w:t>Against this background, the planned 2020 Solvency II review is the right opportunity for a review of the reporting provisions to</w:t>
      </w:r>
      <w:r w:rsidR="00B84E2F">
        <w:rPr>
          <w:sz w:val="17"/>
          <w:szCs w:val="17"/>
        </w:rPr>
        <w:t xml:space="preserve"> </w:t>
      </w:r>
      <w:r>
        <w:rPr>
          <w:sz w:val="17"/>
          <w:szCs w:val="17"/>
        </w:rPr>
        <w:t xml:space="preserve">achieve the potential of Solvency II reporting in line with the initially set objectives. </w:t>
      </w:r>
    </w:p>
    <w:p w14:paraId="2B1CFD2D" w14:textId="77777777" w:rsidR="007D77F1" w:rsidRDefault="007D77F1" w:rsidP="00105B24">
      <w:pPr>
        <w:rPr>
          <w:sz w:val="17"/>
          <w:szCs w:val="17"/>
        </w:rPr>
      </w:pPr>
    </w:p>
    <w:p w14:paraId="6349B0BC" w14:textId="77777777" w:rsidR="007D77F1" w:rsidRDefault="007D77F1" w:rsidP="007D77F1">
      <w:pPr>
        <w:rPr>
          <w:sz w:val="17"/>
          <w:szCs w:val="17"/>
        </w:rPr>
      </w:pPr>
      <w:r>
        <w:rPr>
          <w:sz w:val="17"/>
          <w:szCs w:val="17"/>
        </w:rPr>
        <w:t xml:space="preserve">Insurance Europe believes that streamlining the reporting requirements, thereby focussing on requesting information that is actually useful and needed, would be beneficial for the industry. At the same time, it is key to keep the cost of the proposed changes as low as possible. </w:t>
      </w:r>
    </w:p>
    <w:p w14:paraId="3869F797" w14:textId="77777777" w:rsidR="007D77F1" w:rsidRDefault="007D77F1" w:rsidP="007D77F1">
      <w:pPr>
        <w:rPr>
          <w:sz w:val="17"/>
          <w:szCs w:val="17"/>
        </w:rPr>
      </w:pPr>
    </w:p>
    <w:p w14:paraId="740C101D" w14:textId="24247BA0" w:rsidR="00753D1D" w:rsidRDefault="000857E0" w:rsidP="00105B24">
      <w:pPr>
        <w:rPr>
          <w:sz w:val="17"/>
          <w:szCs w:val="17"/>
        </w:rPr>
      </w:pPr>
      <w:r>
        <w:rPr>
          <w:sz w:val="17"/>
          <w:szCs w:val="17"/>
        </w:rPr>
        <w:t>T</w:t>
      </w:r>
      <w:r w:rsidR="00753D1D">
        <w:rPr>
          <w:sz w:val="17"/>
          <w:szCs w:val="17"/>
        </w:rPr>
        <w:t>he insurance industry believes that the following areas should become part of the 2020 review:</w:t>
      </w:r>
    </w:p>
    <w:p w14:paraId="4CFF3C76" w14:textId="0678B98E" w:rsidR="007D77F1" w:rsidRDefault="00327A79" w:rsidP="00657185">
      <w:pPr>
        <w:pStyle w:val="CEABullet-Level1"/>
      </w:pPr>
      <w:r>
        <w:t>Regular superv</w:t>
      </w:r>
      <w:r w:rsidR="00B471E2">
        <w:t>isory reporting and</w:t>
      </w:r>
      <w:r>
        <w:t xml:space="preserve"> QRTs </w:t>
      </w:r>
    </w:p>
    <w:p w14:paraId="351061E9" w14:textId="5A153899" w:rsidR="00327A79" w:rsidRDefault="00327A79" w:rsidP="00657185">
      <w:pPr>
        <w:pStyle w:val="CEABullet-Level1"/>
      </w:pPr>
      <w:r>
        <w:t>SFCR</w:t>
      </w:r>
    </w:p>
    <w:p w14:paraId="069C902F" w14:textId="77777777" w:rsidR="00077E51" w:rsidRDefault="00077E51" w:rsidP="00152882">
      <w:pPr>
        <w:rPr>
          <w:sz w:val="17"/>
          <w:szCs w:val="17"/>
        </w:rPr>
      </w:pPr>
    </w:p>
    <w:p w14:paraId="19D10289" w14:textId="0663E13B" w:rsidR="00366BF2" w:rsidRPr="00366BF2" w:rsidRDefault="007D77F1" w:rsidP="003C45CD">
      <w:pPr>
        <w:rPr>
          <w:i/>
          <w:sz w:val="17"/>
          <w:szCs w:val="17"/>
        </w:rPr>
      </w:pPr>
      <w:r>
        <w:rPr>
          <w:sz w:val="17"/>
          <w:szCs w:val="17"/>
        </w:rPr>
        <w:t>More detailed proposals can be found below.</w:t>
      </w:r>
    </w:p>
    <w:p w14:paraId="5E9B0B57" w14:textId="77777777" w:rsidR="00025184" w:rsidRDefault="00025184" w:rsidP="00077E51">
      <w:pPr>
        <w:rPr>
          <w:sz w:val="17"/>
          <w:szCs w:val="17"/>
        </w:rPr>
      </w:pPr>
    </w:p>
    <w:p w14:paraId="2E900748" w14:textId="77777777" w:rsidR="00404F4B" w:rsidRDefault="00404F4B" w:rsidP="00077E51">
      <w:pPr>
        <w:rPr>
          <w:sz w:val="17"/>
          <w:szCs w:val="17"/>
        </w:rPr>
      </w:pPr>
    </w:p>
    <w:p w14:paraId="45AE3C8C" w14:textId="4ADD3246" w:rsidR="003D79B7" w:rsidRPr="00280AA1" w:rsidRDefault="003D79B7" w:rsidP="003D79B7">
      <w:pPr>
        <w:autoSpaceDE w:val="0"/>
        <w:autoSpaceDN w:val="0"/>
        <w:adjustRightInd w:val="0"/>
        <w:rPr>
          <w:rFonts w:cs="Arial"/>
          <w:b/>
          <w:color w:val="002957"/>
          <w:szCs w:val="18"/>
        </w:rPr>
      </w:pPr>
      <w:r w:rsidRPr="00280AA1">
        <w:rPr>
          <w:rFonts w:cs="Arial"/>
          <w:b/>
          <w:color w:val="002957"/>
          <w:szCs w:val="18"/>
        </w:rPr>
        <w:t xml:space="preserve">Detailed </w:t>
      </w:r>
      <w:r w:rsidR="00555D13">
        <w:rPr>
          <w:rFonts w:cs="Arial"/>
          <w:b/>
          <w:color w:val="002957"/>
          <w:szCs w:val="18"/>
        </w:rPr>
        <w:t>p</w:t>
      </w:r>
      <w:r w:rsidRPr="00280AA1">
        <w:rPr>
          <w:rFonts w:cs="Arial"/>
          <w:b/>
          <w:color w:val="002957"/>
          <w:szCs w:val="18"/>
        </w:rPr>
        <w:t>roposals</w:t>
      </w:r>
    </w:p>
    <w:p w14:paraId="726277D1" w14:textId="77777777" w:rsidR="001049FC" w:rsidRPr="00D615BB" w:rsidRDefault="001049FC" w:rsidP="00152882">
      <w:pPr>
        <w:rPr>
          <w:sz w:val="17"/>
          <w:szCs w:val="17"/>
        </w:rPr>
      </w:pPr>
    </w:p>
    <w:p w14:paraId="2106A65D" w14:textId="77777777" w:rsidR="00271772" w:rsidRPr="006949A7" w:rsidRDefault="00271772" w:rsidP="00271772">
      <w:pPr>
        <w:rPr>
          <w:rFonts w:cs="Arial"/>
          <w:color w:val="002957"/>
          <w:sz w:val="20"/>
          <w:szCs w:val="22"/>
        </w:rPr>
      </w:pPr>
      <w:r w:rsidRPr="006949A7">
        <w:rPr>
          <w:rFonts w:cs="Arial"/>
          <w:color w:val="002957"/>
          <w:sz w:val="20"/>
          <w:szCs w:val="22"/>
        </w:rPr>
        <w:t>General</w:t>
      </w:r>
      <w:r>
        <w:rPr>
          <w:rFonts w:cs="Arial"/>
          <w:color w:val="002957"/>
          <w:sz w:val="20"/>
          <w:szCs w:val="22"/>
        </w:rPr>
        <w:t xml:space="preserve"> proposals/considerations</w:t>
      </w:r>
    </w:p>
    <w:p w14:paraId="1729027F" w14:textId="77777777" w:rsidR="00271772" w:rsidRDefault="00271772" w:rsidP="00271772">
      <w:pPr>
        <w:pStyle w:val="CEABullet-Level1"/>
        <w:rPr>
          <w:lang w:val="en-US"/>
        </w:rPr>
      </w:pPr>
      <w:r w:rsidRPr="00200CAD">
        <w:rPr>
          <w:b/>
          <w:lang w:val="en-US"/>
        </w:rPr>
        <w:t>R</w:t>
      </w:r>
      <w:r w:rsidRPr="00503136">
        <w:rPr>
          <w:b/>
          <w:lang w:val="en-US"/>
        </w:rPr>
        <w:t>eporting requirements</w:t>
      </w:r>
      <w:r w:rsidRPr="006949A7">
        <w:rPr>
          <w:lang w:val="en-US"/>
        </w:rPr>
        <w:t xml:space="preserve"> should be </w:t>
      </w:r>
      <w:r w:rsidRPr="00503136">
        <w:rPr>
          <w:b/>
          <w:lang w:val="en-US"/>
        </w:rPr>
        <w:t>part of the 2020 review</w:t>
      </w:r>
      <w:r>
        <w:rPr>
          <w:lang w:val="en-US"/>
        </w:rPr>
        <w:t>, with the following key objectives:</w:t>
      </w:r>
    </w:p>
    <w:p w14:paraId="1B518B45" w14:textId="08ADBE0E" w:rsidR="00271772" w:rsidRPr="00FE7EE6" w:rsidRDefault="00271772" w:rsidP="00271772">
      <w:pPr>
        <w:pStyle w:val="CEABullet-Level2"/>
        <w:rPr>
          <w:lang w:val="en-US"/>
        </w:rPr>
      </w:pPr>
      <w:r w:rsidRPr="00FE7EE6">
        <w:rPr>
          <w:lang w:val="en-US"/>
        </w:rPr>
        <w:t xml:space="preserve">Easing the burden and </w:t>
      </w:r>
      <w:r w:rsidR="00EF2E44">
        <w:rPr>
          <w:lang w:val="en-US"/>
        </w:rPr>
        <w:t>increase efficiency</w:t>
      </w:r>
      <w:r w:rsidR="00EF2E44" w:rsidRPr="00FE7EE6">
        <w:rPr>
          <w:lang w:val="en-US"/>
        </w:rPr>
        <w:t xml:space="preserve"> </w:t>
      </w:r>
      <w:r w:rsidRPr="00FE7EE6">
        <w:rPr>
          <w:lang w:val="en-US"/>
        </w:rPr>
        <w:t>of reporting on companies</w:t>
      </w:r>
    </w:p>
    <w:p w14:paraId="22589455" w14:textId="77777777" w:rsidR="00271772" w:rsidRPr="00FE7EE6" w:rsidRDefault="00271772" w:rsidP="00271772">
      <w:pPr>
        <w:pStyle w:val="CEABullet-Level2"/>
        <w:rPr>
          <w:lang w:val="en-US"/>
        </w:rPr>
      </w:pPr>
      <w:r w:rsidRPr="00FE7EE6">
        <w:rPr>
          <w:lang w:val="en-US"/>
        </w:rPr>
        <w:t>Streamlining requirements by focusing on information that is actually useful and needed</w:t>
      </w:r>
    </w:p>
    <w:p w14:paraId="4FFF3F7C" w14:textId="1C3AD4C2" w:rsidR="007C4BAF" w:rsidRDefault="007C4BAF" w:rsidP="00271772">
      <w:pPr>
        <w:pStyle w:val="CEABullet-Level2"/>
        <w:rPr>
          <w:lang w:val="en-US"/>
        </w:rPr>
      </w:pPr>
      <w:r>
        <w:rPr>
          <w:lang w:val="en-US"/>
        </w:rPr>
        <w:t>Minimising the cost of changes (eg IT costs)</w:t>
      </w:r>
    </w:p>
    <w:p w14:paraId="3B3F588C" w14:textId="072461FA" w:rsidR="00271772" w:rsidRDefault="007C4BAF" w:rsidP="00271772">
      <w:pPr>
        <w:pStyle w:val="CEABullet-Level2"/>
        <w:rPr>
          <w:lang w:val="en-US"/>
        </w:rPr>
      </w:pPr>
      <w:r>
        <w:rPr>
          <w:lang w:val="en-US"/>
        </w:rPr>
        <w:t xml:space="preserve">Undertakings should be granted a minimum of nine months to implement changed/new requirements </w:t>
      </w:r>
    </w:p>
    <w:p w14:paraId="0BA92F72" w14:textId="77777777" w:rsidR="00B6730B" w:rsidRPr="00B6730B" w:rsidRDefault="00B6730B" w:rsidP="007C4BAF">
      <w:pPr>
        <w:pStyle w:val="CEABullet-Level2"/>
        <w:numPr>
          <w:ilvl w:val="0"/>
          <w:numId w:val="0"/>
        </w:numPr>
        <w:ind w:left="1800"/>
        <w:rPr>
          <w:lang w:val="en-US"/>
        </w:rPr>
      </w:pPr>
    </w:p>
    <w:p w14:paraId="69DAA083" w14:textId="4F7E9AA5" w:rsidR="00271772" w:rsidRPr="00DF479D" w:rsidRDefault="00271772" w:rsidP="00EF2E44">
      <w:pPr>
        <w:pStyle w:val="CEABullet-Level1"/>
        <w:rPr>
          <w:lang w:val="en-US"/>
        </w:rPr>
      </w:pPr>
      <w:r>
        <w:rPr>
          <w:lang w:val="en-US"/>
        </w:rPr>
        <w:t>RSR/QRTs</w:t>
      </w:r>
      <w:r w:rsidRPr="00FE7EE6">
        <w:rPr>
          <w:lang w:val="en-US"/>
        </w:rPr>
        <w:t xml:space="preserve"> should be streamlined. </w:t>
      </w:r>
      <w:r w:rsidR="00EF2E44" w:rsidRPr="00243242">
        <w:rPr>
          <w:b/>
          <w:lang w:val="en-US"/>
        </w:rPr>
        <w:t xml:space="preserve">The content of </w:t>
      </w:r>
      <w:r w:rsidR="00C06A41" w:rsidRPr="00243242">
        <w:rPr>
          <w:b/>
          <w:lang w:val="en-US"/>
        </w:rPr>
        <w:t xml:space="preserve">the </w:t>
      </w:r>
      <w:r w:rsidR="00EF2E44" w:rsidRPr="00243242">
        <w:rPr>
          <w:b/>
          <w:lang w:val="en-US"/>
        </w:rPr>
        <w:t>QRTs needs to be reviewed and reduced to material information necessary for supervisory purposes</w:t>
      </w:r>
      <w:r w:rsidR="00EF2E44" w:rsidRPr="00EF2E44">
        <w:rPr>
          <w:lang w:val="en-US"/>
        </w:rPr>
        <w:t xml:space="preserve">. </w:t>
      </w:r>
      <w:r w:rsidR="00EF2E44">
        <w:rPr>
          <w:lang w:val="en-US"/>
        </w:rPr>
        <w:t>This</w:t>
      </w:r>
      <w:r w:rsidR="00EF2E44" w:rsidRPr="00EF2E44">
        <w:rPr>
          <w:lang w:val="en-US"/>
        </w:rPr>
        <w:t xml:space="preserve"> streamlining </w:t>
      </w:r>
      <w:r w:rsidR="00EF2E44">
        <w:rPr>
          <w:lang w:val="en-US"/>
        </w:rPr>
        <w:t xml:space="preserve">should not lead to </w:t>
      </w:r>
      <w:r w:rsidR="00EF2E44" w:rsidRPr="00EF2E44">
        <w:rPr>
          <w:lang w:val="en-US"/>
        </w:rPr>
        <w:t xml:space="preserve">an </w:t>
      </w:r>
      <w:r w:rsidR="00EF2E44">
        <w:rPr>
          <w:lang w:val="en-US"/>
        </w:rPr>
        <w:t>increase in</w:t>
      </w:r>
      <w:r w:rsidR="00EF2E44" w:rsidRPr="00EF2E44">
        <w:rPr>
          <w:lang w:val="en-US"/>
        </w:rPr>
        <w:t xml:space="preserve"> ad-hoc reporting. </w:t>
      </w:r>
      <w:r w:rsidR="00EF2E44">
        <w:rPr>
          <w:lang w:val="en-US"/>
        </w:rPr>
        <w:t>It is key that t</w:t>
      </w:r>
      <w:r w:rsidR="00EF2E44" w:rsidRPr="00EF2E44">
        <w:rPr>
          <w:lang w:val="en-US"/>
        </w:rPr>
        <w:t>he supervisory reporting consist</w:t>
      </w:r>
      <w:r w:rsidR="00C06A41">
        <w:rPr>
          <w:lang w:val="en-US"/>
        </w:rPr>
        <w:t>s</w:t>
      </w:r>
      <w:r w:rsidR="00EF2E44" w:rsidRPr="00EF2E44">
        <w:rPr>
          <w:lang w:val="en-US"/>
        </w:rPr>
        <w:t xml:space="preserve"> of predefined content and format</w:t>
      </w:r>
      <w:r w:rsidR="00C06A41">
        <w:rPr>
          <w:lang w:val="en-US"/>
        </w:rPr>
        <w:t xml:space="preserve">, </w:t>
      </w:r>
      <w:r w:rsidR="00EF2E44">
        <w:rPr>
          <w:lang w:val="en-US"/>
        </w:rPr>
        <w:t>and</w:t>
      </w:r>
      <w:r w:rsidR="00EF2E44" w:rsidRPr="00EF2E44">
        <w:rPr>
          <w:lang w:val="en-US"/>
        </w:rPr>
        <w:t xml:space="preserve"> </w:t>
      </w:r>
      <w:r w:rsidR="00EE3A83">
        <w:rPr>
          <w:lang w:val="en-US"/>
        </w:rPr>
        <w:t xml:space="preserve">unjustified </w:t>
      </w:r>
      <w:r w:rsidR="00EF2E44">
        <w:rPr>
          <w:lang w:val="en-US"/>
        </w:rPr>
        <w:t>n</w:t>
      </w:r>
      <w:r w:rsidR="00EF2E44" w:rsidRPr="00EF2E44">
        <w:rPr>
          <w:lang w:val="en-US"/>
        </w:rPr>
        <w:t>ational solutions should be avoided.</w:t>
      </w:r>
      <w:r w:rsidR="00EF2E44" w:rsidDel="00EF2E44">
        <w:rPr>
          <w:b/>
          <w:lang w:val="en-US"/>
        </w:rPr>
        <w:t xml:space="preserve"> </w:t>
      </w:r>
    </w:p>
    <w:p w14:paraId="034CAB51" w14:textId="1E52D9E7" w:rsidR="00271772" w:rsidRPr="00DF479D" w:rsidRDefault="00271772" w:rsidP="00271772">
      <w:pPr>
        <w:pStyle w:val="CEABullet-Level1"/>
        <w:rPr>
          <w:lang w:val="en-US"/>
        </w:rPr>
      </w:pPr>
      <w:bookmarkStart w:id="2" w:name="_Hlk516565190"/>
      <w:r w:rsidRPr="006949A7">
        <w:t xml:space="preserve">The </w:t>
      </w:r>
      <w:r w:rsidRPr="006949A7">
        <w:rPr>
          <w:b/>
        </w:rPr>
        <w:t xml:space="preserve">SFCR needs to be analysed </w:t>
      </w:r>
      <w:r>
        <w:rPr>
          <w:b/>
        </w:rPr>
        <w:t>thoroughly</w:t>
      </w:r>
      <w:r w:rsidR="00F363E6">
        <w:rPr>
          <w:b/>
        </w:rPr>
        <w:t>,</w:t>
      </w:r>
      <w:r w:rsidRPr="006949A7">
        <w:rPr>
          <w:b/>
        </w:rPr>
        <w:t xml:space="preserve"> and </w:t>
      </w:r>
      <w:r>
        <w:rPr>
          <w:b/>
        </w:rPr>
        <w:t xml:space="preserve">both </w:t>
      </w:r>
      <w:r w:rsidRPr="006949A7">
        <w:rPr>
          <w:b/>
        </w:rPr>
        <w:t xml:space="preserve">structure </w:t>
      </w:r>
      <w:r>
        <w:rPr>
          <w:b/>
        </w:rPr>
        <w:t xml:space="preserve">and content </w:t>
      </w:r>
      <w:r w:rsidRPr="006949A7">
        <w:rPr>
          <w:b/>
        </w:rPr>
        <w:t>should be reviewed</w:t>
      </w:r>
      <w:r>
        <w:rPr>
          <w:b/>
        </w:rPr>
        <w:t xml:space="preserve"> </w:t>
      </w:r>
      <w:r w:rsidRPr="00C374CF">
        <w:t>by focusing on information that is essential for the appraisal of an undertaking’s financial, solvency and r</w:t>
      </w:r>
      <w:r w:rsidRPr="006949A7">
        <w:t>isk situation.</w:t>
      </w:r>
    </w:p>
    <w:bookmarkEnd w:id="2"/>
    <w:p w14:paraId="40192795" w14:textId="3B3C48B8" w:rsidR="00A275BC" w:rsidRPr="00957781" w:rsidRDefault="00A275BC" w:rsidP="00957781">
      <w:pPr>
        <w:pStyle w:val="CEABullet-Level1"/>
        <w:rPr>
          <w:lang w:val="en-US"/>
        </w:rPr>
      </w:pPr>
      <w:r w:rsidRPr="00957781">
        <w:rPr>
          <w:lang w:val="en-US"/>
        </w:rPr>
        <w:t xml:space="preserve">The application of the </w:t>
      </w:r>
      <w:r w:rsidRPr="00957781">
        <w:rPr>
          <w:b/>
          <w:lang w:val="en-US"/>
        </w:rPr>
        <w:t>proportionality principle</w:t>
      </w:r>
      <w:r w:rsidRPr="00957781">
        <w:rPr>
          <w:lang w:val="en-US"/>
        </w:rPr>
        <w:t xml:space="preserve"> should be enhanced, and supervisors should allow for simplifications consistent across Europe. In fact, the extent of each undertaking’s reporting requirements should be risk-oriented and in proportion to the risk situation of the individual undertaking.  </w:t>
      </w:r>
    </w:p>
    <w:p w14:paraId="516F8159" w14:textId="7FF6D653" w:rsidR="002F481A" w:rsidRPr="002F481A" w:rsidRDefault="00BC08D4" w:rsidP="002F481A">
      <w:pPr>
        <w:pStyle w:val="CEABullet-Level1"/>
      </w:pPr>
      <w:r w:rsidRPr="00620D48">
        <w:rPr>
          <w:b/>
        </w:rPr>
        <w:t>Quarterly and annual r</w:t>
      </w:r>
      <w:r w:rsidR="00243242" w:rsidRPr="00620D48">
        <w:rPr>
          <w:b/>
        </w:rPr>
        <w:t>eporting deadlines should be reviewed</w:t>
      </w:r>
      <w:r w:rsidR="00243242" w:rsidRPr="00243242">
        <w:t xml:space="preserve">. The </w:t>
      </w:r>
      <w:r w:rsidR="00243242" w:rsidRPr="0077648D">
        <w:rPr>
          <w:b/>
        </w:rPr>
        <w:t>reporting deadlines should be aligned with the reporting deadlines applicable for 2018</w:t>
      </w:r>
      <w:r w:rsidR="00243242" w:rsidRPr="00243242">
        <w:t>. The accelerated deadlines are</w:t>
      </w:r>
      <w:r w:rsidR="00AB3D56" w:rsidRPr="00243242">
        <w:t xml:space="preserve"> difficult to meet, </w:t>
      </w:r>
      <w:r w:rsidR="00E816CC" w:rsidRPr="00243242">
        <w:t xml:space="preserve">as </w:t>
      </w:r>
      <w:r w:rsidR="00AB3D56" w:rsidRPr="00243242">
        <w:t xml:space="preserve">reporting does not only encompass the setup of an efficient dataflow and generating the required reports, but the reports also need AMSB approval and audit validation before they can be submitted to the NSA. Against this background, the </w:t>
      </w:r>
      <w:r w:rsidR="00D021A0" w:rsidRPr="00243242">
        <w:t>201</w:t>
      </w:r>
      <w:r w:rsidR="00D021A0">
        <w:t>8</w:t>
      </w:r>
      <w:r w:rsidR="00D021A0" w:rsidRPr="00243242">
        <w:t xml:space="preserve"> </w:t>
      </w:r>
      <w:r w:rsidR="00AB3D56" w:rsidRPr="00243242">
        <w:t>reporting deadlines should become the standard.</w:t>
      </w:r>
      <w:r w:rsidR="00E816CC" w:rsidRPr="00243242">
        <w:t xml:space="preserve"> </w:t>
      </w:r>
      <w:r w:rsidR="002F481A" w:rsidRPr="002F481A">
        <w:t xml:space="preserve"> The review of the reporting deadlines should be carried out as soon </w:t>
      </w:r>
      <w:r w:rsidR="00207D76">
        <w:t xml:space="preserve">as possible to avoid additional, </w:t>
      </w:r>
      <w:r w:rsidR="002F481A" w:rsidRPr="002F481A">
        <w:t>unnecessary major costs for the shorter deadlines, e</w:t>
      </w:r>
      <w:r w:rsidR="00207D76">
        <w:t>g</w:t>
      </w:r>
      <w:r w:rsidR="002F481A" w:rsidRPr="002F481A">
        <w:t xml:space="preserve"> adjusting the organisations.    </w:t>
      </w:r>
    </w:p>
    <w:p w14:paraId="7E51FD0C" w14:textId="48DD1F6B" w:rsidR="00E816CC" w:rsidRPr="00243242" w:rsidRDefault="00E816CC" w:rsidP="00207D76">
      <w:pPr>
        <w:pStyle w:val="CEABullet-Level1"/>
        <w:numPr>
          <w:ilvl w:val="0"/>
          <w:numId w:val="0"/>
        </w:numPr>
        <w:ind w:left="360"/>
        <w:rPr>
          <w:rFonts w:cs="Times New Roman"/>
          <w:color w:val="auto"/>
          <w:sz w:val="18"/>
          <w:szCs w:val="24"/>
          <w:lang w:val="en-US"/>
        </w:rPr>
      </w:pPr>
    </w:p>
    <w:p w14:paraId="36C0806C" w14:textId="58ACA86C" w:rsidR="00271772" w:rsidRPr="008F540A" w:rsidRDefault="00271772" w:rsidP="00E816CC">
      <w:pPr>
        <w:pStyle w:val="CEABullet-Level1"/>
        <w:numPr>
          <w:ilvl w:val="0"/>
          <w:numId w:val="0"/>
        </w:numPr>
        <w:ind w:left="360"/>
      </w:pPr>
    </w:p>
    <w:p w14:paraId="120B6D34" w14:textId="77777777" w:rsidR="00271772" w:rsidRPr="006949A7" w:rsidRDefault="00271772" w:rsidP="00271772">
      <w:pPr>
        <w:rPr>
          <w:rFonts w:cs="Arial"/>
          <w:color w:val="002957"/>
          <w:sz w:val="20"/>
          <w:szCs w:val="22"/>
        </w:rPr>
      </w:pPr>
      <w:r w:rsidRPr="006949A7">
        <w:rPr>
          <w:rFonts w:cs="Arial"/>
          <w:color w:val="002957"/>
          <w:sz w:val="20"/>
          <w:szCs w:val="22"/>
        </w:rPr>
        <w:t>RSR</w:t>
      </w:r>
    </w:p>
    <w:p w14:paraId="5B691FAF" w14:textId="77777777" w:rsidR="00271772" w:rsidRPr="006949A7" w:rsidRDefault="00271772" w:rsidP="00C32A0A">
      <w:pPr>
        <w:pStyle w:val="CEABullet-Level1"/>
        <w:rPr>
          <w:lang w:val="en-US"/>
        </w:rPr>
      </w:pPr>
      <w:r w:rsidRPr="006949A7">
        <w:rPr>
          <w:lang w:val="en-US"/>
        </w:rPr>
        <w:t>General proposal</w:t>
      </w:r>
    </w:p>
    <w:p w14:paraId="73350CFA" w14:textId="37277C8B" w:rsidR="00C32A0A" w:rsidRPr="0073158E" w:rsidRDefault="00794FC0" w:rsidP="0073158E">
      <w:pPr>
        <w:pStyle w:val="CEABullet-Level2"/>
        <w:rPr>
          <w:lang w:val="en-US"/>
        </w:rPr>
      </w:pPr>
      <w:r w:rsidRPr="000D0960">
        <w:rPr>
          <w:b/>
          <w:lang w:val="en-US"/>
        </w:rPr>
        <w:t>RSR should be streamlined</w:t>
      </w:r>
      <w:r w:rsidRPr="00FE7EE6">
        <w:rPr>
          <w:lang w:val="en-US"/>
        </w:rPr>
        <w:t xml:space="preserve">. </w:t>
      </w:r>
      <w:r>
        <w:rPr>
          <w:lang w:val="en-US"/>
        </w:rPr>
        <w:t xml:space="preserve">The content of </w:t>
      </w:r>
      <w:r w:rsidR="00C06A41">
        <w:rPr>
          <w:lang w:val="en-US"/>
        </w:rPr>
        <w:t xml:space="preserve">the </w:t>
      </w:r>
      <w:r>
        <w:rPr>
          <w:lang w:val="en-US"/>
        </w:rPr>
        <w:t xml:space="preserve">QRTs needs to be </w:t>
      </w:r>
      <w:r w:rsidRPr="00EF2E44">
        <w:rPr>
          <w:lang w:val="en-US"/>
        </w:rPr>
        <w:t xml:space="preserve">reviewed and </w:t>
      </w:r>
      <w:r w:rsidR="001D2616">
        <w:rPr>
          <w:lang w:val="en-US"/>
        </w:rPr>
        <w:t>limited</w:t>
      </w:r>
      <w:r w:rsidRPr="00EF2E44">
        <w:rPr>
          <w:lang w:val="en-US"/>
        </w:rPr>
        <w:t xml:space="preserve"> to material information necessary for supervisory purposes. </w:t>
      </w:r>
      <w:r>
        <w:rPr>
          <w:lang w:val="en-US"/>
        </w:rPr>
        <w:t>This</w:t>
      </w:r>
      <w:r w:rsidRPr="00EF2E44">
        <w:rPr>
          <w:lang w:val="en-US"/>
        </w:rPr>
        <w:t xml:space="preserve"> streamlining </w:t>
      </w:r>
      <w:r>
        <w:rPr>
          <w:lang w:val="en-US"/>
        </w:rPr>
        <w:t xml:space="preserve">should not lead to </w:t>
      </w:r>
      <w:r w:rsidRPr="00EF2E44">
        <w:rPr>
          <w:lang w:val="en-US"/>
        </w:rPr>
        <w:t xml:space="preserve">an </w:t>
      </w:r>
      <w:r>
        <w:rPr>
          <w:lang w:val="en-US"/>
        </w:rPr>
        <w:t>increase in</w:t>
      </w:r>
      <w:r w:rsidRPr="00EF2E44">
        <w:rPr>
          <w:lang w:val="en-US"/>
        </w:rPr>
        <w:t xml:space="preserve"> ad-hoc reporting. </w:t>
      </w:r>
      <w:r>
        <w:rPr>
          <w:lang w:val="en-US"/>
        </w:rPr>
        <w:t>It is key that t</w:t>
      </w:r>
      <w:r w:rsidRPr="00EF2E44">
        <w:rPr>
          <w:lang w:val="en-US"/>
        </w:rPr>
        <w:t>he supervisory reporting consist</w:t>
      </w:r>
      <w:r w:rsidR="00C06A41">
        <w:rPr>
          <w:lang w:val="en-US"/>
        </w:rPr>
        <w:t>s</w:t>
      </w:r>
      <w:r w:rsidRPr="00EF2E44">
        <w:rPr>
          <w:lang w:val="en-US"/>
        </w:rPr>
        <w:t xml:space="preserve"> of predefined content and format</w:t>
      </w:r>
      <w:r>
        <w:rPr>
          <w:lang w:val="en-US"/>
        </w:rPr>
        <w:t xml:space="preserve"> and</w:t>
      </w:r>
      <w:r w:rsidRPr="00EF2E44">
        <w:rPr>
          <w:lang w:val="en-US"/>
        </w:rPr>
        <w:t xml:space="preserve"> </w:t>
      </w:r>
      <w:r w:rsidR="00EE3A83">
        <w:rPr>
          <w:lang w:val="en-US"/>
        </w:rPr>
        <w:t xml:space="preserve">unjustified </w:t>
      </w:r>
      <w:r>
        <w:rPr>
          <w:lang w:val="en-US"/>
        </w:rPr>
        <w:t>n</w:t>
      </w:r>
      <w:r w:rsidRPr="00EF2E44">
        <w:rPr>
          <w:lang w:val="en-US"/>
        </w:rPr>
        <w:t>ational solutions should be avoided.</w:t>
      </w:r>
      <w:r w:rsidDel="00EF2E44">
        <w:rPr>
          <w:b/>
          <w:lang w:val="en-US"/>
        </w:rPr>
        <w:t xml:space="preserve"> </w:t>
      </w:r>
      <w:r w:rsidR="00F363E6" w:rsidRPr="00F363E6" w:rsidDel="00F363E6">
        <w:rPr>
          <w:b/>
          <w:lang w:val="en-US"/>
        </w:rPr>
        <w:t xml:space="preserve"> </w:t>
      </w:r>
    </w:p>
    <w:p w14:paraId="4742358B" w14:textId="553FCD54" w:rsidR="00271772" w:rsidRPr="006949A7" w:rsidRDefault="00271772">
      <w:pPr>
        <w:pStyle w:val="CEABullet-Level1"/>
        <w:rPr>
          <w:lang w:val="en-US"/>
        </w:rPr>
      </w:pPr>
      <w:r>
        <w:rPr>
          <w:lang w:val="en-US"/>
        </w:rPr>
        <w:t>Further suggestions</w:t>
      </w:r>
    </w:p>
    <w:p w14:paraId="7CA51ADD" w14:textId="072D47A8" w:rsidR="00A53541" w:rsidRDefault="00271772" w:rsidP="00957781">
      <w:pPr>
        <w:pStyle w:val="CEABullet-Level2"/>
        <w:rPr>
          <w:lang w:val="en-US"/>
        </w:rPr>
      </w:pPr>
      <w:r w:rsidRPr="00957781">
        <w:rPr>
          <w:lang w:val="en-US"/>
        </w:rPr>
        <w:t xml:space="preserve">A </w:t>
      </w:r>
      <w:r w:rsidRPr="00957781">
        <w:rPr>
          <w:b/>
          <w:lang w:val="en-US"/>
        </w:rPr>
        <w:t>three-year RSR</w:t>
      </w:r>
      <w:r w:rsidRPr="00957781">
        <w:rPr>
          <w:lang w:val="en-US"/>
        </w:rPr>
        <w:t xml:space="preserve"> </w:t>
      </w:r>
      <w:r w:rsidRPr="00957781">
        <w:rPr>
          <w:b/>
          <w:lang w:val="en-US"/>
        </w:rPr>
        <w:t xml:space="preserve">is sufficient </w:t>
      </w:r>
      <w:r w:rsidRPr="00957781">
        <w:rPr>
          <w:lang w:val="en-US"/>
        </w:rPr>
        <w:t xml:space="preserve">and should become the standard, as opposed to simply being an option at NSA’s discretion. A submission of the RSR should only be </w:t>
      </w:r>
      <w:r w:rsidR="00707824">
        <w:rPr>
          <w:lang w:val="en-US"/>
        </w:rPr>
        <w:t>required</w:t>
      </w:r>
      <w:r w:rsidR="00707824" w:rsidRPr="00957781">
        <w:rPr>
          <w:lang w:val="en-US"/>
        </w:rPr>
        <w:t xml:space="preserve"> </w:t>
      </w:r>
      <w:r w:rsidRPr="00957781">
        <w:rPr>
          <w:lang w:val="en-US"/>
        </w:rPr>
        <w:t>in valid exceptional cases</w:t>
      </w:r>
      <w:r w:rsidR="002F03EA">
        <w:rPr>
          <w:lang w:val="en-US"/>
        </w:rPr>
        <w:t xml:space="preserve">, </w:t>
      </w:r>
      <w:r w:rsidR="00A621C0">
        <w:rPr>
          <w:lang w:val="en-US"/>
        </w:rPr>
        <w:t>to this end</w:t>
      </w:r>
      <w:r w:rsidR="002F03EA">
        <w:rPr>
          <w:lang w:val="en-US"/>
        </w:rPr>
        <w:t xml:space="preserve"> a</w:t>
      </w:r>
      <w:r w:rsidR="002C4110">
        <w:rPr>
          <w:lang w:val="en-US"/>
        </w:rPr>
        <w:t xml:space="preserve"> trigger for ad hoc reporting could be defined, eg an updated RSR should be submitted within six months after the occurrence of a pre-defined event</w:t>
      </w:r>
      <w:r w:rsidRPr="00957781">
        <w:rPr>
          <w:i/>
          <w:lang w:val="en-US"/>
        </w:rPr>
        <w:t>.</w:t>
      </w:r>
      <w:r w:rsidR="00F363E6" w:rsidRPr="00957781">
        <w:rPr>
          <w:i/>
          <w:lang w:val="en-US"/>
        </w:rPr>
        <w:t xml:space="preserve"> </w:t>
      </w:r>
    </w:p>
    <w:p w14:paraId="54049666" w14:textId="7D06FA5B" w:rsidR="00271772" w:rsidRPr="00957781" w:rsidRDefault="002F03EA" w:rsidP="00957781">
      <w:pPr>
        <w:pStyle w:val="CEABullet-Level2"/>
        <w:rPr>
          <w:lang w:val="en-US"/>
        </w:rPr>
      </w:pPr>
      <w:r>
        <w:rPr>
          <w:lang w:val="en-US"/>
        </w:rPr>
        <w:lastRenderedPageBreak/>
        <w:t>In case</w:t>
      </w:r>
      <w:r w:rsidR="00A53541">
        <w:rPr>
          <w:lang w:val="en-US"/>
        </w:rPr>
        <w:t xml:space="preserve"> the </w:t>
      </w:r>
      <w:r w:rsidR="00A53541" w:rsidRPr="00620D48">
        <w:rPr>
          <w:b/>
          <w:lang w:val="en-US"/>
        </w:rPr>
        <w:t xml:space="preserve">requirement for an annual RSR </w:t>
      </w:r>
      <w:r w:rsidRPr="00620D48">
        <w:rPr>
          <w:b/>
          <w:lang w:val="en-US"/>
        </w:rPr>
        <w:t>would be</w:t>
      </w:r>
      <w:r w:rsidR="00A53541" w:rsidRPr="00620D48">
        <w:rPr>
          <w:b/>
          <w:lang w:val="en-US"/>
        </w:rPr>
        <w:t xml:space="preserve"> main</w:t>
      </w:r>
      <w:r w:rsidR="003D205A" w:rsidRPr="00620D48">
        <w:rPr>
          <w:b/>
          <w:lang w:val="en-US"/>
        </w:rPr>
        <w:t>t</w:t>
      </w:r>
      <w:r w:rsidR="00A53541" w:rsidRPr="00620D48">
        <w:rPr>
          <w:b/>
          <w:lang w:val="en-US"/>
        </w:rPr>
        <w:t>ained</w:t>
      </w:r>
      <w:r w:rsidR="00A53541">
        <w:rPr>
          <w:lang w:val="en-US"/>
        </w:rPr>
        <w:t xml:space="preserve">, </w:t>
      </w:r>
      <w:r w:rsidRPr="00061BE0">
        <w:rPr>
          <w:b/>
          <w:lang w:val="en-US"/>
        </w:rPr>
        <w:t>a statement</w:t>
      </w:r>
      <w:r>
        <w:rPr>
          <w:lang w:val="en-US"/>
        </w:rPr>
        <w:t xml:space="preserve"> – declaring that there have not been material changes – </w:t>
      </w:r>
      <w:r w:rsidRPr="00061BE0">
        <w:rPr>
          <w:b/>
          <w:lang w:val="en-US"/>
        </w:rPr>
        <w:t xml:space="preserve">should be sufficient </w:t>
      </w:r>
      <w:r w:rsidR="00A53541" w:rsidRPr="00061BE0">
        <w:rPr>
          <w:b/>
          <w:lang w:val="en-US"/>
        </w:rPr>
        <w:t>i</w:t>
      </w:r>
      <w:r w:rsidR="00D526FA" w:rsidRPr="00061BE0">
        <w:rPr>
          <w:b/>
          <w:lang w:val="en-US"/>
        </w:rPr>
        <w:t>n years where no material changes are identified</w:t>
      </w:r>
      <w:r w:rsidR="00D526FA">
        <w:rPr>
          <w:lang w:val="en-US"/>
        </w:rPr>
        <w:t xml:space="preserve">. </w:t>
      </w:r>
    </w:p>
    <w:p w14:paraId="4F0AA1A4" w14:textId="62A411BC" w:rsidR="00271772" w:rsidRPr="002C4110" w:rsidRDefault="00271772" w:rsidP="00194048">
      <w:pPr>
        <w:pStyle w:val="CEABullet-Level2"/>
        <w:rPr>
          <w:lang w:val="en-US"/>
        </w:rPr>
      </w:pPr>
      <w:r w:rsidRPr="002C4110">
        <w:rPr>
          <w:b/>
          <w:lang w:val="en-US"/>
        </w:rPr>
        <w:t>The option to submit a single group report should also be available for the RSR</w:t>
      </w:r>
      <w:r w:rsidRPr="002C4110">
        <w:rPr>
          <w:lang w:val="en-US"/>
        </w:rPr>
        <w:t>. Currently, the submission of a single group report is only possible for ORSA (SII Dir Art 246(</w:t>
      </w:r>
      <w:r w:rsidRPr="00675BAC">
        <w:rPr>
          <w:lang w:val="en-US"/>
        </w:rPr>
        <w:t>4</w:t>
      </w:r>
      <w:r w:rsidRPr="000857E0">
        <w:rPr>
          <w:lang w:val="en-US"/>
        </w:rPr>
        <w:t>)) and SFCR (DA Art 365 to 371). Further, if undertakings got approval for a single group SFCR, the approval for a single group RSR sho</w:t>
      </w:r>
      <w:r w:rsidRPr="002F03EA">
        <w:rPr>
          <w:lang w:val="en-US"/>
        </w:rPr>
        <w:t xml:space="preserve">uld be given automatically. </w:t>
      </w:r>
      <w:r w:rsidR="004E3D46" w:rsidRPr="002F03EA">
        <w:rPr>
          <w:lang w:val="en-US"/>
        </w:rPr>
        <w:t>Insurance Europe acknowledge</w:t>
      </w:r>
      <w:r w:rsidR="00304851" w:rsidRPr="002F03EA">
        <w:rPr>
          <w:lang w:val="en-US"/>
        </w:rPr>
        <w:t>s</w:t>
      </w:r>
      <w:r w:rsidR="004E3D46" w:rsidRPr="002F03EA">
        <w:rPr>
          <w:lang w:val="en-US"/>
        </w:rPr>
        <w:t xml:space="preserve"> that it is theoretically possible for undertakings to submit a single group RSR, </w:t>
      </w:r>
      <w:r w:rsidR="00304851" w:rsidRPr="002F03EA">
        <w:rPr>
          <w:lang w:val="en-US"/>
        </w:rPr>
        <w:t>as</w:t>
      </w:r>
      <w:r w:rsidR="004E3D46" w:rsidRPr="002F03EA">
        <w:rPr>
          <w:lang w:val="en-US"/>
        </w:rPr>
        <w:t xml:space="preserve"> cross-references to specific pieces of information are permitted. </w:t>
      </w:r>
      <w:r w:rsidR="002F03EA">
        <w:rPr>
          <w:lang w:val="en-US"/>
        </w:rPr>
        <w:t>I</w:t>
      </w:r>
      <w:r w:rsidR="00304851" w:rsidRPr="002F03EA">
        <w:rPr>
          <w:lang w:val="en-US"/>
        </w:rPr>
        <w:t xml:space="preserve">n </w:t>
      </w:r>
      <w:r w:rsidR="002F03EA" w:rsidRPr="002F03EA">
        <w:rPr>
          <w:lang w:val="en-US"/>
        </w:rPr>
        <w:t>practice,</w:t>
      </w:r>
      <w:r w:rsidR="00304851" w:rsidRPr="002F03EA">
        <w:rPr>
          <w:lang w:val="en-US"/>
        </w:rPr>
        <w:t xml:space="preserve"> t</w:t>
      </w:r>
      <w:r w:rsidR="004E3D46" w:rsidRPr="002F03EA">
        <w:rPr>
          <w:lang w:val="en-US"/>
        </w:rPr>
        <w:t>his approach has worked well</w:t>
      </w:r>
      <w:r w:rsidR="00304851" w:rsidRPr="002F03EA">
        <w:rPr>
          <w:lang w:val="en-US"/>
        </w:rPr>
        <w:t xml:space="preserve"> </w:t>
      </w:r>
      <w:r w:rsidR="004E3D46" w:rsidRPr="002F03EA">
        <w:rPr>
          <w:lang w:val="en-US"/>
        </w:rPr>
        <w:t xml:space="preserve">for some groups and their supervisors.  However, it would be sensible to make this </w:t>
      </w:r>
      <w:r w:rsidR="002F03EA">
        <w:rPr>
          <w:lang w:val="en-US"/>
        </w:rPr>
        <w:t xml:space="preserve">option </w:t>
      </w:r>
      <w:r w:rsidR="004E3D46" w:rsidRPr="002F03EA">
        <w:rPr>
          <w:lang w:val="en-US"/>
        </w:rPr>
        <w:t>more explicit via the Delegated Act.</w:t>
      </w:r>
    </w:p>
    <w:p w14:paraId="65E80191" w14:textId="0E30D510" w:rsidR="00271772" w:rsidRDefault="00271772" w:rsidP="00271772">
      <w:pPr>
        <w:pStyle w:val="CEABullet-Level2"/>
        <w:rPr>
          <w:lang w:val="en-US"/>
        </w:rPr>
      </w:pPr>
      <w:r w:rsidRPr="00945021">
        <w:rPr>
          <w:b/>
          <w:lang w:val="en-US"/>
        </w:rPr>
        <w:t>Q4 MCR reporting delivery should not be compulsory</w:t>
      </w:r>
      <w:r w:rsidRPr="00945021">
        <w:rPr>
          <w:lang w:val="en-US"/>
        </w:rPr>
        <w:t>, as there is annual delivery.</w:t>
      </w:r>
    </w:p>
    <w:p w14:paraId="01F09F0F" w14:textId="77777777" w:rsidR="00061BE0" w:rsidRDefault="00FA7745" w:rsidP="00FA7745">
      <w:pPr>
        <w:pStyle w:val="CEABullet-Level2"/>
        <w:rPr>
          <w:lang w:val="en-US"/>
        </w:rPr>
      </w:pPr>
      <w:r>
        <w:rPr>
          <w:lang w:val="en-US"/>
        </w:rPr>
        <w:t xml:space="preserve">RSR should not contain information </w:t>
      </w:r>
      <w:r w:rsidR="00061BE0">
        <w:rPr>
          <w:lang w:val="en-US"/>
        </w:rPr>
        <w:t>already:</w:t>
      </w:r>
    </w:p>
    <w:p w14:paraId="4532B7DA" w14:textId="36D3559C" w:rsidR="00061BE0" w:rsidRDefault="00FA7745" w:rsidP="005C276E">
      <w:pPr>
        <w:pStyle w:val="CEABullet-Level3"/>
        <w:rPr>
          <w:lang w:val="en-US"/>
        </w:rPr>
      </w:pPr>
      <w:r>
        <w:rPr>
          <w:lang w:val="en-US"/>
        </w:rPr>
        <w:t xml:space="preserve">shared with the NSAs </w:t>
      </w:r>
    </w:p>
    <w:p w14:paraId="21219717" w14:textId="45C3ECED" w:rsidR="00FA7745" w:rsidRPr="00FA7745" w:rsidRDefault="00FA7745" w:rsidP="005C276E">
      <w:pPr>
        <w:pStyle w:val="CEABullet-Level3"/>
        <w:rPr>
          <w:lang w:val="en-US"/>
        </w:rPr>
      </w:pPr>
      <w:r>
        <w:rPr>
          <w:lang w:val="en-US"/>
        </w:rPr>
        <w:t>requested in the SFCR.</w:t>
      </w:r>
    </w:p>
    <w:p w14:paraId="28CF6A1A" w14:textId="24677A51" w:rsidR="00271772" w:rsidRPr="006949A7" w:rsidRDefault="00271772" w:rsidP="00271772">
      <w:pPr>
        <w:pStyle w:val="CEABullet-Level2"/>
        <w:numPr>
          <w:ilvl w:val="0"/>
          <w:numId w:val="0"/>
        </w:numPr>
        <w:ind w:left="720"/>
        <w:rPr>
          <w:lang w:val="en-US"/>
        </w:rPr>
      </w:pPr>
    </w:p>
    <w:p w14:paraId="38263658" w14:textId="77777777" w:rsidR="00271772" w:rsidRPr="006949A7" w:rsidRDefault="00271772" w:rsidP="00271772">
      <w:pPr>
        <w:rPr>
          <w:rFonts w:cs="Arial"/>
          <w:color w:val="002957"/>
          <w:sz w:val="20"/>
          <w:szCs w:val="22"/>
        </w:rPr>
      </w:pPr>
      <w:r w:rsidRPr="006949A7">
        <w:rPr>
          <w:rFonts w:cs="Arial"/>
          <w:color w:val="002957"/>
          <w:sz w:val="20"/>
          <w:szCs w:val="22"/>
        </w:rPr>
        <w:t>QRT</w:t>
      </w:r>
      <w:r>
        <w:rPr>
          <w:rFonts w:cs="Arial"/>
          <w:color w:val="002957"/>
          <w:sz w:val="20"/>
          <w:szCs w:val="22"/>
        </w:rPr>
        <w:t>s</w:t>
      </w:r>
      <w:r w:rsidRPr="006949A7">
        <w:rPr>
          <w:rFonts w:cs="Arial"/>
          <w:color w:val="002957"/>
          <w:sz w:val="20"/>
          <w:szCs w:val="22"/>
        </w:rPr>
        <w:t xml:space="preserve"> </w:t>
      </w:r>
    </w:p>
    <w:p w14:paraId="2CFFB213" w14:textId="77777777" w:rsidR="00271772" w:rsidRPr="006949A7" w:rsidRDefault="00271772" w:rsidP="00C32A0A">
      <w:pPr>
        <w:pStyle w:val="CEABullet-Level1"/>
      </w:pPr>
      <w:r w:rsidRPr="006949A7">
        <w:t>General Proposal</w:t>
      </w:r>
    </w:p>
    <w:p w14:paraId="15E51FD2" w14:textId="3500A381" w:rsidR="00C32A0A" w:rsidRPr="0073158E" w:rsidRDefault="00D526FA" w:rsidP="0073158E">
      <w:pPr>
        <w:pStyle w:val="CEABullet-Level2"/>
        <w:rPr>
          <w:lang w:val="en-US"/>
        </w:rPr>
      </w:pPr>
      <w:r w:rsidRPr="000D0960">
        <w:rPr>
          <w:b/>
          <w:lang w:val="en-US"/>
        </w:rPr>
        <w:t>QRTs should be streamlined</w:t>
      </w:r>
      <w:r w:rsidRPr="00FE7EE6">
        <w:rPr>
          <w:lang w:val="en-US"/>
        </w:rPr>
        <w:t xml:space="preserve">. </w:t>
      </w:r>
      <w:r>
        <w:rPr>
          <w:lang w:val="en-US"/>
        </w:rPr>
        <w:t xml:space="preserve">The content of QRTs needs to be </w:t>
      </w:r>
      <w:r w:rsidRPr="00EF2E44">
        <w:rPr>
          <w:lang w:val="en-US"/>
        </w:rPr>
        <w:t xml:space="preserve">reviewed and </w:t>
      </w:r>
      <w:r w:rsidR="001D2616">
        <w:rPr>
          <w:lang w:val="en-US"/>
        </w:rPr>
        <w:t>limited</w:t>
      </w:r>
      <w:r w:rsidRPr="00EF2E44">
        <w:rPr>
          <w:lang w:val="en-US"/>
        </w:rPr>
        <w:t xml:space="preserve"> to material information necessary for supervisory purposes. </w:t>
      </w:r>
      <w:r>
        <w:rPr>
          <w:lang w:val="en-US"/>
        </w:rPr>
        <w:t>This</w:t>
      </w:r>
      <w:r w:rsidRPr="00EF2E44">
        <w:rPr>
          <w:lang w:val="en-US"/>
        </w:rPr>
        <w:t xml:space="preserve"> streamlining </w:t>
      </w:r>
      <w:r>
        <w:rPr>
          <w:lang w:val="en-US"/>
        </w:rPr>
        <w:t xml:space="preserve">should not lead to </w:t>
      </w:r>
      <w:r w:rsidRPr="00EF2E44">
        <w:rPr>
          <w:lang w:val="en-US"/>
        </w:rPr>
        <w:t xml:space="preserve">an </w:t>
      </w:r>
      <w:r>
        <w:rPr>
          <w:lang w:val="en-US"/>
        </w:rPr>
        <w:t>increase in</w:t>
      </w:r>
      <w:r w:rsidRPr="00EF2E44">
        <w:rPr>
          <w:lang w:val="en-US"/>
        </w:rPr>
        <w:t xml:space="preserve"> ad-hoc reporting. </w:t>
      </w:r>
      <w:r>
        <w:rPr>
          <w:lang w:val="en-US"/>
        </w:rPr>
        <w:t>It is key that t</w:t>
      </w:r>
      <w:r w:rsidRPr="00EF2E44">
        <w:rPr>
          <w:lang w:val="en-US"/>
        </w:rPr>
        <w:t>he supervisory reporting should always consist of predefined content and format</w:t>
      </w:r>
      <w:r>
        <w:rPr>
          <w:lang w:val="en-US"/>
        </w:rPr>
        <w:t xml:space="preserve"> and</w:t>
      </w:r>
      <w:r w:rsidRPr="00EF2E44">
        <w:rPr>
          <w:lang w:val="en-US"/>
        </w:rPr>
        <w:t xml:space="preserve"> </w:t>
      </w:r>
      <w:r w:rsidR="00EE3A83">
        <w:rPr>
          <w:lang w:val="en-US"/>
        </w:rPr>
        <w:t xml:space="preserve">unjustified </w:t>
      </w:r>
      <w:r>
        <w:rPr>
          <w:lang w:val="en-US"/>
        </w:rPr>
        <w:t>n</w:t>
      </w:r>
      <w:r w:rsidRPr="00EF2E44">
        <w:rPr>
          <w:lang w:val="en-US"/>
        </w:rPr>
        <w:t>ational solutions should be avoided.</w:t>
      </w:r>
      <w:r w:rsidDel="00EF2E44">
        <w:rPr>
          <w:b/>
          <w:lang w:val="en-US"/>
        </w:rPr>
        <w:t xml:space="preserve"> </w:t>
      </w:r>
    </w:p>
    <w:p w14:paraId="2B92CC6C" w14:textId="77777777" w:rsidR="00271772" w:rsidRPr="003D2D6D" w:rsidRDefault="00271772">
      <w:pPr>
        <w:pStyle w:val="CEABullet-Level1"/>
        <w:rPr>
          <w:lang w:val="en-US"/>
        </w:rPr>
      </w:pPr>
      <w:r w:rsidRPr="003D2D6D">
        <w:rPr>
          <w:lang w:val="en-US"/>
        </w:rPr>
        <w:t>Q4 reporting</w:t>
      </w:r>
    </w:p>
    <w:p w14:paraId="39B9266C" w14:textId="77777777" w:rsidR="00271772" w:rsidRPr="006949A7" w:rsidRDefault="00271772" w:rsidP="00271772">
      <w:pPr>
        <w:pStyle w:val="CEABullet-Level2"/>
        <w:rPr>
          <w:lang w:val="en-US"/>
        </w:rPr>
      </w:pPr>
      <w:r w:rsidRPr="006949A7">
        <w:rPr>
          <w:lang w:val="en-US"/>
        </w:rPr>
        <w:t xml:space="preserve">The </w:t>
      </w:r>
      <w:r w:rsidRPr="006949A7">
        <w:rPr>
          <w:b/>
          <w:lang w:val="en-US"/>
        </w:rPr>
        <w:t>Q4 submission requirement should be removed</w:t>
      </w:r>
      <w:r w:rsidRPr="006949A7">
        <w:rPr>
          <w:lang w:val="en-US"/>
        </w:rPr>
        <w:t>, while the reporting deadlines for the annual report should not be shortened</w:t>
      </w:r>
      <w:r>
        <w:rPr>
          <w:lang w:val="en-US"/>
        </w:rPr>
        <w:t>.</w:t>
      </w:r>
    </w:p>
    <w:p w14:paraId="0F03D940" w14:textId="026A6C5B" w:rsidR="00271772" w:rsidRPr="006949A7" w:rsidRDefault="00271772" w:rsidP="00271772">
      <w:pPr>
        <w:pStyle w:val="CEABullet-Level1"/>
        <w:rPr>
          <w:lang w:val="en-US"/>
        </w:rPr>
      </w:pPr>
      <w:r w:rsidRPr="006949A7">
        <w:rPr>
          <w:lang w:val="en-US"/>
        </w:rPr>
        <w:t>Waivers</w:t>
      </w:r>
      <w:r w:rsidR="006943C6">
        <w:rPr>
          <w:lang w:val="en-US"/>
        </w:rPr>
        <w:t xml:space="preserve"> should be applied in a</w:t>
      </w:r>
      <w:r w:rsidR="00C66131">
        <w:rPr>
          <w:lang w:val="en-US"/>
        </w:rPr>
        <w:t>n</w:t>
      </w:r>
      <w:r w:rsidR="006943C6">
        <w:rPr>
          <w:lang w:val="en-US"/>
        </w:rPr>
        <w:t xml:space="preserve"> </w:t>
      </w:r>
      <w:r w:rsidR="00C66131">
        <w:rPr>
          <w:lang w:val="en-US"/>
        </w:rPr>
        <w:t>automatic</w:t>
      </w:r>
      <w:r w:rsidR="006943C6">
        <w:rPr>
          <w:lang w:val="en-US"/>
        </w:rPr>
        <w:t xml:space="preserve"> way, to reflect an implementation of the proportionality principle</w:t>
      </w:r>
    </w:p>
    <w:p w14:paraId="21B221D3" w14:textId="67C44350" w:rsidR="00271772" w:rsidRPr="006949A7" w:rsidRDefault="00271772" w:rsidP="00271772">
      <w:pPr>
        <w:pStyle w:val="CEABullet-Level2"/>
        <w:rPr>
          <w:lang w:val="en-US"/>
        </w:rPr>
      </w:pPr>
      <w:r w:rsidRPr="006949A7">
        <w:rPr>
          <w:lang w:val="en-US"/>
        </w:rPr>
        <w:t xml:space="preserve">The </w:t>
      </w:r>
      <w:r w:rsidRPr="006949A7">
        <w:rPr>
          <w:b/>
          <w:lang w:val="en-US"/>
        </w:rPr>
        <w:t>waivers foreseen in Art 35(6)</w:t>
      </w:r>
      <w:r w:rsidR="00C66131">
        <w:rPr>
          <w:b/>
          <w:lang w:val="en-US"/>
        </w:rPr>
        <w:t xml:space="preserve">, </w:t>
      </w:r>
      <w:r w:rsidRPr="006949A7">
        <w:rPr>
          <w:b/>
          <w:lang w:val="en-US"/>
        </w:rPr>
        <w:t xml:space="preserve">(7) should be made </w:t>
      </w:r>
      <w:r w:rsidR="00C66131">
        <w:rPr>
          <w:b/>
          <w:lang w:val="en-US"/>
        </w:rPr>
        <w:t xml:space="preserve">automatic </w:t>
      </w:r>
      <w:r w:rsidRPr="006949A7">
        <w:rPr>
          <w:b/>
          <w:lang w:val="en-US"/>
        </w:rPr>
        <w:t>instead of optional</w:t>
      </w:r>
      <w:r w:rsidRPr="006949A7">
        <w:rPr>
          <w:lang w:val="en-US"/>
        </w:rPr>
        <w:t xml:space="preserve"> </w:t>
      </w:r>
      <w:r w:rsidRPr="006949A7">
        <w:t>and national goldplating must be avoided</w:t>
      </w:r>
      <w:r>
        <w:t>.</w:t>
      </w:r>
    </w:p>
    <w:p w14:paraId="625CD30D" w14:textId="6F574055" w:rsidR="00465BDE" w:rsidRDefault="00465BDE" w:rsidP="00465BDE">
      <w:pPr>
        <w:pStyle w:val="CEABullet-Level2"/>
        <w:rPr>
          <w:lang w:val="en-US"/>
        </w:rPr>
      </w:pPr>
      <w:r w:rsidRPr="006949A7">
        <w:rPr>
          <w:lang w:val="en-US"/>
        </w:rPr>
        <w:t xml:space="preserve">The </w:t>
      </w:r>
      <w:r w:rsidRPr="006949A7">
        <w:rPr>
          <w:b/>
          <w:lang w:val="en-US"/>
        </w:rPr>
        <w:t xml:space="preserve">availability of waivers should be </w:t>
      </w:r>
      <w:r w:rsidR="00A621C0" w:rsidRPr="006949A7">
        <w:rPr>
          <w:b/>
          <w:lang w:val="en-US"/>
        </w:rPr>
        <w:t>expanded;</w:t>
      </w:r>
      <w:r w:rsidRPr="006949A7">
        <w:rPr>
          <w:b/>
          <w:lang w:val="en-US"/>
        </w:rPr>
        <w:t xml:space="preserve"> </w:t>
      </w:r>
      <w:r w:rsidRPr="006949A7">
        <w:rPr>
          <w:lang w:val="en-US"/>
        </w:rPr>
        <w:t>therefore the</w:t>
      </w:r>
      <w:r w:rsidRPr="006949A7">
        <w:rPr>
          <w:b/>
          <w:lang w:val="en-US"/>
        </w:rPr>
        <w:t xml:space="preserve"> 20% market threshold should be increased</w:t>
      </w:r>
      <w:r w:rsidRPr="006949A7">
        <w:rPr>
          <w:lang w:val="en-US"/>
        </w:rPr>
        <w:t>. (Dir Art 35(6)(b)/Art 35(7)(d))</w:t>
      </w:r>
      <w:r>
        <w:rPr>
          <w:lang w:val="en-US"/>
        </w:rPr>
        <w:t>.</w:t>
      </w:r>
    </w:p>
    <w:p w14:paraId="49C8709F" w14:textId="014BE8C8" w:rsidR="00271772" w:rsidRPr="006949A7" w:rsidRDefault="00C66131" w:rsidP="00271772">
      <w:pPr>
        <w:pStyle w:val="CEABullet-Level2"/>
        <w:rPr>
          <w:lang w:val="en-US"/>
        </w:rPr>
      </w:pPr>
      <w:r>
        <w:rPr>
          <w:b/>
          <w:lang w:val="en-US"/>
        </w:rPr>
        <w:t xml:space="preserve">If the waivers are not made automatic, </w:t>
      </w:r>
      <w:r w:rsidR="00271772" w:rsidRPr="00503136">
        <w:rPr>
          <w:b/>
          <w:lang w:val="en-US"/>
        </w:rPr>
        <w:t>NSAs should</w:t>
      </w:r>
      <w:r w:rsidR="00271772" w:rsidRPr="006949A7">
        <w:rPr>
          <w:lang w:val="en-US"/>
        </w:rPr>
        <w:t xml:space="preserve"> look to </w:t>
      </w:r>
      <w:r w:rsidR="00271772" w:rsidRPr="00503136">
        <w:rPr>
          <w:b/>
          <w:lang w:val="en-US"/>
        </w:rPr>
        <w:t>promote these waivers</w:t>
      </w:r>
      <w:r w:rsidR="00271772" w:rsidRPr="006949A7">
        <w:rPr>
          <w:lang w:val="en-US"/>
        </w:rPr>
        <w:t xml:space="preserve">, and </w:t>
      </w:r>
      <w:r w:rsidR="00271772" w:rsidRPr="00503136">
        <w:rPr>
          <w:b/>
          <w:lang w:val="en-US"/>
        </w:rPr>
        <w:t>support smaller firms in applying for these waivers</w:t>
      </w:r>
      <w:r w:rsidR="00271772" w:rsidRPr="006949A7">
        <w:rPr>
          <w:lang w:val="en-US"/>
        </w:rPr>
        <w:t>, up to the threshold of each member state’s market.</w:t>
      </w:r>
    </w:p>
    <w:p w14:paraId="4B5B99E2" w14:textId="3E958DDC" w:rsidR="00271772" w:rsidRPr="00EA570B" w:rsidRDefault="00271772" w:rsidP="00600B2E">
      <w:pPr>
        <w:pStyle w:val="CEABullet-Level1"/>
        <w:rPr>
          <w:lang w:val="en-US"/>
        </w:rPr>
      </w:pPr>
      <w:r w:rsidRPr="006949A7">
        <w:rPr>
          <w:lang w:val="en-US"/>
        </w:rPr>
        <w:t>O</w:t>
      </w:r>
      <w:r w:rsidRPr="00EA570B">
        <w:rPr>
          <w:lang w:val="en-US"/>
        </w:rPr>
        <w:t>ther suggestions</w:t>
      </w:r>
    </w:p>
    <w:p w14:paraId="142B3D95" w14:textId="613ED714" w:rsidR="00271772" w:rsidRPr="00F627D1" w:rsidRDefault="00271772" w:rsidP="00F627D1">
      <w:pPr>
        <w:pStyle w:val="CEABullet-Level2"/>
        <w:rPr>
          <w:lang w:val="en-US"/>
        </w:rPr>
      </w:pPr>
      <w:r w:rsidRPr="006949A7">
        <w:rPr>
          <w:b/>
          <w:lang w:val="en-US"/>
        </w:rPr>
        <w:t>National specific templates</w:t>
      </w:r>
      <w:r w:rsidR="005C276E">
        <w:rPr>
          <w:b/>
          <w:lang w:val="en-US"/>
        </w:rPr>
        <w:t xml:space="preserve"> (NST)</w:t>
      </w:r>
      <w:r w:rsidRPr="006949A7">
        <w:rPr>
          <w:b/>
          <w:lang w:val="en-US"/>
        </w:rPr>
        <w:t xml:space="preserve"> should be avoided</w:t>
      </w:r>
      <w:r w:rsidRPr="006949A7">
        <w:rPr>
          <w:lang w:val="en-US"/>
        </w:rPr>
        <w:t xml:space="preserve">, and only be required when there are genuine local specificities to be taken into account.  </w:t>
      </w:r>
      <w:r w:rsidR="00B00A7F" w:rsidRPr="00B00A7F">
        <w:rPr>
          <w:lang w:val="en-US"/>
        </w:rPr>
        <w:t xml:space="preserve">Where an NSA requires the </w:t>
      </w:r>
      <w:r w:rsidR="005C276E">
        <w:rPr>
          <w:lang w:val="en-US"/>
        </w:rPr>
        <w:t xml:space="preserve">preparation </w:t>
      </w:r>
      <w:r w:rsidR="00B00A7F" w:rsidRPr="00B00A7F">
        <w:rPr>
          <w:lang w:val="en-US"/>
        </w:rPr>
        <w:t>and reporting of an NST, there should be a requirement for the NSA to demonstrate how it will be used and the benefit it will bring.  This would encourage NSAs to only request information that is genuinely relevant to their objectives.</w:t>
      </w:r>
    </w:p>
    <w:p w14:paraId="0E96FCCD" w14:textId="68CC846F" w:rsidR="00E44B06" w:rsidRPr="00E44B06" w:rsidRDefault="00E44B06" w:rsidP="00E44B06">
      <w:pPr>
        <w:pStyle w:val="CEABullet-Level2"/>
        <w:numPr>
          <w:ilvl w:val="0"/>
          <w:numId w:val="0"/>
        </w:numPr>
        <w:ind w:left="1800"/>
      </w:pPr>
    </w:p>
    <w:p w14:paraId="4472934E" w14:textId="2D026E54" w:rsidR="00271772" w:rsidRPr="006949A7" w:rsidRDefault="00271772" w:rsidP="00271772">
      <w:pPr>
        <w:ind w:left="1080"/>
        <w:rPr>
          <w:rFonts w:cstheme="minorBidi"/>
          <w:szCs w:val="17"/>
          <w:lang w:val="en-US"/>
        </w:rPr>
      </w:pPr>
    </w:p>
    <w:p w14:paraId="7A89E170" w14:textId="77777777" w:rsidR="00271772" w:rsidRPr="006949A7" w:rsidRDefault="00271772" w:rsidP="00271772">
      <w:pPr>
        <w:rPr>
          <w:rFonts w:cs="Arial"/>
          <w:color w:val="002957"/>
          <w:sz w:val="20"/>
          <w:szCs w:val="22"/>
        </w:rPr>
      </w:pPr>
      <w:r w:rsidRPr="006949A7">
        <w:rPr>
          <w:rFonts w:cs="Arial"/>
          <w:color w:val="002957"/>
          <w:sz w:val="20"/>
          <w:szCs w:val="22"/>
        </w:rPr>
        <w:t>SFCR</w:t>
      </w:r>
    </w:p>
    <w:p w14:paraId="169A782E" w14:textId="77777777" w:rsidR="00271772" w:rsidRPr="00200CAD" w:rsidRDefault="00271772" w:rsidP="00271772">
      <w:pPr>
        <w:pStyle w:val="CEABullet-Level1"/>
      </w:pPr>
      <w:r w:rsidRPr="00200CAD">
        <w:t>General Proposal</w:t>
      </w:r>
    </w:p>
    <w:p w14:paraId="3F01452B" w14:textId="7A0B0C9A" w:rsidR="00271772" w:rsidRDefault="00271772" w:rsidP="00271772">
      <w:pPr>
        <w:pStyle w:val="CEABullet-Level2"/>
      </w:pPr>
      <w:r>
        <w:t xml:space="preserve">The </w:t>
      </w:r>
      <w:r w:rsidRPr="00C374CF">
        <w:rPr>
          <w:b/>
        </w:rPr>
        <w:t>SFCR needs to be analysed thoroughly</w:t>
      </w:r>
      <w:r w:rsidR="008A77B4">
        <w:rPr>
          <w:b/>
        </w:rPr>
        <w:t>,</w:t>
      </w:r>
      <w:r w:rsidRPr="00C374CF">
        <w:rPr>
          <w:b/>
        </w:rPr>
        <w:t xml:space="preserve"> and both structure and content should be reviewed</w:t>
      </w:r>
      <w:r>
        <w:t xml:space="preserve"> by focusing on information that is essential for the appraisal of an undertaking’s financial, solvency and risk situation.</w:t>
      </w:r>
    </w:p>
    <w:p w14:paraId="2D9E1134" w14:textId="1A504319" w:rsidR="00EF2E44" w:rsidRDefault="00EF2E44" w:rsidP="00EF2E44">
      <w:pPr>
        <w:pStyle w:val="CEABullet-Level3"/>
      </w:pPr>
      <w:r>
        <w:t>Redundancies/overlaps with other ‘publicly available’ reports should be identified</w:t>
      </w:r>
    </w:p>
    <w:p w14:paraId="4FBCAC9A" w14:textId="7C64D75C" w:rsidR="00EF2E44" w:rsidRDefault="00EF2E44" w:rsidP="00EF2E44">
      <w:pPr>
        <w:pStyle w:val="CEABullet-Level3"/>
      </w:pPr>
      <w:r>
        <w:t>It should be verified whether all requested information is necessary</w:t>
      </w:r>
      <w:r w:rsidRPr="00AB07B9">
        <w:t xml:space="preserve"> </w:t>
      </w:r>
      <w:r w:rsidR="00594D0C" w:rsidRPr="0073158E">
        <w:t>and relevant</w:t>
      </w:r>
      <w:r w:rsidRPr="00594D0C">
        <w:t xml:space="preserve"> for </w:t>
      </w:r>
      <w:r w:rsidR="003412F7">
        <w:t>the public.</w:t>
      </w:r>
    </w:p>
    <w:p w14:paraId="634799C4" w14:textId="77777777" w:rsidR="00AB3D56" w:rsidRDefault="00EF2E44" w:rsidP="00AB3D56">
      <w:pPr>
        <w:pStyle w:val="CEABullet-Level3"/>
      </w:pPr>
      <w:r>
        <w:t>Requirements should be reviewed with regard to</w:t>
      </w:r>
      <w:r w:rsidR="00CA416E">
        <w:t xml:space="preserve"> clarity and scope of interpretation, in order to avoid misunderstandings</w:t>
      </w:r>
      <w:r w:rsidR="00AB3D56" w:rsidRPr="00AB3D56">
        <w:t xml:space="preserve"> </w:t>
      </w:r>
    </w:p>
    <w:p w14:paraId="27C725F7" w14:textId="46C745DB" w:rsidR="001D2616" w:rsidRPr="00EF2E44" w:rsidRDefault="00AB3D56" w:rsidP="001D2616">
      <w:pPr>
        <w:pStyle w:val="CEABullet-Level3"/>
      </w:pPr>
      <w:r w:rsidRPr="001D2616">
        <w:t>The</w:t>
      </w:r>
      <w:r>
        <w:t xml:space="preserve"> addressee of the report should be reviewed. Preparing a report addressing both policyholders and </w:t>
      </w:r>
      <w:r w:rsidR="001D2616">
        <w:t>professionals</w:t>
      </w:r>
      <w:r>
        <w:t xml:space="preserve"> is difficult. </w:t>
      </w:r>
      <w:r w:rsidR="001D2616" w:rsidRPr="001D2616">
        <w:t xml:space="preserve"> Possible solutions could be:</w:t>
      </w:r>
    </w:p>
    <w:p w14:paraId="71F04859" w14:textId="77777777" w:rsidR="009334CA" w:rsidRPr="00E44B06" w:rsidRDefault="009334CA" w:rsidP="009334CA">
      <w:pPr>
        <w:pStyle w:val="CEABullet-Level3"/>
        <w:numPr>
          <w:ilvl w:val="1"/>
          <w:numId w:val="3"/>
        </w:numPr>
        <w:rPr>
          <w:lang w:val="en-US"/>
        </w:rPr>
      </w:pPr>
      <w:r>
        <w:rPr>
          <w:lang w:val="en-US"/>
        </w:rPr>
        <w:t>The report could target</w:t>
      </w:r>
      <w:r w:rsidRPr="001D2616">
        <w:rPr>
          <w:lang w:val="en-US"/>
        </w:rPr>
        <w:t xml:space="preserve"> professionals</w:t>
      </w:r>
      <w:r>
        <w:rPr>
          <w:lang w:val="en-US"/>
        </w:rPr>
        <w:t xml:space="preserve"> only</w:t>
      </w:r>
    </w:p>
    <w:p w14:paraId="5596A52B" w14:textId="63BF9AA6" w:rsidR="001D2616" w:rsidRDefault="001D2616" w:rsidP="001D2616">
      <w:pPr>
        <w:pStyle w:val="CEABullet-Level3"/>
        <w:numPr>
          <w:ilvl w:val="1"/>
          <w:numId w:val="3"/>
        </w:numPr>
        <w:rPr>
          <w:lang w:val="en-US"/>
        </w:rPr>
      </w:pPr>
      <w:r>
        <w:lastRenderedPageBreak/>
        <w:t xml:space="preserve">To make a distinction </w:t>
      </w:r>
      <w:r w:rsidR="00AB3D56" w:rsidRPr="00AB3D56">
        <w:t xml:space="preserve">according to the type of user. The executive summary </w:t>
      </w:r>
      <w:r w:rsidR="00AB3D56">
        <w:t xml:space="preserve">could address </w:t>
      </w:r>
      <w:r>
        <w:t>policyholders/non-professionals</w:t>
      </w:r>
      <w:r w:rsidR="00AB3D56" w:rsidRPr="00AB3D56">
        <w:t xml:space="preserve">, </w:t>
      </w:r>
      <w:r w:rsidR="00AB3D56">
        <w:t>while</w:t>
      </w:r>
      <w:r w:rsidR="00AB3D56" w:rsidRPr="00AB3D56">
        <w:t xml:space="preserve"> </w:t>
      </w:r>
      <w:r w:rsidR="00AB3D56">
        <w:t>t</w:t>
      </w:r>
      <w:r w:rsidR="00AB3D56" w:rsidRPr="00AB3D56">
        <w:t xml:space="preserve">he main chapters </w:t>
      </w:r>
      <w:r w:rsidR="00AB3D56">
        <w:t>could target</w:t>
      </w:r>
      <w:r>
        <w:t xml:space="preserve"> professionals</w:t>
      </w:r>
      <w:r w:rsidR="00AB3D56">
        <w:t xml:space="preserve">. </w:t>
      </w:r>
      <w:r w:rsidR="00AB3D56" w:rsidRPr="00AB3D56">
        <w:t xml:space="preserve">The executive summary </w:t>
      </w:r>
      <w:r w:rsidR="00AB3D56">
        <w:t>c</w:t>
      </w:r>
      <w:r w:rsidR="00AB3D56" w:rsidRPr="00AB3D56">
        <w:t xml:space="preserve">ould be offered in the national language(s), whereas the main chapters </w:t>
      </w:r>
      <w:r w:rsidR="00AB3D56">
        <w:t>c</w:t>
      </w:r>
      <w:r w:rsidR="00AB3D56" w:rsidRPr="00AB3D56">
        <w:t xml:space="preserve">ould be offered in one language </w:t>
      </w:r>
      <w:r w:rsidR="008430C5">
        <w:t>decided by the company</w:t>
      </w:r>
      <w:r w:rsidR="00AB3D56" w:rsidRPr="00AB3D56">
        <w:t xml:space="preserve">, </w:t>
      </w:r>
      <w:r w:rsidR="008430C5">
        <w:t>either in</w:t>
      </w:r>
      <w:r w:rsidR="00AB3D56" w:rsidRPr="00AB3D56">
        <w:t xml:space="preserve"> the national language or </w:t>
      </w:r>
      <w:r w:rsidR="008430C5">
        <w:t xml:space="preserve">in </w:t>
      </w:r>
      <w:r w:rsidR="00AB3D56" w:rsidRPr="00AB3D56">
        <w:t>English.</w:t>
      </w:r>
      <w:r w:rsidRPr="001D2616">
        <w:rPr>
          <w:lang w:val="en-US"/>
        </w:rPr>
        <w:t xml:space="preserve"> </w:t>
      </w:r>
    </w:p>
    <w:p w14:paraId="0CF4033B" w14:textId="7F1A3E5F" w:rsidR="00E44B06" w:rsidRDefault="00E44B06" w:rsidP="00E4046B">
      <w:pPr>
        <w:pStyle w:val="CEABullet-Level3"/>
        <w:numPr>
          <w:ilvl w:val="0"/>
          <w:numId w:val="0"/>
        </w:numPr>
        <w:ind w:left="1776"/>
        <w:rPr>
          <w:lang w:val="en-US"/>
        </w:rPr>
      </w:pPr>
    </w:p>
    <w:p w14:paraId="7FABBEDA" w14:textId="5D196F93" w:rsidR="00C32A0A" w:rsidRDefault="00C32A0A" w:rsidP="00E4046B">
      <w:pPr>
        <w:pStyle w:val="CEABullet-Level3"/>
        <w:numPr>
          <w:ilvl w:val="0"/>
          <w:numId w:val="0"/>
        </w:numPr>
        <w:ind w:left="1776"/>
        <w:rPr>
          <w:lang w:val="en-US"/>
        </w:rPr>
      </w:pPr>
    </w:p>
    <w:p w14:paraId="0527A60A" w14:textId="77777777" w:rsidR="00C32A0A" w:rsidRPr="00AB3D56" w:rsidRDefault="00C32A0A" w:rsidP="00E4046B">
      <w:pPr>
        <w:pStyle w:val="CEABullet-Level3"/>
        <w:numPr>
          <w:ilvl w:val="0"/>
          <w:numId w:val="0"/>
        </w:numPr>
        <w:ind w:left="1776"/>
        <w:rPr>
          <w:lang w:val="en-US"/>
        </w:rPr>
      </w:pPr>
    </w:p>
    <w:p w14:paraId="2EC74EE6" w14:textId="4CAC21E1" w:rsidR="00271772" w:rsidRPr="004438E9" w:rsidRDefault="00271772" w:rsidP="00271772">
      <w:pPr>
        <w:pStyle w:val="CEABullet-Level1"/>
        <w:rPr>
          <w:lang w:val="en-US"/>
        </w:rPr>
      </w:pPr>
      <w:r w:rsidRPr="004438E9">
        <w:rPr>
          <w:lang w:val="en-US"/>
        </w:rPr>
        <w:t>Further suggestions</w:t>
      </w:r>
    </w:p>
    <w:p w14:paraId="31B9E82F" w14:textId="65B024A7" w:rsidR="00271772" w:rsidRPr="006949A7" w:rsidRDefault="00271772" w:rsidP="00271772">
      <w:pPr>
        <w:pStyle w:val="CEABullet-Level2"/>
      </w:pPr>
      <w:r w:rsidRPr="006949A7">
        <w:rPr>
          <w:b/>
        </w:rPr>
        <w:t>The use of references to other documents should be ‘less rigid’ or differently defined by NSAs</w:t>
      </w:r>
      <w:r w:rsidRPr="006949A7">
        <w:t xml:space="preserve">; According to </w:t>
      </w:r>
      <w:r w:rsidR="0005594E">
        <w:t>Dir</w:t>
      </w:r>
      <w:r w:rsidR="0005594E" w:rsidRPr="006949A7">
        <w:t xml:space="preserve"> </w:t>
      </w:r>
      <w:r w:rsidRPr="006949A7">
        <w:t xml:space="preserve">art </w:t>
      </w:r>
      <w:r w:rsidR="0005594E">
        <w:t>51(1</w:t>
      </w:r>
      <w:r w:rsidR="00A621C0">
        <w:t xml:space="preserve">) </w:t>
      </w:r>
      <w:r w:rsidR="00A621C0" w:rsidRPr="006949A7">
        <w:t>undertakings</w:t>
      </w:r>
      <w:r w:rsidRPr="006949A7">
        <w:t xml:space="preserve"> are allowed to refer to other public available documents. In order to benefit from this provision,</w:t>
      </w:r>
      <w:r w:rsidR="002E34CF">
        <w:t xml:space="preserve"> in some </w:t>
      </w:r>
      <w:r w:rsidR="0005594E">
        <w:t>member states</w:t>
      </w:r>
      <w:r w:rsidR="002E34CF">
        <w:t>,</w:t>
      </w:r>
      <w:r w:rsidRPr="006949A7">
        <w:t xml:space="preserve"> the national implementing regulation requires undertakings to submit the specific instance of the authorization. Therefore, specific European guidelines are necessary to guarantee a European level playing field</w:t>
      </w:r>
      <w:r>
        <w:t>.</w:t>
      </w:r>
    </w:p>
    <w:p w14:paraId="2186F83F" w14:textId="77777777" w:rsidR="00271772" w:rsidRDefault="00271772" w:rsidP="00271772">
      <w:pPr>
        <w:rPr>
          <w:rFonts w:cs="Arial"/>
          <w:color w:val="002957"/>
          <w:sz w:val="20"/>
          <w:szCs w:val="22"/>
        </w:rPr>
      </w:pPr>
    </w:p>
    <w:p w14:paraId="51EE4B1F" w14:textId="77777777" w:rsidR="00271772" w:rsidRPr="00AE32F8" w:rsidRDefault="00271772" w:rsidP="00271772">
      <w:pPr>
        <w:rPr>
          <w:rFonts w:cs="Arial"/>
          <w:color w:val="002957"/>
          <w:sz w:val="20"/>
          <w:szCs w:val="22"/>
        </w:rPr>
      </w:pPr>
      <w:r w:rsidRPr="00AE32F8">
        <w:rPr>
          <w:rFonts w:cs="Arial"/>
          <w:color w:val="002957"/>
          <w:sz w:val="20"/>
          <w:szCs w:val="22"/>
        </w:rPr>
        <w:t>Other Proposals</w:t>
      </w:r>
    </w:p>
    <w:p w14:paraId="3DC4D3FB" w14:textId="77777777" w:rsidR="00271772" w:rsidRDefault="00271772" w:rsidP="00271772">
      <w:pPr>
        <w:pStyle w:val="CEABullet-Level2"/>
        <w:rPr>
          <w:lang w:val="en-US"/>
        </w:rPr>
      </w:pPr>
      <w:r w:rsidRPr="00AE32F8">
        <w:rPr>
          <w:b/>
          <w:lang w:val="en-US"/>
        </w:rPr>
        <w:t>Introduce timeline for responding for NSAs</w:t>
      </w:r>
      <w:r w:rsidRPr="00AE32F8">
        <w:rPr>
          <w:lang w:val="en-US"/>
        </w:rPr>
        <w:t xml:space="preserve"> - NSAs should get a timeline to adhere to provide feedback on submitted reports. When the deadline has passed, undertakings should have the certainty that no further NSA comments will follow. </w:t>
      </w:r>
    </w:p>
    <w:p w14:paraId="625C3E0B" w14:textId="4D5B40B7" w:rsidR="00675BAC" w:rsidRPr="00675BAC" w:rsidRDefault="00675BAC" w:rsidP="000857E0">
      <w:pPr>
        <w:pStyle w:val="CEABullet-Level2"/>
        <w:numPr>
          <w:ilvl w:val="0"/>
          <w:numId w:val="0"/>
        </w:numPr>
        <w:ind w:left="720"/>
        <w:rPr>
          <w:lang w:val="en-US"/>
        </w:rPr>
      </w:pPr>
    </w:p>
    <w:p w14:paraId="36D4203B" w14:textId="70260C2C" w:rsidR="00152882" w:rsidRPr="00D615BB" w:rsidRDefault="00152882" w:rsidP="00152882">
      <w:pPr>
        <w:autoSpaceDE w:val="0"/>
        <w:autoSpaceDN w:val="0"/>
        <w:adjustRightInd w:val="0"/>
        <w:rPr>
          <w:sz w:val="20"/>
          <w:szCs w:val="20"/>
        </w:rPr>
      </w:pPr>
      <w:bookmarkStart w:id="3" w:name="BorderPlate"/>
      <w:bookmarkEnd w:id="3"/>
    </w:p>
    <w:p w14:paraId="02E54C7B" w14:textId="77777777" w:rsidR="00152882" w:rsidRPr="00D615BB" w:rsidRDefault="00152882" w:rsidP="00152882">
      <w:pPr>
        <w:autoSpaceDE w:val="0"/>
        <w:autoSpaceDN w:val="0"/>
        <w:adjustRightInd w:val="0"/>
        <w:rPr>
          <w:sz w:val="20"/>
          <w:szCs w:val="20"/>
        </w:rPr>
      </w:pPr>
    </w:p>
    <w:p w14:paraId="31B3C461" w14:textId="77777777" w:rsidR="00152882" w:rsidRPr="00D615BB" w:rsidRDefault="00152882" w:rsidP="00152882">
      <w:pPr>
        <w:autoSpaceDE w:val="0"/>
        <w:autoSpaceDN w:val="0"/>
        <w:adjustRightInd w:val="0"/>
        <w:rPr>
          <w:sz w:val="20"/>
          <w:szCs w:val="20"/>
        </w:rPr>
      </w:pPr>
    </w:p>
    <w:p w14:paraId="588191D5" w14:textId="77777777" w:rsidR="00152882" w:rsidRPr="00D615BB" w:rsidRDefault="00152882" w:rsidP="00152882">
      <w:pPr>
        <w:autoSpaceDE w:val="0"/>
        <w:autoSpaceDN w:val="0"/>
        <w:adjustRightInd w:val="0"/>
        <w:rPr>
          <w:sz w:val="20"/>
          <w:szCs w:val="20"/>
        </w:rPr>
      </w:pPr>
    </w:p>
    <w:p w14:paraId="7DC48BFD" w14:textId="77777777" w:rsidR="00152882" w:rsidRPr="00D615BB" w:rsidRDefault="00152882" w:rsidP="00152882">
      <w:pPr>
        <w:autoSpaceDE w:val="0"/>
        <w:autoSpaceDN w:val="0"/>
        <w:adjustRightInd w:val="0"/>
        <w:rPr>
          <w:sz w:val="20"/>
          <w:szCs w:val="20"/>
        </w:rPr>
      </w:pPr>
    </w:p>
    <w:p w14:paraId="783B7386" w14:textId="77777777" w:rsidR="00152882" w:rsidRPr="00D615BB" w:rsidRDefault="00152882" w:rsidP="00152882">
      <w:pPr>
        <w:autoSpaceDE w:val="0"/>
        <w:autoSpaceDN w:val="0"/>
        <w:adjustRightInd w:val="0"/>
        <w:rPr>
          <w:sz w:val="20"/>
          <w:szCs w:val="20"/>
        </w:rPr>
      </w:pPr>
    </w:p>
    <w:p w14:paraId="1BCBDD62" w14:textId="77777777" w:rsidR="00152882" w:rsidRPr="00D615BB" w:rsidRDefault="00152882" w:rsidP="00152882">
      <w:pPr>
        <w:autoSpaceDE w:val="0"/>
        <w:autoSpaceDN w:val="0"/>
        <w:adjustRightInd w:val="0"/>
        <w:rPr>
          <w:sz w:val="20"/>
          <w:szCs w:val="20"/>
        </w:rPr>
      </w:pPr>
    </w:p>
    <w:p w14:paraId="466B07CB" w14:textId="4E4E8860" w:rsidR="00440FEE" w:rsidRPr="00D615BB" w:rsidRDefault="00440FEE" w:rsidP="00152882">
      <w:pPr>
        <w:autoSpaceDE w:val="0"/>
        <w:autoSpaceDN w:val="0"/>
        <w:adjustRightInd w:val="0"/>
        <w:rPr>
          <w:sz w:val="17"/>
          <w:szCs w:val="17"/>
        </w:rPr>
      </w:pPr>
    </w:p>
    <w:sectPr w:rsidR="00440FEE" w:rsidRPr="00D615BB" w:rsidSect="004C4A18">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F9FA" w14:textId="77777777" w:rsidR="00600B2E" w:rsidRDefault="00600B2E">
      <w:pPr>
        <w:spacing w:line="240" w:lineRule="auto"/>
      </w:pPr>
      <w:r>
        <w:separator/>
      </w:r>
    </w:p>
  </w:endnote>
  <w:endnote w:type="continuationSeparator" w:id="0">
    <w:p w14:paraId="7391DA55" w14:textId="77777777" w:rsidR="00600B2E" w:rsidRDefault="00600B2E">
      <w:pPr>
        <w:spacing w:line="240" w:lineRule="auto"/>
      </w:pPr>
      <w:r>
        <w:continuationSeparator/>
      </w:r>
    </w:p>
  </w:endnote>
  <w:endnote w:type="continuationNotice" w:id="1">
    <w:p w14:paraId="543EC935" w14:textId="77777777" w:rsidR="00600B2E" w:rsidRDefault="00600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F3A28" w14:textId="77777777" w:rsidR="00600B2E" w:rsidRDefault="00600B2E" w:rsidP="004C4A1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AA71289" w14:textId="77777777" w:rsidR="00600B2E" w:rsidRDefault="00600B2E" w:rsidP="004C4A1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49BC" w14:textId="14D13604" w:rsidR="00600B2E" w:rsidRPr="00723412" w:rsidRDefault="00600B2E" w:rsidP="004C4A18">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0B1C3E">
      <w:rPr>
        <w:rStyle w:val="slostrany"/>
        <w:noProof/>
        <w:color w:val="002957"/>
        <w:szCs w:val="17"/>
      </w:rPr>
      <w:t>2</w:t>
    </w:r>
    <w:r>
      <w:rPr>
        <w:rStyle w:val="slostrany"/>
        <w:color w:val="002957"/>
        <w:szCs w:val="17"/>
      </w:rPr>
      <w:fldChar w:fldCharType="end"/>
    </w:r>
  </w:p>
  <w:p w14:paraId="68E55E07" w14:textId="77777777" w:rsidR="00600B2E" w:rsidRPr="0085650F" w:rsidRDefault="00600B2E" w:rsidP="004C4A18">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362C7" w14:textId="77777777" w:rsidR="00600B2E" w:rsidRPr="006A3720" w:rsidRDefault="00600B2E" w:rsidP="004C4A18">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1A0112A9" w14:textId="77777777" w:rsidR="00600B2E" w:rsidRDefault="00600B2E"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363590DF" w14:textId="77777777" w:rsidR="00600B2E" w:rsidRPr="00A4463C" w:rsidRDefault="00600B2E" w:rsidP="00BD3110">
    <w:pPr>
      <w:pStyle w:val="CEAFooterauthorinfo"/>
      <w:ind w:left="567"/>
      <w:jc w:val="left"/>
      <w:rPr>
        <w:b w:val="0"/>
        <w:color w:val="002957"/>
        <w:sz w:val="14"/>
        <w:szCs w:val="14"/>
        <w:lang w:val="fr-BE"/>
      </w:rPr>
    </w:pPr>
    <w:r w:rsidRPr="00A4463C">
      <w:rPr>
        <w:b w:val="0"/>
        <w:color w:val="002957"/>
        <w:sz w:val="14"/>
        <w:szCs w:val="14"/>
        <w:lang w:val="fr-BE"/>
      </w:rPr>
      <w:t xml:space="preserve">Rue Montoyer 51, B-1000 Brussels </w:t>
    </w:r>
  </w:p>
  <w:p w14:paraId="40039B0D" w14:textId="77777777" w:rsidR="00600B2E" w:rsidRDefault="00600B2E" w:rsidP="004C4A18">
    <w:pPr>
      <w:pStyle w:val="CEAFooterauthorinfo"/>
      <w:ind w:left="567"/>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 Fax: +32 2 894 30 01</w:t>
    </w:r>
  </w:p>
  <w:p w14:paraId="65601E2F" w14:textId="77777777" w:rsidR="00600B2E" w:rsidRDefault="00600B2E" w:rsidP="004C4A18">
    <w:pPr>
      <w:pStyle w:val="CEAFooterauthorinfo"/>
      <w:ind w:left="567"/>
      <w:jc w:val="left"/>
      <w:rPr>
        <w:b w:val="0"/>
        <w:color w:val="82C55B"/>
        <w:sz w:val="14"/>
        <w:szCs w:val="14"/>
        <w:lang w:val="pt-PT"/>
      </w:rPr>
    </w:pPr>
    <w:r>
      <w:rPr>
        <w:b w:val="0"/>
        <w:color w:val="002957"/>
        <w:sz w:val="14"/>
        <w:szCs w:val="14"/>
        <w:lang w:val="pt-PT"/>
      </w:rPr>
      <w:t>E-mail : info@insuranceeurope.eu</w:t>
    </w:r>
  </w:p>
  <w:p w14:paraId="3372D076" w14:textId="77777777" w:rsidR="00600B2E" w:rsidRPr="0085650F" w:rsidRDefault="00600B2E"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56B3FB1C" w14:textId="77777777" w:rsidR="00600B2E" w:rsidRPr="00A4463C" w:rsidRDefault="00600B2E">
    <w:pPr>
      <w:pStyle w:val="Pta"/>
      <w:rPr>
        <w:color w:val="002957"/>
        <w:sz w:val="14"/>
        <w:szCs w:val="14"/>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9E5B1" w14:textId="77777777" w:rsidR="00600B2E" w:rsidRDefault="00600B2E">
      <w:pPr>
        <w:spacing w:line="240" w:lineRule="auto"/>
      </w:pPr>
      <w:r>
        <w:separator/>
      </w:r>
    </w:p>
  </w:footnote>
  <w:footnote w:type="continuationSeparator" w:id="0">
    <w:p w14:paraId="2D233BB2" w14:textId="77777777" w:rsidR="00600B2E" w:rsidRDefault="00600B2E">
      <w:pPr>
        <w:spacing w:line="240" w:lineRule="auto"/>
      </w:pPr>
      <w:r>
        <w:continuationSeparator/>
      </w:r>
    </w:p>
  </w:footnote>
  <w:footnote w:type="continuationNotice" w:id="1">
    <w:p w14:paraId="4AC3F3A3" w14:textId="77777777" w:rsidR="00600B2E" w:rsidRDefault="00600B2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89F84" w14:textId="77777777" w:rsidR="00C83E9F" w:rsidRDefault="00C83E9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48D4D" w14:textId="77777777" w:rsidR="00600B2E" w:rsidRDefault="00600B2E" w:rsidP="006E05F8">
    <w:pPr>
      <w:jc w:val="right"/>
      <w:rPr>
        <w:noProof/>
        <w:sz w:val="16"/>
        <w:lang w:val="nl-BE" w:eastAsia="nl-BE"/>
      </w:rPr>
    </w:pPr>
    <w:r w:rsidRPr="006E05F8">
      <w:rPr>
        <w:rFonts w:cs="Arial"/>
        <w:color w:val="002957"/>
        <w:sz w:val="22"/>
        <w:szCs w:val="36"/>
      </w:rPr>
      <w:t>DRAFT</w:t>
    </w:r>
    <w:r w:rsidRPr="006E05F8">
      <w:rPr>
        <w:rFonts w:cs="Arial"/>
        <w:b/>
        <w:sz w:val="24"/>
        <w:szCs w:val="40"/>
      </w:rPr>
      <w:t xml:space="preserve"> </w:t>
    </w:r>
    <w:r w:rsidRPr="006E05F8">
      <w:rPr>
        <w:rFonts w:cs="Arial"/>
        <w:color w:val="002957"/>
        <w:sz w:val="22"/>
        <w:szCs w:val="36"/>
      </w:rPr>
      <w:t>Position Paper</w:t>
    </w:r>
    <w:r w:rsidRPr="006E05F8">
      <w:rPr>
        <w:noProof/>
        <w:sz w:val="16"/>
        <w:lang w:val="nl-BE" w:eastAsia="nl-BE"/>
      </w:rPr>
      <w:t xml:space="preserve"> </w:t>
    </w:r>
  </w:p>
  <w:p w14:paraId="6E302C01" w14:textId="4029B8C2" w:rsidR="00600B2E" w:rsidRPr="006E05F8" w:rsidRDefault="009C65B9" w:rsidP="006E05F8">
    <w:pPr>
      <w:jc w:val="right"/>
      <w:rPr>
        <w:rFonts w:cs="Arial"/>
        <w:color w:val="FF0000"/>
        <w:szCs w:val="20"/>
      </w:rPr>
    </w:pPr>
    <w:r w:rsidRPr="006E05F8">
      <w:rPr>
        <w:rFonts w:cs="Arial"/>
        <w:color w:val="FF0000"/>
        <w:szCs w:val="20"/>
      </w:rPr>
      <w:t>F</w:t>
    </w:r>
    <w:r w:rsidR="00600B2E" w:rsidRPr="006E05F8">
      <w:rPr>
        <w:rFonts w:cs="Arial"/>
        <w:color w:val="FF0000"/>
        <w:szCs w:val="20"/>
      </w:rPr>
      <w:t>or</w:t>
    </w:r>
    <w:r>
      <w:rPr>
        <w:rFonts w:cs="Arial"/>
        <w:color w:val="FF0000"/>
        <w:szCs w:val="20"/>
      </w:rPr>
      <w:t xml:space="preserve"> discussion at SII WG on 11 Sept </w:t>
    </w:r>
    <w:r w:rsidR="00D021A0">
      <w:rPr>
        <w:rFonts w:cs="Arial"/>
        <w:color w:val="FF0000"/>
        <w:szCs w:val="20"/>
      </w:rPr>
      <w:t>and</w:t>
    </w:r>
    <w:r w:rsidR="00D021A0" w:rsidRPr="006E05F8">
      <w:rPr>
        <w:rFonts w:cs="Arial"/>
        <w:color w:val="FF0000"/>
        <w:szCs w:val="20"/>
      </w:rPr>
      <w:t xml:space="preserve"> </w:t>
    </w:r>
    <w:r>
      <w:rPr>
        <w:rFonts w:cs="Arial"/>
        <w:color w:val="FF0000"/>
        <w:szCs w:val="20"/>
      </w:rPr>
      <w:t xml:space="preserve">final written </w:t>
    </w:r>
    <w:r w:rsidR="00600B2E" w:rsidRPr="006E05F8">
      <w:rPr>
        <w:rFonts w:cs="Arial"/>
        <w:color w:val="FF0000"/>
        <w:szCs w:val="20"/>
      </w:rPr>
      <w:t xml:space="preserve">feedback by </w:t>
    </w:r>
    <w:r w:rsidR="000F34DD" w:rsidRPr="00E94924">
      <w:rPr>
        <w:rFonts w:cs="Arial"/>
        <w:color w:val="FF0000"/>
        <w:szCs w:val="20"/>
      </w:rPr>
      <w:t>Monday 1</w:t>
    </w:r>
    <w:r w:rsidR="00C83E9F">
      <w:rPr>
        <w:rFonts w:cs="Arial"/>
        <w:color w:val="FF0000"/>
        <w:szCs w:val="20"/>
      </w:rPr>
      <w:t>7</w:t>
    </w:r>
    <w:r w:rsidR="000F34DD" w:rsidRPr="00E94924">
      <w:rPr>
        <w:rFonts w:cs="Arial"/>
        <w:color w:val="FF0000"/>
        <w:szCs w:val="20"/>
      </w:rPr>
      <w:t xml:space="preserve"> September COB</w:t>
    </w:r>
    <w:r w:rsidR="000F34DD" w:rsidRPr="00C06A41" w:rsidDel="000F34DD">
      <w:rPr>
        <w:rFonts w:cs="Arial"/>
        <w:color w:val="FF0000"/>
        <w:szCs w:val="20"/>
      </w:rPr>
      <w:t xml:space="preserve"> </w:t>
    </w:r>
  </w:p>
  <w:p w14:paraId="7C18CFA2" w14:textId="77777777" w:rsidR="00600B2E" w:rsidRPr="006E05F8" w:rsidRDefault="00600B2E" w:rsidP="004C4A18">
    <w:pPr>
      <w:pStyle w:val="Noparagraphstyle"/>
      <w:jc w:val="right"/>
      <w:rPr>
        <w:rFonts w:ascii="Verdana" w:hAnsi="Verdana"/>
        <w:sz w:val="18"/>
        <w:szCs w:val="18"/>
      </w:rPr>
    </w:pPr>
    <w:r w:rsidRPr="006E05F8">
      <w:rPr>
        <w:rFonts w:ascii="Verdana" w:hAnsi="Verdana"/>
        <w:noProof/>
        <w:lang w:val="sk-SK" w:eastAsia="sk-SK"/>
      </w:rPr>
      <w:drawing>
        <wp:anchor distT="0" distB="0" distL="114300" distR="114300" simplePos="0" relativeHeight="251658241" behindDoc="0" locked="0" layoutInCell="1" allowOverlap="1" wp14:anchorId="21275F8D" wp14:editId="7E895CB7">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5EE26F1D" w14:textId="77777777" w:rsidR="00600B2E" w:rsidRPr="0085650F" w:rsidRDefault="00600B2E" w:rsidP="004C4A18">
    <w:pPr>
      <w:pStyle w:val="Noparagraphstyle"/>
      <w:jc w:val="right"/>
      <w:rPr>
        <w:rFonts w:ascii="Verdana" w:hAnsi="Verdana" w:cs="Arial"/>
        <w:i/>
        <w:iCs/>
        <w:color w:val="034EA2"/>
      </w:rPr>
    </w:pPr>
    <w:r w:rsidRPr="00323E1C">
      <w:rPr>
        <w:rFonts w:ascii="Verdana" w:hAnsi="Verdana"/>
      </w:rPr>
      <w:tab/>
    </w:r>
  </w:p>
  <w:p w14:paraId="2FCD8FB7" w14:textId="77777777" w:rsidR="00600B2E" w:rsidRPr="00491802" w:rsidRDefault="00600B2E" w:rsidP="004C4A18">
    <w:pPr>
      <w:pStyle w:val="Hlavika"/>
      <w:tabs>
        <w:tab w:val="clear" w:pos="4320"/>
        <w:tab w:val="clear" w:pos="8640"/>
        <w:tab w:val="center" w:pos="0"/>
        <w:tab w:val="right" w:pos="104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FA02D" w14:textId="77777777" w:rsidR="00600B2E" w:rsidRPr="00323E1C" w:rsidRDefault="00600B2E" w:rsidP="004C4A18">
    <w:pPr>
      <w:pStyle w:val="Noparagraphstyle"/>
      <w:jc w:val="right"/>
      <w:rPr>
        <w:rFonts w:ascii="Verdana" w:hAnsi="Verdana"/>
        <w:sz w:val="18"/>
        <w:szCs w:val="18"/>
      </w:rPr>
    </w:pPr>
    <w:r w:rsidRPr="000D41DA">
      <w:rPr>
        <w:rFonts w:ascii="Frutiger LT Com 45 Light" w:hAnsi="Frutiger LT Com 45 Light"/>
        <w:noProof/>
        <w:sz w:val="18"/>
        <w:szCs w:val="18"/>
        <w:lang w:val="sk-SK" w:eastAsia="sk-SK"/>
      </w:rPr>
      <w:drawing>
        <wp:anchor distT="0" distB="0" distL="114300" distR="114300" simplePos="0" relativeHeight="251657216" behindDoc="0" locked="0" layoutInCell="1" allowOverlap="1" wp14:anchorId="7D8FF058" wp14:editId="160468A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7C0B138" w14:textId="77777777" w:rsidR="00600B2E" w:rsidRDefault="00600B2E">
    <w:pPr>
      <w:pStyle w:val="Hlavika"/>
    </w:pPr>
  </w:p>
  <w:p w14:paraId="465B8723" w14:textId="77777777" w:rsidR="00600B2E" w:rsidRDefault="00600B2E">
    <w:pPr>
      <w:pStyle w:val="Hlavika"/>
    </w:pPr>
  </w:p>
  <w:p w14:paraId="405C22BB" w14:textId="77777777" w:rsidR="00600B2E" w:rsidRDefault="00600B2E">
    <w:pPr>
      <w:pStyle w:val="Hlavika"/>
    </w:pPr>
  </w:p>
  <w:p w14:paraId="63612216" w14:textId="77777777" w:rsidR="00600B2E" w:rsidRDefault="00600B2E" w:rsidP="004C4A18">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sz w:val="40"/>
        <w:szCs w:val="40"/>
      </w:rPr>
      <w:tab/>
    </w:r>
    <w:r w:rsidRPr="006E05F8">
      <w:rPr>
        <w:rFonts w:cs="Arial"/>
        <w:color w:val="002957"/>
        <w:sz w:val="36"/>
        <w:szCs w:val="36"/>
      </w:rPr>
      <w:t>DRAFT</w:t>
    </w:r>
    <w:r>
      <w:rPr>
        <w:rFonts w:cs="Arial"/>
        <w:b/>
        <w:sz w:val="40"/>
        <w:szCs w:val="40"/>
      </w:rPr>
      <w:t xml:space="preserve"> </w:t>
    </w:r>
    <w:r>
      <w:rPr>
        <w:rFonts w:cs="Arial"/>
        <w:color w:val="002957"/>
        <w:sz w:val="36"/>
        <w:szCs w:val="36"/>
      </w:rPr>
      <w:t>Position Paper</w:t>
    </w:r>
  </w:p>
  <w:p w14:paraId="0B2FDE55" w14:textId="4DFCC38A" w:rsidR="00D021A0" w:rsidRPr="006E05F8" w:rsidRDefault="00D021A0" w:rsidP="00D021A0">
    <w:pPr>
      <w:jc w:val="right"/>
      <w:rPr>
        <w:rFonts w:cs="Arial"/>
        <w:color w:val="FF0000"/>
        <w:szCs w:val="20"/>
      </w:rPr>
    </w:pPr>
    <w:r w:rsidRPr="006E05F8">
      <w:rPr>
        <w:rFonts w:cs="Arial"/>
        <w:color w:val="FF0000"/>
        <w:szCs w:val="20"/>
      </w:rPr>
      <w:t>For</w:t>
    </w:r>
    <w:r>
      <w:rPr>
        <w:rFonts w:cs="Arial"/>
        <w:color w:val="FF0000"/>
        <w:szCs w:val="20"/>
      </w:rPr>
      <w:t xml:space="preserve"> discussion at SII WG on 11 Sept and</w:t>
    </w:r>
    <w:r w:rsidRPr="006E05F8">
      <w:rPr>
        <w:rFonts w:cs="Arial"/>
        <w:color w:val="FF0000"/>
        <w:szCs w:val="20"/>
      </w:rPr>
      <w:t xml:space="preserve"> </w:t>
    </w:r>
    <w:r>
      <w:rPr>
        <w:rFonts w:cs="Arial"/>
        <w:color w:val="FF0000"/>
        <w:szCs w:val="20"/>
      </w:rPr>
      <w:t xml:space="preserve">final written </w:t>
    </w:r>
    <w:r w:rsidRPr="006E05F8">
      <w:rPr>
        <w:rFonts w:cs="Arial"/>
        <w:color w:val="FF0000"/>
        <w:szCs w:val="20"/>
      </w:rPr>
      <w:t xml:space="preserve">feedback by </w:t>
    </w:r>
    <w:r w:rsidRPr="00E94924">
      <w:rPr>
        <w:rFonts w:cs="Arial"/>
        <w:color w:val="FF0000"/>
        <w:szCs w:val="20"/>
      </w:rPr>
      <w:t>Monday 1</w:t>
    </w:r>
    <w:r w:rsidR="00C83E9F">
      <w:rPr>
        <w:rFonts w:cs="Arial"/>
        <w:color w:val="FF0000"/>
        <w:szCs w:val="20"/>
      </w:rPr>
      <w:t>7</w:t>
    </w:r>
    <w:r w:rsidRPr="00E94924">
      <w:rPr>
        <w:rFonts w:cs="Arial"/>
        <w:color w:val="FF0000"/>
        <w:szCs w:val="20"/>
      </w:rPr>
      <w:t xml:space="preserve"> September COB</w:t>
    </w:r>
    <w:r w:rsidRPr="00C06A41" w:rsidDel="000F34DD">
      <w:rPr>
        <w:rFonts w:cs="Arial"/>
        <w:color w:val="FF0000"/>
        <w:szCs w:val="20"/>
      </w:rPr>
      <w:t xml:space="preserve"> </w:t>
    </w:r>
  </w:p>
  <w:p w14:paraId="7457C091" w14:textId="326DDF10" w:rsidR="00600B2E" w:rsidRDefault="00600B2E" w:rsidP="0017261F">
    <w:pPr>
      <w:jc w:val="right"/>
      <w:rPr>
        <w:b/>
        <w:i/>
        <w:color w:val="002957"/>
        <w:sz w:val="32"/>
        <w:szCs w:val="32"/>
      </w:rPr>
    </w:pPr>
    <w:bookmarkStart w:id="0" w:name="Draft1st"/>
    <w:bookmarkEnd w:id="0"/>
  </w:p>
  <w:p w14:paraId="65836B24" w14:textId="77777777" w:rsidR="00600B2E" w:rsidRPr="00A32AC9" w:rsidRDefault="00600B2E" w:rsidP="004C4A18">
    <w:pPr>
      <w:pStyle w:val="CEADraft"/>
      <w:rPr>
        <w:color w:val="002957"/>
      </w:rPr>
    </w:pPr>
  </w:p>
  <w:p w14:paraId="7DB236A4" w14:textId="77777777" w:rsidR="00600B2E" w:rsidRPr="00A32AC9" w:rsidRDefault="00600B2E" w:rsidP="004C4A18">
    <w:pPr>
      <w:rPr>
        <w:color w:val="002957"/>
      </w:rPr>
    </w:pPr>
  </w:p>
  <w:p w14:paraId="38E7275E" w14:textId="399F8C81" w:rsidR="00600B2E" w:rsidRPr="00A32AC9" w:rsidRDefault="00600B2E" w:rsidP="004C4A18">
    <w:pPr>
      <w:pStyle w:val="CEAPositionPaperTitle"/>
      <w:ind w:left="567"/>
      <w:rPr>
        <w:b w:val="0"/>
        <w:color w:val="002957"/>
        <w:sz w:val="28"/>
        <w:szCs w:val="28"/>
      </w:rPr>
    </w:pPr>
    <w:r>
      <w:rPr>
        <w:b w:val="0"/>
        <w:color w:val="002957"/>
        <w:sz w:val="28"/>
        <w:szCs w:val="28"/>
      </w:rPr>
      <w:t xml:space="preserve">Draft </w:t>
    </w:r>
    <w:r w:rsidRPr="00A32AC9">
      <w:rPr>
        <w:b w:val="0"/>
        <w:color w:val="002957"/>
        <w:sz w:val="28"/>
        <w:szCs w:val="28"/>
      </w:rPr>
      <w:t xml:space="preserve">Insurance Europe views on </w:t>
    </w:r>
    <w:r>
      <w:rPr>
        <w:b w:val="0"/>
        <w:color w:val="002957"/>
        <w:sz w:val="28"/>
        <w:szCs w:val="28"/>
      </w:rPr>
      <w:t xml:space="preserve">the </w:t>
    </w:r>
    <w:r w:rsidRPr="00A32AC9">
      <w:rPr>
        <w:b w:val="0"/>
        <w:color w:val="002957"/>
        <w:sz w:val="28"/>
        <w:szCs w:val="28"/>
      </w:rPr>
      <w:t>review of reporting requirements</w:t>
    </w:r>
  </w:p>
  <w:p w14:paraId="16DE094F" w14:textId="77777777" w:rsidR="00600B2E" w:rsidRPr="00A32AC9" w:rsidRDefault="00600B2E" w:rsidP="004C4A18"/>
  <w:p w14:paraId="5F17CC1A" w14:textId="77777777" w:rsidR="00600B2E" w:rsidRPr="00A32AC9" w:rsidRDefault="00600B2E" w:rsidP="004C4A18">
    <w:r>
      <w:rPr>
        <w:noProof/>
        <w:lang w:val="sk-SK" w:eastAsia="sk-SK"/>
      </w:rPr>
      <mc:AlternateContent>
        <mc:Choice Requires="wps">
          <w:drawing>
            <wp:anchor distT="0" distB="0" distL="114300" distR="114300" simplePos="0" relativeHeight="251658240" behindDoc="1" locked="1" layoutInCell="1" allowOverlap="1" wp14:anchorId="422F1B0B" wp14:editId="242D4911">
              <wp:simplePos x="0" y="0"/>
              <wp:positionH relativeFrom="page">
                <wp:posOffset>923925</wp:posOffset>
              </wp:positionH>
              <wp:positionV relativeFrom="paragraph">
                <wp:posOffset>85090</wp:posOffset>
              </wp:positionV>
              <wp:extent cx="6076315" cy="2051685"/>
              <wp:effectExtent l="9525" t="8890" r="10160" b="63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FD610" id="AutoShape 18" o:spid="_x0000_s1026" style="position:absolute;margin-left:72.75pt;margin-top:6.7pt;width:478.45pt;height:16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600B2E" w:rsidRPr="000D41DA" w14:paraId="07C11681" w14:textId="77777777" w:rsidTr="00974483">
      <w:trPr>
        <w:cantSplit/>
        <w:trHeight w:hRule="exact" w:val="584"/>
      </w:trPr>
      <w:tc>
        <w:tcPr>
          <w:tcW w:w="1394" w:type="dxa"/>
          <w:shd w:val="clear" w:color="auto" w:fill="auto"/>
          <w:vAlign w:val="center"/>
        </w:tcPr>
        <w:p w14:paraId="2EFDE853" w14:textId="77777777" w:rsidR="00600B2E" w:rsidRPr="0085650F" w:rsidRDefault="00600B2E" w:rsidP="004C4A18">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p w14:paraId="5DC67AB0" w14:textId="1344DCE9" w:rsidR="00600B2E" w:rsidRPr="00585988" w:rsidRDefault="000B1C3E" w:rsidP="0008034A">
          <w:pPr>
            <w:jc w:val="left"/>
            <w:rPr>
              <w:color w:val="002957"/>
              <w:sz w:val="17"/>
              <w:szCs w:val="17"/>
            </w:rPr>
          </w:pPr>
          <w:sdt>
            <w:sdtPr>
              <w:rPr>
                <w:color w:val="002957"/>
                <w:sz w:val="17"/>
                <w:szCs w:val="17"/>
              </w:rPr>
              <w:alias w:val="Reference"/>
              <w:tag w:val="Reference"/>
              <w:id w:val="-329138674"/>
              <w:placeholder>
                <w:docPart w:val="C599D63AA9CF4AA08BF74B58D808EA35"/>
              </w:placeholder>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C83E9F" w:rsidRPr="00C83E9F">
                <w:rPr>
                  <w:color w:val="002957"/>
                  <w:sz w:val="17"/>
                  <w:szCs w:val="17"/>
                </w:rPr>
                <w:t>ECO-SLV-18-166</w:t>
              </w:r>
            </w:sdtContent>
          </w:sdt>
        </w:p>
      </w:tc>
      <w:tc>
        <w:tcPr>
          <w:tcW w:w="1570" w:type="dxa"/>
          <w:shd w:val="clear" w:color="auto" w:fill="auto"/>
          <w:vAlign w:val="center"/>
        </w:tcPr>
        <w:p w14:paraId="225D972B" w14:textId="77777777" w:rsidR="00600B2E" w:rsidRPr="0085650F" w:rsidRDefault="00600B2E" w:rsidP="004C4A18">
          <w:pPr>
            <w:pStyle w:val="CEALabel"/>
            <w:rPr>
              <w:b w:val="0"/>
              <w:color w:val="002957"/>
              <w:sz w:val="17"/>
              <w:szCs w:val="17"/>
            </w:rPr>
          </w:pPr>
          <w:r w:rsidRPr="0085650F">
            <w:rPr>
              <w:b w:val="0"/>
              <w:color w:val="002957"/>
              <w:sz w:val="17"/>
              <w:szCs w:val="17"/>
            </w:rPr>
            <w:t>Date:</w:t>
          </w:r>
        </w:p>
      </w:tc>
      <w:tc>
        <w:tcPr>
          <w:tcW w:w="2977" w:type="dxa"/>
          <w:shd w:val="clear" w:color="auto" w:fill="auto"/>
          <w:vAlign w:val="center"/>
        </w:tcPr>
        <w:p w14:paraId="7B7D0F4E" w14:textId="7AF07DD6" w:rsidR="00600B2E" w:rsidRPr="00585988" w:rsidRDefault="00C83E9F" w:rsidP="004C4A18">
          <w:pPr>
            <w:jc w:val="left"/>
            <w:rPr>
              <w:color w:val="002957"/>
              <w:sz w:val="17"/>
              <w:szCs w:val="17"/>
            </w:rPr>
          </w:pPr>
          <w:r>
            <w:rPr>
              <w:color w:val="002957"/>
              <w:sz w:val="17"/>
              <w:szCs w:val="17"/>
            </w:rPr>
            <w:t>4 September 2</w:t>
          </w:r>
          <w:r w:rsidR="00600B2E">
            <w:rPr>
              <w:color w:val="002957"/>
              <w:sz w:val="17"/>
              <w:szCs w:val="17"/>
            </w:rPr>
            <w:t>018</w:t>
          </w:r>
          <w:r w:rsidR="00600B2E" w:rsidRPr="00585988">
            <w:rPr>
              <w:color w:val="002957"/>
              <w:sz w:val="17"/>
              <w:szCs w:val="17"/>
            </w:rPr>
            <w:t xml:space="preserve"> </w:t>
          </w:r>
        </w:p>
      </w:tc>
    </w:tr>
    <w:tr w:rsidR="00600B2E" w:rsidRPr="000D41DA" w14:paraId="642E9169" w14:textId="77777777" w:rsidTr="00974483">
      <w:trPr>
        <w:cantSplit/>
        <w:trHeight w:hRule="exact" w:val="584"/>
      </w:trPr>
      <w:tc>
        <w:tcPr>
          <w:tcW w:w="1394" w:type="dxa"/>
          <w:shd w:val="clear" w:color="auto" w:fill="auto"/>
          <w:vAlign w:val="center"/>
        </w:tcPr>
        <w:p w14:paraId="15890D63" w14:textId="77777777" w:rsidR="00600B2E" w:rsidRPr="0085650F" w:rsidRDefault="00600B2E" w:rsidP="004C4A18">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45D33D1F" w14:textId="7DFCD19E" w:rsidR="00600B2E" w:rsidRPr="00585988" w:rsidRDefault="00600B2E" w:rsidP="004C4A18">
          <w:pPr>
            <w:jc w:val="left"/>
            <w:rPr>
              <w:color w:val="002957"/>
              <w:sz w:val="17"/>
              <w:szCs w:val="17"/>
            </w:rPr>
          </w:pPr>
        </w:p>
      </w:tc>
      <w:tc>
        <w:tcPr>
          <w:tcW w:w="1570" w:type="dxa"/>
          <w:shd w:val="clear" w:color="auto" w:fill="auto"/>
          <w:vAlign w:val="center"/>
        </w:tcPr>
        <w:p w14:paraId="53DCA3E7" w14:textId="77777777" w:rsidR="00600B2E" w:rsidRPr="00585988" w:rsidRDefault="00600B2E" w:rsidP="004C4A18">
          <w:pPr>
            <w:rPr>
              <w:color w:val="002957"/>
              <w:sz w:val="17"/>
              <w:szCs w:val="17"/>
            </w:rPr>
          </w:pPr>
        </w:p>
      </w:tc>
      <w:tc>
        <w:tcPr>
          <w:tcW w:w="2977" w:type="dxa"/>
          <w:shd w:val="clear" w:color="auto" w:fill="auto"/>
          <w:vAlign w:val="center"/>
        </w:tcPr>
        <w:p w14:paraId="5288C65C" w14:textId="74875F70" w:rsidR="00600B2E" w:rsidRPr="00585988" w:rsidRDefault="00600B2E" w:rsidP="004C4A18">
          <w:pPr>
            <w:jc w:val="left"/>
            <w:rPr>
              <w:color w:val="002957"/>
              <w:sz w:val="17"/>
              <w:szCs w:val="17"/>
            </w:rPr>
          </w:pPr>
        </w:p>
      </w:tc>
    </w:tr>
    <w:tr w:rsidR="00600B2E" w:rsidRPr="000D41DA" w14:paraId="1E81E997" w14:textId="77777777" w:rsidTr="00974483">
      <w:trPr>
        <w:cantSplit/>
        <w:trHeight w:hRule="exact" w:val="584"/>
      </w:trPr>
      <w:tc>
        <w:tcPr>
          <w:tcW w:w="1394" w:type="dxa"/>
          <w:shd w:val="clear" w:color="auto" w:fill="auto"/>
          <w:vAlign w:val="center"/>
        </w:tcPr>
        <w:p w14:paraId="698D48C0" w14:textId="77777777" w:rsidR="00600B2E" w:rsidRPr="0085650F" w:rsidRDefault="00600B2E" w:rsidP="004C4A18">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6C2CE542" w14:textId="3A91C4C8" w:rsidR="00600B2E" w:rsidRPr="00585988" w:rsidRDefault="00600B2E" w:rsidP="004C4A18">
          <w:pPr>
            <w:jc w:val="left"/>
            <w:rPr>
              <w:color w:val="002957"/>
              <w:sz w:val="17"/>
              <w:szCs w:val="17"/>
            </w:rPr>
          </w:pPr>
          <w:r w:rsidRPr="00585988">
            <w:rPr>
              <w:color w:val="002957"/>
              <w:sz w:val="17"/>
              <w:szCs w:val="17"/>
            </w:rPr>
            <w:t xml:space="preserve"> </w:t>
          </w:r>
        </w:p>
      </w:tc>
      <w:tc>
        <w:tcPr>
          <w:tcW w:w="1570" w:type="dxa"/>
          <w:shd w:val="clear" w:color="auto" w:fill="auto"/>
          <w:vAlign w:val="center"/>
        </w:tcPr>
        <w:p w14:paraId="11640A51" w14:textId="77777777" w:rsidR="00600B2E" w:rsidRPr="00585988" w:rsidRDefault="00600B2E" w:rsidP="004C4A18">
          <w:pPr>
            <w:rPr>
              <w:color w:val="002957"/>
              <w:sz w:val="17"/>
              <w:szCs w:val="17"/>
            </w:rPr>
          </w:pPr>
        </w:p>
      </w:tc>
      <w:tc>
        <w:tcPr>
          <w:tcW w:w="2977" w:type="dxa"/>
          <w:shd w:val="clear" w:color="auto" w:fill="auto"/>
          <w:vAlign w:val="center"/>
        </w:tcPr>
        <w:p w14:paraId="45EC8A49" w14:textId="77777777" w:rsidR="00600B2E" w:rsidRPr="00585988" w:rsidRDefault="00600B2E" w:rsidP="004C4A18">
          <w:pPr>
            <w:jc w:val="left"/>
            <w:rPr>
              <w:b/>
              <w:color w:val="002957"/>
              <w:sz w:val="17"/>
              <w:szCs w:val="17"/>
            </w:rPr>
          </w:pPr>
        </w:p>
      </w:tc>
    </w:tr>
    <w:tr w:rsidR="00600B2E" w:rsidRPr="000D41DA" w14:paraId="10F7AAA4" w14:textId="77777777" w:rsidTr="00974483">
      <w:trPr>
        <w:cantSplit/>
        <w:trHeight w:hRule="exact" w:val="584"/>
      </w:trPr>
      <w:tc>
        <w:tcPr>
          <w:tcW w:w="1394" w:type="dxa"/>
          <w:shd w:val="clear" w:color="auto" w:fill="auto"/>
          <w:vAlign w:val="center"/>
        </w:tcPr>
        <w:p w14:paraId="78EAFBE0" w14:textId="77777777" w:rsidR="00600B2E" w:rsidRPr="0085650F" w:rsidRDefault="00600B2E" w:rsidP="004C4A18">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69CDBF27" w14:textId="101EC5C1" w:rsidR="00600B2E" w:rsidRPr="00585988" w:rsidRDefault="00243242" w:rsidP="004C4A18">
          <w:pPr>
            <w:jc w:val="left"/>
            <w:rPr>
              <w:color w:val="002957"/>
              <w:sz w:val="17"/>
              <w:szCs w:val="17"/>
            </w:rPr>
          </w:pPr>
          <w:r>
            <w:rPr>
              <w:color w:val="002957"/>
              <w:sz w:val="17"/>
              <w:szCs w:val="17"/>
            </w:rPr>
            <w:t xml:space="preserve">Economics and finance department </w:t>
          </w:r>
          <w:r w:rsidR="00600B2E" w:rsidRPr="00E86666">
            <w:rPr>
              <w:color w:val="002957"/>
              <w:sz w:val="17"/>
              <w:szCs w:val="17"/>
            </w:rPr>
            <w:t xml:space="preserve"> </w:t>
          </w:r>
        </w:p>
      </w:tc>
      <w:tc>
        <w:tcPr>
          <w:tcW w:w="1570" w:type="dxa"/>
          <w:shd w:val="clear" w:color="auto" w:fill="auto"/>
          <w:vAlign w:val="center"/>
        </w:tcPr>
        <w:p w14:paraId="152B21E6" w14:textId="77777777" w:rsidR="00600B2E" w:rsidRPr="0085650F" w:rsidRDefault="00600B2E" w:rsidP="004C4A18">
          <w:pPr>
            <w:pStyle w:val="CEALabel"/>
            <w:rPr>
              <w:b w:val="0"/>
              <w:color w:val="002957"/>
              <w:sz w:val="17"/>
              <w:szCs w:val="17"/>
            </w:rPr>
          </w:pPr>
          <w:r w:rsidRPr="0085650F">
            <w:rPr>
              <w:b w:val="0"/>
              <w:color w:val="002957"/>
              <w:sz w:val="17"/>
              <w:szCs w:val="17"/>
            </w:rPr>
            <w:t>E-mail:</w:t>
          </w:r>
        </w:p>
      </w:tc>
      <w:tc>
        <w:tcPr>
          <w:tcW w:w="2977" w:type="dxa"/>
          <w:shd w:val="clear" w:color="auto" w:fill="auto"/>
          <w:vAlign w:val="center"/>
        </w:tcPr>
        <w:p w14:paraId="32C02928" w14:textId="269D216E" w:rsidR="00600B2E" w:rsidRPr="00585988" w:rsidRDefault="00243242" w:rsidP="004C4A18">
          <w:pPr>
            <w:jc w:val="left"/>
            <w:rPr>
              <w:color w:val="002957"/>
              <w:sz w:val="17"/>
              <w:szCs w:val="17"/>
            </w:rPr>
          </w:pPr>
          <w:r>
            <w:rPr>
              <w:color w:val="002957"/>
              <w:sz w:val="17"/>
              <w:szCs w:val="17"/>
            </w:rPr>
            <w:t>ecofin</w:t>
          </w:r>
          <w:r w:rsidR="00600B2E">
            <w:rPr>
              <w:color w:val="002957"/>
              <w:sz w:val="17"/>
              <w:szCs w:val="17"/>
            </w:rPr>
            <w:t>@insuranceeurope.eu</w:t>
          </w:r>
        </w:p>
      </w:tc>
    </w:tr>
    <w:tr w:rsidR="00600B2E" w:rsidRPr="000D41DA" w14:paraId="237CCA57" w14:textId="77777777" w:rsidTr="00974483">
      <w:trPr>
        <w:cantSplit/>
        <w:trHeight w:hRule="exact" w:val="584"/>
      </w:trPr>
      <w:tc>
        <w:tcPr>
          <w:tcW w:w="1394" w:type="dxa"/>
          <w:shd w:val="clear" w:color="auto" w:fill="auto"/>
          <w:vAlign w:val="center"/>
        </w:tcPr>
        <w:p w14:paraId="085A1785" w14:textId="77777777" w:rsidR="00600B2E" w:rsidRPr="0085650F" w:rsidRDefault="00600B2E" w:rsidP="004C4A18">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0344F6CD" w14:textId="2D35C4A4" w:rsidR="00600B2E" w:rsidRPr="00585988" w:rsidRDefault="00600B2E" w:rsidP="004C4A18">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0B1C3E">
            <w:rPr>
              <w:rStyle w:val="slostrany"/>
              <w:noProof/>
              <w:color w:val="002957"/>
              <w:sz w:val="17"/>
              <w:szCs w:val="17"/>
            </w:rPr>
            <w:t>4</w:t>
          </w:r>
          <w:r w:rsidRPr="00585988">
            <w:rPr>
              <w:rStyle w:val="slostrany"/>
              <w:color w:val="002957"/>
              <w:sz w:val="17"/>
              <w:szCs w:val="17"/>
            </w:rPr>
            <w:fldChar w:fldCharType="end"/>
          </w:r>
        </w:p>
      </w:tc>
      <w:tc>
        <w:tcPr>
          <w:tcW w:w="1570" w:type="dxa"/>
          <w:shd w:val="clear" w:color="auto" w:fill="auto"/>
          <w:vAlign w:val="center"/>
        </w:tcPr>
        <w:p w14:paraId="07BCD3C5" w14:textId="77777777" w:rsidR="00600B2E" w:rsidRPr="00585988" w:rsidRDefault="00600B2E" w:rsidP="004C4A18">
          <w:pPr>
            <w:ind w:right="-117"/>
            <w:rPr>
              <w:b/>
              <w:color w:val="002957"/>
              <w:sz w:val="17"/>
              <w:szCs w:val="17"/>
            </w:rPr>
          </w:pPr>
          <w:r>
            <w:rPr>
              <w:rFonts w:cs="Arial"/>
              <w:color w:val="002957"/>
              <w:sz w:val="17"/>
              <w:szCs w:val="17"/>
            </w:rPr>
            <w:t xml:space="preserve">Transparency Register </w:t>
          </w:r>
          <w:r w:rsidRPr="00585988">
            <w:rPr>
              <w:rFonts w:cs="Arial"/>
              <w:color w:val="002957"/>
              <w:sz w:val="17"/>
              <w:szCs w:val="17"/>
            </w:rPr>
            <w:t>ID no.:</w:t>
          </w:r>
        </w:p>
      </w:tc>
      <w:tc>
        <w:tcPr>
          <w:tcW w:w="2977" w:type="dxa"/>
          <w:shd w:val="clear" w:color="auto" w:fill="auto"/>
          <w:vAlign w:val="center"/>
        </w:tcPr>
        <w:p w14:paraId="7214D002" w14:textId="77777777" w:rsidR="00600B2E" w:rsidRPr="00585988" w:rsidRDefault="00600B2E" w:rsidP="004C4A18">
          <w:pPr>
            <w:rPr>
              <w:color w:val="002957"/>
              <w:sz w:val="17"/>
              <w:szCs w:val="17"/>
            </w:rPr>
          </w:pPr>
          <w:r w:rsidRPr="00585988">
            <w:rPr>
              <w:rFonts w:cs="Tahoma"/>
              <w:color w:val="002957"/>
              <w:sz w:val="17"/>
              <w:szCs w:val="17"/>
            </w:rPr>
            <w:t>33213703459-54</w:t>
          </w:r>
        </w:p>
      </w:tc>
    </w:tr>
  </w:tbl>
  <w:p w14:paraId="056B2C46" w14:textId="77777777" w:rsidR="00600B2E" w:rsidRPr="000D41DA" w:rsidRDefault="00600B2E" w:rsidP="004C4A18">
    <w:pPr>
      <w:rPr>
        <w:b/>
        <w:sz w:val="22"/>
        <w:szCs w:val="22"/>
      </w:rPr>
    </w:pPr>
  </w:p>
  <w:p w14:paraId="7B8E2389" w14:textId="77777777" w:rsidR="00600B2E" w:rsidRPr="000D41DA" w:rsidRDefault="00600B2E" w:rsidP="004C4A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1C2DB0"/>
    <w:multiLevelType w:val="hybridMultilevel"/>
    <w:tmpl w:val="F306EB6E"/>
    <w:lvl w:ilvl="0" w:tplc="04090003">
      <w:start w:val="1"/>
      <w:numFmt w:val="bullet"/>
      <w:lvlText w:val="o"/>
      <w:lvlJc w:val="left"/>
      <w:pPr>
        <w:ind w:left="2508" w:hanging="360"/>
      </w:pPr>
      <w:rPr>
        <w:rFonts w:ascii="Courier New" w:hAnsi="Courier New" w:cs="Courier New"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2" w15:restartNumberingAfterBreak="0">
    <w:nsid w:val="447E4D85"/>
    <w:multiLevelType w:val="hybridMultilevel"/>
    <w:tmpl w:val="36024468"/>
    <w:lvl w:ilvl="0" w:tplc="37180294">
      <w:start w:val="165"/>
      <w:numFmt w:val="bullet"/>
      <w:pStyle w:val="CEABullet-Level3"/>
      <w:lvlText w:val=""/>
      <w:lvlPicBulletId w:val="2"/>
      <w:lvlJc w:val="left"/>
      <w:pPr>
        <w:ind w:left="1776" w:hanging="360"/>
      </w:pPr>
      <w:rPr>
        <w:rFonts w:ascii="Symbol" w:hAnsi="Symbol" w:hint="default"/>
        <w:color w:val="auto"/>
      </w:rPr>
    </w:lvl>
    <w:lvl w:ilvl="1" w:tplc="080C0003">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 w15:restartNumberingAfterBreak="0">
    <w:nsid w:val="54A50946"/>
    <w:multiLevelType w:val="hybridMultilevel"/>
    <w:tmpl w:val="0152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9E2B88"/>
    <w:multiLevelType w:val="hybridMultilevel"/>
    <w:tmpl w:val="C6C4F574"/>
    <w:lvl w:ilvl="0" w:tplc="2CF65F2A">
      <w:start w:val="165"/>
      <w:numFmt w:val="bullet"/>
      <w:pStyle w:val="CEABullet-Level1"/>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0"/>
  </w:num>
  <w:num w:numId="6">
    <w:abstractNumId w:val="0"/>
  </w:num>
  <w:num w:numId="7">
    <w:abstractNumId w:val="4"/>
  </w:num>
  <w:num w:numId="8">
    <w:abstractNumId w:val="0"/>
  </w:num>
  <w:num w:numId="9">
    <w:abstractNumId w:val="2"/>
  </w:num>
  <w:num w:numId="10">
    <w:abstractNumId w:val="2"/>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2"/>
    <w:rsid w:val="000017E6"/>
    <w:rsid w:val="00006DB2"/>
    <w:rsid w:val="00016143"/>
    <w:rsid w:val="00017459"/>
    <w:rsid w:val="00017E2D"/>
    <w:rsid w:val="00020124"/>
    <w:rsid w:val="00025184"/>
    <w:rsid w:val="0005594E"/>
    <w:rsid w:val="00061BE0"/>
    <w:rsid w:val="0007315D"/>
    <w:rsid w:val="00073C30"/>
    <w:rsid w:val="00077E51"/>
    <w:rsid w:val="0008034A"/>
    <w:rsid w:val="000857E0"/>
    <w:rsid w:val="000B1C3E"/>
    <w:rsid w:val="000C1A84"/>
    <w:rsid w:val="000D0960"/>
    <w:rsid w:val="000D3A9E"/>
    <w:rsid w:val="000D58F0"/>
    <w:rsid w:val="000D5C3C"/>
    <w:rsid w:val="000F34DD"/>
    <w:rsid w:val="001049FC"/>
    <w:rsid w:val="00105B24"/>
    <w:rsid w:val="00115D5E"/>
    <w:rsid w:val="0012408A"/>
    <w:rsid w:val="001449D3"/>
    <w:rsid w:val="00152882"/>
    <w:rsid w:val="0017261F"/>
    <w:rsid w:val="001744BE"/>
    <w:rsid w:val="00176FD8"/>
    <w:rsid w:val="001C7849"/>
    <w:rsid w:val="001D2616"/>
    <w:rsid w:val="001D38B4"/>
    <w:rsid w:val="001E775F"/>
    <w:rsid w:val="00207D76"/>
    <w:rsid w:val="00222F21"/>
    <w:rsid w:val="00231FE2"/>
    <w:rsid w:val="00243242"/>
    <w:rsid w:val="00251967"/>
    <w:rsid w:val="00261545"/>
    <w:rsid w:val="00271772"/>
    <w:rsid w:val="00274D6A"/>
    <w:rsid w:val="002756AE"/>
    <w:rsid w:val="00280AA1"/>
    <w:rsid w:val="00295FD9"/>
    <w:rsid w:val="002C4110"/>
    <w:rsid w:val="002C75A9"/>
    <w:rsid w:val="002E34CF"/>
    <w:rsid w:val="002E34ED"/>
    <w:rsid w:val="002E6C72"/>
    <w:rsid w:val="002F03EA"/>
    <w:rsid w:val="002F481A"/>
    <w:rsid w:val="0030412D"/>
    <w:rsid w:val="00304851"/>
    <w:rsid w:val="0031642C"/>
    <w:rsid w:val="00327A79"/>
    <w:rsid w:val="003412F7"/>
    <w:rsid w:val="00346792"/>
    <w:rsid w:val="00366BF2"/>
    <w:rsid w:val="003A2B39"/>
    <w:rsid w:val="003C45CD"/>
    <w:rsid w:val="003D205A"/>
    <w:rsid w:val="003D79B7"/>
    <w:rsid w:val="003E69EB"/>
    <w:rsid w:val="00404F4B"/>
    <w:rsid w:val="00407B3E"/>
    <w:rsid w:val="00440FEE"/>
    <w:rsid w:val="004438DF"/>
    <w:rsid w:val="00460C62"/>
    <w:rsid w:val="00465BDE"/>
    <w:rsid w:val="00491349"/>
    <w:rsid w:val="004C1EB9"/>
    <w:rsid w:val="004C404F"/>
    <w:rsid w:val="004C4A18"/>
    <w:rsid w:val="004D3E5E"/>
    <w:rsid w:val="004D6D42"/>
    <w:rsid w:val="004E3D46"/>
    <w:rsid w:val="00523640"/>
    <w:rsid w:val="00525C2B"/>
    <w:rsid w:val="005543E4"/>
    <w:rsid w:val="00555D13"/>
    <w:rsid w:val="00585A94"/>
    <w:rsid w:val="00594D0C"/>
    <w:rsid w:val="00595CEB"/>
    <w:rsid w:val="00596F61"/>
    <w:rsid w:val="005C276E"/>
    <w:rsid w:val="005C509E"/>
    <w:rsid w:val="005E3D8D"/>
    <w:rsid w:val="00600B2E"/>
    <w:rsid w:val="0060100A"/>
    <w:rsid w:val="0061114C"/>
    <w:rsid w:val="00620D48"/>
    <w:rsid w:val="0063169C"/>
    <w:rsid w:val="00657185"/>
    <w:rsid w:val="00675BAC"/>
    <w:rsid w:val="0067619C"/>
    <w:rsid w:val="006870AA"/>
    <w:rsid w:val="006943C6"/>
    <w:rsid w:val="006A22D8"/>
    <w:rsid w:val="006C6412"/>
    <w:rsid w:val="006D268F"/>
    <w:rsid w:val="006D636C"/>
    <w:rsid w:val="006E05F8"/>
    <w:rsid w:val="00707824"/>
    <w:rsid w:val="0073158E"/>
    <w:rsid w:val="00752590"/>
    <w:rsid w:val="00753D1D"/>
    <w:rsid w:val="00760AE6"/>
    <w:rsid w:val="00767E49"/>
    <w:rsid w:val="0077648D"/>
    <w:rsid w:val="00781A74"/>
    <w:rsid w:val="00783F2F"/>
    <w:rsid w:val="00786D18"/>
    <w:rsid w:val="00794FC0"/>
    <w:rsid w:val="007A6B6F"/>
    <w:rsid w:val="007B6329"/>
    <w:rsid w:val="007C4BAF"/>
    <w:rsid w:val="007D76E7"/>
    <w:rsid w:val="007D77F1"/>
    <w:rsid w:val="007E06E3"/>
    <w:rsid w:val="007E4D3E"/>
    <w:rsid w:val="007F7E3D"/>
    <w:rsid w:val="0081612A"/>
    <w:rsid w:val="00825DAE"/>
    <w:rsid w:val="008412DE"/>
    <w:rsid w:val="008430C5"/>
    <w:rsid w:val="008678B6"/>
    <w:rsid w:val="00875980"/>
    <w:rsid w:val="00882FA5"/>
    <w:rsid w:val="00896919"/>
    <w:rsid w:val="008A2E1B"/>
    <w:rsid w:val="008A77B4"/>
    <w:rsid w:val="008B6180"/>
    <w:rsid w:val="008C4D05"/>
    <w:rsid w:val="008D6260"/>
    <w:rsid w:val="008F41B5"/>
    <w:rsid w:val="00922476"/>
    <w:rsid w:val="009334CA"/>
    <w:rsid w:val="0095336E"/>
    <w:rsid w:val="00957781"/>
    <w:rsid w:val="0097185D"/>
    <w:rsid w:val="009728B6"/>
    <w:rsid w:val="00974483"/>
    <w:rsid w:val="009836F0"/>
    <w:rsid w:val="00983929"/>
    <w:rsid w:val="00992FFF"/>
    <w:rsid w:val="009B2621"/>
    <w:rsid w:val="009C65B9"/>
    <w:rsid w:val="009E1515"/>
    <w:rsid w:val="009E2804"/>
    <w:rsid w:val="009F36CD"/>
    <w:rsid w:val="00A0226B"/>
    <w:rsid w:val="00A275BC"/>
    <w:rsid w:val="00A32AC9"/>
    <w:rsid w:val="00A4463C"/>
    <w:rsid w:val="00A45B42"/>
    <w:rsid w:val="00A53541"/>
    <w:rsid w:val="00A621C0"/>
    <w:rsid w:val="00A71D83"/>
    <w:rsid w:val="00A7354C"/>
    <w:rsid w:val="00A73965"/>
    <w:rsid w:val="00A97FE6"/>
    <w:rsid w:val="00AB07B9"/>
    <w:rsid w:val="00AB3D56"/>
    <w:rsid w:val="00AB4AA8"/>
    <w:rsid w:val="00AE32F8"/>
    <w:rsid w:val="00B00A7F"/>
    <w:rsid w:val="00B07945"/>
    <w:rsid w:val="00B10DE7"/>
    <w:rsid w:val="00B30CA4"/>
    <w:rsid w:val="00B470BC"/>
    <w:rsid w:val="00B471E2"/>
    <w:rsid w:val="00B6730B"/>
    <w:rsid w:val="00B84E2F"/>
    <w:rsid w:val="00BB07C1"/>
    <w:rsid w:val="00BC08D4"/>
    <w:rsid w:val="00BC3207"/>
    <w:rsid w:val="00BC4E09"/>
    <w:rsid w:val="00BD1274"/>
    <w:rsid w:val="00BD3110"/>
    <w:rsid w:val="00BD6442"/>
    <w:rsid w:val="00BF11D2"/>
    <w:rsid w:val="00C06A41"/>
    <w:rsid w:val="00C12362"/>
    <w:rsid w:val="00C22344"/>
    <w:rsid w:val="00C32A0A"/>
    <w:rsid w:val="00C3572E"/>
    <w:rsid w:val="00C57579"/>
    <w:rsid w:val="00C66131"/>
    <w:rsid w:val="00C728C8"/>
    <w:rsid w:val="00C7408F"/>
    <w:rsid w:val="00C7656E"/>
    <w:rsid w:val="00C83E9F"/>
    <w:rsid w:val="00C9068B"/>
    <w:rsid w:val="00C9162A"/>
    <w:rsid w:val="00C97ED3"/>
    <w:rsid w:val="00CA416E"/>
    <w:rsid w:val="00CC1CBD"/>
    <w:rsid w:val="00CF7637"/>
    <w:rsid w:val="00D021A0"/>
    <w:rsid w:val="00D029AD"/>
    <w:rsid w:val="00D0778C"/>
    <w:rsid w:val="00D5030B"/>
    <w:rsid w:val="00D526F8"/>
    <w:rsid w:val="00D526FA"/>
    <w:rsid w:val="00D615BB"/>
    <w:rsid w:val="00D863D8"/>
    <w:rsid w:val="00D968ED"/>
    <w:rsid w:val="00DA76D2"/>
    <w:rsid w:val="00DC350C"/>
    <w:rsid w:val="00DD4331"/>
    <w:rsid w:val="00DF3E52"/>
    <w:rsid w:val="00DF58DA"/>
    <w:rsid w:val="00DF63FD"/>
    <w:rsid w:val="00E4046B"/>
    <w:rsid w:val="00E44B06"/>
    <w:rsid w:val="00E522BC"/>
    <w:rsid w:val="00E5633B"/>
    <w:rsid w:val="00E802EC"/>
    <w:rsid w:val="00E816CC"/>
    <w:rsid w:val="00E85F91"/>
    <w:rsid w:val="00E94056"/>
    <w:rsid w:val="00EA570B"/>
    <w:rsid w:val="00EB57E0"/>
    <w:rsid w:val="00EE3A83"/>
    <w:rsid w:val="00EF2E44"/>
    <w:rsid w:val="00EF7F7A"/>
    <w:rsid w:val="00F01981"/>
    <w:rsid w:val="00F14F88"/>
    <w:rsid w:val="00F164BC"/>
    <w:rsid w:val="00F363E6"/>
    <w:rsid w:val="00F45B65"/>
    <w:rsid w:val="00F627D1"/>
    <w:rsid w:val="00F727BD"/>
    <w:rsid w:val="00F778BB"/>
    <w:rsid w:val="00F8705B"/>
    <w:rsid w:val="00F931A4"/>
    <w:rsid w:val="00F96C48"/>
    <w:rsid w:val="00FA77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82D1"/>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character" w:styleId="Odkaznakomentr">
    <w:name w:val="annotation reference"/>
    <w:basedOn w:val="Predvolenpsmoodseku"/>
    <w:uiPriority w:val="99"/>
    <w:semiHidden/>
    <w:unhideWhenUsed/>
    <w:rsid w:val="00C7408F"/>
    <w:rPr>
      <w:sz w:val="16"/>
      <w:szCs w:val="16"/>
    </w:rPr>
  </w:style>
  <w:style w:type="paragraph" w:styleId="Textkomentra">
    <w:name w:val="annotation text"/>
    <w:basedOn w:val="Normlny"/>
    <w:link w:val="TextkomentraChar"/>
    <w:uiPriority w:val="99"/>
    <w:semiHidden/>
    <w:unhideWhenUsed/>
    <w:rsid w:val="00C7408F"/>
    <w:pPr>
      <w:spacing w:line="240" w:lineRule="auto"/>
    </w:pPr>
    <w:rPr>
      <w:sz w:val="20"/>
      <w:szCs w:val="20"/>
    </w:rPr>
  </w:style>
  <w:style w:type="character" w:customStyle="1" w:styleId="TextkomentraChar">
    <w:name w:val="Text komentára Char"/>
    <w:basedOn w:val="Predvolenpsmoodseku"/>
    <w:link w:val="Textkomentra"/>
    <w:uiPriority w:val="99"/>
    <w:semiHidden/>
    <w:rsid w:val="00C7408F"/>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C7408F"/>
    <w:rPr>
      <w:b/>
      <w:bCs/>
    </w:rPr>
  </w:style>
  <w:style w:type="character" w:customStyle="1" w:styleId="PredmetkomentraChar">
    <w:name w:val="Predmet komentára Char"/>
    <w:basedOn w:val="TextkomentraChar"/>
    <w:link w:val="Predmetkomentra"/>
    <w:uiPriority w:val="99"/>
    <w:semiHidden/>
    <w:rsid w:val="00C7408F"/>
    <w:rPr>
      <w:rFonts w:ascii="Verdana" w:eastAsia="Times New Roman" w:hAnsi="Verdana" w:cs="Times New Roman"/>
      <w:b/>
      <w:bCs/>
      <w:sz w:val="20"/>
      <w:szCs w:val="20"/>
      <w:lang w:val="en-GB"/>
    </w:rPr>
  </w:style>
  <w:style w:type="table" w:styleId="Mriekatabuky">
    <w:name w:val="Table Grid"/>
    <w:basedOn w:val="Normlnatabuka"/>
    <w:uiPriority w:val="59"/>
    <w:rsid w:val="0081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57781"/>
    <w:pPr>
      <w:spacing w:after="0" w:line="240" w:lineRule="auto"/>
    </w:pPr>
    <w:rPr>
      <w:rFonts w:ascii="Verdana" w:eastAsia="Times New Roman" w:hAnsi="Verdana" w:cs="Times New Roman"/>
      <w:sz w:val="18"/>
      <w:szCs w:val="24"/>
      <w:lang w:val="en-GB"/>
    </w:rPr>
  </w:style>
  <w:style w:type="paragraph" w:styleId="Odsekzoznamu">
    <w:name w:val="List Paragraph"/>
    <w:basedOn w:val="Normlny"/>
    <w:uiPriority w:val="34"/>
    <w:qFormat/>
    <w:rsid w:val="007F7E3D"/>
    <w:pPr>
      <w:spacing w:line="240" w:lineRule="auto"/>
      <w:ind w:left="720"/>
      <w:jc w:val="left"/>
    </w:pPr>
    <w:rPr>
      <w:rFonts w:ascii="Calibri" w:eastAsiaTheme="minorHAnsi" w:hAnsi="Calibri" w:cs="Calibri"/>
      <w:sz w:val="22"/>
      <w:szCs w:val="22"/>
    </w:rPr>
  </w:style>
  <w:style w:type="paragraph" w:customStyle="1" w:styleId="ceabullet-level20">
    <w:name w:val="ceabullet-level2"/>
    <w:basedOn w:val="Normlny"/>
    <w:rsid w:val="005C509E"/>
    <w:pPr>
      <w:autoSpaceDE w:val="0"/>
      <w:autoSpaceDN w:val="0"/>
      <w:ind w:left="720" w:hanging="360"/>
    </w:pPr>
    <w:rPr>
      <w:rFonts w:eastAsiaTheme="minorHAnsi" w:cs="Calibri"/>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95468">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99D63AA9CF4AA08BF74B58D808EA35"/>
        <w:category>
          <w:name w:val="General"/>
          <w:gallery w:val="placeholder"/>
        </w:category>
        <w:types>
          <w:type w:val="bbPlcHdr"/>
        </w:types>
        <w:behaviors>
          <w:behavior w:val="content"/>
        </w:behaviors>
        <w:guid w:val="{DF5E50AD-395B-4B40-BEC3-294CECEE326E}"/>
      </w:docPartPr>
      <w:docPartBody>
        <w:p w:rsidR="00AF50EC" w:rsidRDefault="00F36970">
          <w:r w:rsidRPr="00AE0FFA">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70"/>
    <w:rsid w:val="00067782"/>
    <w:rsid w:val="000F1CB6"/>
    <w:rsid w:val="001E69F7"/>
    <w:rsid w:val="0057158E"/>
    <w:rsid w:val="00634188"/>
    <w:rsid w:val="00A307CB"/>
    <w:rsid w:val="00AF50EC"/>
    <w:rsid w:val="00B9705C"/>
    <w:rsid w:val="00E078F4"/>
    <w:rsid w:val="00E401F3"/>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369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5A1-11AA-442D-8577-727460E39C5A}">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A2C8815-70AD-407E-A449-EFCCFC230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E13DDCF4-0DD8-43E5-BF4C-80E8E8D0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7944</Characters>
  <Application>Microsoft Office Word</Application>
  <DocSecurity>0</DocSecurity>
  <Lines>66</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Final draft Insurance Europe views on review of reporting requirements (clean)</vt:lpstr>
      <vt:lpstr>Final draft Insurance Europe views on review of reporting requirements v3</vt:lpstr>
    </vt:vector>
  </TitlesOfParts>
  <Company>Insurance Europe</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Insurance Europe views on review of reporting requirements (clean)</dc:title>
  <dc:creator>Insurance Europe</dc:creator>
  <cp:lastModifiedBy>Bachníček Jozef</cp:lastModifiedBy>
  <cp:revision>2</cp:revision>
  <cp:lastPrinted>2018-08-13T11:51:00Z</cp:lastPrinted>
  <dcterms:created xsi:type="dcterms:W3CDTF">2018-09-05T06:04:00Z</dcterms:created>
  <dcterms:modified xsi:type="dcterms:W3CDTF">2018-09-05T06:04:00Z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