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8BC" w14:textId="77777777" w:rsidR="00152882" w:rsidRPr="003D0236" w:rsidRDefault="00152882" w:rsidP="003D0236">
      <w:pPr>
        <w:rPr>
          <w:sz w:val="17"/>
          <w:szCs w:val="17"/>
        </w:rPr>
        <w:sectPr w:rsidR="00152882" w:rsidRPr="003D0236" w:rsidSect="005665BA">
          <w:headerReference w:type="even" r:id="rId11"/>
          <w:headerReference w:type="default" r:id="rId12"/>
          <w:footerReference w:type="even" r:id="rId13"/>
          <w:footerReference w:type="default" r:id="rId14"/>
          <w:headerReference w:type="first" r:id="rId15"/>
          <w:footerReference w:type="first" r:id="rId16"/>
          <w:pgSz w:w="11907" w:h="16839" w:code="9"/>
          <w:pgMar w:top="2336" w:right="907" w:bottom="1599" w:left="1418" w:header="709" w:footer="238" w:gutter="0"/>
          <w:cols w:space="708"/>
          <w:titlePg/>
          <w:docGrid w:linePitch="360"/>
        </w:sectPr>
      </w:pPr>
    </w:p>
    <w:p w14:paraId="75DB8891" w14:textId="4CDD34AE" w:rsidR="00565A82" w:rsidRPr="008A622F" w:rsidRDefault="00DC180E" w:rsidP="0075682D">
      <w:pPr>
        <w:pStyle w:val="Nadpis1"/>
        <w:rPr>
          <w:lang w:val="en-GB"/>
        </w:rPr>
      </w:pPr>
      <w:sdt>
        <w:sdtPr>
          <w:rPr>
            <w:lang w:val="en-GB"/>
          </w:rPr>
          <w:id w:val="-1319191757"/>
          <w:placeholder>
            <w:docPart w:val="1EA8FAE289C14A39A5B73B6A2FDD7D04"/>
          </w:placeholder>
          <w:dataBinding w:prefixMappings="xmlns:ns0='http://purl.org/dc/elements/1.1/' xmlns:ns1='http://schemas.openxmlformats.org/package/2006/metadata/core-properties' " w:xpath="/ns1:coreProperties[1]/ns0:title[1]" w:storeItemID="{6C3C8BC8-F283-45AE-878A-BAB7291924A1}"/>
          <w:text/>
        </w:sdtPr>
        <w:sdtEndPr/>
        <w:sdtContent>
          <w:r w:rsidR="003A795A">
            <w:rPr>
              <w:lang w:val="en-GB"/>
            </w:rPr>
            <w:t xml:space="preserve">Draft - </w:t>
          </w:r>
          <w:r w:rsidR="00565A82" w:rsidRPr="008A622F">
            <w:rPr>
              <w:lang w:val="en-GB"/>
            </w:rPr>
            <w:t>Insurance Europe views on equity</w:t>
          </w:r>
        </w:sdtContent>
      </w:sdt>
    </w:p>
    <w:p w14:paraId="45A9A5B8" w14:textId="77777777" w:rsidR="006B6369" w:rsidRPr="00A4240D" w:rsidRDefault="006B6369" w:rsidP="006B6369">
      <w:pPr>
        <w:rPr>
          <w:sz w:val="17"/>
          <w:szCs w:val="17"/>
        </w:rPr>
      </w:pPr>
    </w:p>
    <w:p w14:paraId="3F330831" w14:textId="352A554B" w:rsidR="00EE32E7" w:rsidRPr="00A4240D" w:rsidRDefault="006823E6" w:rsidP="00EE32E7">
      <w:pPr>
        <w:rPr>
          <w:sz w:val="17"/>
          <w:szCs w:val="17"/>
        </w:rPr>
      </w:pPr>
      <w:r w:rsidRPr="00A4240D">
        <w:rPr>
          <w:sz w:val="17"/>
          <w:szCs w:val="17"/>
        </w:rPr>
        <w:t xml:space="preserve">The insurance industry, </w:t>
      </w:r>
      <w:r w:rsidR="007A75CE" w:rsidRPr="00A4240D">
        <w:rPr>
          <w:sz w:val="17"/>
          <w:szCs w:val="17"/>
        </w:rPr>
        <w:t>as</w:t>
      </w:r>
      <w:r w:rsidRPr="00A4240D">
        <w:rPr>
          <w:sz w:val="17"/>
          <w:szCs w:val="17"/>
        </w:rPr>
        <w:t xml:space="preserve"> Europe’s largest institutional investor, </w:t>
      </w:r>
      <w:r w:rsidR="009E0625" w:rsidRPr="00A4240D">
        <w:rPr>
          <w:sz w:val="17"/>
          <w:szCs w:val="17"/>
        </w:rPr>
        <w:t xml:space="preserve">plays a crucial role in long-term investments that support products like pensions and savings, which are underpinned by long-term liabilities. </w:t>
      </w:r>
    </w:p>
    <w:p w14:paraId="4B98D4C1" w14:textId="77777777" w:rsidR="003C278A" w:rsidRPr="00A4240D" w:rsidRDefault="003C278A" w:rsidP="003C278A">
      <w:pPr>
        <w:rPr>
          <w:sz w:val="17"/>
          <w:szCs w:val="17"/>
        </w:rPr>
      </w:pPr>
    </w:p>
    <w:p w14:paraId="0749E9CD" w14:textId="78360633" w:rsidR="00EE32E7" w:rsidRPr="00A4240D" w:rsidRDefault="00EE32E7" w:rsidP="003C278A">
      <w:pPr>
        <w:rPr>
          <w:sz w:val="17"/>
          <w:szCs w:val="17"/>
        </w:rPr>
      </w:pPr>
      <w:r w:rsidRPr="00A4240D">
        <w:rPr>
          <w:sz w:val="17"/>
          <w:szCs w:val="17"/>
        </w:rPr>
        <w:t>The inclusion of workable and simplified criteria for LTE in the Directive (Art 105a) is a significant step forward, promoting investments that align with long-term liabilities. However, for these criteria to be truly effective, they must be supported by clear and practical Level 2 provisions.</w:t>
      </w:r>
    </w:p>
    <w:p w14:paraId="399B154C" w14:textId="77777777" w:rsidR="00EE32E7" w:rsidRPr="00A4240D" w:rsidRDefault="00EE32E7" w:rsidP="00EE32E7">
      <w:pPr>
        <w:rPr>
          <w:sz w:val="17"/>
          <w:szCs w:val="17"/>
        </w:rPr>
      </w:pPr>
    </w:p>
    <w:p w14:paraId="1A6038FD" w14:textId="77777777" w:rsidR="00D82AC2" w:rsidRPr="00A4240D" w:rsidRDefault="00D82AC2" w:rsidP="00EE32E7">
      <w:pPr>
        <w:rPr>
          <w:sz w:val="17"/>
          <w:szCs w:val="17"/>
        </w:rPr>
      </w:pPr>
      <w:r w:rsidRPr="00A4240D">
        <w:rPr>
          <w:sz w:val="17"/>
          <w:szCs w:val="17"/>
        </w:rPr>
        <w:t>At the same time, the symmetric equity adjustment mechanism under Solvency II is designed to mitigate pro-cyclical effects and stabilise insurers' solvency positions during market fluctuations. Yet, its current design introduces basis risk and solvency volatility, particularly affecting insurers with significant unit-linked portfolios.</w:t>
      </w:r>
    </w:p>
    <w:p w14:paraId="00F64886" w14:textId="77777777" w:rsidR="00264AB0" w:rsidRDefault="00264AB0" w:rsidP="00264AB0">
      <w:pPr>
        <w:rPr>
          <w:sz w:val="17"/>
          <w:szCs w:val="17"/>
        </w:rPr>
      </w:pPr>
    </w:p>
    <w:p w14:paraId="44A06193" w14:textId="34FCBE94" w:rsidR="00D82AC2" w:rsidRDefault="00264AB0" w:rsidP="00D82AC2">
      <w:r w:rsidRPr="00A4240D">
        <w:rPr>
          <w:sz w:val="17"/>
          <w:szCs w:val="17"/>
        </w:rPr>
        <w:t xml:space="preserve">This paper </w:t>
      </w:r>
      <w:r>
        <w:rPr>
          <w:sz w:val="17"/>
          <w:szCs w:val="17"/>
        </w:rPr>
        <w:t xml:space="preserve">sets out the industry’s </w:t>
      </w:r>
      <w:r w:rsidR="00946645">
        <w:rPr>
          <w:sz w:val="17"/>
          <w:szCs w:val="17"/>
        </w:rPr>
        <w:t xml:space="preserve">recommendations for improving the treatment of </w:t>
      </w:r>
      <w:r w:rsidR="003F7D16">
        <w:rPr>
          <w:sz w:val="17"/>
          <w:szCs w:val="17"/>
        </w:rPr>
        <w:t xml:space="preserve">equity investments under Solvency II. </w:t>
      </w:r>
    </w:p>
    <w:p w14:paraId="5460FBB6" w14:textId="77777777" w:rsidR="00CB2200" w:rsidRPr="00CB2200" w:rsidRDefault="00CB2200" w:rsidP="00CB2200"/>
    <w:p w14:paraId="48CCA8DD" w14:textId="119ABDAD" w:rsidR="0051083E" w:rsidRPr="00563E81" w:rsidRDefault="00D66CDA" w:rsidP="00E37709">
      <w:pPr>
        <w:pStyle w:val="Nadpis2"/>
        <w:numPr>
          <w:ilvl w:val="0"/>
          <w:numId w:val="14"/>
        </w:numPr>
      </w:pPr>
      <w:r w:rsidRPr="00563E81">
        <w:t>L</w:t>
      </w:r>
      <w:r w:rsidR="007725A0">
        <w:t xml:space="preserve">ong </w:t>
      </w:r>
      <w:r w:rsidRPr="00563E81">
        <w:t>T</w:t>
      </w:r>
      <w:r w:rsidR="007725A0">
        <w:t xml:space="preserve">erm </w:t>
      </w:r>
      <w:r w:rsidRPr="00563E81">
        <w:t>E</w:t>
      </w:r>
      <w:r w:rsidR="007725A0">
        <w:t>quity</w:t>
      </w:r>
      <w:r w:rsidRPr="00563E81">
        <w:t xml:space="preserve"> </w:t>
      </w:r>
    </w:p>
    <w:p w14:paraId="2F3885F1" w14:textId="77777777" w:rsidR="00B305A1" w:rsidRDefault="00B305A1" w:rsidP="00B305A1">
      <w:pPr>
        <w:pStyle w:val="CEABullet-Level1"/>
        <w:numPr>
          <w:ilvl w:val="0"/>
          <w:numId w:val="0"/>
        </w:numPr>
        <w:rPr>
          <w:b/>
          <w:bCs/>
          <w:i/>
          <w:iCs/>
          <w:color w:val="002060"/>
          <w:sz w:val="18"/>
          <w:szCs w:val="22"/>
        </w:rPr>
      </w:pPr>
    </w:p>
    <w:p w14:paraId="65A6B247" w14:textId="5DC88599" w:rsidR="005153E9" w:rsidRPr="00A4240D" w:rsidRDefault="005153E9" w:rsidP="00EC6CD6">
      <w:pPr>
        <w:rPr>
          <w:sz w:val="17"/>
          <w:szCs w:val="17"/>
        </w:rPr>
      </w:pPr>
      <w:r w:rsidRPr="00A4240D">
        <w:rPr>
          <w:sz w:val="17"/>
          <w:szCs w:val="17"/>
        </w:rPr>
        <w:t>The industry welcomes the inclusion of workable and simplified criteria for long-term equities (LTE) in the Directive</w:t>
      </w:r>
      <w:r w:rsidR="00C725E0" w:rsidRPr="00A4240D">
        <w:rPr>
          <w:sz w:val="17"/>
          <w:szCs w:val="17"/>
        </w:rPr>
        <w:t xml:space="preserve"> (Art 105a</w:t>
      </w:r>
      <w:r w:rsidR="00DF5225" w:rsidRPr="00A4240D">
        <w:rPr>
          <w:sz w:val="17"/>
          <w:szCs w:val="17"/>
        </w:rPr>
        <w:t xml:space="preserve"> – Annex </w:t>
      </w:r>
      <w:r w:rsidR="004A39F4" w:rsidRPr="00A4240D">
        <w:rPr>
          <w:sz w:val="17"/>
          <w:szCs w:val="17"/>
        </w:rPr>
        <w:t>III</w:t>
      </w:r>
      <w:r w:rsidR="00C725E0" w:rsidRPr="00A4240D">
        <w:rPr>
          <w:sz w:val="17"/>
          <w:szCs w:val="17"/>
        </w:rPr>
        <w:t>)</w:t>
      </w:r>
      <w:r w:rsidRPr="00A4240D">
        <w:rPr>
          <w:sz w:val="17"/>
          <w:szCs w:val="17"/>
        </w:rPr>
        <w:t xml:space="preserve">. These should be complemented with Level 2 provisions that mirror the co-legislators’ ambition and ensure a smooth and extensive usage of the LTE classification. </w:t>
      </w:r>
    </w:p>
    <w:p w14:paraId="1DF62A57" w14:textId="77777777" w:rsidR="006C287B" w:rsidRPr="00A4240D" w:rsidRDefault="006C287B" w:rsidP="006C287B">
      <w:pPr>
        <w:rPr>
          <w:sz w:val="17"/>
          <w:szCs w:val="17"/>
        </w:rPr>
      </w:pPr>
    </w:p>
    <w:p w14:paraId="0589CB57" w14:textId="04326FC2" w:rsidR="006C287B" w:rsidRPr="00A4240D" w:rsidRDefault="006C287B" w:rsidP="006C287B">
      <w:pPr>
        <w:rPr>
          <w:sz w:val="17"/>
          <w:szCs w:val="17"/>
        </w:rPr>
      </w:pPr>
      <w:r w:rsidRPr="00A4240D">
        <w:rPr>
          <w:sz w:val="17"/>
          <w:szCs w:val="17"/>
        </w:rPr>
        <w:t>The European Commission is specifically requested to prepare Delegated Acts that further specify:</w:t>
      </w:r>
    </w:p>
    <w:p w14:paraId="124A82AE" w14:textId="77777777" w:rsidR="006C287B" w:rsidRPr="00A4240D" w:rsidRDefault="006C287B" w:rsidP="006C287B">
      <w:pPr>
        <w:rPr>
          <w:sz w:val="17"/>
          <w:szCs w:val="17"/>
        </w:rPr>
      </w:pPr>
    </w:p>
    <w:p w14:paraId="4F83F7EB" w14:textId="007767B2" w:rsidR="006C287B" w:rsidRPr="00A4240D" w:rsidRDefault="006C287B" w:rsidP="00E37709">
      <w:pPr>
        <w:pStyle w:val="CEABullet-Level1"/>
        <w:numPr>
          <w:ilvl w:val="0"/>
          <w:numId w:val="4"/>
        </w:numPr>
        <w:rPr>
          <w:szCs w:val="17"/>
        </w:rPr>
      </w:pPr>
      <w:r w:rsidRPr="00A4240D">
        <w:rPr>
          <w:szCs w:val="17"/>
        </w:rPr>
        <w:t xml:space="preserve">The conditions </w:t>
      </w:r>
      <w:r w:rsidR="00E51326" w:rsidRPr="00A4240D">
        <w:rPr>
          <w:szCs w:val="17"/>
        </w:rPr>
        <w:t xml:space="preserve">for eligibility at </w:t>
      </w:r>
      <w:r w:rsidR="003949EC" w:rsidRPr="00A4240D">
        <w:rPr>
          <w:szCs w:val="17"/>
        </w:rPr>
        <w:t>individual</w:t>
      </w:r>
      <w:r w:rsidR="00E51326" w:rsidRPr="00A4240D">
        <w:rPr>
          <w:szCs w:val="17"/>
        </w:rPr>
        <w:t xml:space="preserve"> level</w:t>
      </w:r>
      <w:r w:rsidRPr="00A4240D">
        <w:rPr>
          <w:szCs w:val="17"/>
        </w:rPr>
        <w:t>.</w:t>
      </w:r>
    </w:p>
    <w:p w14:paraId="2608B9A6" w14:textId="608881C0" w:rsidR="00E51326" w:rsidRPr="00A4240D" w:rsidRDefault="003949EC" w:rsidP="00E37709">
      <w:pPr>
        <w:pStyle w:val="CEABullet-Level1"/>
        <w:numPr>
          <w:ilvl w:val="0"/>
          <w:numId w:val="4"/>
        </w:numPr>
        <w:rPr>
          <w:szCs w:val="17"/>
        </w:rPr>
      </w:pPr>
      <w:r w:rsidRPr="00A4240D">
        <w:rPr>
          <w:szCs w:val="17"/>
        </w:rPr>
        <w:t>The approach to be used at group level</w:t>
      </w:r>
    </w:p>
    <w:p w14:paraId="064EEFC6" w14:textId="77777777" w:rsidR="00702392" w:rsidRPr="00A4240D" w:rsidRDefault="006C287B" w:rsidP="00E37709">
      <w:pPr>
        <w:pStyle w:val="CEABullet-Level1"/>
        <w:numPr>
          <w:ilvl w:val="0"/>
          <w:numId w:val="4"/>
        </w:numPr>
        <w:rPr>
          <w:szCs w:val="17"/>
        </w:rPr>
      </w:pPr>
      <w:r w:rsidRPr="00A4240D">
        <w:rPr>
          <w:szCs w:val="17"/>
        </w:rPr>
        <w:t xml:space="preserve">The types of collective investment undertakings </w:t>
      </w:r>
      <w:r w:rsidR="00702392" w:rsidRPr="00A4240D">
        <w:rPr>
          <w:szCs w:val="17"/>
        </w:rPr>
        <w:t xml:space="preserve">which shall be considered as presenting a </w:t>
      </w:r>
    </w:p>
    <w:p w14:paraId="3CABB9AA" w14:textId="77777777" w:rsidR="00702392" w:rsidRPr="00A4240D" w:rsidRDefault="00702392" w:rsidP="00702392">
      <w:pPr>
        <w:pStyle w:val="CEABullet-Level1"/>
        <w:numPr>
          <w:ilvl w:val="0"/>
          <w:numId w:val="0"/>
        </w:numPr>
        <w:ind w:left="720"/>
        <w:rPr>
          <w:szCs w:val="17"/>
        </w:rPr>
      </w:pPr>
      <w:r w:rsidRPr="00A4240D">
        <w:rPr>
          <w:szCs w:val="17"/>
        </w:rPr>
        <w:t xml:space="preserve">lower risk </w:t>
      </w:r>
    </w:p>
    <w:p w14:paraId="231C0EC3" w14:textId="37B52DD3" w:rsidR="005153E9" w:rsidRPr="00A4240D" w:rsidRDefault="006C287B" w:rsidP="00E37709">
      <w:pPr>
        <w:pStyle w:val="CEABullet-Level1"/>
        <w:numPr>
          <w:ilvl w:val="0"/>
          <w:numId w:val="4"/>
        </w:numPr>
        <w:rPr>
          <w:szCs w:val="17"/>
        </w:rPr>
      </w:pPr>
      <w:r w:rsidRPr="00A4240D">
        <w:rPr>
          <w:szCs w:val="17"/>
        </w:rPr>
        <w:t>The information to be included in the SFCR and the RSR.</w:t>
      </w:r>
    </w:p>
    <w:p w14:paraId="1A0753C5" w14:textId="77777777" w:rsidR="006C287B" w:rsidRPr="00A4240D" w:rsidRDefault="006C287B" w:rsidP="00EC6CD6">
      <w:pPr>
        <w:rPr>
          <w:sz w:val="17"/>
          <w:szCs w:val="17"/>
        </w:rPr>
      </w:pPr>
    </w:p>
    <w:p w14:paraId="53723405" w14:textId="5885EB58" w:rsidR="003A338F" w:rsidRDefault="003A338F" w:rsidP="003A338F">
      <w:pPr>
        <w:rPr>
          <w:sz w:val="17"/>
          <w:szCs w:val="17"/>
        </w:rPr>
      </w:pPr>
    </w:p>
    <w:p w14:paraId="413726E5" w14:textId="720FAFAC" w:rsidR="003A338F" w:rsidRPr="00442E59" w:rsidRDefault="003A338F" w:rsidP="006C5E67">
      <w:pPr>
        <w:pStyle w:val="Odsekzoznamu"/>
        <w:numPr>
          <w:ilvl w:val="0"/>
          <w:numId w:val="20"/>
        </w:numPr>
        <w:rPr>
          <w:sz w:val="17"/>
          <w:szCs w:val="17"/>
        </w:rPr>
      </w:pPr>
      <w:r w:rsidRPr="006C5E67">
        <w:rPr>
          <w:b/>
          <w:bCs/>
          <w:sz w:val="17"/>
          <w:szCs w:val="17"/>
        </w:rPr>
        <w:t>The conditions for eligibility at individual level</w:t>
      </w:r>
    </w:p>
    <w:p w14:paraId="38083EC3" w14:textId="2AACAF13" w:rsidR="006503A6" w:rsidRDefault="009E04C8" w:rsidP="00DE4D1E">
      <w:pPr>
        <w:rPr>
          <w:sz w:val="17"/>
          <w:szCs w:val="17"/>
        </w:rPr>
      </w:pPr>
      <w:r w:rsidRPr="009E04C8">
        <w:rPr>
          <w:noProof/>
          <w:sz w:val="17"/>
          <w:szCs w:val="17"/>
        </w:rPr>
        <mc:AlternateContent>
          <mc:Choice Requires="wps">
            <w:drawing>
              <wp:anchor distT="45720" distB="45720" distL="114300" distR="114300" simplePos="0" relativeHeight="251658240" behindDoc="0" locked="0" layoutInCell="1" allowOverlap="1" wp14:anchorId="6466A007" wp14:editId="7A3925A6">
                <wp:simplePos x="0" y="0"/>
                <wp:positionH relativeFrom="margin">
                  <wp:align>right</wp:align>
                </wp:positionH>
                <wp:positionV relativeFrom="paragraph">
                  <wp:posOffset>670560</wp:posOffset>
                </wp:positionV>
                <wp:extent cx="6149340" cy="1404620"/>
                <wp:effectExtent l="0" t="0" r="228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404620"/>
                        </a:xfrm>
                        <a:prstGeom prst="rect">
                          <a:avLst/>
                        </a:prstGeom>
                        <a:solidFill>
                          <a:srgbClr val="FFFFFF"/>
                        </a:solidFill>
                        <a:ln w="9525">
                          <a:solidFill>
                            <a:srgbClr val="000000"/>
                          </a:solidFill>
                          <a:miter lim="800000"/>
                          <a:headEnd/>
                          <a:tailEnd/>
                        </a:ln>
                      </wps:spPr>
                      <wps:txbx>
                        <w:txbxContent>
                          <w:p w14:paraId="650F208C" w14:textId="589D24F4" w:rsidR="009E04C8" w:rsidRPr="00E03727" w:rsidRDefault="00FA3EAF">
                            <w:pPr>
                              <w:rPr>
                                <w:b/>
                                <w:bCs/>
                                <w:lang w:val="en-US"/>
                              </w:rPr>
                            </w:pPr>
                            <w:r>
                              <w:rPr>
                                <w:b/>
                                <w:bCs/>
                                <w:lang w:val="en-US"/>
                              </w:rPr>
                              <w:t xml:space="preserve">Recommendation on </w:t>
                            </w:r>
                            <w:r w:rsidR="008716B8">
                              <w:rPr>
                                <w:b/>
                                <w:bCs/>
                                <w:lang w:val="en-US"/>
                              </w:rPr>
                              <w:t xml:space="preserve">assessing conditions for </w:t>
                            </w:r>
                            <w:r w:rsidR="00CD0565">
                              <w:rPr>
                                <w:b/>
                                <w:bCs/>
                                <w:lang w:val="en-US"/>
                              </w:rPr>
                              <w:t>eligibility</w:t>
                            </w:r>
                            <w:r w:rsidR="008716B8">
                              <w:rPr>
                                <w:b/>
                                <w:bCs/>
                                <w:lang w:val="en-US"/>
                              </w:rPr>
                              <w:t xml:space="preserve"> at </w:t>
                            </w:r>
                            <w:r w:rsidR="00CD0565">
                              <w:rPr>
                                <w:b/>
                                <w:bCs/>
                                <w:lang w:val="en-US"/>
                              </w:rPr>
                              <w:t>individual level</w:t>
                            </w:r>
                          </w:p>
                          <w:p w14:paraId="2563C4B5" w14:textId="77777777" w:rsidR="009E04C8" w:rsidRPr="00E03727" w:rsidRDefault="009E04C8">
                            <w:pPr>
                              <w:rPr>
                                <w:lang w:val="en-US"/>
                              </w:rPr>
                            </w:pPr>
                          </w:p>
                          <w:p w14:paraId="684511D5" w14:textId="52551E01" w:rsidR="009E04C8" w:rsidRDefault="009E04C8">
                            <w:r>
                              <w:t xml:space="preserve">The industry supports the </w:t>
                            </w:r>
                            <w:r w:rsidR="00C64941">
                              <w:t>inclusion of both a</w:t>
                            </w:r>
                            <w:r w:rsidR="00023A0E">
                              <w:t>n appropriate</w:t>
                            </w:r>
                            <w:r w:rsidR="00C64941">
                              <w:t xml:space="preserve"> liquidity stress test approach and EIOPA’s proposed </w:t>
                            </w:r>
                            <w:r w:rsidR="00843F9A">
                              <w:t>as appropriate ways to demonstrate the ability of insurers to avoid forced sales.</w:t>
                            </w:r>
                          </w:p>
                          <w:p w14:paraId="7B041FAA" w14:textId="77777777" w:rsidR="00843F9A" w:rsidRDefault="00843F9A"/>
                          <w:p w14:paraId="3268B7E9" w14:textId="30CBBFA7" w:rsidR="00477093" w:rsidRDefault="00EE6DF6">
                            <w:r>
                              <w:t>Both the liquidity stre</w:t>
                            </w:r>
                            <w:r w:rsidR="00477093">
                              <w:t>ss test approach and t</w:t>
                            </w:r>
                            <w:r w:rsidR="00843F9A">
                              <w:t xml:space="preserve">he EIOPA approach </w:t>
                            </w:r>
                            <w:r w:rsidR="00843F9A" w:rsidRPr="00E03727">
                              <w:rPr>
                                <w:u w:val="single"/>
                              </w:rPr>
                              <w:t xml:space="preserve">should be </w:t>
                            </w:r>
                            <w:r w:rsidR="00FD4018" w:rsidRPr="00E03727">
                              <w:rPr>
                                <w:u w:val="single"/>
                              </w:rPr>
                              <w:t>available f</w:t>
                            </w:r>
                            <w:r w:rsidR="00843F9A" w:rsidRPr="00E03727">
                              <w:rPr>
                                <w:u w:val="single"/>
                              </w:rPr>
                              <w:t>or all insurers</w:t>
                            </w:r>
                            <w:r w:rsidR="00843F9A">
                              <w:t xml:space="preserve"> to use</w:t>
                            </w:r>
                            <w:r w:rsidR="00FD4018">
                              <w:t xml:space="preserve"> without any </w:t>
                            </w:r>
                            <w:r w:rsidR="0070279B">
                              <w:t>preconditions</w:t>
                            </w:r>
                            <w:r w:rsidR="00173577">
                              <w:t xml:space="preserve">. </w:t>
                            </w:r>
                            <w:r w:rsidR="00D13F81">
                              <w:t>The EIOPA approach should not be considered as a proportionality measure.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6A007" id="_x0000_t202" coordsize="21600,21600" o:spt="202" path="m,l,21600r21600,l21600,xe">
                <v:stroke joinstyle="miter"/>
                <v:path gradientshapeok="t" o:connecttype="rect"/>
              </v:shapetype>
              <v:shape id="Text Box 2" o:spid="_x0000_s1026" type="#_x0000_t202" style="position:absolute;left:0;text-align:left;margin-left:433pt;margin-top:52.8pt;width:484.2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">
                <v:textbox style="mso-fit-shape-to-text:t">
                  <w:txbxContent>
                    <w:p w14:paraId="650F208C" w14:textId="589D24F4" w:rsidR="009E04C8" w:rsidRPr="00E03727" w:rsidRDefault="00FA3EAF">
                      <w:pPr>
                        <w:rPr>
                          <w:b/>
                          <w:bCs/>
                          <w:lang w:val="en-US"/>
                        </w:rPr>
                      </w:pPr>
                      <w:r>
                        <w:rPr>
                          <w:b/>
                          <w:bCs/>
                          <w:lang w:val="en-US"/>
                        </w:rPr>
                        <w:t xml:space="preserve">Recommendation on </w:t>
                      </w:r>
                      <w:r w:rsidR="008716B8">
                        <w:rPr>
                          <w:b/>
                          <w:bCs/>
                          <w:lang w:val="en-US"/>
                        </w:rPr>
                        <w:t xml:space="preserve">assessing conditions for </w:t>
                      </w:r>
                      <w:r w:rsidR="00CD0565">
                        <w:rPr>
                          <w:b/>
                          <w:bCs/>
                          <w:lang w:val="en-US"/>
                        </w:rPr>
                        <w:t>eligibility</w:t>
                      </w:r>
                      <w:r w:rsidR="008716B8">
                        <w:rPr>
                          <w:b/>
                          <w:bCs/>
                          <w:lang w:val="en-US"/>
                        </w:rPr>
                        <w:t xml:space="preserve"> at </w:t>
                      </w:r>
                      <w:r w:rsidR="00CD0565">
                        <w:rPr>
                          <w:b/>
                          <w:bCs/>
                          <w:lang w:val="en-US"/>
                        </w:rPr>
                        <w:t>individual level</w:t>
                      </w:r>
                    </w:p>
                    <w:p w14:paraId="2563C4B5" w14:textId="77777777" w:rsidR="009E04C8" w:rsidRPr="00E03727" w:rsidRDefault="009E04C8">
                      <w:pPr>
                        <w:rPr>
                          <w:lang w:val="en-US"/>
                        </w:rPr>
                      </w:pPr>
                    </w:p>
                    <w:p w14:paraId="684511D5" w14:textId="52551E01" w:rsidR="009E04C8" w:rsidRDefault="009E04C8">
                      <w:r>
                        <w:t xml:space="preserve">The industry supports the </w:t>
                      </w:r>
                      <w:r w:rsidR="00C64941">
                        <w:t>inclusion of both a</w:t>
                      </w:r>
                      <w:r w:rsidR="00023A0E">
                        <w:t>n appropriate</w:t>
                      </w:r>
                      <w:r w:rsidR="00C64941">
                        <w:t xml:space="preserve"> liquidity stress test approach and EIOPA’s proposed </w:t>
                      </w:r>
                      <w:r w:rsidR="00843F9A">
                        <w:t>as appropriate ways to demonstrate the ability of insurers to avoid forced sales.</w:t>
                      </w:r>
                    </w:p>
                    <w:p w14:paraId="7B041FAA" w14:textId="77777777" w:rsidR="00843F9A" w:rsidRDefault="00843F9A"/>
                    <w:p w14:paraId="3268B7E9" w14:textId="30CBBFA7" w:rsidR="00477093" w:rsidRDefault="00EE6DF6">
                      <w:r>
                        <w:t>Both the liquidity stre</w:t>
                      </w:r>
                      <w:r w:rsidR="00477093">
                        <w:t>ss test approach and t</w:t>
                      </w:r>
                      <w:r w:rsidR="00843F9A">
                        <w:t xml:space="preserve">he EIOPA approach </w:t>
                      </w:r>
                      <w:r w:rsidR="00843F9A" w:rsidRPr="00E03727">
                        <w:rPr>
                          <w:u w:val="single"/>
                        </w:rPr>
                        <w:t xml:space="preserve">should be </w:t>
                      </w:r>
                      <w:r w:rsidR="00FD4018" w:rsidRPr="00E03727">
                        <w:rPr>
                          <w:u w:val="single"/>
                        </w:rPr>
                        <w:t>available f</w:t>
                      </w:r>
                      <w:r w:rsidR="00843F9A" w:rsidRPr="00E03727">
                        <w:rPr>
                          <w:u w:val="single"/>
                        </w:rPr>
                        <w:t>or all insurers</w:t>
                      </w:r>
                      <w:r w:rsidR="00843F9A">
                        <w:t xml:space="preserve"> to use</w:t>
                      </w:r>
                      <w:r w:rsidR="00FD4018">
                        <w:t xml:space="preserve"> without any </w:t>
                      </w:r>
                      <w:r w:rsidR="0070279B">
                        <w:t>preconditions</w:t>
                      </w:r>
                      <w:r w:rsidR="00173577">
                        <w:t xml:space="preserve">. </w:t>
                      </w:r>
                      <w:r w:rsidR="00D13F81">
                        <w:t>The EIOPA approach should not be considered as a proportionality measure.</w:t>
                      </w:r>
                    </w:p>
                  </w:txbxContent>
                </v:textbox>
                <w10:wrap type="square" anchorx="margin"/>
              </v:shape>
            </w:pict>
          </mc:Fallback>
        </mc:AlternateContent>
      </w:r>
      <w:r w:rsidR="00F273F4">
        <w:rPr>
          <w:sz w:val="17"/>
          <w:szCs w:val="17"/>
        </w:rPr>
        <w:t xml:space="preserve">In its </w:t>
      </w:r>
      <w:r w:rsidR="009D317A">
        <w:rPr>
          <w:sz w:val="17"/>
          <w:szCs w:val="17"/>
        </w:rPr>
        <w:t>non-paper</w:t>
      </w:r>
      <w:r w:rsidR="00DE32F1">
        <w:rPr>
          <w:rStyle w:val="Odkaznapoznmkupodiarou"/>
          <w:szCs w:val="17"/>
        </w:rPr>
        <w:footnoteReference w:id="2"/>
      </w:r>
      <w:r w:rsidR="009D317A">
        <w:rPr>
          <w:sz w:val="17"/>
          <w:szCs w:val="17"/>
        </w:rPr>
        <w:t xml:space="preserve">, </w:t>
      </w:r>
      <w:r w:rsidR="006F7848">
        <w:rPr>
          <w:sz w:val="17"/>
          <w:szCs w:val="17"/>
        </w:rPr>
        <w:t xml:space="preserve">the Commission has proposed </w:t>
      </w:r>
      <w:r w:rsidR="00F1478F">
        <w:rPr>
          <w:sz w:val="17"/>
          <w:szCs w:val="17"/>
        </w:rPr>
        <w:t xml:space="preserve">two methods which could be used to demonstrate compliance with </w:t>
      </w:r>
      <w:r w:rsidR="00F1657B">
        <w:rPr>
          <w:sz w:val="17"/>
          <w:szCs w:val="17"/>
        </w:rPr>
        <w:t>the insurers ability to avoid forced sales (Art 105</w:t>
      </w:r>
      <w:r w:rsidR="004F317D">
        <w:rPr>
          <w:sz w:val="17"/>
          <w:szCs w:val="17"/>
        </w:rPr>
        <w:t>a(1)(d))</w:t>
      </w:r>
      <w:r w:rsidR="006D361D">
        <w:rPr>
          <w:sz w:val="17"/>
          <w:szCs w:val="17"/>
        </w:rPr>
        <w:t>;</w:t>
      </w:r>
      <w:r w:rsidR="004D0403">
        <w:rPr>
          <w:sz w:val="17"/>
          <w:szCs w:val="17"/>
        </w:rPr>
        <w:t xml:space="preserve"> 1) the liquidity stress test approach and 2) EIOPA’s </w:t>
      </w:r>
      <w:r w:rsidR="003A3DC6">
        <w:rPr>
          <w:sz w:val="17"/>
          <w:szCs w:val="17"/>
        </w:rPr>
        <w:t>proposed approach.</w:t>
      </w:r>
    </w:p>
    <w:p w14:paraId="52598DE5" w14:textId="31D94CA9" w:rsidR="003A3DC6" w:rsidRPr="006C5E67" w:rsidRDefault="003076C1" w:rsidP="00DE4D1E">
      <w:pPr>
        <w:rPr>
          <w:rFonts w:cs="Frutiger LT Std 45 Light"/>
          <w:color w:val="002060"/>
          <w:szCs w:val="22"/>
        </w:rPr>
      </w:pPr>
      <w:r w:rsidRPr="006C5E67">
        <w:rPr>
          <w:rFonts w:cs="Frutiger LT Std 45 Light"/>
          <w:color w:val="002060"/>
          <w:szCs w:val="22"/>
        </w:rPr>
        <w:lastRenderedPageBreak/>
        <w:t xml:space="preserve">Liquidity stress test approach </w:t>
      </w:r>
    </w:p>
    <w:p w14:paraId="232DF192" w14:textId="61DF489C" w:rsidR="00DE4D1E" w:rsidRPr="00A4240D" w:rsidRDefault="00023A0E" w:rsidP="00DE4D1E">
      <w:pPr>
        <w:rPr>
          <w:b/>
          <w:bCs/>
          <w:sz w:val="17"/>
          <w:szCs w:val="17"/>
        </w:rPr>
      </w:pPr>
      <w:r w:rsidRPr="006C5E67">
        <w:rPr>
          <w:sz w:val="17"/>
          <w:szCs w:val="17"/>
        </w:rPr>
        <w:t>In</w:t>
      </w:r>
      <w:r>
        <w:rPr>
          <w:sz w:val="17"/>
          <w:szCs w:val="17"/>
        </w:rPr>
        <w:t xml:space="preserve"> its paper, the Commission makes a</w:t>
      </w:r>
      <w:r w:rsidR="00A42019">
        <w:rPr>
          <w:sz w:val="17"/>
          <w:szCs w:val="17"/>
        </w:rPr>
        <w:t xml:space="preserve"> </w:t>
      </w:r>
      <w:r w:rsidR="00C22394">
        <w:rPr>
          <w:sz w:val="17"/>
          <w:szCs w:val="17"/>
        </w:rPr>
        <w:t xml:space="preserve">detailed </w:t>
      </w:r>
      <w:r w:rsidR="00A42019">
        <w:rPr>
          <w:sz w:val="17"/>
          <w:szCs w:val="17"/>
        </w:rPr>
        <w:t xml:space="preserve">proposal on how the </w:t>
      </w:r>
      <w:r w:rsidR="00C22394">
        <w:rPr>
          <w:sz w:val="17"/>
          <w:szCs w:val="17"/>
        </w:rPr>
        <w:t xml:space="preserve">liquidity stress test </w:t>
      </w:r>
      <w:r w:rsidR="00A42019">
        <w:rPr>
          <w:sz w:val="17"/>
          <w:szCs w:val="17"/>
        </w:rPr>
        <w:t>could be designed</w:t>
      </w:r>
      <w:r w:rsidR="000F4AA5">
        <w:rPr>
          <w:rStyle w:val="Odkaznapoznmkupodiarou"/>
          <w:szCs w:val="17"/>
        </w:rPr>
        <w:footnoteReference w:id="3"/>
      </w:r>
      <w:r w:rsidR="00C22394">
        <w:rPr>
          <w:sz w:val="17"/>
          <w:szCs w:val="17"/>
        </w:rPr>
        <w:t xml:space="preserve">. </w:t>
      </w:r>
      <w:r w:rsidR="00323116" w:rsidRPr="00A4240D">
        <w:rPr>
          <w:sz w:val="17"/>
          <w:szCs w:val="17"/>
        </w:rPr>
        <w:t xml:space="preserve">While supporting the co-legislators’ ambition, it is crucial to avoid overcomplication. Level 2 provisions should be designed to facilitate rather than restrict LTE eligibility, </w:t>
      </w:r>
      <w:r w:rsidR="0094128F">
        <w:rPr>
          <w:sz w:val="17"/>
          <w:szCs w:val="17"/>
        </w:rPr>
        <w:t xml:space="preserve">rightly </w:t>
      </w:r>
      <w:r w:rsidR="00323116" w:rsidRPr="00A4240D">
        <w:rPr>
          <w:sz w:val="17"/>
          <w:szCs w:val="17"/>
        </w:rPr>
        <w:t>ensuring that a significant portion of standard formula insurers’ equity holdings qualify</w:t>
      </w:r>
      <w:r w:rsidR="006E09C7">
        <w:rPr>
          <w:sz w:val="17"/>
          <w:szCs w:val="17"/>
        </w:rPr>
        <w:t xml:space="preserve"> as LTE</w:t>
      </w:r>
      <w:r w:rsidR="00323116" w:rsidRPr="00A4240D">
        <w:rPr>
          <w:sz w:val="17"/>
          <w:szCs w:val="17"/>
        </w:rPr>
        <w:t>.</w:t>
      </w:r>
      <w:r w:rsidR="00DE4D1E" w:rsidRPr="00A4240D">
        <w:rPr>
          <w:b/>
          <w:bCs/>
          <w:sz w:val="17"/>
          <w:szCs w:val="17"/>
        </w:rPr>
        <w:t xml:space="preserve"> </w:t>
      </w:r>
    </w:p>
    <w:p w14:paraId="676EE530" w14:textId="3CA561A0" w:rsidR="0052604F" w:rsidRPr="0052604F" w:rsidRDefault="008F3431" w:rsidP="0052604F">
      <w:pPr>
        <w:rPr>
          <w:i/>
          <w:iCs/>
          <w:color w:val="002060"/>
          <w:sz w:val="17"/>
          <w:szCs w:val="17"/>
        </w:rPr>
      </w:pPr>
      <w:r w:rsidRPr="009E04C8">
        <w:rPr>
          <w:rFonts w:cs="Frutiger LT Std 45 Light"/>
          <w:noProof/>
          <w:color w:val="000000"/>
          <w:sz w:val="17"/>
          <w:szCs w:val="17"/>
        </w:rPr>
        <mc:AlternateContent>
          <mc:Choice Requires="wps">
            <w:drawing>
              <wp:anchor distT="45720" distB="45720" distL="114300" distR="114300" simplePos="0" relativeHeight="251658241" behindDoc="0" locked="0" layoutInCell="1" allowOverlap="1" wp14:anchorId="5C0FE923" wp14:editId="127875F8">
                <wp:simplePos x="0" y="0"/>
                <wp:positionH relativeFrom="margin">
                  <wp:align>left</wp:align>
                </wp:positionH>
                <wp:positionV relativeFrom="paragraph">
                  <wp:posOffset>229235</wp:posOffset>
                </wp:positionV>
                <wp:extent cx="6026400" cy="1404620"/>
                <wp:effectExtent l="0" t="0" r="12700" b="13335"/>
                <wp:wrapSquare wrapText="bothSides"/>
                <wp:docPr id="1533236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400" cy="1404620"/>
                        </a:xfrm>
                        <a:prstGeom prst="rect">
                          <a:avLst/>
                        </a:prstGeom>
                        <a:solidFill>
                          <a:srgbClr val="FFFFFF"/>
                        </a:solidFill>
                        <a:ln w="9525">
                          <a:solidFill>
                            <a:srgbClr val="000000"/>
                          </a:solidFill>
                          <a:miter lim="800000"/>
                          <a:headEnd/>
                          <a:tailEnd/>
                        </a:ln>
                      </wps:spPr>
                      <wps:txbx>
                        <w:txbxContent>
                          <w:p w14:paraId="382BCDD8" w14:textId="0BC381F3" w:rsidR="008F3431" w:rsidRPr="000F350F" w:rsidRDefault="00CD0565" w:rsidP="008F3431">
                            <w:pPr>
                              <w:rPr>
                                <w:b/>
                                <w:bCs/>
                              </w:rPr>
                            </w:pPr>
                            <w:r>
                              <w:rPr>
                                <w:b/>
                                <w:bCs/>
                              </w:rPr>
                              <w:t>R</w:t>
                            </w:r>
                            <w:r w:rsidR="00FA3EAF">
                              <w:rPr>
                                <w:b/>
                                <w:bCs/>
                              </w:rPr>
                              <w:t xml:space="preserve">ecommendations </w:t>
                            </w:r>
                            <w:r w:rsidR="008F3431">
                              <w:rPr>
                                <w:b/>
                                <w:bCs/>
                              </w:rPr>
                              <w:t>for a liquidity stress test</w:t>
                            </w:r>
                          </w:p>
                          <w:p w14:paraId="0384B176" w14:textId="77777777" w:rsidR="008F3431" w:rsidRDefault="008F3431" w:rsidP="008F3431"/>
                          <w:p w14:paraId="057D7398" w14:textId="77777777" w:rsidR="00D46112" w:rsidRPr="006E21A0" w:rsidRDefault="00D46112" w:rsidP="00D46112">
                            <w:pPr>
                              <w:pStyle w:val="CEABullet-Level1"/>
                              <w:numPr>
                                <w:ilvl w:val="0"/>
                                <w:numId w:val="0"/>
                              </w:numPr>
                              <w:rPr>
                                <w:i/>
                                <w:iCs/>
                                <w:color w:val="002060"/>
                                <w:szCs w:val="17"/>
                                <w:u w:val="single"/>
                              </w:rPr>
                            </w:pPr>
                            <w:r w:rsidRPr="006E21A0">
                              <w:rPr>
                                <w:i/>
                                <w:iCs/>
                                <w:color w:val="002060"/>
                                <w:szCs w:val="17"/>
                                <w:u w:val="single"/>
                              </w:rPr>
                              <w:t>French-Dutch approach</w:t>
                            </w:r>
                          </w:p>
                          <w:p w14:paraId="74034D0D" w14:textId="77777777" w:rsidR="00D46112" w:rsidRPr="002666DB" w:rsidRDefault="00D46112" w:rsidP="00D46112">
                            <w:pPr>
                              <w:pStyle w:val="CEABullet-Level1"/>
                              <w:numPr>
                                <w:ilvl w:val="0"/>
                                <w:numId w:val="0"/>
                              </w:numPr>
                              <w:rPr>
                                <w:b/>
                                <w:bCs/>
                                <w:i/>
                                <w:iCs/>
                                <w:color w:val="002060"/>
                              </w:rPr>
                            </w:pPr>
                            <w:r w:rsidRPr="002666DB">
                              <w:rPr>
                                <w:b/>
                                <w:bCs/>
                                <w:i/>
                                <w:iCs/>
                                <w:color w:val="002060"/>
                              </w:rPr>
                              <w:t xml:space="preserve">Background </w:t>
                            </w:r>
                          </w:p>
                          <w:p w14:paraId="3DAFE09C" w14:textId="77777777" w:rsidR="00D46112" w:rsidRDefault="00D46112" w:rsidP="00D46112">
                            <w:pPr>
                              <w:pStyle w:val="CEABullet-Level1"/>
                              <w:numPr>
                                <w:ilvl w:val="0"/>
                                <w:numId w:val="0"/>
                              </w:numPr>
                            </w:pPr>
                            <w:r w:rsidRPr="002666DB">
                              <w:t xml:space="preserve">The Dutch Ministry of Finance and the </w:t>
                            </w:r>
                            <w:r w:rsidRPr="00D75CDF">
                              <w:t>French Treasury Department initiated a proposal for a liquidity test, as part of a broader proposal on LTE in 2018. The French Actuarial institute revised the proposal and made a number of recommendations for improvements which are reflected in this paper as well.</w:t>
                            </w:r>
                          </w:p>
                          <w:p w14:paraId="1F48A84D" w14:textId="77777777" w:rsidR="00D46112" w:rsidRDefault="00D46112" w:rsidP="00D46112">
                            <w:pPr>
                              <w:pStyle w:val="CEABullet-Level1"/>
                              <w:numPr>
                                <w:ilvl w:val="0"/>
                                <w:numId w:val="0"/>
                              </w:numPr>
                            </w:pPr>
                          </w:p>
                          <w:p w14:paraId="416D4D77" w14:textId="77777777" w:rsidR="00D46112" w:rsidRPr="00203EBF" w:rsidRDefault="00D46112" w:rsidP="00D46112">
                            <w:pPr>
                              <w:pStyle w:val="CEABullet-Level1"/>
                              <w:numPr>
                                <w:ilvl w:val="0"/>
                                <w:numId w:val="0"/>
                              </w:numPr>
                              <w:rPr>
                                <w:b/>
                                <w:bCs/>
                                <w:i/>
                                <w:iCs/>
                                <w:color w:val="002060"/>
                              </w:rPr>
                            </w:pPr>
                            <w:r w:rsidRPr="00203EBF">
                              <w:rPr>
                                <w:b/>
                                <w:bCs/>
                                <w:i/>
                                <w:iCs/>
                                <w:color w:val="002060"/>
                              </w:rPr>
                              <w:t xml:space="preserve">Purpose of the Liquidity </w:t>
                            </w:r>
                            <w:r>
                              <w:rPr>
                                <w:rStyle w:val="Odkaznakomentr"/>
                                <w:rFonts w:asciiTheme="minorHAnsi" w:eastAsiaTheme="minorHAnsi" w:hAnsiTheme="minorHAnsi" w:cstheme="minorBidi"/>
                                <w:color w:val="auto"/>
                                <w:lang w:val="fr-FR"/>
                              </w:rPr>
                              <w:annotationRef/>
                            </w:r>
                            <w:r w:rsidRPr="00203EBF">
                              <w:rPr>
                                <w:b/>
                                <w:bCs/>
                                <w:i/>
                                <w:iCs/>
                                <w:color w:val="002060"/>
                              </w:rPr>
                              <w:t>Test</w:t>
                            </w:r>
                          </w:p>
                          <w:p w14:paraId="1941B09D" w14:textId="77777777" w:rsidR="00D46112" w:rsidRPr="00203EBF" w:rsidRDefault="00D46112" w:rsidP="00D46112">
                            <w:pPr>
                              <w:pStyle w:val="CEABullet-Level1"/>
                              <w:numPr>
                                <w:ilvl w:val="0"/>
                                <w:numId w:val="12"/>
                              </w:numPr>
                            </w:pPr>
                            <w:r w:rsidRPr="00203EBF">
                              <w:t xml:space="preserve">The liquidity test is a key requirement for insurers to qualify for the Long-Term Equity </w:t>
                            </w:r>
                            <w:r>
                              <w:t>module.</w:t>
                            </w:r>
                            <w:r w:rsidRPr="00203EBF">
                              <w:t xml:space="preserve"> </w:t>
                            </w:r>
                          </w:p>
                          <w:p w14:paraId="08213D79" w14:textId="77777777" w:rsidR="00D46112" w:rsidRPr="00203EBF" w:rsidRDefault="00D46112" w:rsidP="00D46112">
                            <w:pPr>
                              <w:pStyle w:val="CEABullet-Level1"/>
                              <w:numPr>
                                <w:ilvl w:val="0"/>
                                <w:numId w:val="12"/>
                              </w:numPr>
                            </w:pPr>
                            <w:r w:rsidRPr="00203EBF">
                              <w:t xml:space="preserve">It ensures that insurers can hold </w:t>
                            </w:r>
                            <w:r>
                              <w:t>equity</w:t>
                            </w:r>
                            <w:r w:rsidRPr="00203EBF">
                              <w:t xml:space="preserve"> for at least five years, even under stressed conditions, without being forced to sell them.</w:t>
                            </w:r>
                          </w:p>
                          <w:p w14:paraId="7E3FF48A" w14:textId="77777777" w:rsidR="00D46112" w:rsidRPr="00203EBF" w:rsidRDefault="00D46112" w:rsidP="00D46112">
                            <w:pPr>
                              <w:pStyle w:val="CEABullet-Level1"/>
                              <w:numPr>
                                <w:ilvl w:val="0"/>
                                <w:numId w:val="12"/>
                              </w:numPr>
                            </w:pPr>
                            <w:r w:rsidRPr="00203EBF">
                              <w:t>The goal is to demonstrate financial resilience and align the LTE classification with insurers’ long-term liabilities.</w:t>
                            </w:r>
                          </w:p>
                          <w:p w14:paraId="76954B10" w14:textId="77777777" w:rsidR="00D46112" w:rsidRPr="00203EBF" w:rsidRDefault="00D46112" w:rsidP="00D46112">
                            <w:pPr>
                              <w:pStyle w:val="CEABullet-Level1"/>
                              <w:numPr>
                                <w:ilvl w:val="0"/>
                                <w:numId w:val="0"/>
                              </w:numPr>
                              <w:rPr>
                                <w:b/>
                                <w:bCs/>
                                <w:i/>
                                <w:iCs/>
                                <w:color w:val="002060"/>
                              </w:rPr>
                            </w:pPr>
                            <w:r w:rsidRPr="00203EBF">
                              <w:rPr>
                                <w:b/>
                                <w:bCs/>
                                <w:i/>
                                <w:iCs/>
                                <w:color w:val="002060"/>
                              </w:rPr>
                              <w:t>Structure of the Liquidity Test</w:t>
                            </w:r>
                          </w:p>
                          <w:p w14:paraId="586DAB9B" w14:textId="77777777" w:rsidR="00D46112" w:rsidRPr="00203EBF" w:rsidRDefault="00D46112" w:rsidP="00D46112">
                            <w:pPr>
                              <w:pStyle w:val="CEABullet-Level1"/>
                              <w:numPr>
                                <w:ilvl w:val="0"/>
                                <w:numId w:val="13"/>
                              </w:numPr>
                            </w:pPr>
                            <w:r w:rsidRPr="00203EBF">
                              <w:t>Forward-</w:t>
                            </w:r>
                            <w:r>
                              <w:t>l</w:t>
                            </w:r>
                            <w:r w:rsidRPr="00203EBF">
                              <w:t xml:space="preserve">ooking </w:t>
                            </w:r>
                            <w:r>
                              <w:t>h</w:t>
                            </w:r>
                            <w:r w:rsidRPr="00203EBF">
                              <w:t>orizon:</w:t>
                            </w:r>
                          </w:p>
                          <w:p w14:paraId="025D50D3" w14:textId="77777777" w:rsidR="00D46112" w:rsidRPr="00203EBF" w:rsidRDefault="00D46112" w:rsidP="00D46112">
                            <w:pPr>
                              <w:pStyle w:val="CEABullet-Level1"/>
                              <w:numPr>
                                <w:ilvl w:val="1"/>
                                <w:numId w:val="13"/>
                              </w:numPr>
                            </w:pPr>
                            <w:r w:rsidRPr="00203EBF">
                              <w:t>The test must cover a 5-year period.</w:t>
                            </w:r>
                          </w:p>
                          <w:p w14:paraId="50F25743" w14:textId="77777777" w:rsidR="00D46112" w:rsidRDefault="00D46112" w:rsidP="00D46112">
                            <w:pPr>
                              <w:pStyle w:val="CEABullet-Level1"/>
                              <w:numPr>
                                <w:ilvl w:val="1"/>
                                <w:numId w:val="13"/>
                              </w:numPr>
                            </w:pPr>
                            <w:r>
                              <w:t xml:space="preserve">Insurers must project cash flows over a five-year horizon, ensuring that cash inflows (eg </w:t>
                            </w:r>
                            <w:r w:rsidRPr="00DB2F12">
                              <w:t>assets inflows such as bonds coupons or redemption, or premiums</w:t>
                            </w:r>
                            <w:r>
                              <w:t>) exceed cash outflows (</w:t>
                            </w:r>
                            <w:r w:rsidRPr="00222A9C">
                              <w:t>e.g. claims, expenses, taxes, etc.</w:t>
                            </w:r>
                            <w:r>
                              <w:t>) in all years.</w:t>
                            </w:r>
                          </w:p>
                          <w:p w14:paraId="7C0A9069" w14:textId="77777777" w:rsidR="00D46112" w:rsidRDefault="00D46112" w:rsidP="00D46112">
                            <w:pPr>
                              <w:pStyle w:val="CEABullet-Level1"/>
                              <w:numPr>
                                <w:ilvl w:val="1"/>
                                <w:numId w:val="13"/>
                              </w:numPr>
                            </w:pPr>
                            <w:r>
                              <w:t>Specify that cash can be roll-forwarded year after year;</w:t>
                            </w:r>
                          </w:p>
                          <w:p w14:paraId="3C5312A4" w14:textId="77777777" w:rsidR="00D46112" w:rsidRDefault="00D46112" w:rsidP="00D46112">
                            <w:pPr>
                              <w:pStyle w:val="CEABullet-Level1"/>
                              <w:numPr>
                                <w:ilvl w:val="1"/>
                                <w:numId w:val="13"/>
                              </w:numPr>
                            </w:pPr>
                            <w:r>
                              <w:t>Specify that equities not classified as LTE can be sold when performing the liquidity test</w:t>
                            </w:r>
                          </w:p>
                          <w:p w14:paraId="59FEF937" w14:textId="77777777" w:rsidR="00D46112" w:rsidRPr="00203EBF" w:rsidRDefault="00D46112" w:rsidP="00D46112">
                            <w:pPr>
                              <w:pStyle w:val="CEABullet-Level1"/>
                              <w:numPr>
                                <w:ilvl w:val="0"/>
                                <w:numId w:val="13"/>
                              </w:numPr>
                            </w:pPr>
                            <w:r w:rsidRPr="00203EBF">
                              <w:t>Scenario-</w:t>
                            </w:r>
                            <w:r>
                              <w:t>b</w:t>
                            </w:r>
                            <w:r w:rsidRPr="00203EBF">
                              <w:t xml:space="preserve">ased </w:t>
                            </w:r>
                            <w:r>
                              <w:t>a</w:t>
                            </w:r>
                            <w:r w:rsidRPr="00203EBF">
                              <w:t>pproach</w:t>
                            </w:r>
                            <w:r>
                              <w:t xml:space="preserve"> and calibrations</w:t>
                            </w:r>
                            <w:r w:rsidRPr="00203EBF">
                              <w:t>:</w:t>
                            </w:r>
                          </w:p>
                          <w:p w14:paraId="25AB9271" w14:textId="77777777" w:rsidR="00D46112" w:rsidRPr="008D7B8C" w:rsidRDefault="00D46112" w:rsidP="00D46112">
                            <w:pPr>
                              <w:pStyle w:val="CEABullet-Level1"/>
                              <w:numPr>
                                <w:ilvl w:val="1"/>
                                <w:numId w:val="13"/>
                              </w:numPr>
                            </w:pPr>
                            <w:r w:rsidRPr="00203EBF">
                              <w:t xml:space="preserve">The </w:t>
                            </w:r>
                            <w:r w:rsidRPr="008D7B8C">
                              <w:t>test includes stressed scenarios inspired by Solvency II’s Standard Formula shocks.</w:t>
                            </w:r>
                          </w:p>
                          <w:p w14:paraId="6F77932B" w14:textId="77777777" w:rsidR="009D7D70" w:rsidRPr="008D7B8C" w:rsidRDefault="009D7D70" w:rsidP="009D7D70">
                            <w:pPr>
                              <w:pStyle w:val="CEABullet-Level1"/>
                              <w:numPr>
                                <w:ilvl w:val="1"/>
                                <w:numId w:val="13"/>
                              </w:numPr>
                            </w:pPr>
                            <w:r w:rsidRPr="008D7B8C">
                              <w:t xml:space="preserve">Interest Rate </w:t>
                            </w:r>
                            <w:r>
                              <w:t>Conditions a</w:t>
                            </w:r>
                            <w:r w:rsidRPr="00AE64E5">
                              <w:t xml:space="preserve">re defined to be consistent with BE, in </w:t>
                            </w:r>
                            <w:proofErr w:type="spellStart"/>
                            <w:r w:rsidRPr="00AE64E5">
                              <w:t>deterministc</w:t>
                            </w:r>
                            <w:proofErr w:type="spellEnd"/>
                            <w:r w:rsidRPr="00AE64E5">
                              <w:t xml:space="preserve"> liquidity scenario</w:t>
                            </w:r>
                            <w:r>
                              <w:t>.</w:t>
                            </w:r>
                          </w:p>
                          <w:p w14:paraId="421DBC43" w14:textId="77777777" w:rsidR="00D46112" w:rsidRPr="008D7B8C" w:rsidRDefault="00D46112" w:rsidP="00D46112">
                            <w:pPr>
                              <w:pStyle w:val="CEABullet-Level1"/>
                              <w:numPr>
                                <w:ilvl w:val="1"/>
                                <w:numId w:val="13"/>
                              </w:numPr>
                            </w:pPr>
                            <w:r w:rsidRPr="008D7B8C">
                              <w:t>Proposed Stress Scenario Definitions:</w:t>
                            </w:r>
                          </w:p>
                          <w:p w14:paraId="78FC8AE8" w14:textId="77777777" w:rsidR="00D46112" w:rsidRPr="008D7B8C" w:rsidRDefault="00D46112" w:rsidP="00D46112">
                            <w:pPr>
                              <w:pStyle w:val="CEABullet-Level1"/>
                              <w:numPr>
                                <w:ilvl w:val="2"/>
                                <w:numId w:val="13"/>
                              </w:numPr>
                            </w:pPr>
                            <w:r w:rsidRPr="008D7B8C">
                              <w:t>Underwriting Risk Shocks: 50% of the Standard Formula shocks (mass lapse to be taken into account when considering lapse risk)</w:t>
                            </w:r>
                          </w:p>
                          <w:p w14:paraId="0B69DCD2" w14:textId="77777777" w:rsidR="00D46112" w:rsidRPr="008D7B8C" w:rsidRDefault="00D46112" w:rsidP="00D46112">
                            <w:pPr>
                              <w:pStyle w:val="CEABullet-Level1"/>
                              <w:numPr>
                                <w:ilvl w:val="2"/>
                                <w:numId w:val="13"/>
                              </w:numPr>
                            </w:pPr>
                            <w:r w:rsidRPr="008D7B8C">
                              <w:t xml:space="preserve">Market Risk Shocks: 50% of the Standard Formula shock, except for equity risk </w:t>
                            </w:r>
                          </w:p>
                          <w:p w14:paraId="7749258C" w14:textId="77777777" w:rsidR="00D46112" w:rsidRPr="008D7B8C" w:rsidRDefault="00D46112" w:rsidP="00D46112">
                            <w:pPr>
                              <w:pStyle w:val="CEABullet-Level1"/>
                              <w:numPr>
                                <w:ilvl w:val="2"/>
                                <w:numId w:val="13"/>
                              </w:numPr>
                            </w:pPr>
                            <w:r w:rsidRPr="008D7B8C">
                              <w:t xml:space="preserve">100% of the Standard Formula shock for equities </w:t>
                            </w:r>
                          </w:p>
                          <w:p w14:paraId="4C327414" w14:textId="77777777" w:rsidR="00D46112" w:rsidRDefault="00D46112" w:rsidP="00D46112">
                            <w:pPr>
                              <w:pStyle w:val="CEABullet-Level1"/>
                              <w:numPr>
                                <w:ilvl w:val="0"/>
                                <w:numId w:val="0"/>
                              </w:numPr>
                              <w:rPr>
                                <w:b/>
                                <w:bCs/>
                                <w:i/>
                                <w:iCs/>
                              </w:rPr>
                            </w:pPr>
                          </w:p>
                          <w:p w14:paraId="469C05CC" w14:textId="49D3F61A" w:rsidR="00D46112" w:rsidRPr="006E21A0" w:rsidRDefault="00D46112" w:rsidP="00D46112">
                            <w:pPr>
                              <w:pStyle w:val="CEABullet-Level1"/>
                              <w:numPr>
                                <w:ilvl w:val="0"/>
                                <w:numId w:val="0"/>
                              </w:numPr>
                              <w:rPr>
                                <w:i/>
                                <w:iCs/>
                                <w:color w:val="002060"/>
                                <w:szCs w:val="17"/>
                                <w:u w:val="single"/>
                              </w:rPr>
                            </w:pPr>
                            <w:proofErr w:type="spellStart"/>
                            <w:r w:rsidRPr="006E21A0">
                              <w:rPr>
                                <w:i/>
                                <w:iCs/>
                                <w:color w:val="002060"/>
                                <w:szCs w:val="17"/>
                                <w:u w:val="single"/>
                              </w:rPr>
                              <w:t>Assuralia</w:t>
                            </w:r>
                            <w:r w:rsidR="00A14EC3">
                              <w:rPr>
                                <w:i/>
                                <w:iCs/>
                                <w:color w:val="002060"/>
                                <w:szCs w:val="17"/>
                                <w:u w:val="single"/>
                              </w:rPr>
                              <w:t>’s</w:t>
                            </w:r>
                            <w:proofErr w:type="spellEnd"/>
                            <w:r w:rsidR="00A14EC3">
                              <w:rPr>
                                <w:i/>
                                <w:iCs/>
                                <w:color w:val="002060"/>
                                <w:szCs w:val="17"/>
                                <w:u w:val="single"/>
                              </w:rPr>
                              <w:t xml:space="preserve"> existing</w:t>
                            </w:r>
                            <w:r w:rsidRPr="006E21A0">
                              <w:rPr>
                                <w:i/>
                                <w:iCs/>
                                <w:color w:val="002060"/>
                                <w:szCs w:val="17"/>
                                <w:u w:val="single"/>
                              </w:rPr>
                              <w:t xml:space="preserve"> approach</w:t>
                            </w:r>
                          </w:p>
                          <w:p w14:paraId="6A97377A" w14:textId="77777777" w:rsidR="00D46112" w:rsidRDefault="00D46112" w:rsidP="00D46112">
                            <w:pPr>
                              <w:pStyle w:val="CEABullet-Level1"/>
                              <w:numPr>
                                <w:ilvl w:val="0"/>
                                <w:numId w:val="0"/>
                              </w:numPr>
                            </w:pPr>
                            <w:r w:rsidRPr="004B2F81">
                              <w:t xml:space="preserve">Belgian insurers already apply the SCR submodule for long-term equity, meeting all criteria without issues. To ensure alignment with the amended directive, a pragmatic approach is proposed to demonstrate the ability to avoid forced sales of long-term equity investments over a five-year period. This includes a commitment to hold long-term equity, reflected in investment policies and asset-liability management, and a liquidity test within ORSA to verify resilience under stressed conditions. The test, conducted annually, provides flexibility by allowing companies to use either internal liquidity assessments or existing Solvency II calculations. </w:t>
                            </w:r>
                          </w:p>
                          <w:p w14:paraId="46383164" w14:textId="77777777" w:rsidR="00D46112" w:rsidRDefault="00D46112" w:rsidP="00D46112">
                            <w:pPr>
                              <w:pStyle w:val="CEABullet-Level1"/>
                              <w:numPr>
                                <w:ilvl w:val="0"/>
                                <w:numId w:val="0"/>
                              </w:numPr>
                            </w:pPr>
                          </w:p>
                          <w:p w14:paraId="74CB9CA5" w14:textId="77777777" w:rsidR="00D46112" w:rsidRDefault="00D46112" w:rsidP="00D46112">
                            <w:pPr>
                              <w:pStyle w:val="CEABullet-Level1"/>
                              <w:numPr>
                                <w:ilvl w:val="0"/>
                                <w:numId w:val="0"/>
                              </w:numPr>
                            </w:pPr>
                            <w:r w:rsidRPr="004B2F81">
                              <w:t xml:space="preserve">Full details of the approach are provided in </w:t>
                            </w:r>
                            <w:r>
                              <w:t>A</w:t>
                            </w:r>
                            <w:r w:rsidRPr="004B2F81">
                              <w:t>nnex</w:t>
                            </w:r>
                            <w:r>
                              <w:t xml:space="preserve"> I</w:t>
                            </w:r>
                            <w:r w:rsidRPr="004B2F81">
                              <w:t>.</w:t>
                            </w:r>
                          </w:p>
                          <w:p w14:paraId="0225387D" w14:textId="77777777" w:rsidR="008F3431" w:rsidRDefault="008F3431" w:rsidP="00D4611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FE923" id="_x0000_s1027" type="#_x0000_t202" style="position:absolute;left:0;text-align:left;margin-left:0;margin-top:18.05pt;width:474.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">
                <v:textbox style="mso-fit-shape-to-text:t">
                  <w:txbxContent>
                    <w:p w14:paraId="382BCDD8" w14:textId="0BC381F3" w:rsidR="008F3431" w:rsidRPr="000F350F" w:rsidRDefault="00CD0565" w:rsidP="008F3431">
                      <w:pPr>
                        <w:rPr>
                          <w:b/>
                          <w:bCs/>
                        </w:rPr>
                      </w:pPr>
                      <w:r>
                        <w:rPr>
                          <w:b/>
                          <w:bCs/>
                        </w:rPr>
                        <w:t>R</w:t>
                      </w:r>
                      <w:r w:rsidR="00FA3EAF">
                        <w:rPr>
                          <w:b/>
                          <w:bCs/>
                        </w:rPr>
                        <w:t xml:space="preserve">ecommendations </w:t>
                      </w:r>
                      <w:r w:rsidR="008F3431">
                        <w:rPr>
                          <w:b/>
                          <w:bCs/>
                        </w:rPr>
                        <w:t>for a liquidity stress test</w:t>
                      </w:r>
                    </w:p>
                    <w:p w14:paraId="0384B176" w14:textId="77777777" w:rsidR="008F3431" w:rsidRDefault="008F3431" w:rsidP="008F3431"/>
                    <w:p w14:paraId="057D7398" w14:textId="77777777" w:rsidR="00D46112" w:rsidRPr="006E21A0" w:rsidRDefault="00D46112" w:rsidP="00D46112">
                      <w:pPr>
                        <w:pStyle w:val="CEABullet-Level1"/>
                        <w:numPr>
                          <w:ilvl w:val="0"/>
                          <w:numId w:val="0"/>
                        </w:numPr>
                        <w:rPr>
                          <w:i/>
                          <w:iCs/>
                          <w:color w:val="002060"/>
                          <w:szCs w:val="17"/>
                          <w:u w:val="single"/>
                        </w:rPr>
                      </w:pPr>
                      <w:r w:rsidRPr="006E21A0">
                        <w:rPr>
                          <w:i/>
                          <w:iCs/>
                          <w:color w:val="002060"/>
                          <w:szCs w:val="17"/>
                          <w:u w:val="single"/>
                        </w:rPr>
                        <w:t>French-Dutch approach</w:t>
                      </w:r>
                    </w:p>
                    <w:p w14:paraId="74034D0D" w14:textId="77777777" w:rsidR="00D46112" w:rsidRPr="002666DB" w:rsidRDefault="00D46112" w:rsidP="00D46112">
                      <w:pPr>
                        <w:pStyle w:val="CEABullet-Level1"/>
                        <w:numPr>
                          <w:ilvl w:val="0"/>
                          <w:numId w:val="0"/>
                        </w:numPr>
                        <w:rPr>
                          <w:b/>
                          <w:bCs/>
                          <w:i/>
                          <w:iCs/>
                          <w:color w:val="002060"/>
                        </w:rPr>
                      </w:pPr>
                      <w:r w:rsidRPr="002666DB">
                        <w:rPr>
                          <w:b/>
                          <w:bCs/>
                          <w:i/>
                          <w:iCs/>
                          <w:color w:val="002060"/>
                        </w:rPr>
                        <w:t xml:space="preserve">Background </w:t>
                      </w:r>
                    </w:p>
                    <w:p w14:paraId="3DAFE09C" w14:textId="77777777" w:rsidR="00D46112" w:rsidRDefault="00D46112" w:rsidP="00D46112">
                      <w:pPr>
                        <w:pStyle w:val="CEABullet-Level1"/>
                        <w:numPr>
                          <w:ilvl w:val="0"/>
                          <w:numId w:val="0"/>
                        </w:numPr>
                      </w:pPr>
                      <w:r w:rsidRPr="002666DB">
                        <w:t xml:space="preserve">The Dutch Ministry of Finance and the </w:t>
                      </w:r>
                      <w:r w:rsidRPr="00D75CDF">
                        <w:t>French Treasury Department initiated a proposal for a liquidity test, as part of a broader proposal on LTE in 2018. The French Actuarial institute revised the proposal and made a number of recommendations for improvements which are reflected in this paper as well.</w:t>
                      </w:r>
                    </w:p>
                    <w:p w14:paraId="1F48A84D" w14:textId="77777777" w:rsidR="00D46112" w:rsidRDefault="00D46112" w:rsidP="00D46112">
                      <w:pPr>
                        <w:pStyle w:val="CEABullet-Level1"/>
                        <w:numPr>
                          <w:ilvl w:val="0"/>
                          <w:numId w:val="0"/>
                        </w:numPr>
                      </w:pPr>
                    </w:p>
                    <w:p w14:paraId="416D4D77" w14:textId="77777777" w:rsidR="00D46112" w:rsidRPr="00203EBF" w:rsidRDefault="00D46112" w:rsidP="00D46112">
                      <w:pPr>
                        <w:pStyle w:val="CEABullet-Level1"/>
                        <w:numPr>
                          <w:ilvl w:val="0"/>
                          <w:numId w:val="0"/>
                        </w:numPr>
                        <w:rPr>
                          <w:b/>
                          <w:bCs/>
                          <w:i/>
                          <w:iCs/>
                          <w:color w:val="002060"/>
                        </w:rPr>
                      </w:pPr>
                      <w:r w:rsidRPr="00203EBF">
                        <w:rPr>
                          <w:b/>
                          <w:bCs/>
                          <w:i/>
                          <w:iCs/>
                          <w:color w:val="002060"/>
                        </w:rPr>
                        <w:t xml:space="preserve">Purpose of the Liquidity </w:t>
                      </w:r>
                      <w:r>
                        <w:rPr>
                          <w:rStyle w:val="Odkaznakomentr"/>
                          <w:rFonts w:asciiTheme="minorHAnsi" w:eastAsiaTheme="minorHAnsi" w:hAnsiTheme="minorHAnsi" w:cstheme="minorBidi"/>
                          <w:color w:val="auto"/>
                          <w:lang w:val="fr-FR"/>
                        </w:rPr>
                        <w:annotationRef/>
                      </w:r>
                      <w:r w:rsidRPr="00203EBF">
                        <w:rPr>
                          <w:b/>
                          <w:bCs/>
                          <w:i/>
                          <w:iCs/>
                          <w:color w:val="002060"/>
                        </w:rPr>
                        <w:t>Test</w:t>
                      </w:r>
                    </w:p>
                    <w:p w14:paraId="1941B09D" w14:textId="77777777" w:rsidR="00D46112" w:rsidRPr="00203EBF" w:rsidRDefault="00D46112" w:rsidP="00D46112">
                      <w:pPr>
                        <w:pStyle w:val="CEABullet-Level1"/>
                        <w:numPr>
                          <w:ilvl w:val="0"/>
                          <w:numId w:val="12"/>
                        </w:numPr>
                      </w:pPr>
                      <w:r w:rsidRPr="00203EBF">
                        <w:t xml:space="preserve">The liquidity test is a key requirement for insurers to qualify for the Long-Term Equity </w:t>
                      </w:r>
                      <w:r>
                        <w:t>module.</w:t>
                      </w:r>
                      <w:r w:rsidRPr="00203EBF">
                        <w:t xml:space="preserve"> </w:t>
                      </w:r>
                    </w:p>
                    <w:p w14:paraId="08213D79" w14:textId="77777777" w:rsidR="00D46112" w:rsidRPr="00203EBF" w:rsidRDefault="00D46112" w:rsidP="00D46112">
                      <w:pPr>
                        <w:pStyle w:val="CEABullet-Level1"/>
                        <w:numPr>
                          <w:ilvl w:val="0"/>
                          <w:numId w:val="12"/>
                        </w:numPr>
                      </w:pPr>
                      <w:r w:rsidRPr="00203EBF">
                        <w:t xml:space="preserve">It ensures that insurers can hold </w:t>
                      </w:r>
                      <w:r>
                        <w:t>equity</w:t>
                      </w:r>
                      <w:r w:rsidRPr="00203EBF">
                        <w:t xml:space="preserve"> for at least five years, even under stressed conditions, without being forced to sell them.</w:t>
                      </w:r>
                    </w:p>
                    <w:p w14:paraId="7E3FF48A" w14:textId="77777777" w:rsidR="00D46112" w:rsidRPr="00203EBF" w:rsidRDefault="00D46112" w:rsidP="00D46112">
                      <w:pPr>
                        <w:pStyle w:val="CEABullet-Level1"/>
                        <w:numPr>
                          <w:ilvl w:val="0"/>
                          <w:numId w:val="12"/>
                        </w:numPr>
                      </w:pPr>
                      <w:r w:rsidRPr="00203EBF">
                        <w:t>The goal is to demonstrate financial resilience and align the LTE classification with insurers’ long-term liabilities.</w:t>
                      </w:r>
                    </w:p>
                    <w:p w14:paraId="76954B10" w14:textId="77777777" w:rsidR="00D46112" w:rsidRPr="00203EBF" w:rsidRDefault="00D46112" w:rsidP="00D46112">
                      <w:pPr>
                        <w:pStyle w:val="CEABullet-Level1"/>
                        <w:numPr>
                          <w:ilvl w:val="0"/>
                          <w:numId w:val="0"/>
                        </w:numPr>
                        <w:rPr>
                          <w:b/>
                          <w:bCs/>
                          <w:i/>
                          <w:iCs/>
                          <w:color w:val="002060"/>
                        </w:rPr>
                      </w:pPr>
                      <w:r w:rsidRPr="00203EBF">
                        <w:rPr>
                          <w:b/>
                          <w:bCs/>
                          <w:i/>
                          <w:iCs/>
                          <w:color w:val="002060"/>
                        </w:rPr>
                        <w:t>Structure of the Liquidity Test</w:t>
                      </w:r>
                    </w:p>
                    <w:p w14:paraId="586DAB9B" w14:textId="77777777" w:rsidR="00D46112" w:rsidRPr="00203EBF" w:rsidRDefault="00D46112" w:rsidP="00D46112">
                      <w:pPr>
                        <w:pStyle w:val="CEABullet-Level1"/>
                        <w:numPr>
                          <w:ilvl w:val="0"/>
                          <w:numId w:val="13"/>
                        </w:numPr>
                      </w:pPr>
                      <w:r w:rsidRPr="00203EBF">
                        <w:t>Forward-</w:t>
                      </w:r>
                      <w:r>
                        <w:t>l</w:t>
                      </w:r>
                      <w:r w:rsidRPr="00203EBF">
                        <w:t xml:space="preserve">ooking </w:t>
                      </w:r>
                      <w:r>
                        <w:t>h</w:t>
                      </w:r>
                      <w:r w:rsidRPr="00203EBF">
                        <w:t>orizon:</w:t>
                      </w:r>
                    </w:p>
                    <w:p w14:paraId="025D50D3" w14:textId="77777777" w:rsidR="00D46112" w:rsidRPr="00203EBF" w:rsidRDefault="00D46112" w:rsidP="00D46112">
                      <w:pPr>
                        <w:pStyle w:val="CEABullet-Level1"/>
                        <w:numPr>
                          <w:ilvl w:val="1"/>
                          <w:numId w:val="13"/>
                        </w:numPr>
                      </w:pPr>
                      <w:r w:rsidRPr="00203EBF">
                        <w:t>The test must cover a 5-year period.</w:t>
                      </w:r>
                    </w:p>
                    <w:p w14:paraId="50F25743" w14:textId="77777777" w:rsidR="00D46112" w:rsidRDefault="00D46112" w:rsidP="00D46112">
                      <w:pPr>
                        <w:pStyle w:val="CEABullet-Level1"/>
                        <w:numPr>
                          <w:ilvl w:val="1"/>
                          <w:numId w:val="13"/>
                        </w:numPr>
                      </w:pPr>
                      <w:r>
                        <w:t xml:space="preserve">Insurers must project cash flows over a five-year horizon, ensuring that cash inflows (eg </w:t>
                      </w:r>
                      <w:r w:rsidRPr="00DB2F12">
                        <w:t>assets inflows such as bonds coupons or redemption, or premiums</w:t>
                      </w:r>
                      <w:r>
                        <w:t>) exceed cash outflows (</w:t>
                      </w:r>
                      <w:r w:rsidRPr="00222A9C">
                        <w:t>e.g. claims, expenses, taxes, etc.</w:t>
                      </w:r>
                      <w:r>
                        <w:t>) in all years.</w:t>
                      </w:r>
                    </w:p>
                    <w:p w14:paraId="7C0A9069" w14:textId="77777777" w:rsidR="00D46112" w:rsidRDefault="00D46112" w:rsidP="00D46112">
                      <w:pPr>
                        <w:pStyle w:val="CEABullet-Level1"/>
                        <w:numPr>
                          <w:ilvl w:val="1"/>
                          <w:numId w:val="13"/>
                        </w:numPr>
                      </w:pPr>
                      <w:r>
                        <w:t>Specify that cash can be roll-forwarded year after year;</w:t>
                      </w:r>
                    </w:p>
                    <w:p w14:paraId="3C5312A4" w14:textId="77777777" w:rsidR="00D46112" w:rsidRDefault="00D46112" w:rsidP="00D46112">
                      <w:pPr>
                        <w:pStyle w:val="CEABullet-Level1"/>
                        <w:numPr>
                          <w:ilvl w:val="1"/>
                          <w:numId w:val="13"/>
                        </w:numPr>
                      </w:pPr>
                      <w:r>
                        <w:t>Specify that equities not classified as LTE can be sold when performing the liquidity test</w:t>
                      </w:r>
                    </w:p>
                    <w:p w14:paraId="59FEF937" w14:textId="77777777" w:rsidR="00D46112" w:rsidRPr="00203EBF" w:rsidRDefault="00D46112" w:rsidP="00D46112">
                      <w:pPr>
                        <w:pStyle w:val="CEABullet-Level1"/>
                        <w:numPr>
                          <w:ilvl w:val="0"/>
                          <w:numId w:val="13"/>
                        </w:numPr>
                      </w:pPr>
                      <w:r w:rsidRPr="00203EBF">
                        <w:t>Scenario-</w:t>
                      </w:r>
                      <w:r>
                        <w:t>b</w:t>
                      </w:r>
                      <w:r w:rsidRPr="00203EBF">
                        <w:t xml:space="preserve">ased </w:t>
                      </w:r>
                      <w:r>
                        <w:t>a</w:t>
                      </w:r>
                      <w:r w:rsidRPr="00203EBF">
                        <w:t>pproach</w:t>
                      </w:r>
                      <w:r>
                        <w:t xml:space="preserve"> and calibrations</w:t>
                      </w:r>
                      <w:r w:rsidRPr="00203EBF">
                        <w:t>:</w:t>
                      </w:r>
                    </w:p>
                    <w:p w14:paraId="25AB9271" w14:textId="77777777" w:rsidR="00D46112" w:rsidRPr="008D7B8C" w:rsidRDefault="00D46112" w:rsidP="00D46112">
                      <w:pPr>
                        <w:pStyle w:val="CEABullet-Level1"/>
                        <w:numPr>
                          <w:ilvl w:val="1"/>
                          <w:numId w:val="13"/>
                        </w:numPr>
                      </w:pPr>
                      <w:r w:rsidRPr="00203EBF">
                        <w:t xml:space="preserve">The </w:t>
                      </w:r>
                      <w:r w:rsidRPr="008D7B8C">
                        <w:t>test includes stressed scenarios inspired by Solvency II’s Standard Formula shocks.</w:t>
                      </w:r>
                    </w:p>
                    <w:p w14:paraId="6F77932B" w14:textId="77777777" w:rsidR="009D7D70" w:rsidRPr="008D7B8C" w:rsidRDefault="009D7D70" w:rsidP="009D7D70">
                      <w:pPr>
                        <w:pStyle w:val="CEABullet-Level1"/>
                        <w:numPr>
                          <w:ilvl w:val="1"/>
                          <w:numId w:val="13"/>
                        </w:numPr>
                      </w:pPr>
                      <w:r w:rsidRPr="008D7B8C">
                        <w:t xml:space="preserve">Interest Rate </w:t>
                      </w:r>
                      <w:r>
                        <w:t>Conditions a</w:t>
                      </w:r>
                      <w:r w:rsidRPr="00AE64E5">
                        <w:t xml:space="preserve">re defined to be consistent with BE, in </w:t>
                      </w:r>
                      <w:proofErr w:type="spellStart"/>
                      <w:r w:rsidRPr="00AE64E5">
                        <w:t>deterministc</w:t>
                      </w:r>
                      <w:proofErr w:type="spellEnd"/>
                      <w:r w:rsidRPr="00AE64E5">
                        <w:t xml:space="preserve"> liquidity scenario</w:t>
                      </w:r>
                      <w:r>
                        <w:t>.</w:t>
                      </w:r>
                    </w:p>
                    <w:p w14:paraId="421DBC43" w14:textId="77777777" w:rsidR="00D46112" w:rsidRPr="008D7B8C" w:rsidRDefault="00D46112" w:rsidP="00D46112">
                      <w:pPr>
                        <w:pStyle w:val="CEABullet-Level1"/>
                        <w:numPr>
                          <w:ilvl w:val="1"/>
                          <w:numId w:val="13"/>
                        </w:numPr>
                      </w:pPr>
                      <w:r w:rsidRPr="008D7B8C">
                        <w:t>Proposed Stress Scenario Definitions:</w:t>
                      </w:r>
                    </w:p>
                    <w:p w14:paraId="78FC8AE8" w14:textId="77777777" w:rsidR="00D46112" w:rsidRPr="008D7B8C" w:rsidRDefault="00D46112" w:rsidP="00D46112">
                      <w:pPr>
                        <w:pStyle w:val="CEABullet-Level1"/>
                        <w:numPr>
                          <w:ilvl w:val="2"/>
                          <w:numId w:val="13"/>
                        </w:numPr>
                      </w:pPr>
                      <w:r w:rsidRPr="008D7B8C">
                        <w:t>Underwriting Risk Shocks: 50% of the Standard Formula shocks (mass lapse to be taken into account when considering lapse risk)</w:t>
                      </w:r>
                    </w:p>
                    <w:p w14:paraId="0B69DCD2" w14:textId="77777777" w:rsidR="00D46112" w:rsidRPr="008D7B8C" w:rsidRDefault="00D46112" w:rsidP="00D46112">
                      <w:pPr>
                        <w:pStyle w:val="CEABullet-Level1"/>
                        <w:numPr>
                          <w:ilvl w:val="2"/>
                          <w:numId w:val="13"/>
                        </w:numPr>
                      </w:pPr>
                      <w:r w:rsidRPr="008D7B8C">
                        <w:t xml:space="preserve">Market Risk Shocks: 50% of the Standard Formula shock, except for equity risk </w:t>
                      </w:r>
                    </w:p>
                    <w:p w14:paraId="7749258C" w14:textId="77777777" w:rsidR="00D46112" w:rsidRPr="008D7B8C" w:rsidRDefault="00D46112" w:rsidP="00D46112">
                      <w:pPr>
                        <w:pStyle w:val="CEABullet-Level1"/>
                        <w:numPr>
                          <w:ilvl w:val="2"/>
                          <w:numId w:val="13"/>
                        </w:numPr>
                      </w:pPr>
                      <w:r w:rsidRPr="008D7B8C">
                        <w:t xml:space="preserve">100% of the Standard Formula shock for equities </w:t>
                      </w:r>
                    </w:p>
                    <w:p w14:paraId="4C327414" w14:textId="77777777" w:rsidR="00D46112" w:rsidRDefault="00D46112" w:rsidP="00D46112">
                      <w:pPr>
                        <w:pStyle w:val="CEABullet-Level1"/>
                        <w:numPr>
                          <w:ilvl w:val="0"/>
                          <w:numId w:val="0"/>
                        </w:numPr>
                        <w:rPr>
                          <w:b/>
                          <w:bCs/>
                          <w:i/>
                          <w:iCs/>
                        </w:rPr>
                      </w:pPr>
                    </w:p>
                    <w:p w14:paraId="469C05CC" w14:textId="49D3F61A" w:rsidR="00D46112" w:rsidRPr="006E21A0" w:rsidRDefault="00D46112" w:rsidP="00D46112">
                      <w:pPr>
                        <w:pStyle w:val="CEABullet-Level1"/>
                        <w:numPr>
                          <w:ilvl w:val="0"/>
                          <w:numId w:val="0"/>
                        </w:numPr>
                        <w:rPr>
                          <w:i/>
                          <w:iCs/>
                          <w:color w:val="002060"/>
                          <w:szCs w:val="17"/>
                          <w:u w:val="single"/>
                        </w:rPr>
                      </w:pPr>
                      <w:proofErr w:type="spellStart"/>
                      <w:r w:rsidRPr="006E21A0">
                        <w:rPr>
                          <w:i/>
                          <w:iCs/>
                          <w:color w:val="002060"/>
                          <w:szCs w:val="17"/>
                          <w:u w:val="single"/>
                        </w:rPr>
                        <w:t>Assuralia</w:t>
                      </w:r>
                      <w:r w:rsidR="00A14EC3">
                        <w:rPr>
                          <w:i/>
                          <w:iCs/>
                          <w:color w:val="002060"/>
                          <w:szCs w:val="17"/>
                          <w:u w:val="single"/>
                        </w:rPr>
                        <w:t>’s</w:t>
                      </w:r>
                      <w:proofErr w:type="spellEnd"/>
                      <w:r w:rsidR="00A14EC3">
                        <w:rPr>
                          <w:i/>
                          <w:iCs/>
                          <w:color w:val="002060"/>
                          <w:szCs w:val="17"/>
                          <w:u w:val="single"/>
                        </w:rPr>
                        <w:t xml:space="preserve"> existing</w:t>
                      </w:r>
                      <w:r w:rsidRPr="006E21A0">
                        <w:rPr>
                          <w:i/>
                          <w:iCs/>
                          <w:color w:val="002060"/>
                          <w:szCs w:val="17"/>
                          <w:u w:val="single"/>
                        </w:rPr>
                        <w:t xml:space="preserve"> approach</w:t>
                      </w:r>
                    </w:p>
                    <w:p w14:paraId="6A97377A" w14:textId="77777777" w:rsidR="00D46112" w:rsidRDefault="00D46112" w:rsidP="00D46112">
                      <w:pPr>
                        <w:pStyle w:val="CEABullet-Level1"/>
                        <w:numPr>
                          <w:ilvl w:val="0"/>
                          <w:numId w:val="0"/>
                        </w:numPr>
                      </w:pPr>
                      <w:r w:rsidRPr="004B2F81">
                        <w:t xml:space="preserve">Belgian insurers already apply the SCR submodule for long-term equity, meeting all criteria without issues. To ensure alignment with the amended directive, a pragmatic approach is proposed to demonstrate the ability to avoid forced sales of long-term equity investments over a five-year period. This includes a commitment to hold long-term equity, reflected in investment policies and asset-liability management, and a liquidity test within ORSA to verify resilience under stressed conditions. The test, conducted annually, provides flexibility by allowing companies to use either internal liquidity assessments or existing Solvency II calculations. </w:t>
                      </w:r>
                    </w:p>
                    <w:p w14:paraId="46383164" w14:textId="77777777" w:rsidR="00D46112" w:rsidRDefault="00D46112" w:rsidP="00D46112">
                      <w:pPr>
                        <w:pStyle w:val="CEABullet-Level1"/>
                        <w:numPr>
                          <w:ilvl w:val="0"/>
                          <w:numId w:val="0"/>
                        </w:numPr>
                      </w:pPr>
                    </w:p>
                    <w:p w14:paraId="74CB9CA5" w14:textId="77777777" w:rsidR="00D46112" w:rsidRDefault="00D46112" w:rsidP="00D46112">
                      <w:pPr>
                        <w:pStyle w:val="CEABullet-Level1"/>
                        <w:numPr>
                          <w:ilvl w:val="0"/>
                          <w:numId w:val="0"/>
                        </w:numPr>
                      </w:pPr>
                      <w:r w:rsidRPr="004B2F81">
                        <w:t xml:space="preserve">Full details of the approach are provided in </w:t>
                      </w:r>
                      <w:r>
                        <w:t>A</w:t>
                      </w:r>
                      <w:r w:rsidRPr="004B2F81">
                        <w:t>nnex</w:t>
                      </w:r>
                      <w:r>
                        <w:t xml:space="preserve"> I</w:t>
                      </w:r>
                      <w:r w:rsidRPr="004B2F81">
                        <w:t>.</w:t>
                      </w:r>
                    </w:p>
                    <w:p w14:paraId="0225387D" w14:textId="77777777" w:rsidR="008F3431" w:rsidRDefault="008F3431" w:rsidP="00D46112"/>
                  </w:txbxContent>
                </v:textbox>
                <w10:wrap type="square" anchorx="margin"/>
              </v:shape>
            </w:pict>
          </mc:Fallback>
        </mc:AlternateContent>
      </w:r>
    </w:p>
    <w:p w14:paraId="63BA7689" w14:textId="7D670497" w:rsidR="008F3431" w:rsidRDefault="008F3431" w:rsidP="0052604F">
      <w:pPr>
        <w:pStyle w:val="CEABullet-Level1"/>
        <w:numPr>
          <w:ilvl w:val="0"/>
          <w:numId w:val="0"/>
        </w:numPr>
        <w:rPr>
          <w:color w:val="002060"/>
          <w:sz w:val="18"/>
          <w:szCs w:val="22"/>
        </w:rPr>
      </w:pPr>
    </w:p>
    <w:p w14:paraId="47452A8B" w14:textId="7AEA5F7E" w:rsidR="008F3431" w:rsidRDefault="008F3431" w:rsidP="008F3431">
      <w:pPr>
        <w:rPr>
          <w:color w:val="002060"/>
          <w:szCs w:val="22"/>
        </w:rPr>
      </w:pPr>
      <w:r>
        <w:rPr>
          <w:color w:val="002060"/>
          <w:szCs w:val="22"/>
        </w:rPr>
        <w:t>EIOPA</w:t>
      </w:r>
      <w:r w:rsidR="006A568C">
        <w:rPr>
          <w:color w:val="002060"/>
          <w:szCs w:val="22"/>
        </w:rPr>
        <w:t>’s</w:t>
      </w:r>
      <w:r>
        <w:rPr>
          <w:color w:val="002060"/>
          <w:szCs w:val="22"/>
        </w:rPr>
        <w:t xml:space="preserve"> proposed approach</w:t>
      </w:r>
    </w:p>
    <w:p w14:paraId="547155D3" w14:textId="77777777" w:rsidR="00545DEF" w:rsidRDefault="00320352" w:rsidP="008F3431">
      <w:pPr>
        <w:rPr>
          <w:sz w:val="17"/>
          <w:szCs w:val="17"/>
        </w:rPr>
      </w:pPr>
      <w:r w:rsidRPr="00B13D0A">
        <w:rPr>
          <w:sz w:val="17"/>
          <w:szCs w:val="17"/>
        </w:rPr>
        <w:t xml:space="preserve">The Commission non-paper also includes </w:t>
      </w:r>
      <w:r w:rsidR="007747D4">
        <w:rPr>
          <w:sz w:val="17"/>
          <w:szCs w:val="17"/>
        </w:rPr>
        <w:t>an example specification of EIOPA’s approach</w:t>
      </w:r>
      <w:r w:rsidR="003A17C0">
        <w:rPr>
          <w:sz w:val="17"/>
          <w:szCs w:val="17"/>
        </w:rPr>
        <w:t xml:space="preserve"> in Annex 3. </w:t>
      </w:r>
    </w:p>
    <w:p w14:paraId="08CE18B8" w14:textId="77777777" w:rsidR="00545DEF" w:rsidRDefault="00545DEF" w:rsidP="008F3431">
      <w:pPr>
        <w:rPr>
          <w:sz w:val="17"/>
          <w:szCs w:val="17"/>
        </w:rPr>
      </w:pPr>
    </w:p>
    <w:p w14:paraId="485ACFAB" w14:textId="685ED822" w:rsidR="008F3431" w:rsidRDefault="00545DEF" w:rsidP="00F84D21">
      <w:pPr>
        <w:rPr>
          <w:sz w:val="17"/>
          <w:szCs w:val="17"/>
        </w:rPr>
      </w:pPr>
      <w:r>
        <w:rPr>
          <w:sz w:val="17"/>
          <w:szCs w:val="17"/>
        </w:rPr>
        <w:t>The industry supports the proposed specifications</w:t>
      </w:r>
      <w:r w:rsidR="006A568C">
        <w:rPr>
          <w:sz w:val="17"/>
          <w:szCs w:val="17"/>
        </w:rPr>
        <w:t xml:space="preserve"> and welcomes the amendments that the Commission has made to </w:t>
      </w:r>
      <w:r w:rsidR="00F35230">
        <w:rPr>
          <w:sz w:val="17"/>
          <w:szCs w:val="17"/>
        </w:rPr>
        <w:t xml:space="preserve">ensure the usability of the </w:t>
      </w:r>
      <w:r w:rsidR="00A462A1">
        <w:rPr>
          <w:sz w:val="17"/>
          <w:szCs w:val="17"/>
        </w:rPr>
        <w:t xml:space="preserve">approach, notably the </w:t>
      </w:r>
      <w:r w:rsidR="00F84D21">
        <w:rPr>
          <w:sz w:val="17"/>
          <w:szCs w:val="17"/>
        </w:rPr>
        <w:t xml:space="preserve">requirement to exceed a </w:t>
      </w:r>
      <w:r w:rsidR="00092F3F">
        <w:rPr>
          <w:sz w:val="17"/>
          <w:szCs w:val="17"/>
        </w:rPr>
        <w:t>5-year</w:t>
      </w:r>
      <w:r w:rsidR="00F84D21">
        <w:rPr>
          <w:sz w:val="17"/>
          <w:szCs w:val="17"/>
        </w:rPr>
        <w:t xml:space="preserve"> modified duration. </w:t>
      </w:r>
    </w:p>
    <w:p w14:paraId="22F82960" w14:textId="77777777" w:rsidR="006D27E2" w:rsidRDefault="006D27E2" w:rsidP="00F84D21">
      <w:pPr>
        <w:rPr>
          <w:sz w:val="17"/>
          <w:szCs w:val="17"/>
        </w:rPr>
      </w:pPr>
    </w:p>
    <w:p w14:paraId="48ACB55E" w14:textId="3C5A25C5" w:rsidR="006D27E2" w:rsidRDefault="006D27E2" w:rsidP="0059024C">
      <w:pPr>
        <w:rPr>
          <w:color w:val="002060"/>
          <w:szCs w:val="22"/>
        </w:rPr>
      </w:pPr>
      <w:r w:rsidRPr="009E04C8">
        <w:rPr>
          <w:noProof/>
          <w:sz w:val="17"/>
          <w:szCs w:val="17"/>
        </w:rPr>
        <mc:AlternateContent>
          <mc:Choice Requires="wps">
            <w:drawing>
              <wp:anchor distT="45720" distB="45720" distL="114300" distR="114300" simplePos="0" relativeHeight="251658242" behindDoc="0" locked="0" layoutInCell="1" allowOverlap="1" wp14:anchorId="09EA5737" wp14:editId="7E2089FB">
                <wp:simplePos x="0" y="0"/>
                <wp:positionH relativeFrom="margin">
                  <wp:posOffset>0</wp:posOffset>
                </wp:positionH>
                <wp:positionV relativeFrom="paragraph">
                  <wp:posOffset>207010</wp:posOffset>
                </wp:positionV>
                <wp:extent cx="6025515" cy="1404620"/>
                <wp:effectExtent l="0" t="0" r="13335" b="13970"/>
                <wp:wrapSquare wrapText="bothSides"/>
                <wp:docPr id="525548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1404620"/>
                        </a:xfrm>
                        <a:prstGeom prst="rect">
                          <a:avLst/>
                        </a:prstGeom>
                        <a:solidFill>
                          <a:srgbClr val="FFFFFF"/>
                        </a:solidFill>
                        <a:ln w="9525">
                          <a:solidFill>
                            <a:srgbClr val="000000"/>
                          </a:solidFill>
                          <a:miter lim="800000"/>
                          <a:headEnd/>
                          <a:tailEnd/>
                        </a:ln>
                      </wps:spPr>
                      <wps:txbx>
                        <w:txbxContent>
                          <w:p w14:paraId="5C0FCC66" w14:textId="760010A9" w:rsidR="006D27E2" w:rsidRPr="000F350F" w:rsidRDefault="00CD0565" w:rsidP="006D27E2">
                            <w:pPr>
                              <w:rPr>
                                <w:b/>
                                <w:bCs/>
                              </w:rPr>
                            </w:pPr>
                            <w:r>
                              <w:rPr>
                                <w:b/>
                                <w:bCs/>
                              </w:rPr>
                              <w:t>R</w:t>
                            </w:r>
                            <w:r w:rsidR="00FA3EAF">
                              <w:rPr>
                                <w:b/>
                                <w:bCs/>
                              </w:rPr>
                              <w:t>ecommendation</w:t>
                            </w:r>
                            <w:r w:rsidR="006D27E2">
                              <w:rPr>
                                <w:b/>
                                <w:bCs/>
                              </w:rPr>
                              <w:t xml:space="preserve"> on EIOPA’s approach </w:t>
                            </w:r>
                          </w:p>
                          <w:p w14:paraId="65215944" w14:textId="77777777" w:rsidR="006D27E2" w:rsidRDefault="006D27E2" w:rsidP="006D27E2"/>
                          <w:p w14:paraId="58955A13" w14:textId="40AC3407" w:rsidR="006D27E2" w:rsidRDefault="006D27E2" w:rsidP="006D27E2">
                            <w:r>
                              <w:t xml:space="preserve">Insurance Europe fully supports the proposed specification, as set out in Annex 3 of the Commission’s non-paper.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A5737" id="_x0000_s1028" type="#_x0000_t202" style="position:absolute;left:0;text-align:left;margin-left:0;margin-top:16.3pt;width:474.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JaFgIAACcEAAAOAAAAZHJzL2Uyb0RvYy54bWysk99v0zAQx9+R+B8sv9P8UFO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">
                <v:textbox style="mso-fit-shape-to-text:t">
                  <w:txbxContent>
                    <w:p w14:paraId="5C0FCC66" w14:textId="760010A9" w:rsidR="006D27E2" w:rsidRPr="000F350F" w:rsidRDefault="00CD0565" w:rsidP="006D27E2">
                      <w:pPr>
                        <w:rPr>
                          <w:b/>
                          <w:bCs/>
                        </w:rPr>
                      </w:pPr>
                      <w:r>
                        <w:rPr>
                          <w:b/>
                          <w:bCs/>
                        </w:rPr>
                        <w:t>R</w:t>
                      </w:r>
                      <w:r w:rsidR="00FA3EAF">
                        <w:rPr>
                          <w:b/>
                          <w:bCs/>
                        </w:rPr>
                        <w:t>ecommendation</w:t>
                      </w:r>
                      <w:r w:rsidR="006D27E2">
                        <w:rPr>
                          <w:b/>
                          <w:bCs/>
                        </w:rPr>
                        <w:t xml:space="preserve"> on EIOPA’s approach </w:t>
                      </w:r>
                    </w:p>
                    <w:p w14:paraId="65215944" w14:textId="77777777" w:rsidR="006D27E2" w:rsidRDefault="006D27E2" w:rsidP="006D27E2"/>
                    <w:p w14:paraId="58955A13" w14:textId="40AC3407" w:rsidR="006D27E2" w:rsidRDefault="006D27E2" w:rsidP="006D27E2">
                      <w:r>
                        <w:t xml:space="preserve">Insurance Europe fully supports the proposed specification, as set out in Annex 3 of the Commission’s non-paper. </w:t>
                      </w:r>
                    </w:p>
                  </w:txbxContent>
                </v:textbox>
                <w10:wrap type="square" anchorx="margin"/>
              </v:shape>
            </w:pict>
          </mc:Fallback>
        </mc:AlternateContent>
      </w:r>
    </w:p>
    <w:p w14:paraId="58F1228A" w14:textId="28323329" w:rsidR="00A14EC3" w:rsidRDefault="00A14EC3" w:rsidP="00F84D21">
      <w:pPr>
        <w:rPr>
          <w:sz w:val="17"/>
          <w:szCs w:val="17"/>
        </w:rPr>
      </w:pPr>
      <w:r w:rsidRPr="006D1AF9">
        <w:rPr>
          <w:sz w:val="17"/>
          <w:szCs w:val="17"/>
        </w:rPr>
        <w:t>As noted above</w:t>
      </w:r>
      <w:r w:rsidR="008D3417" w:rsidRPr="006D1AF9">
        <w:rPr>
          <w:sz w:val="17"/>
          <w:szCs w:val="17"/>
        </w:rPr>
        <w:t>,</w:t>
      </w:r>
      <w:r w:rsidRPr="006D1AF9">
        <w:rPr>
          <w:sz w:val="17"/>
          <w:szCs w:val="17"/>
        </w:rPr>
        <w:t xml:space="preserve"> the industry does not support the </w:t>
      </w:r>
      <w:r w:rsidR="007903A4">
        <w:rPr>
          <w:sz w:val="17"/>
          <w:szCs w:val="17"/>
        </w:rPr>
        <w:t>introduction of</w:t>
      </w:r>
      <w:r w:rsidR="00403235">
        <w:rPr>
          <w:sz w:val="17"/>
          <w:szCs w:val="17"/>
        </w:rPr>
        <w:t xml:space="preserve"> eligibility </w:t>
      </w:r>
      <w:r w:rsidR="00597EDD" w:rsidRPr="006D1AF9">
        <w:rPr>
          <w:sz w:val="17"/>
          <w:szCs w:val="17"/>
        </w:rPr>
        <w:t>conditions</w:t>
      </w:r>
      <w:r w:rsidR="008D3417" w:rsidRPr="006D1AF9">
        <w:rPr>
          <w:sz w:val="17"/>
          <w:szCs w:val="17"/>
        </w:rPr>
        <w:t xml:space="preserve"> </w:t>
      </w:r>
      <w:r w:rsidR="00403235">
        <w:rPr>
          <w:sz w:val="17"/>
          <w:szCs w:val="17"/>
        </w:rPr>
        <w:t xml:space="preserve">for the use of the EIOPA approach. </w:t>
      </w:r>
      <w:r w:rsidR="00E141B9">
        <w:rPr>
          <w:sz w:val="17"/>
          <w:szCs w:val="17"/>
        </w:rPr>
        <w:t xml:space="preserve">A number of the conditions proposed by the Commission would unduly restrict the use of the LTE criteria. This includes </w:t>
      </w:r>
      <w:r w:rsidR="00444030">
        <w:rPr>
          <w:sz w:val="17"/>
          <w:szCs w:val="17"/>
        </w:rPr>
        <w:t xml:space="preserve">proposed criterion </w:t>
      </w:r>
      <w:r w:rsidR="00F6239C">
        <w:rPr>
          <w:sz w:val="17"/>
          <w:szCs w:val="17"/>
        </w:rPr>
        <w:t>(</w:t>
      </w:r>
      <w:r w:rsidR="00444030">
        <w:rPr>
          <w:sz w:val="17"/>
          <w:szCs w:val="17"/>
        </w:rPr>
        <w:t>2</w:t>
      </w:r>
      <w:r w:rsidR="00F6239C">
        <w:rPr>
          <w:sz w:val="17"/>
          <w:szCs w:val="17"/>
        </w:rPr>
        <w:t>)</w:t>
      </w:r>
      <w:r w:rsidR="00444030">
        <w:rPr>
          <w:sz w:val="17"/>
          <w:szCs w:val="17"/>
        </w:rPr>
        <w:t>, the requirement that LTE should not be more than 20% of total equities</w:t>
      </w:r>
      <w:r w:rsidR="002E0A54">
        <w:rPr>
          <w:sz w:val="17"/>
          <w:szCs w:val="17"/>
        </w:rPr>
        <w:t xml:space="preserve"> and </w:t>
      </w:r>
      <w:r w:rsidR="00273A59">
        <w:rPr>
          <w:sz w:val="17"/>
          <w:szCs w:val="17"/>
        </w:rPr>
        <w:t xml:space="preserve">criterion </w:t>
      </w:r>
      <w:r w:rsidR="00F6239C">
        <w:rPr>
          <w:sz w:val="17"/>
          <w:szCs w:val="17"/>
        </w:rPr>
        <w:t>(</w:t>
      </w:r>
      <w:r w:rsidR="00273A59">
        <w:rPr>
          <w:sz w:val="17"/>
          <w:szCs w:val="17"/>
        </w:rPr>
        <w:t>4</w:t>
      </w:r>
      <w:r w:rsidR="00F6239C">
        <w:rPr>
          <w:sz w:val="17"/>
          <w:szCs w:val="17"/>
        </w:rPr>
        <w:t>)</w:t>
      </w:r>
      <w:r w:rsidR="00273A59">
        <w:rPr>
          <w:sz w:val="17"/>
          <w:szCs w:val="17"/>
        </w:rPr>
        <w:t xml:space="preserve"> which restricts its use by </w:t>
      </w:r>
      <w:r w:rsidR="00F6239C">
        <w:rPr>
          <w:sz w:val="17"/>
          <w:szCs w:val="17"/>
        </w:rPr>
        <w:t xml:space="preserve">“larger” </w:t>
      </w:r>
      <w:r w:rsidR="00273A59">
        <w:rPr>
          <w:sz w:val="17"/>
          <w:szCs w:val="17"/>
        </w:rPr>
        <w:t>undertakings</w:t>
      </w:r>
      <w:r w:rsidR="00F6239C">
        <w:rPr>
          <w:sz w:val="17"/>
          <w:szCs w:val="17"/>
        </w:rPr>
        <w:t xml:space="preserve">. </w:t>
      </w:r>
    </w:p>
    <w:p w14:paraId="794141E4" w14:textId="77777777" w:rsidR="00F6239C" w:rsidRDefault="00F6239C" w:rsidP="00F84D21">
      <w:pPr>
        <w:rPr>
          <w:sz w:val="17"/>
          <w:szCs w:val="17"/>
        </w:rPr>
      </w:pPr>
    </w:p>
    <w:p w14:paraId="39F86A92" w14:textId="77777777" w:rsidR="00D25284" w:rsidRDefault="00D25284" w:rsidP="00F84D21">
      <w:pPr>
        <w:rPr>
          <w:sz w:val="17"/>
          <w:szCs w:val="17"/>
        </w:rPr>
      </w:pPr>
    </w:p>
    <w:p w14:paraId="12BC26A5" w14:textId="77777777" w:rsidR="000B0B39" w:rsidRPr="00526B3D" w:rsidRDefault="000B0B39" w:rsidP="000B0B39">
      <w:pPr>
        <w:pStyle w:val="CEABullet-Level1"/>
        <w:numPr>
          <w:ilvl w:val="0"/>
          <w:numId w:val="20"/>
        </w:numPr>
        <w:rPr>
          <w:b/>
          <w:bCs/>
          <w:szCs w:val="17"/>
        </w:rPr>
      </w:pPr>
      <w:r w:rsidRPr="00526B3D">
        <w:rPr>
          <w:b/>
          <w:bCs/>
          <w:szCs w:val="17"/>
        </w:rPr>
        <w:t>The approach to be used at group level</w:t>
      </w:r>
    </w:p>
    <w:p w14:paraId="2E48DB64" w14:textId="58C6DE00" w:rsidR="000B0B39" w:rsidRDefault="00FA3EAF" w:rsidP="000B0B39">
      <w:pPr>
        <w:rPr>
          <w:sz w:val="17"/>
          <w:szCs w:val="17"/>
        </w:rPr>
      </w:pPr>
      <w:r w:rsidRPr="009E04C8">
        <w:rPr>
          <w:noProof/>
          <w:sz w:val="17"/>
          <w:szCs w:val="17"/>
        </w:rPr>
        <mc:AlternateContent>
          <mc:Choice Requires="wps">
            <w:drawing>
              <wp:anchor distT="45720" distB="45720" distL="114300" distR="114300" simplePos="0" relativeHeight="251658243" behindDoc="0" locked="0" layoutInCell="1" allowOverlap="1" wp14:anchorId="3368D2AB" wp14:editId="603F7F63">
                <wp:simplePos x="0" y="0"/>
                <wp:positionH relativeFrom="margin">
                  <wp:align>left</wp:align>
                </wp:positionH>
                <wp:positionV relativeFrom="paragraph">
                  <wp:posOffset>220345</wp:posOffset>
                </wp:positionV>
                <wp:extent cx="6025515" cy="1404620"/>
                <wp:effectExtent l="0" t="0" r="13335" b="13970"/>
                <wp:wrapSquare wrapText="bothSides"/>
                <wp:docPr id="675283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1404620"/>
                        </a:xfrm>
                        <a:prstGeom prst="rect">
                          <a:avLst/>
                        </a:prstGeom>
                        <a:solidFill>
                          <a:srgbClr val="FFFFFF"/>
                        </a:solidFill>
                        <a:ln w="9525">
                          <a:solidFill>
                            <a:srgbClr val="000000"/>
                          </a:solidFill>
                          <a:miter lim="800000"/>
                          <a:headEnd/>
                          <a:tailEnd/>
                        </a:ln>
                      </wps:spPr>
                      <wps:txbx>
                        <w:txbxContent>
                          <w:p w14:paraId="61B7B6A3" w14:textId="09934F47" w:rsidR="00FA3EAF" w:rsidRPr="000F350F" w:rsidRDefault="00CD0565" w:rsidP="00FA3EAF">
                            <w:pPr>
                              <w:rPr>
                                <w:b/>
                                <w:bCs/>
                              </w:rPr>
                            </w:pPr>
                            <w:r>
                              <w:rPr>
                                <w:b/>
                                <w:bCs/>
                              </w:rPr>
                              <w:t>R</w:t>
                            </w:r>
                            <w:r w:rsidR="00FA3EAF">
                              <w:rPr>
                                <w:b/>
                                <w:bCs/>
                              </w:rPr>
                              <w:t xml:space="preserve">ecommendation on approach to be used at group level. </w:t>
                            </w:r>
                          </w:p>
                          <w:p w14:paraId="5FE663EE" w14:textId="77777777" w:rsidR="00FA3EAF" w:rsidRDefault="00FA3EAF" w:rsidP="00FA3EAF"/>
                          <w:p w14:paraId="24947DB3" w14:textId="2942E489" w:rsidR="00FA3EAF" w:rsidRDefault="00FA3EAF" w:rsidP="00FA3EAF">
                            <w:r>
                              <w:t xml:space="preserve">Insurance Europe </w:t>
                            </w:r>
                            <w:r w:rsidRPr="00FA3EAF">
                              <w:t>supports the approach proposed by the Commission to automatically take into account the value of equities at solo level, unless specific supervisor concerns emerge.</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8D2AB" id="_x0000_s1029" type="#_x0000_t202" style="position:absolute;left:0;text-align:left;margin-left:0;margin-top:17.35pt;width:474.4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">
                <v:textbox style="mso-fit-shape-to-text:t">
                  <w:txbxContent>
                    <w:p w14:paraId="61B7B6A3" w14:textId="09934F47" w:rsidR="00FA3EAF" w:rsidRPr="000F350F" w:rsidRDefault="00CD0565" w:rsidP="00FA3EAF">
                      <w:pPr>
                        <w:rPr>
                          <w:b/>
                          <w:bCs/>
                        </w:rPr>
                      </w:pPr>
                      <w:r>
                        <w:rPr>
                          <w:b/>
                          <w:bCs/>
                        </w:rPr>
                        <w:t>R</w:t>
                      </w:r>
                      <w:r w:rsidR="00FA3EAF">
                        <w:rPr>
                          <w:b/>
                          <w:bCs/>
                        </w:rPr>
                        <w:t xml:space="preserve">ecommendation on approach to be used at group level. </w:t>
                      </w:r>
                    </w:p>
                    <w:p w14:paraId="5FE663EE" w14:textId="77777777" w:rsidR="00FA3EAF" w:rsidRDefault="00FA3EAF" w:rsidP="00FA3EAF"/>
                    <w:p w14:paraId="24947DB3" w14:textId="2942E489" w:rsidR="00FA3EAF" w:rsidRDefault="00FA3EAF" w:rsidP="00FA3EAF">
                      <w:r>
                        <w:t xml:space="preserve">Insurance Europe </w:t>
                      </w:r>
                      <w:r w:rsidRPr="00FA3EAF">
                        <w:t>supports the approach proposed by the Commission to automatically take into account the value of equities at solo level, unless specific supervisor concerns emerge.</w:t>
                      </w:r>
                      <w:r>
                        <w:t xml:space="preserve"> </w:t>
                      </w:r>
                    </w:p>
                  </w:txbxContent>
                </v:textbox>
                <w10:wrap type="square" anchorx="margin"/>
              </v:shape>
            </w:pict>
          </mc:Fallback>
        </mc:AlternateContent>
      </w:r>
    </w:p>
    <w:p w14:paraId="66FE3B82" w14:textId="77777777" w:rsidR="00FA3EAF" w:rsidRDefault="00FA3EAF" w:rsidP="000B0B39">
      <w:pPr>
        <w:rPr>
          <w:sz w:val="17"/>
          <w:szCs w:val="17"/>
        </w:rPr>
      </w:pPr>
    </w:p>
    <w:p w14:paraId="744777E8" w14:textId="77777777" w:rsidR="00D25284" w:rsidRDefault="00D25284" w:rsidP="000B0B39">
      <w:pPr>
        <w:rPr>
          <w:sz w:val="17"/>
          <w:szCs w:val="17"/>
        </w:rPr>
      </w:pPr>
    </w:p>
    <w:p w14:paraId="2245E0A6" w14:textId="6D3976BF" w:rsidR="00FA3EAF" w:rsidRPr="00526B3D" w:rsidRDefault="00FA3EAF" w:rsidP="00526B3D">
      <w:pPr>
        <w:pStyle w:val="CEABullet-Level1"/>
        <w:numPr>
          <w:ilvl w:val="0"/>
          <w:numId w:val="20"/>
        </w:numPr>
        <w:rPr>
          <w:b/>
          <w:bCs/>
          <w:szCs w:val="17"/>
        </w:rPr>
      </w:pPr>
      <w:commentRangeStart w:id="1"/>
      <w:r w:rsidRPr="00526B3D">
        <w:rPr>
          <w:b/>
          <w:bCs/>
          <w:szCs w:val="17"/>
        </w:rPr>
        <w:t xml:space="preserve">The types of collective investment undertakings which shall be considered as presenting a </w:t>
      </w:r>
    </w:p>
    <w:p w14:paraId="6DC80097" w14:textId="77777777" w:rsidR="00FA3EAF" w:rsidRPr="00526B3D" w:rsidRDefault="00FA3EAF" w:rsidP="00FA3EAF">
      <w:pPr>
        <w:pStyle w:val="CEABullet-Level1"/>
        <w:numPr>
          <w:ilvl w:val="0"/>
          <w:numId w:val="0"/>
        </w:numPr>
        <w:ind w:left="720"/>
        <w:rPr>
          <w:b/>
          <w:bCs/>
          <w:szCs w:val="17"/>
        </w:rPr>
      </w:pPr>
      <w:r w:rsidRPr="00526B3D">
        <w:rPr>
          <w:b/>
          <w:bCs/>
          <w:szCs w:val="17"/>
        </w:rPr>
        <w:t xml:space="preserve">lower risk </w:t>
      </w:r>
      <w:commentRangeEnd w:id="1"/>
      <w:r w:rsidR="00C30099">
        <w:rPr>
          <w:rStyle w:val="Odkaznakomentr"/>
          <w:rFonts w:asciiTheme="minorHAnsi" w:eastAsiaTheme="minorHAnsi" w:hAnsiTheme="minorHAnsi" w:cstheme="minorBidi"/>
          <w:color w:val="auto"/>
          <w:lang w:val="fr-FR"/>
        </w:rPr>
        <w:commentReference w:id="1"/>
      </w:r>
    </w:p>
    <w:p w14:paraId="2AF3835B" w14:textId="1708832E" w:rsidR="00FA3EAF" w:rsidRDefault="00CD0565" w:rsidP="00FA3EAF">
      <w:pPr>
        <w:pStyle w:val="Odsekzoznamu"/>
        <w:ind w:left="360"/>
        <w:rPr>
          <w:sz w:val="17"/>
          <w:szCs w:val="17"/>
        </w:rPr>
      </w:pPr>
      <w:r w:rsidRPr="009E04C8">
        <w:rPr>
          <w:noProof/>
          <w:sz w:val="17"/>
          <w:szCs w:val="17"/>
        </w:rPr>
        <mc:AlternateContent>
          <mc:Choice Requires="wps">
            <w:drawing>
              <wp:anchor distT="45720" distB="45720" distL="114300" distR="114300" simplePos="0" relativeHeight="251658244" behindDoc="0" locked="0" layoutInCell="1" allowOverlap="1" wp14:anchorId="3C9D485D" wp14:editId="78EDEAA7">
                <wp:simplePos x="0" y="0"/>
                <wp:positionH relativeFrom="margin">
                  <wp:posOffset>0</wp:posOffset>
                </wp:positionH>
                <wp:positionV relativeFrom="paragraph">
                  <wp:posOffset>206375</wp:posOffset>
                </wp:positionV>
                <wp:extent cx="6025515" cy="1404620"/>
                <wp:effectExtent l="0" t="0" r="13335" b="13970"/>
                <wp:wrapSquare wrapText="bothSides"/>
                <wp:docPr id="1131271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1404620"/>
                        </a:xfrm>
                        <a:prstGeom prst="rect">
                          <a:avLst/>
                        </a:prstGeom>
                        <a:solidFill>
                          <a:srgbClr val="FFFFFF"/>
                        </a:solidFill>
                        <a:ln w="9525">
                          <a:solidFill>
                            <a:srgbClr val="000000"/>
                          </a:solidFill>
                          <a:miter lim="800000"/>
                          <a:headEnd/>
                          <a:tailEnd/>
                        </a:ln>
                      </wps:spPr>
                      <wps:txbx>
                        <w:txbxContent>
                          <w:p w14:paraId="6E5612D2" w14:textId="16D73622" w:rsidR="00CD0565" w:rsidRPr="000F350F" w:rsidRDefault="00CD0565" w:rsidP="00CD0565">
                            <w:pPr>
                              <w:rPr>
                                <w:b/>
                                <w:bCs/>
                              </w:rPr>
                            </w:pPr>
                            <w:r>
                              <w:rPr>
                                <w:b/>
                                <w:bCs/>
                              </w:rPr>
                              <w:t xml:space="preserve">Recommendation on lower risk collective investment undertakings. </w:t>
                            </w:r>
                          </w:p>
                          <w:p w14:paraId="771CF96C" w14:textId="77777777" w:rsidR="00CD0565" w:rsidRDefault="00CD0565" w:rsidP="00CD0565"/>
                          <w:p w14:paraId="414E9F84" w14:textId="2C5BD705" w:rsidR="00425FBE" w:rsidRDefault="00C11AAA" w:rsidP="00425FBE">
                            <w:r>
                              <w:t xml:space="preserve">Insurance Europe supports the Commission’s </w:t>
                            </w:r>
                            <w:r w:rsidR="00954109">
                              <w:t xml:space="preserve">assessment that </w:t>
                            </w:r>
                            <w:r w:rsidR="00D43FCA">
                              <w:t xml:space="preserve">the </w:t>
                            </w:r>
                            <w:r w:rsidR="00425FBE" w:rsidRPr="00425FBE">
                              <w:t xml:space="preserve">collective investment undertakings referred to in paragraph 2 of Article 105a of Directive 2009/138/EC could therefore be any of the following: </w:t>
                            </w:r>
                          </w:p>
                          <w:p w14:paraId="777BC3DF" w14:textId="77777777" w:rsidR="00425FBE" w:rsidRPr="00351E20" w:rsidRDefault="00425FBE" w:rsidP="000F350F">
                            <w:pPr>
                              <w:pStyle w:val="Odsekzoznamu"/>
                            </w:pPr>
                            <w:r w:rsidRPr="00351E20">
                              <w:rPr>
                                <w:sz w:val="18"/>
                              </w:rPr>
                              <w:t xml:space="preserve">(a)  qualifying social entrepreneurship funds as referred to in Article 3(b) of Regulation (EU) No 346/2013; </w:t>
                            </w:r>
                          </w:p>
                          <w:p w14:paraId="6B6D4682" w14:textId="77777777" w:rsidR="00425FBE" w:rsidRPr="00351E20" w:rsidRDefault="00425FBE" w:rsidP="000F350F">
                            <w:pPr>
                              <w:pStyle w:val="Odsekzoznamu"/>
                            </w:pPr>
                            <w:r w:rsidRPr="00351E20">
                              <w:rPr>
                                <w:sz w:val="18"/>
                              </w:rPr>
                              <w:t xml:space="preserve">(b)  qualifying venture capital funds as referred to in Article 3(b) of Regulation (EU) No 345/2013;  </w:t>
                            </w:r>
                          </w:p>
                          <w:p w14:paraId="2F8E5F9A" w14:textId="77777777" w:rsidR="00425FBE" w:rsidRPr="00351E20" w:rsidRDefault="00425FBE" w:rsidP="000F350F">
                            <w:pPr>
                              <w:pStyle w:val="Odsekzoznamu"/>
                            </w:pPr>
                            <w:r w:rsidRPr="00351E20">
                              <w:rPr>
                                <w:sz w:val="18"/>
                              </w:rPr>
                              <w:t xml:space="preserve">(c)  closed-ended alternative investment funds which are established in the Union or, if they are not established in the Union, which are marketed in the Union in accordance with Article 35 or 40 of Directive 2011/61/EU and which, in either case, have no leverage in accordance with the commitment method set out in Article 8 of Commission Delegated Regulation (EU) No 231/2013; </w:t>
                            </w:r>
                          </w:p>
                          <w:p w14:paraId="2D999D3F" w14:textId="1F0F787F" w:rsidR="00CD0565" w:rsidRDefault="00425FBE" w:rsidP="00425FBE">
                            <w:pPr>
                              <w:pStyle w:val="Odsekzoznamu"/>
                              <w:rPr>
                                <w:sz w:val="18"/>
                              </w:rPr>
                            </w:pPr>
                            <w:r w:rsidRPr="006C5E67">
                              <w:rPr>
                                <w:sz w:val="18"/>
                              </w:rPr>
                              <w:t>(d)  European long-term investment funds pursuant to Regulation (EU) 2015/760.</w:t>
                            </w:r>
                          </w:p>
                          <w:p w14:paraId="69A49741" w14:textId="77777777" w:rsidR="00351E20" w:rsidRDefault="00351E20" w:rsidP="00351E20"/>
                          <w:p w14:paraId="03C6649F" w14:textId="5F068D17" w:rsidR="00D43FCA" w:rsidRDefault="00D43FCA" w:rsidP="00135585">
                            <w:r>
                              <w:t xml:space="preserve">In addition, the industry </w:t>
                            </w:r>
                            <w:r w:rsidR="00A44DC3">
                              <w:t xml:space="preserve">supports the inclusion of </w:t>
                            </w:r>
                            <w:r w:rsidR="00B4719F">
                              <w:t xml:space="preserve">infrastructure funds and </w:t>
                            </w:r>
                            <w:r w:rsidR="00135585">
                              <w:t>non-substantially leveraged funds as defined in Article 111(1) of AIFMD Delegated Regulation.</w:t>
                            </w:r>
                          </w:p>
                          <w:p w14:paraId="0871073C" w14:textId="77777777" w:rsidR="00D43FCA" w:rsidRPr="00351E20" w:rsidRDefault="00D43FCA" w:rsidP="00351E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D485D" id="_x0000_s1030" type="#_x0000_t202" style="position:absolute;left:0;text-align:left;margin-left:0;margin-top:16.25pt;width:474.4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">
                <v:textbox style="mso-fit-shape-to-text:t">
                  <w:txbxContent>
                    <w:p w14:paraId="6E5612D2" w14:textId="16D73622" w:rsidR="00CD0565" w:rsidRPr="000F350F" w:rsidRDefault="00CD0565" w:rsidP="00CD0565">
                      <w:pPr>
                        <w:rPr>
                          <w:b/>
                          <w:bCs/>
                        </w:rPr>
                      </w:pPr>
                      <w:r>
                        <w:rPr>
                          <w:b/>
                          <w:bCs/>
                        </w:rPr>
                        <w:t xml:space="preserve">Recommendation on lower risk collective investment undertakings. </w:t>
                      </w:r>
                    </w:p>
                    <w:p w14:paraId="771CF96C" w14:textId="77777777" w:rsidR="00CD0565" w:rsidRDefault="00CD0565" w:rsidP="00CD0565"/>
                    <w:p w14:paraId="414E9F84" w14:textId="2C5BD705" w:rsidR="00425FBE" w:rsidRDefault="00C11AAA" w:rsidP="00425FBE">
                      <w:r>
                        <w:t xml:space="preserve">Insurance Europe supports the Commission’s </w:t>
                      </w:r>
                      <w:r w:rsidR="00954109">
                        <w:t xml:space="preserve">assessment that </w:t>
                      </w:r>
                      <w:r w:rsidR="00D43FCA">
                        <w:t xml:space="preserve">the </w:t>
                      </w:r>
                      <w:r w:rsidR="00425FBE" w:rsidRPr="00425FBE">
                        <w:t xml:space="preserve">collective investment undertakings referred to in paragraph 2 of Article 105a of Directive 2009/138/EC could therefore be any of the following: </w:t>
                      </w:r>
                    </w:p>
                    <w:p w14:paraId="777BC3DF" w14:textId="77777777" w:rsidR="00425FBE" w:rsidRPr="00351E20" w:rsidRDefault="00425FBE" w:rsidP="000F350F">
                      <w:pPr>
                        <w:pStyle w:val="Odsekzoznamu"/>
                      </w:pPr>
                      <w:r w:rsidRPr="00351E20">
                        <w:rPr>
                          <w:sz w:val="18"/>
                        </w:rPr>
                        <w:t xml:space="preserve">(a)  qualifying social entrepreneurship funds as referred to in Article 3(b) of Regulation (EU) No 346/2013; </w:t>
                      </w:r>
                    </w:p>
                    <w:p w14:paraId="6B6D4682" w14:textId="77777777" w:rsidR="00425FBE" w:rsidRPr="00351E20" w:rsidRDefault="00425FBE" w:rsidP="000F350F">
                      <w:pPr>
                        <w:pStyle w:val="Odsekzoznamu"/>
                      </w:pPr>
                      <w:r w:rsidRPr="00351E20">
                        <w:rPr>
                          <w:sz w:val="18"/>
                        </w:rPr>
                        <w:t xml:space="preserve">(b)  qualifying venture capital funds as referred to in Article 3(b) of Regulation (EU) No 345/2013;  </w:t>
                      </w:r>
                    </w:p>
                    <w:p w14:paraId="2F8E5F9A" w14:textId="77777777" w:rsidR="00425FBE" w:rsidRPr="00351E20" w:rsidRDefault="00425FBE" w:rsidP="000F350F">
                      <w:pPr>
                        <w:pStyle w:val="Odsekzoznamu"/>
                      </w:pPr>
                      <w:r w:rsidRPr="00351E20">
                        <w:rPr>
                          <w:sz w:val="18"/>
                        </w:rPr>
                        <w:t xml:space="preserve">(c)  closed-ended alternative investment funds which are established in the Union or, if they are not established in the Union, which are marketed in the Union in accordance with Article 35 or 40 of Directive 2011/61/EU and which, in either case, have no leverage in accordance with the commitment method set out in Article 8 of Commission Delegated Regulation (EU) No 231/2013; </w:t>
                      </w:r>
                    </w:p>
                    <w:p w14:paraId="2D999D3F" w14:textId="1F0F787F" w:rsidR="00CD0565" w:rsidRDefault="00425FBE" w:rsidP="00425FBE">
                      <w:pPr>
                        <w:pStyle w:val="Odsekzoznamu"/>
                        <w:rPr>
                          <w:sz w:val="18"/>
                        </w:rPr>
                      </w:pPr>
                      <w:r w:rsidRPr="006C5E67">
                        <w:rPr>
                          <w:sz w:val="18"/>
                        </w:rPr>
                        <w:t>(d)  European long-term investment funds pursuant to Regulation (EU) 2015/760.</w:t>
                      </w:r>
                    </w:p>
                    <w:p w14:paraId="69A49741" w14:textId="77777777" w:rsidR="00351E20" w:rsidRDefault="00351E20" w:rsidP="00351E20"/>
                    <w:p w14:paraId="03C6649F" w14:textId="5F068D17" w:rsidR="00D43FCA" w:rsidRDefault="00D43FCA" w:rsidP="00135585">
                      <w:r>
                        <w:t xml:space="preserve">In addition, the industry </w:t>
                      </w:r>
                      <w:r w:rsidR="00A44DC3">
                        <w:t xml:space="preserve">supports the inclusion of </w:t>
                      </w:r>
                      <w:r w:rsidR="00B4719F">
                        <w:t xml:space="preserve">infrastructure funds and </w:t>
                      </w:r>
                      <w:r w:rsidR="00135585">
                        <w:t>non-substantially leveraged funds as defined in Article 111(1) of AIFMD Delegated Regulation.</w:t>
                      </w:r>
                    </w:p>
                    <w:p w14:paraId="0871073C" w14:textId="77777777" w:rsidR="00D43FCA" w:rsidRPr="00351E20" w:rsidRDefault="00D43FCA" w:rsidP="00351E20"/>
                  </w:txbxContent>
                </v:textbox>
                <w10:wrap type="square" anchorx="margin"/>
              </v:shape>
            </w:pict>
          </mc:Fallback>
        </mc:AlternateContent>
      </w:r>
    </w:p>
    <w:p w14:paraId="2939411E" w14:textId="77777777" w:rsidR="00FA3EAF" w:rsidRDefault="00FA3EAF" w:rsidP="00FA3EAF">
      <w:pPr>
        <w:pStyle w:val="Odsekzoznamu"/>
        <w:ind w:left="360"/>
        <w:rPr>
          <w:sz w:val="17"/>
          <w:szCs w:val="17"/>
        </w:rPr>
      </w:pPr>
    </w:p>
    <w:p w14:paraId="2384DC28" w14:textId="77777777" w:rsidR="00FA3EAF" w:rsidRDefault="00FA3EAF" w:rsidP="00FA3EAF">
      <w:pPr>
        <w:pStyle w:val="Odsekzoznamu"/>
        <w:ind w:left="360"/>
        <w:rPr>
          <w:sz w:val="17"/>
          <w:szCs w:val="17"/>
        </w:rPr>
      </w:pPr>
    </w:p>
    <w:p w14:paraId="26E3C0E8" w14:textId="78E15832" w:rsidR="00FA3EAF" w:rsidRPr="00526B3D" w:rsidRDefault="006C6A28" w:rsidP="008A622F">
      <w:pPr>
        <w:pStyle w:val="Odsekzoznamu"/>
        <w:numPr>
          <w:ilvl w:val="0"/>
          <w:numId w:val="20"/>
        </w:numPr>
        <w:rPr>
          <w:b/>
          <w:bCs/>
          <w:color w:val="000000"/>
          <w:sz w:val="17"/>
          <w:szCs w:val="17"/>
        </w:rPr>
      </w:pPr>
      <w:commentRangeStart w:id="2"/>
      <w:r w:rsidRPr="00526B3D">
        <w:rPr>
          <w:rFonts w:cs="Frutiger LT Std 45 Light"/>
          <w:b/>
          <w:bCs/>
          <w:color w:val="000000"/>
          <w:sz w:val="17"/>
          <w:szCs w:val="17"/>
        </w:rPr>
        <w:t>The information to be included in the SFCR and the RSR</w:t>
      </w:r>
      <w:commentRangeEnd w:id="2"/>
      <w:r w:rsidR="005C2C9F">
        <w:rPr>
          <w:rStyle w:val="Odkaznakomentr"/>
          <w:rFonts w:asciiTheme="minorHAnsi" w:eastAsiaTheme="minorHAnsi" w:hAnsiTheme="minorHAnsi" w:cstheme="minorBidi"/>
          <w:lang w:val="fr-FR"/>
        </w:rPr>
        <w:commentReference w:id="2"/>
      </w:r>
      <w:r w:rsidRPr="00526B3D">
        <w:rPr>
          <w:rFonts w:cs="Frutiger LT Std 45 Light"/>
          <w:b/>
          <w:bCs/>
          <w:color w:val="000000"/>
          <w:sz w:val="17"/>
          <w:szCs w:val="17"/>
        </w:rPr>
        <w:t>.</w:t>
      </w:r>
    </w:p>
    <w:p w14:paraId="6D703688" w14:textId="617892D0" w:rsidR="00AA73BE" w:rsidRPr="00CD2FC9" w:rsidRDefault="006364D3" w:rsidP="0052604F">
      <w:pPr>
        <w:pStyle w:val="CEABullet-Level1"/>
        <w:numPr>
          <w:ilvl w:val="0"/>
          <w:numId w:val="0"/>
        </w:numPr>
        <w:rPr>
          <w:color w:val="002060"/>
          <w:sz w:val="18"/>
          <w:szCs w:val="22"/>
        </w:rPr>
      </w:pPr>
      <w:r w:rsidRPr="009E04C8">
        <w:rPr>
          <w:noProof/>
          <w:szCs w:val="17"/>
        </w:rPr>
        <mc:AlternateContent>
          <mc:Choice Requires="wps">
            <w:drawing>
              <wp:anchor distT="45720" distB="45720" distL="114300" distR="114300" simplePos="0" relativeHeight="251658245" behindDoc="0" locked="0" layoutInCell="1" allowOverlap="1" wp14:anchorId="51CE0D71" wp14:editId="68E699CA">
                <wp:simplePos x="0" y="0"/>
                <wp:positionH relativeFrom="margin">
                  <wp:posOffset>0</wp:posOffset>
                </wp:positionH>
                <wp:positionV relativeFrom="paragraph">
                  <wp:posOffset>208915</wp:posOffset>
                </wp:positionV>
                <wp:extent cx="6025515" cy="1404620"/>
                <wp:effectExtent l="0" t="0" r="13335" b="13970"/>
                <wp:wrapSquare wrapText="bothSides"/>
                <wp:docPr id="939645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1404620"/>
                        </a:xfrm>
                        <a:prstGeom prst="rect">
                          <a:avLst/>
                        </a:prstGeom>
                        <a:solidFill>
                          <a:srgbClr val="FFFFFF"/>
                        </a:solidFill>
                        <a:ln w="9525">
                          <a:solidFill>
                            <a:srgbClr val="000000"/>
                          </a:solidFill>
                          <a:miter lim="800000"/>
                          <a:headEnd/>
                          <a:tailEnd/>
                        </a:ln>
                      </wps:spPr>
                      <wps:txbx>
                        <w:txbxContent>
                          <w:p w14:paraId="4ACCD8AE" w14:textId="05A4E8E9" w:rsidR="006364D3" w:rsidRPr="00F978E8" w:rsidRDefault="006364D3" w:rsidP="006364D3">
                            <w:pPr>
                              <w:rPr>
                                <w:b/>
                                <w:bCs/>
                                <w:szCs w:val="18"/>
                              </w:rPr>
                            </w:pPr>
                            <w:r w:rsidRPr="00F978E8">
                              <w:rPr>
                                <w:b/>
                                <w:bCs/>
                                <w:szCs w:val="18"/>
                              </w:rPr>
                              <w:t xml:space="preserve">Recommendation on disclosure requirements. </w:t>
                            </w:r>
                          </w:p>
                          <w:p w14:paraId="2FA15C36" w14:textId="77777777" w:rsidR="006364D3" w:rsidRPr="00F978E8" w:rsidRDefault="006364D3" w:rsidP="006364D3">
                            <w:pPr>
                              <w:rPr>
                                <w:szCs w:val="18"/>
                              </w:rPr>
                            </w:pPr>
                          </w:p>
                          <w:p w14:paraId="12A2C58D" w14:textId="2D209CC7" w:rsidR="006364D3" w:rsidRPr="00F978E8" w:rsidRDefault="006364D3" w:rsidP="00B641D7">
                            <w:pPr>
                              <w:rPr>
                                <w:szCs w:val="18"/>
                              </w:rPr>
                            </w:pPr>
                            <w:r w:rsidRPr="00F978E8">
                              <w:rPr>
                                <w:szCs w:val="18"/>
                              </w:rPr>
                              <w:t>Insurance Europe supports</w:t>
                            </w:r>
                            <w:r w:rsidR="00B641D7" w:rsidRPr="00F978E8">
                              <w:rPr>
                                <w:szCs w:val="18"/>
                              </w:rPr>
                              <w:t xml:space="preserve"> restricting </w:t>
                            </w:r>
                            <w:r w:rsidRPr="00F978E8">
                              <w:rPr>
                                <w:szCs w:val="18"/>
                              </w:rPr>
                              <w:t xml:space="preserve">the </w:t>
                            </w:r>
                            <w:r w:rsidR="00B641D7" w:rsidRPr="00F978E8">
                              <w:rPr>
                                <w:szCs w:val="18"/>
                              </w:rPr>
                              <w:t xml:space="preserve">disclosure requirements to those strictly necessary. This should </w:t>
                            </w:r>
                            <w:r w:rsidR="006F66FC" w:rsidRPr="00F978E8">
                              <w:rPr>
                                <w:szCs w:val="18"/>
                              </w:rPr>
                              <w:t>include</w:t>
                            </w:r>
                            <w:r w:rsidR="00B641D7" w:rsidRPr="00F978E8">
                              <w:rPr>
                                <w:szCs w:val="18"/>
                              </w:rPr>
                              <w:t xml:space="preserve">: </w:t>
                            </w:r>
                          </w:p>
                          <w:p w14:paraId="741BF603" w14:textId="77777777" w:rsidR="00B641D7" w:rsidRPr="00F978E8" w:rsidRDefault="00B641D7" w:rsidP="00B641D7">
                            <w:pPr>
                              <w:rPr>
                                <w:sz w:val="20"/>
                                <w:szCs w:val="28"/>
                              </w:rPr>
                            </w:pPr>
                          </w:p>
                          <w:p w14:paraId="09815D76" w14:textId="6DC85BC8" w:rsidR="006364D3" w:rsidRPr="00F978E8" w:rsidRDefault="00123348" w:rsidP="00123348">
                            <w:pPr>
                              <w:pStyle w:val="Odsekzoznamu"/>
                              <w:numPr>
                                <w:ilvl w:val="0"/>
                                <w:numId w:val="24"/>
                              </w:numPr>
                              <w:rPr>
                                <w:sz w:val="18"/>
                                <w:szCs w:val="18"/>
                              </w:rPr>
                            </w:pPr>
                            <w:r w:rsidRPr="00F978E8">
                              <w:rPr>
                                <w:sz w:val="18"/>
                                <w:szCs w:val="18"/>
                              </w:rPr>
                              <w:t>Ensuring that the SFCR contains only the information essential for policyholders, beneficiaries, and professional market participants to understand the insurer's financial position and risk profile.</w:t>
                            </w:r>
                          </w:p>
                          <w:p w14:paraId="05E9D138" w14:textId="59E9EBDF" w:rsidR="00E13D7E" w:rsidRPr="00F978E8" w:rsidRDefault="005612B0" w:rsidP="005612B0">
                            <w:pPr>
                              <w:pStyle w:val="Odsekzoznamu"/>
                              <w:numPr>
                                <w:ilvl w:val="0"/>
                                <w:numId w:val="24"/>
                              </w:numPr>
                              <w:rPr>
                                <w:sz w:val="18"/>
                                <w:szCs w:val="18"/>
                              </w:rPr>
                            </w:pPr>
                            <w:r w:rsidRPr="005612B0">
                              <w:rPr>
                                <w:sz w:val="18"/>
                                <w:szCs w:val="18"/>
                              </w:rPr>
                              <w:t xml:space="preserve">Avoiding unnecessary duplication by not introducing an additional chapter in the RSR, as the LTE </w:t>
                            </w:r>
                            <w:r w:rsidR="00B8455F">
                              <w:rPr>
                                <w:sz w:val="18"/>
                                <w:szCs w:val="18"/>
                              </w:rPr>
                              <w:t xml:space="preserve">aspects are </w:t>
                            </w:r>
                            <w:r w:rsidRPr="005612B0">
                              <w:rPr>
                                <w:sz w:val="18"/>
                                <w:szCs w:val="18"/>
                              </w:rPr>
                              <w:t>already addressed within the ORSA.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CE0D71" id="_x0000_s1031" type="#_x0000_t202" style="position:absolute;left:0;text-align:left;margin-left:0;margin-top:16.45pt;width:474.45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5j0FQIAACcEAAAOAAAAZHJzL2Uyb0RvYy54bWysk1Fv2yAQx98n7Tsg3hfbUZy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">
                <v:textbox style="mso-fit-shape-to-text:t">
                  <w:txbxContent>
                    <w:p w14:paraId="4ACCD8AE" w14:textId="05A4E8E9" w:rsidR="006364D3" w:rsidRPr="00F978E8" w:rsidRDefault="006364D3" w:rsidP="006364D3">
                      <w:pPr>
                        <w:rPr>
                          <w:b/>
                          <w:bCs/>
                          <w:szCs w:val="18"/>
                        </w:rPr>
                      </w:pPr>
                      <w:r w:rsidRPr="00F978E8">
                        <w:rPr>
                          <w:b/>
                          <w:bCs/>
                          <w:szCs w:val="18"/>
                        </w:rPr>
                        <w:t xml:space="preserve">Recommendation on disclosure requirements. </w:t>
                      </w:r>
                    </w:p>
                    <w:p w14:paraId="2FA15C36" w14:textId="77777777" w:rsidR="006364D3" w:rsidRPr="00F978E8" w:rsidRDefault="006364D3" w:rsidP="006364D3">
                      <w:pPr>
                        <w:rPr>
                          <w:szCs w:val="18"/>
                        </w:rPr>
                      </w:pPr>
                    </w:p>
                    <w:p w14:paraId="12A2C58D" w14:textId="2D209CC7" w:rsidR="006364D3" w:rsidRPr="00F978E8" w:rsidRDefault="006364D3" w:rsidP="00B641D7">
                      <w:pPr>
                        <w:rPr>
                          <w:szCs w:val="18"/>
                        </w:rPr>
                      </w:pPr>
                      <w:r w:rsidRPr="00F978E8">
                        <w:rPr>
                          <w:szCs w:val="18"/>
                        </w:rPr>
                        <w:t>Insurance Europe supports</w:t>
                      </w:r>
                      <w:r w:rsidR="00B641D7" w:rsidRPr="00F978E8">
                        <w:rPr>
                          <w:szCs w:val="18"/>
                        </w:rPr>
                        <w:t xml:space="preserve"> restricting </w:t>
                      </w:r>
                      <w:r w:rsidRPr="00F978E8">
                        <w:rPr>
                          <w:szCs w:val="18"/>
                        </w:rPr>
                        <w:t xml:space="preserve">the </w:t>
                      </w:r>
                      <w:r w:rsidR="00B641D7" w:rsidRPr="00F978E8">
                        <w:rPr>
                          <w:szCs w:val="18"/>
                        </w:rPr>
                        <w:t xml:space="preserve">disclosure requirements to those strictly necessary. This should </w:t>
                      </w:r>
                      <w:r w:rsidR="006F66FC" w:rsidRPr="00F978E8">
                        <w:rPr>
                          <w:szCs w:val="18"/>
                        </w:rPr>
                        <w:t>include</w:t>
                      </w:r>
                      <w:r w:rsidR="00B641D7" w:rsidRPr="00F978E8">
                        <w:rPr>
                          <w:szCs w:val="18"/>
                        </w:rPr>
                        <w:t xml:space="preserve">: </w:t>
                      </w:r>
                    </w:p>
                    <w:p w14:paraId="741BF603" w14:textId="77777777" w:rsidR="00B641D7" w:rsidRPr="00F978E8" w:rsidRDefault="00B641D7" w:rsidP="00B641D7">
                      <w:pPr>
                        <w:rPr>
                          <w:sz w:val="20"/>
                          <w:szCs w:val="28"/>
                        </w:rPr>
                      </w:pPr>
                    </w:p>
                    <w:p w14:paraId="09815D76" w14:textId="6DC85BC8" w:rsidR="006364D3" w:rsidRPr="00F978E8" w:rsidRDefault="00123348" w:rsidP="00123348">
                      <w:pPr>
                        <w:pStyle w:val="Odsekzoznamu"/>
                        <w:numPr>
                          <w:ilvl w:val="0"/>
                          <w:numId w:val="24"/>
                        </w:numPr>
                        <w:rPr>
                          <w:sz w:val="18"/>
                          <w:szCs w:val="18"/>
                        </w:rPr>
                      </w:pPr>
                      <w:r w:rsidRPr="00F978E8">
                        <w:rPr>
                          <w:sz w:val="18"/>
                          <w:szCs w:val="18"/>
                        </w:rPr>
                        <w:t>Ensuring that the SFCR contains only the information essential for policyholders, beneficiaries, and professional market participants to understand the insurer's financial position and risk profile.</w:t>
                      </w:r>
                    </w:p>
                    <w:p w14:paraId="05E9D138" w14:textId="59E9EBDF" w:rsidR="00E13D7E" w:rsidRPr="00F978E8" w:rsidRDefault="005612B0" w:rsidP="005612B0">
                      <w:pPr>
                        <w:pStyle w:val="Odsekzoznamu"/>
                        <w:numPr>
                          <w:ilvl w:val="0"/>
                          <w:numId w:val="24"/>
                        </w:numPr>
                        <w:rPr>
                          <w:sz w:val="18"/>
                          <w:szCs w:val="18"/>
                        </w:rPr>
                      </w:pPr>
                      <w:r w:rsidRPr="005612B0">
                        <w:rPr>
                          <w:sz w:val="18"/>
                          <w:szCs w:val="18"/>
                        </w:rPr>
                        <w:t xml:space="preserve">Avoiding unnecessary duplication by not introducing an additional chapter in the RSR, as the LTE </w:t>
                      </w:r>
                      <w:r w:rsidR="00B8455F">
                        <w:rPr>
                          <w:sz w:val="18"/>
                          <w:szCs w:val="18"/>
                        </w:rPr>
                        <w:t xml:space="preserve">aspects are </w:t>
                      </w:r>
                      <w:r w:rsidRPr="005612B0">
                        <w:rPr>
                          <w:sz w:val="18"/>
                          <w:szCs w:val="18"/>
                        </w:rPr>
                        <w:t>already addressed within the ORSA.</w:t>
                      </w:r>
                    </w:p>
                  </w:txbxContent>
                </v:textbox>
                <w10:wrap type="square" anchorx="margin"/>
              </v:shape>
            </w:pict>
          </mc:Fallback>
        </mc:AlternateContent>
      </w:r>
    </w:p>
    <w:p w14:paraId="14DFB39A" w14:textId="77777777" w:rsidR="00B50D5F" w:rsidRDefault="00B50D5F" w:rsidP="001A3E58">
      <w:pPr>
        <w:autoSpaceDE w:val="0"/>
        <w:autoSpaceDN w:val="0"/>
        <w:adjustRightInd w:val="0"/>
        <w:rPr>
          <w:rFonts w:cs="Frutiger LT Std 45 Light"/>
          <w:color w:val="000000"/>
          <w:sz w:val="17"/>
          <w:szCs w:val="20"/>
        </w:rPr>
      </w:pPr>
    </w:p>
    <w:p w14:paraId="1C1D7A30" w14:textId="323C2DCE" w:rsidR="00EE4C47" w:rsidRDefault="00EE4C47">
      <w:pPr>
        <w:spacing w:after="200" w:line="276" w:lineRule="auto"/>
        <w:jc w:val="left"/>
        <w:rPr>
          <w:rFonts w:asciiTheme="majorHAnsi" w:eastAsiaTheme="majorEastAsia" w:hAnsiTheme="majorHAnsi" w:cs="Frutiger LT Std 45 Light"/>
          <w:color w:val="000000"/>
          <w:sz w:val="17"/>
          <w:szCs w:val="20"/>
        </w:rPr>
      </w:pPr>
      <w:r>
        <w:rPr>
          <w:rFonts w:cs="Frutiger LT Std 45 Light"/>
          <w:color w:val="000000"/>
          <w:sz w:val="17"/>
          <w:szCs w:val="20"/>
        </w:rPr>
        <w:br w:type="page"/>
      </w:r>
    </w:p>
    <w:p w14:paraId="5FBF08BC" w14:textId="77777777" w:rsidR="007725A0" w:rsidRPr="00C71201" w:rsidRDefault="007725A0" w:rsidP="00E37709">
      <w:pPr>
        <w:pStyle w:val="Nadpis2"/>
        <w:numPr>
          <w:ilvl w:val="0"/>
          <w:numId w:val="14"/>
        </w:numPr>
      </w:pPr>
      <w:r w:rsidRPr="00C71201">
        <w:lastRenderedPageBreak/>
        <w:t>Symmetric equity adjustment</w:t>
      </w:r>
    </w:p>
    <w:p w14:paraId="3EBEECA3" w14:textId="77777777" w:rsidR="007725A0" w:rsidRDefault="007725A0" w:rsidP="007725A0">
      <w:pPr>
        <w:rPr>
          <w:sz w:val="17"/>
          <w:szCs w:val="17"/>
        </w:rPr>
      </w:pPr>
    </w:p>
    <w:p w14:paraId="163FC867" w14:textId="78E60955" w:rsidR="004A1963" w:rsidRDefault="007725A0" w:rsidP="001B7A40">
      <w:pPr>
        <w:rPr>
          <w:sz w:val="17"/>
          <w:szCs w:val="17"/>
        </w:rPr>
      </w:pPr>
      <w:r w:rsidRPr="00AF5040">
        <w:rPr>
          <w:sz w:val="17"/>
          <w:szCs w:val="17"/>
        </w:rPr>
        <w:t>The symmetric adjustment mechanism in Solvency II aims to mitigate pro-cyclical effects and stabilise insurers' solvency positions during market fluctuations by adjusting capital requirements for equity risk in response to market conditions. However, its current design creates basis risk for several countrie</w:t>
      </w:r>
      <w:r w:rsidR="004A1963">
        <w:rPr>
          <w:sz w:val="17"/>
          <w:szCs w:val="17"/>
        </w:rPr>
        <w:t>s</w:t>
      </w:r>
      <w:r w:rsidRPr="00AF5040">
        <w:rPr>
          <w:sz w:val="17"/>
          <w:szCs w:val="17"/>
        </w:rPr>
        <w:t>, due to differences in currencies and equity portfolio composition. This is particularly problematic for insurers with large unit-linked portfolios, where the symmetric equity adjustment creates, not mitigates, solvency volatility.</w:t>
      </w:r>
      <w:r w:rsidR="006B6CAD" w:rsidRPr="00AF5040">
        <w:rPr>
          <w:sz w:val="17"/>
          <w:szCs w:val="17"/>
        </w:rPr>
        <w:t xml:space="preserve"> </w:t>
      </w:r>
    </w:p>
    <w:p w14:paraId="39E28499" w14:textId="222A427D" w:rsidR="004A1963" w:rsidRDefault="002D6C47" w:rsidP="001B7A40">
      <w:pPr>
        <w:rPr>
          <w:sz w:val="17"/>
          <w:szCs w:val="17"/>
        </w:rPr>
      </w:pPr>
      <w:r w:rsidRPr="009E04C8">
        <w:rPr>
          <w:noProof/>
          <w:sz w:val="17"/>
          <w:szCs w:val="17"/>
        </w:rPr>
        <mc:AlternateContent>
          <mc:Choice Requires="wps">
            <w:drawing>
              <wp:anchor distT="45720" distB="45720" distL="114300" distR="114300" simplePos="0" relativeHeight="251658246" behindDoc="0" locked="0" layoutInCell="1" allowOverlap="1" wp14:anchorId="5B5A89A1" wp14:editId="4A45746D">
                <wp:simplePos x="0" y="0"/>
                <wp:positionH relativeFrom="margin">
                  <wp:align>left</wp:align>
                </wp:positionH>
                <wp:positionV relativeFrom="paragraph">
                  <wp:posOffset>255905</wp:posOffset>
                </wp:positionV>
                <wp:extent cx="6025515" cy="1404620"/>
                <wp:effectExtent l="0" t="0" r="13335" b="15240"/>
                <wp:wrapSquare wrapText="bothSides"/>
                <wp:docPr id="2061910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1404620"/>
                        </a:xfrm>
                        <a:prstGeom prst="rect">
                          <a:avLst/>
                        </a:prstGeom>
                        <a:solidFill>
                          <a:srgbClr val="FFFFFF"/>
                        </a:solidFill>
                        <a:ln w="9525">
                          <a:solidFill>
                            <a:srgbClr val="000000"/>
                          </a:solidFill>
                          <a:miter lim="800000"/>
                          <a:headEnd/>
                          <a:tailEnd/>
                        </a:ln>
                      </wps:spPr>
                      <wps:txbx>
                        <w:txbxContent>
                          <w:p w14:paraId="7565037A" w14:textId="225CAAFF" w:rsidR="00E3614B" w:rsidRPr="0012042B" w:rsidRDefault="00E3614B" w:rsidP="00E3614B">
                            <w:pPr>
                              <w:rPr>
                                <w:b/>
                                <w:bCs/>
                              </w:rPr>
                            </w:pPr>
                            <w:r>
                              <w:rPr>
                                <w:b/>
                                <w:bCs/>
                              </w:rPr>
                              <w:t xml:space="preserve">Recommendation on the symmetric equity adjustment. </w:t>
                            </w:r>
                          </w:p>
                          <w:p w14:paraId="3F43570E" w14:textId="77777777" w:rsidR="00E3614B" w:rsidRDefault="00E3614B" w:rsidP="00E3614B"/>
                          <w:p w14:paraId="3F1DC4E1" w14:textId="020408E4" w:rsidR="00E3614B" w:rsidRDefault="00E3614B" w:rsidP="009C7BBF">
                            <w:r>
                              <w:t xml:space="preserve">Insurance Europe supports </w:t>
                            </w:r>
                            <w:r w:rsidR="00305712">
                              <w:t xml:space="preserve">amending Article 172 of the Delegated Regulation to </w:t>
                            </w:r>
                            <w:r w:rsidR="00D40D54">
                              <w:t xml:space="preserve">enable the application of the symmetric equity adjustment to be </w:t>
                            </w:r>
                            <w:r w:rsidR="00D40D54" w:rsidRPr="00D40D54">
                              <w:t>at the company’s discretion</w:t>
                            </w:r>
                            <w:r w:rsidR="00D40D54">
                              <w:t xml:space="preserve"> </w:t>
                            </w:r>
                            <w:r w:rsidR="00D40D54" w:rsidRPr="00D40D54">
                              <w:t xml:space="preserve">or </w:t>
                            </w:r>
                            <w:r w:rsidR="00D40D54">
                              <w:t xml:space="preserve">to amend </w:t>
                            </w:r>
                            <w:r w:rsidR="00D40D54" w:rsidRPr="00D40D54">
                              <w:t>the design of the adjustment should be improved to avoid creating artificial solvency volatility for some insurers.</w:t>
                            </w:r>
                          </w:p>
                          <w:p w14:paraId="7416D23D" w14:textId="77777777" w:rsidR="00E3614B" w:rsidRPr="00351E20" w:rsidRDefault="00E3614B" w:rsidP="00E361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A89A1" id="_x0000_s1032" type="#_x0000_t202" style="position:absolute;left:0;text-align:left;margin-left:0;margin-top:20.15pt;width:474.45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">
                <v:textbox style="mso-fit-shape-to-text:t">
                  <w:txbxContent>
                    <w:p w14:paraId="7565037A" w14:textId="225CAAFF" w:rsidR="00E3614B" w:rsidRPr="0012042B" w:rsidRDefault="00E3614B" w:rsidP="00E3614B">
                      <w:pPr>
                        <w:rPr>
                          <w:b/>
                          <w:bCs/>
                        </w:rPr>
                      </w:pPr>
                      <w:r>
                        <w:rPr>
                          <w:b/>
                          <w:bCs/>
                        </w:rPr>
                        <w:t xml:space="preserve">Recommendation on the symmetric equity adjustment. </w:t>
                      </w:r>
                    </w:p>
                    <w:p w14:paraId="3F43570E" w14:textId="77777777" w:rsidR="00E3614B" w:rsidRDefault="00E3614B" w:rsidP="00E3614B"/>
                    <w:p w14:paraId="3F1DC4E1" w14:textId="020408E4" w:rsidR="00E3614B" w:rsidRDefault="00E3614B" w:rsidP="009C7BBF">
                      <w:r>
                        <w:t xml:space="preserve">Insurance Europe supports </w:t>
                      </w:r>
                      <w:r w:rsidR="00305712">
                        <w:t xml:space="preserve">amending Article 172 of the Delegated Regulation to </w:t>
                      </w:r>
                      <w:r w:rsidR="00D40D54">
                        <w:t xml:space="preserve">enable the application of the symmetric equity adjustment to be </w:t>
                      </w:r>
                      <w:r w:rsidR="00D40D54" w:rsidRPr="00D40D54">
                        <w:t>at the company’s discretion</w:t>
                      </w:r>
                      <w:r w:rsidR="00D40D54">
                        <w:t xml:space="preserve"> </w:t>
                      </w:r>
                      <w:r w:rsidR="00D40D54" w:rsidRPr="00D40D54">
                        <w:t xml:space="preserve">or </w:t>
                      </w:r>
                      <w:r w:rsidR="00D40D54">
                        <w:t xml:space="preserve">to amend </w:t>
                      </w:r>
                      <w:r w:rsidR="00D40D54" w:rsidRPr="00D40D54">
                        <w:t>the design of the adjustment should be improved to avoid creating artificial solvency volatility for some insurers.</w:t>
                      </w:r>
                    </w:p>
                    <w:p w14:paraId="7416D23D" w14:textId="77777777" w:rsidR="00E3614B" w:rsidRPr="00351E20" w:rsidRDefault="00E3614B" w:rsidP="00E3614B"/>
                  </w:txbxContent>
                </v:textbox>
                <w10:wrap type="square" anchorx="margin"/>
              </v:shape>
            </w:pict>
          </mc:Fallback>
        </mc:AlternateContent>
      </w:r>
    </w:p>
    <w:p w14:paraId="59F63413" w14:textId="77777777" w:rsidR="0029025C" w:rsidRDefault="0029025C" w:rsidP="0029025C">
      <w:pPr>
        <w:pStyle w:val="CEABullet-Level1"/>
        <w:numPr>
          <w:ilvl w:val="0"/>
          <w:numId w:val="0"/>
        </w:numPr>
        <w:rPr>
          <w:szCs w:val="17"/>
        </w:rPr>
      </w:pPr>
      <w:r w:rsidRPr="00AF5040">
        <w:rPr>
          <w:szCs w:val="17"/>
        </w:rPr>
        <w:t xml:space="preserve">The symmetric adjustment, in its current form, fails to achieve its intended objective of mitigating procyclical effects and stabilising insurers' solvency positions. The widened corridor exacerbates existing problems, particularly for unit-linked policies. National differences in insurance markets justify allowing undertakings the option to decide whether to apply the symmetric adjustment. This optional approach would enhance the Solvency II framework, ensuring it better reflects the true financial positions of insurers and avoids creating artificial volatility. </w:t>
      </w:r>
    </w:p>
    <w:p w14:paraId="38653641" w14:textId="77777777" w:rsidR="007924F1" w:rsidRDefault="007924F1" w:rsidP="007725A0">
      <w:pPr>
        <w:pStyle w:val="CEABullet-Level1"/>
        <w:numPr>
          <w:ilvl w:val="0"/>
          <w:numId w:val="0"/>
        </w:numPr>
        <w:rPr>
          <w:szCs w:val="17"/>
        </w:rPr>
      </w:pPr>
    </w:p>
    <w:p w14:paraId="17C78CAB" w14:textId="77777777" w:rsidR="007924F1" w:rsidRPr="00AF5040" w:rsidRDefault="007924F1" w:rsidP="007725A0">
      <w:pPr>
        <w:pStyle w:val="CEABullet-Level1"/>
        <w:numPr>
          <w:ilvl w:val="0"/>
          <w:numId w:val="0"/>
        </w:numPr>
        <w:rPr>
          <w:szCs w:val="17"/>
        </w:rPr>
      </w:pPr>
    </w:p>
    <w:p w14:paraId="3C80F494" w14:textId="77777777" w:rsidR="000977A6" w:rsidRDefault="000977A6">
      <w:pPr>
        <w:spacing w:after="200" w:line="276" w:lineRule="auto"/>
        <w:jc w:val="left"/>
        <w:rPr>
          <w:rFonts w:cs="Frutiger LT Std 45 Light"/>
          <w:b/>
          <w:color w:val="002957"/>
          <w:sz w:val="22"/>
          <w:szCs w:val="22"/>
          <w:u w:val="single"/>
        </w:rPr>
      </w:pPr>
      <w:r>
        <w:rPr>
          <w:b/>
          <w:color w:val="002957"/>
          <w:sz w:val="22"/>
          <w:szCs w:val="22"/>
          <w:u w:val="single"/>
        </w:rPr>
        <w:br w:type="page"/>
      </w:r>
    </w:p>
    <w:p w14:paraId="088A0458" w14:textId="679439F9" w:rsidR="003C79A2" w:rsidRDefault="003C79A2" w:rsidP="003C79A2">
      <w:pPr>
        <w:pStyle w:val="CEABullet-Level1"/>
        <w:numPr>
          <w:ilvl w:val="0"/>
          <w:numId w:val="0"/>
        </w:numPr>
        <w:rPr>
          <w:szCs w:val="17"/>
        </w:rPr>
      </w:pPr>
      <w:r w:rsidRPr="00331C27">
        <w:rPr>
          <w:b/>
          <w:color w:val="002957"/>
          <w:sz w:val="22"/>
          <w:szCs w:val="22"/>
          <w:u w:val="single"/>
        </w:rPr>
        <w:lastRenderedPageBreak/>
        <w:t xml:space="preserve">Annex </w:t>
      </w:r>
      <w:r>
        <w:rPr>
          <w:b/>
          <w:color w:val="002957"/>
          <w:sz w:val="22"/>
          <w:szCs w:val="22"/>
          <w:u w:val="single"/>
        </w:rPr>
        <w:t>I</w:t>
      </w:r>
      <w:r w:rsidRPr="00331C27">
        <w:rPr>
          <w:b/>
          <w:color w:val="002957"/>
          <w:sz w:val="22"/>
          <w:szCs w:val="22"/>
          <w:u w:val="single"/>
        </w:rPr>
        <w:t xml:space="preserve"> </w:t>
      </w:r>
      <w:r>
        <w:rPr>
          <w:b/>
          <w:color w:val="002957"/>
          <w:sz w:val="22"/>
          <w:szCs w:val="22"/>
          <w:u w:val="single"/>
        </w:rPr>
        <w:t>-</w:t>
      </w:r>
      <w:proofErr w:type="spellStart"/>
      <w:r w:rsidRPr="00450D56">
        <w:rPr>
          <w:b/>
          <w:color w:val="002957"/>
          <w:sz w:val="22"/>
          <w:szCs w:val="22"/>
          <w:u w:val="single"/>
        </w:rPr>
        <w:t>Assuralia</w:t>
      </w:r>
      <w:proofErr w:type="spellEnd"/>
      <w:r w:rsidRPr="00450D56">
        <w:rPr>
          <w:b/>
          <w:color w:val="002957"/>
          <w:sz w:val="22"/>
          <w:szCs w:val="22"/>
          <w:u w:val="single"/>
        </w:rPr>
        <w:t xml:space="preserve"> Approach</w:t>
      </w:r>
      <w:r w:rsidRPr="00632DCB">
        <w:rPr>
          <w:b/>
          <w:bCs/>
          <w:szCs w:val="17"/>
        </w:rPr>
        <w:t xml:space="preserve"> </w:t>
      </w:r>
    </w:p>
    <w:p w14:paraId="31D55AAB" w14:textId="77777777" w:rsidR="003C79A2" w:rsidRDefault="003C79A2" w:rsidP="003C79A2">
      <w:pPr>
        <w:pStyle w:val="Nadpis1"/>
        <w:rPr>
          <w:rFonts w:ascii="Verdana" w:eastAsia="Times New Roman" w:hAnsi="Verdana" w:cs="Frutiger LT Std 45 Light"/>
          <w:b w:val="0"/>
          <w:bCs w:val="0"/>
          <w:sz w:val="17"/>
          <w:szCs w:val="17"/>
          <w:lang w:val="en-GB" w:eastAsia="en-US"/>
        </w:rPr>
      </w:pPr>
      <w:r w:rsidRPr="005B3153">
        <w:rPr>
          <w:rFonts w:ascii="Verdana" w:eastAsia="Times New Roman" w:hAnsi="Verdana" w:cs="Frutiger LT Std 45 Light"/>
          <w:b w:val="0"/>
          <w:bCs w:val="0"/>
          <w:sz w:val="17"/>
          <w:szCs w:val="17"/>
          <w:lang w:val="en-GB" w:eastAsia="en-US"/>
        </w:rPr>
        <w:t>Belgian insurance companies currently apply the SCR submodule for long-term equity, meeting all criteria without issues. A pragmatic approach is proposed to demonstrate the ability to avoid forced sales of long-term equity investments.</w:t>
      </w:r>
    </w:p>
    <w:p w14:paraId="61041C86" w14:textId="77777777" w:rsidR="003C79A2" w:rsidRPr="00632DCB" w:rsidRDefault="003C79A2" w:rsidP="003C79A2">
      <w:pPr>
        <w:pStyle w:val="Nadpis1"/>
        <w:rPr>
          <w:rFonts w:ascii="Verdana" w:hAnsi="Verdana"/>
          <w:sz w:val="17"/>
          <w:szCs w:val="17"/>
          <w:lang w:val="en-GB"/>
        </w:rPr>
      </w:pPr>
      <w:r w:rsidRPr="00632DCB">
        <w:rPr>
          <w:rFonts w:ascii="Verdana" w:hAnsi="Verdana"/>
          <w:sz w:val="17"/>
          <w:szCs w:val="17"/>
          <w:lang w:val="en-GB"/>
        </w:rPr>
        <w:t>Proposal</w:t>
      </w:r>
    </w:p>
    <w:p w14:paraId="75C728AD" w14:textId="77777777" w:rsidR="003C79A2" w:rsidRPr="00632DCB" w:rsidRDefault="003C79A2" w:rsidP="003C79A2">
      <w:pPr>
        <w:spacing w:before="120"/>
        <w:rPr>
          <w:sz w:val="17"/>
          <w:szCs w:val="17"/>
        </w:rPr>
      </w:pPr>
      <w:r w:rsidRPr="00632DCB">
        <w:rPr>
          <w:sz w:val="17"/>
          <w:szCs w:val="17"/>
        </w:rPr>
        <w:t>The proposed approach focuses on two objectives:</w:t>
      </w:r>
    </w:p>
    <w:p w14:paraId="7470798B" w14:textId="77777777" w:rsidR="003C79A2" w:rsidRPr="00632DCB" w:rsidRDefault="003C79A2" w:rsidP="00E37709">
      <w:pPr>
        <w:pStyle w:val="Odsekzoznamu"/>
        <w:numPr>
          <w:ilvl w:val="0"/>
          <w:numId w:val="6"/>
        </w:numPr>
        <w:spacing w:before="120" w:after="160" w:line="259" w:lineRule="auto"/>
        <w:rPr>
          <w:sz w:val="17"/>
          <w:szCs w:val="17"/>
        </w:rPr>
      </w:pPr>
      <w:r w:rsidRPr="00632DCB">
        <w:rPr>
          <w:sz w:val="17"/>
          <w:szCs w:val="17"/>
        </w:rPr>
        <w:t>(1) the insurance company proves its commitment to hold the long-term equity investments for five years or more; and</w:t>
      </w:r>
    </w:p>
    <w:p w14:paraId="19F3BDB6" w14:textId="77777777" w:rsidR="003C79A2" w:rsidRPr="00632DCB" w:rsidRDefault="003C79A2" w:rsidP="00E37709">
      <w:pPr>
        <w:pStyle w:val="Odsekzoznamu"/>
        <w:numPr>
          <w:ilvl w:val="0"/>
          <w:numId w:val="6"/>
        </w:numPr>
        <w:spacing w:before="120" w:after="160" w:line="259" w:lineRule="auto"/>
        <w:rPr>
          <w:sz w:val="17"/>
          <w:szCs w:val="17"/>
        </w:rPr>
      </w:pPr>
      <w:r w:rsidRPr="00632DCB">
        <w:rPr>
          <w:sz w:val="17"/>
          <w:szCs w:val="17"/>
        </w:rPr>
        <w:t>(2) the insurance company proves its ability to hold the long-term equity investments for five years or more by avoiding a forced selling.</w:t>
      </w:r>
    </w:p>
    <w:p w14:paraId="41B4C2C8" w14:textId="77777777" w:rsidR="003C79A2" w:rsidRPr="00632DCB" w:rsidRDefault="003C79A2" w:rsidP="00E37709">
      <w:pPr>
        <w:pStyle w:val="Nadpis3"/>
        <w:numPr>
          <w:ilvl w:val="0"/>
          <w:numId w:val="9"/>
        </w:numPr>
        <w:rPr>
          <w:rFonts w:ascii="Verdana" w:hAnsi="Verdana"/>
          <w:sz w:val="17"/>
          <w:szCs w:val="17"/>
          <w:lang w:val="en-GB"/>
        </w:rPr>
      </w:pPr>
      <w:r w:rsidRPr="00632DCB">
        <w:rPr>
          <w:rFonts w:ascii="Verdana" w:hAnsi="Verdana"/>
          <w:sz w:val="17"/>
          <w:szCs w:val="17"/>
          <w:lang w:val="en-GB"/>
        </w:rPr>
        <w:t>Commitment to hold</w:t>
      </w:r>
    </w:p>
    <w:p w14:paraId="4EA14D8B" w14:textId="77777777" w:rsidR="003C79A2" w:rsidRDefault="003C79A2" w:rsidP="003C79A2">
      <w:pPr>
        <w:pStyle w:val="Nadpis3"/>
        <w:rPr>
          <w:rFonts w:ascii="Verdana" w:eastAsia="Times New Roman" w:hAnsi="Verdana" w:cs="Times New Roman"/>
          <w:b w:val="0"/>
          <w:bCs w:val="0"/>
          <w:color w:val="auto"/>
          <w:sz w:val="17"/>
          <w:szCs w:val="17"/>
          <w:lang w:val="en-GB" w:eastAsia="en-US"/>
        </w:rPr>
      </w:pPr>
      <w:r w:rsidRPr="00B07E69">
        <w:rPr>
          <w:rFonts w:ascii="Verdana" w:eastAsia="Times New Roman" w:hAnsi="Verdana" w:cs="Times New Roman"/>
          <w:b w:val="0"/>
          <w:bCs w:val="0"/>
          <w:color w:val="auto"/>
          <w:sz w:val="17"/>
          <w:szCs w:val="17"/>
          <w:lang w:val="en-GB" w:eastAsia="en-US"/>
        </w:rPr>
        <w:t>Companies include long-term equity in their investment policy, reflected in asset-liability management and approved by the board. Risk management and the executive committee monitor the commitment through QRTs, ALM reporting, liquidity reporting, and ORSA.</w:t>
      </w:r>
    </w:p>
    <w:p w14:paraId="1D28B400" w14:textId="77777777" w:rsidR="003C79A2" w:rsidRPr="00632DCB" w:rsidRDefault="003C79A2" w:rsidP="00E37709">
      <w:pPr>
        <w:pStyle w:val="Nadpis3"/>
        <w:numPr>
          <w:ilvl w:val="0"/>
          <w:numId w:val="9"/>
        </w:numPr>
        <w:rPr>
          <w:rFonts w:ascii="Verdana" w:hAnsi="Verdana"/>
          <w:sz w:val="17"/>
          <w:szCs w:val="17"/>
          <w:lang w:val="en-GB"/>
        </w:rPr>
      </w:pPr>
      <w:r w:rsidRPr="00632DCB">
        <w:rPr>
          <w:rFonts w:ascii="Verdana" w:hAnsi="Verdana"/>
          <w:sz w:val="17"/>
          <w:szCs w:val="17"/>
          <w:lang w:val="en-GB"/>
        </w:rPr>
        <w:t>Ability to hold</w:t>
      </w:r>
    </w:p>
    <w:p w14:paraId="3D8E2A0F" w14:textId="77777777" w:rsidR="003C79A2" w:rsidRPr="00E9283C" w:rsidRDefault="003C79A2" w:rsidP="003C79A2">
      <w:pPr>
        <w:rPr>
          <w:sz w:val="17"/>
          <w:szCs w:val="17"/>
        </w:rPr>
      </w:pPr>
      <w:r w:rsidRPr="00E9283C">
        <w:rPr>
          <w:b/>
          <w:bCs/>
          <w:sz w:val="17"/>
          <w:szCs w:val="17"/>
        </w:rPr>
        <w:t>Avoiding Forced Sales in ORSA</w:t>
      </w:r>
      <w:r w:rsidRPr="00E9283C">
        <w:rPr>
          <w:sz w:val="17"/>
          <w:szCs w:val="17"/>
        </w:rPr>
        <w:t xml:space="preserve"> Insurers must demonstrate their ability to avoid forced sales</w:t>
      </w:r>
      <w:r w:rsidRPr="00632DCB">
        <w:rPr>
          <w:sz w:val="17"/>
          <w:szCs w:val="17"/>
        </w:rPr>
        <w:t xml:space="preserve"> over a 5-year period (currently 10)</w:t>
      </w:r>
      <w:r w:rsidRPr="00E9283C">
        <w:rPr>
          <w:sz w:val="17"/>
          <w:szCs w:val="17"/>
        </w:rPr>
        <w:t xml:space="preserve"> of long-term equity portfolios as part of their ORSA. This ability must be shown in both going concern and stressed conditions. The delegated regulation should remain simple and practical.</w:t>
      </w:r>
    </w:p>
    <w:p w14:paraId="11F054EC" w14:textId="77777777" w:rsidR="003C79A2" w:rsidRPr="00632DCB" w:rsidRDefault="003C79A2" w:rsidP="003C79A2">
      <w:pPr>
        <w:rPr>
          <w:sz w:val="17"/>
          <w:szCs w:val="17"/>
        </w:rPr>
      </w:pPr>
    </w:p>
    <w:p w14:paraId="4BF6A28C" w14:textId="77777777" w:rsidR="003C79A2" w:rsidRPr="004F5A14" w:rsidRDefault="003C79A2" w:rsidP="003C79A2">
      <w:pPr>
        <w:rPr>
          <w:sz w:val="17"/>
          <w:szCs w:val="17"/>
        </w:rPr>
      </w:pPr>
      <w:r w:rsidRPr="004F5A14">
        <w:rPr>
          <w:b/>
          <w:bCs/>
          <w:sz w:val="17"/>
          <w:szCs w:val="17"/>
        </w:rPr>
        <w:t>Liquidity Test in ORSA</w:t>
      </w:r>
      <w:r w:rsidRPr="004F5A14">
        <w:rPr>
          <w:sz w:val="17"/>
          <w:szCs w:val="17"/>
        </w:rPr>
        <w:t xml:space="preserve"> A liquidity test within the ORSA is proposed to demonstrate this ability, an approach accepted by supervisors. The amended directive also references ORSA for long-term equity review. This test, conducted annually, aligns with ORSA requirements and allows for a pragmatic approach, using either internal liquidity calculations or existing Pillar II calculations.</w:t>
      </w:r>
    </w:p>
    <w:p w14:paraId="4FC6B345" w14:textId="77777777" w:rsidR="003C79A2" w:rsidRPr="00632DCB" w:rsidRDefault="003C79A2" w:rsidP="003C79A2">
      <w:pPr>
        <w:rPr>
          <w:sz w:val="17"/>
          <w:szCs w:val="17"/>
        </w:rPr>
      </w:pPr>
    </w:p>
    <w:p w14:paraId="14D832D0" w14:textId="77777777" w:rsidR="003C79A2" w:rsidRPr="00B26842" w:rsidRDefault="003C79A2" w:rsidP="003C79A2">
      <w:pPr>
        <w:rPr>
          <w:sz w:val="17"/>
          <w:szCs w:val="17"/>
        </w:rPr>
      </w:pPr>
      <w:r w:rsidRPr="00B26842">
        <w:rPr>
          <w:b/>
          <w:bCs/>
          <w:sz w:val="17"/>
          <w:szCs w:val="17"/>
        </w:rPr>
        <w:t>Calibration of the Liquidity Test</w:t>
      </w:r>
      <w:r w:rsidRPr="00B26842">
        <w:rPr>
          <w:sz w:val="17"/>
          <w:szCs w:val="17"/>
        </w:rPr>
        <w:t xml:space="preserve"> The directive mandates a five-year avoidance of forced sales but </w:t>
      </w:r>
      <w:r w:rsidRPr="00632DCB">
        <w:rPr>
          <w:sz w:val="17"/>
          <w:szCs w:val="17"/>
        </w:rPr>
        <w:t>does not provide</w:t>
      </w:r>
      <w:r w:rsidRPr="00B26842">
        <w:rPr>
          <w:sz w:val="17"/>
          <w:szCs w:val="17"/>
        </w:rPr>
        <w:t xml:space="preserve"> further specification. Legislators </w:t>
      </w:r>
      <w:r w:rsidRPr="00632DCB">
        <w:rPr>
          <w:sz w:val="17"/>
          <w:szCs w:val="17"/>
        </w:rPr>
        <w:t>c</w:t>
      </w:r>
      <w:r w:rsidRPr="00B26842">
        <w:rPr>
          <w:sz w:val="17"/>
          <w:szCs w:val="17"/>
        </w:rPr>
        <w:t>ould define a value at risk (</w:t>
      </w:r>
      <w:proofErr w:type="spellStart"/>
      <w:r w:rsidRPr="00B26842">
        <w:rPr>
          <w:sz w:val="17"/>
          <w:szCs w:val="17"/>
        </w:rPr>
        <w:t>VaR</w:t>
      </w:r>
      <w:proofErr w:type="spellEnd"/>
      <w:r w:rsidRPr="00B26842">
        <w:rPr>
          <w:sz w:val="17"/>
          <w:szCs w:val="17"/>
        </w:rPr>
        <w:t>), e.g., 1 in 50 years, triggering specific liquidity shocks. Two options are suggested:</w:t>
      </w:r>
    </w:p>
    <w:p w14:paraId="452219BF" w14:textId="77777777" w:rsidR="003C79A2" w:rsidRPr="00B26842" w:rsidRDefault="003C79A2" w:rsidP="00E37709">
      <w:pPr>
        <w:numPr>
          <w:ilvl w:val="0"/>
          <w:numId w:val="7"/>
        </w:numPr>
        <w:rPr>
          <w:sz w:val="17"/>
          <w:szCs w:val="17"/>
        </w:rPr>
      </w:pPr>
      <w:r w:rsidRPr="00B26842">
        <w:rPr>
          <w:b/>
          <w:bCs/>
          <w:sz w:val="17"/>
          <w:szCs w:val="17"/>
        </w:rPr>
        <w:t>Option A:</w:t>
      </w:r>
      <w:r w:rsidRPr="00B26842">
        <w:rPr>
          <w:sz w:val="17"/>
          <w:szCs w:val="17"/>
        </w:rPr>
        <w:t xml:space="preserve"> In-house liquidity test, calibrated on the agreed </w:t>
      </w:r>
      <w:proofErr w:type="spellStart"/>
      <w:r w:rsidRPr="00B26842">
        <w:rPr>
          <w:sz w:val="17"/>
          <w:szCs w:val="17"/>
        </w:rPr>
        <w:t>VaR</w:t>
      </w:r>
      <w:proofErr w:type="spellEnd"/>
      <w:r w:rsidRPr="00B26842">
        <w:rPr>
          <w:sz w:val="17"/>
          <w:szCs w:val="17"/>
        </w:rPr>
        <w:t xml:space="preserve"> and reviewed annually by supervisors.</w:t>
      </w:r>
    </w:p>
    <w:p w14:paraId="48429977" w14:textId="77777777" w:rsidR="003C79A2" w:rsidRPr="00B26842" w:rsidRDefault="003C79A2" w:rsidP="00E37709">
      <w:pPr>
        <w:numPr>
          <w:ilvl w:val="0"/>
          <w:numId w:val="7"/>
        </w:numPr>
        <w:rPr>
          <w:sz w:val="17"/>
          <w:szCs w:val="17"/>
        </w:rPr>
      </w:pPr>
      <w:r w:rsidRPr="00B26842">
        <w:rPr>
          <w:b/>
          <w:bCs/>
          <w:sz w:val="17"/>
          <w:szCs w:val="17"/>
        </w:rPr>
        <w:t>Option B:</w:t>
      </w:r>
      <w:r w:rsidRPr="00B26842">
        <w:rPr>
          <w:sz w:val="17"/>
          <w:szCs w:val="17"/>
        </w:rPr>
        <w:t xml:space="preserve"> Liquidity test based on the SCR </w:t>
      </w:r>
      <w:proofErr w:type="spellStart"/>
      <w:r w:rsidRPr="00B26842">
        <w:rPr>
          <w:sz w:val="17"/>
          <w:szCs w:val="17"/>
        </w:rPr>
        <w:t>VaR</w:t>
      </w:r>
      <w:proofErr w:type="spellEnd"/>
      <w:r w:rsidRPr="00B26842">
        <w:rPr>
          <w:sz w:val="17"/>
          <w:szCs w:val="17"/>
        </w:rPr>
        <w:t xml:space="preserve"> of 1 in 200 years, leveraging Solvency II cash-flow calculations to demonstrate resilience under extreme conditions.</w:t>
      </w:r>
      <w:r w:rsidRPr="00632DCB">
        <w:rPr>
          <w:sz w:val="17"/>
          <w:szCs w:val="17"/>
        </w:rPr>
        <w:t xml:space="preserve"> To encourage investment in long-term equity, legislators could reduce the SCR shocks e.g., by 80% </w:t>
      </w:r>
    </w:p>
    <w:p w14:paraId="3E064558" w14:textId="77777777" w:rsidR="003C79A2" w:rsidRPr="00632DCB" w:rsidRDefault="003C79A2" w:rsidP="003C79A2">
      <w:pPr>
        <w:rPr>
          <w:sz w:val="17"/>
          <w:szCs w:val="17"/>
        </w:rPr>
      </w:pPr>
    </w:p>
    <w:p w14:paraId="119F1604" w14:textId="77777777" w:rsidR="003C79A2" w:rsidRPr="00632DCB" w:rsidRDefault="003C79A2" w:rsidP="003C79A2">
      <w:pPr>
        <w:rPr>
          <w:b/>
          <w:bCs/>
          <w:sz w:val="17"/>
          <w:szCs w:val="17"/>
        </w:rPr>
      </w:pPr>
      <w:r w:rsidRPr="00632DCB">
        <w:rPr>
          <w:b/>
          <w:bCs/>
          <w:sz w:val="17"/>
          <w:szCs w:val="17"/>
        </w:rPr>
        <w:t>Specific considerations:</w:t>
      </w:r>
    </w:p>
    <w:p w14:paraId="1F1C5126" w14:textId="77777777" w:rsidR="003C79A2" w:rsidRPr="00632DCB" w:rsidRDefault="003C79A2" w:rsidP="00E37709">
      <w:pPr>
        <w:pStyle w:val="Odsekzoznamu"/>
        <w:numPr>
          <w:ilvl w:val="0"/>
          <w:numId w:val="8"/>
        </w:numPr>
        <w:rPr>
          <w:sz w:val="17"/>
          <w:szCs w:val="17"/>
        </w:rPr>
      </w:pPr>
      <w:r w:rsidRPr="00632DCB">
        <w:rPr>
          <w:sz w:val="17"/>
          <w:szCs w:val="17"/>
        </w:rPr>
        <w:t xml:space="preserve">The </w:t>
      </w:r>
      <w:r w:rsidRPr="00632DCB">
        <w:rPr>
          <w:b/>
          <w:bCs/>
          <w:sz w:val="17"/>
          <w:szCs w:val="17"/>
        </w:rPr>
        <w:t>mass-lapse shock</w:t>
      </w:r>
      <w:r w:rsidRPr="00632DCB">
        <w:rPr>
          <w:sz w:val="17"/>
          <w:szCs w:val="17"/>
        </w:rPr>
        <w:t xml:space="preserve"> should be excluded as it is unrealistically high and would distort the perceived ability to avoid forced sales. Precedents exist, such as the EIOPA stress test, where mass-lapse shocks were reduced.</w:t>
      </w:r>
    </w:p>
    <w:p w14:paraId="1C61F367" w14:textId="77777777" w:rsidR="003C79A2" w:rsidRDefault="003C79A2" w:rsidP="00E37709">
      <w:pPr>
        <w:pStyle w:val="Odsekzoznamu"/>
        <w:numPr>
          <w:ilvl w:val="0"/>
          <w:numId w:val="8"/>
        </w:numPr>
        <w:rPr>
          <w:sz w:val="17"/>
          <w:szCs w:val="17"/>
        </w:rPr>
      </w:pPr>
      <w:r w:rsidRPr="00632DCB">
        <w:rPr>
          <w:sz w:val="17"/>
          <w:szCs w:val="17"/>
        </w:rPr>
        <w:t>In terms of frequency, the liquidity test should be conducted annually within the ORSA. If a special ORSA is required due to significant risk profile changes, the need for a new liquidity test should be assessed.</w:t>
      </w:r>
    </w:p>
    <w:p w14:paraId="6CAC7B0B" w14:textId="74C36CAA" w:rsidR="005760B5" w:rsidRPr="00331C27" w:rsidRDefault="003C79A2" w:rsidP="003C79A2">
      <w:pPr>
        <w:autoSpaceDE w:val="0"/>
        <w:autoSpaceDN w:val="0"/>
        <w:adjustRightInd w:val="0"/>
        <w:rPr>
          <w:b/>
          <w:color w:val="002957"/>
          <w:sz w:val="17"/>
          <w:szCs w:val="17"/>
        </w:rPr>
      </w:pPr>
      <w:r>
        <w:rPr>
          <w:sz w:val="17"/>
          <w:szCs w:val="17"/>
        </w:rPr>
        <w:br w:type="page"/>
      </w:r>
    </w:p>
    <w:p w14:paraId="7F55E396" w14:textId="77777777" w:rsidR="006C15E0" w:rsidRDefault="006C15E0" w:rsidP="005E0899">
      <w:pPr>
        <w:autoSpaceDE w:val="0"/>
        <w:autoSpaceDN w:val="0"/>
        <w:adjustRightInd w:val="0"/>
        <w:rPr>
          <w:bCs/>
          <w:color w:val="002957"/>
          <w:sz w:val="17"/>
          <w:szCs w:val="17"/>
        </w:rPr>
      </w:pPr>
    </w:p>
    <w:p w14:paraId="7003C152" w14:textId="77777777" w:rsidR="006265F7" w:rsidRPr="006265F7" w:rsidRDefault="006265F7" w:rsidP="006265F7">
      <w:pPr>
        <w:autoSpaceDE w:val="0"/>
        <w:autoSpaceDN w:val="0"/>
        <w:adjustRightInd w:val="0"/>
        <w:rPr>
          <w:bCs/>
          <w:color w:val="002957"/>
          <w:sz w:val="17"/>
          <w:szCs w:val="17"/>
        </w:rPr>
      </w:pPr>
    </w:p>
    <w:p w14:paraId="2A341067" w14:textId="6CA11384" w:rsidR="0062698C" w:rsidRPr="008A622F" w:rsidRDefault="0062698C" w:rsidP="0062698C">
      <w:pPr>
        <w:autoSpaceDE w:val="0"/>
        <w:autoSpaceDN w:val="0"/>
        <w:adjustRightInd w:val="0"/>
        <w:rPr>
          <w:b/>
          <w:color w:val="002957"/>
          <w:sz w:val="17"/>
          <w:szCs w:val="17"/>
        </w:rPr>
      </w:pPr>
      <w:bookmarkStart w:id="3" w:name="bkmStart"/>
      <w:bookmarkEnd w:id="3"/>
      <w:r w:rsidRPr="008A622F">
        <w:rPr>
          <w:b/>
          <w:color w:val="002957"/>
          <w:sz w:val="22"/>
          <w:szCs w:val="22"/>
          <w:u w:val="single"/>
        </w:rPr>
        <w:t xml:space="preserve">Annex </w:t>
      </w:r>
      <w:r w:rsidR="008A622F">
        <w:rPr>
          <w:b/>
          <w:color w:val="002957"/>
          <w:sz w:val="22"/>
          <w:szCs w:val="22"/>
          <w:u w:val="single"/>
        </w:rPr>
        <w:t>II</w:t>
      </w:r>
      <w:r w:rsidR="008A622F" w:rsidRPr="008A622F">
        <w:rPr>
          <w:b/>
          <w:color w:val="002957"/>
          <w:sz w:val="22"/>
          <w:szCs w:val="22"/>
          <w:u w:val="single"/>
        </w:rPr>
        <w:t xml:space="preserve"> </w:t>
      </w:r>
      <w:r w:rsidRPr="008A622F">
        <w:rPr>
          <w:b/>
          <w:color w:val="002957"/>
          <w:sz w:val="22"/>
          <w:szCs w:val="22"/>
          <w:u w:val="single"/>
        </w:rPr>
        <w:t>– Article 105a</w:t>
      </w:r>
    </w:p>
    <w:p w14:paraId="2A66142A" w14:textId="77777777" w:rsidR="0062698C" w:rsidRPr="008A622F" w:rsidRDefault="0062698C" w:rsidP="0062698C">
      <w:pPr>
        <w:autoSpaceDE w:val="0"/>
        <w:autoSpaceDN w:val="0"/>
        <w:adjustRightInd w:val="0"/>
        <w:rPr>
          <w:b/>
          <w:color w:val="002957"/>
          <w:sz w:val="17"/>
          <w:szCs w:val="17"/>
        </w:rPr>
      </w:pPr>
    </w:p>
    <w:p w14:paraId="29205372" w14:textId="77777777" w:rsidR="0062698C" w:rsidRPr="006C15E0" w:rsidRDefault="0062698C" w:rsidP="0062698C">
      <w:pPr>
        <w:autoSpaceDE w:val="0"/>
        <w:autoSpaceDN w:val="0"/>
        <w:adjustRightInd w:val="0"/>
        <w:rPr>
          <w:b/>
          <w:sz w:val="17"/>
          <w:szCs w:val="17"/>
        </w:rPr>
      </w:pPr>
      <w:r w:rsidRPr="006C15E0">
        <w:rPr>
          <w:b/>
          <w:sz w:val="17"/>
          <w:szCs w:val="17"/>
        </w:rPr>
        <w:t xml:space="preserve">‘Article 105a Long-term equity investments </w:t>
      </w:r>
    </w:p>
    <w:p w14:paraId="582DFB21" w14:textId="77777777" w:rsidR="0062698C" w:rsidRPr="006C15E0" w:rsidRDefault="0062698C" w:rsidP="0062698C">
      <w:pPr>
        <w:autoSpaceDE w:val="0"/>
        <w:autoSpaceDN w:val="0"/>
        <w:adjustRightInd w:val="0"/>
        <w:rPr>
          <w:bCs/>
          <w:sz w:val="17"/>
          <w:szCs w:val="17"/>
        </w:rPr>
      </w:pPr>
      <w:r w:rsidRPr="006C15E0">
        <w:rPr>
          <w:bCs/>
          <w:sz w:val="17"/>
          <w:szCs w:val="17"/>
        </w:rPr>
        <w:t xml:space="preserve">1. By way of derogation from Article 101(3), and as part of the equity risk sub-module referred to in Article 105(5), second subparagraph, point (b), Member States shall allow insurance and reinsurance undertakings which comply with the conditions laid down in the second subparagraph of this paragraph, to apply to a specific subset of equity investments held with a long-term perspective a capital requirement in accordance with paragraph 4 of this Article. </w:t>
      </w:r>
    </w:p>
    <w:p w14:paraId="7707FC19" w14:textId="77777777" w:rsidR="0062698C" w:rsidRPr="006C15E0" w:rsidRDefault="0062698C" w:rsidP="0062698C">
      <w:pPr>
        <w:autoSpaceDE w:val="0"/>
        <w:autoSpaceDN w:val="0"/>
        <w:adjustRightInd w:val="0"/>
        <w:rPr>
          <w:bCs/>
          <w:sz w:val="17"/>
          <w:szCs w:val="17"/>
        </w:rPr>
      </w:pPr>
    </w:p>
    <w:p w14:paraId="085F467E" w14:textId="77777777" w:rsidR="0062698C" w:rsidRPr="006C15E0" w:rsidRDefault="0062698C" w:rsidP="0062698C">
      <w:pPr>
        <w:autoSpaceDE w:val="0"/>
        <w:autoSpaceDN w:val="0"/>
        <w:adjustRightInd w:val="0"/>
        <w:rPr>
          <w:bCs/>
          <w:sz w:val="17"/>
          <w:szCs w:val="17"/>
        </w:rPr>
      </w:pPr>
      <w:r w:rsidRPr="006C15E0">
        <w:rPr>
          <w:bCs/>
          <w:sz w:val="17"/>
          <w:szCs w:val="17"/>
        </w:rPr>
        <w:t>For the purposes of the first subparagraph, a sub-set of equity investments may be treated as long-term equity investments if the insurance or reinsurance undertaking demonstrates, to the satisfaction of the supervisory authority, that all of the following conditions are met:</w:t>
      </w:r>
    </w:p>
    <w:p w14:paraId="4A20098B" w14:textId="77777777" w:rsidR="0062698C" w:rsidRPr="006C15E0" w:rsidRDefault="0062698C" w:rsidP="0062698C">
      <w:pPr>
        <w:autoSpaceDE w:val="0"/>
        <w:autoSpaceDN w:val="0"/>
        <w:adjustRightInd w:val="0"/>
        <w:rPr>
          <w:bCs/>
          <w:sz w:val="17"/>
          <w:szCs w:val="17"/>
        </w:rPr>
      </w:pPr>
    </w:p>
    <w:p w14:paraId="4A1AF50F" w14:textId="77777777" w:rsidR="0062698C" w:rsidRPr="006C15E0" w:rsidRDefault="0062698C" w:rsidP="00E37709">
      <w:pPr>
        <w:pStyle w:val="Odsekzoznamu"/>
        <w:numPr>
          <w:ilvl w:val="0"/>
          <w:numId w:val="5"/>
        </w:numPr>
        <w:autoSpaceDE w:val="0"/>
        <w:autoSpaceDN w:val="0"/>
        <w:adjustRightInd w:val="0"/>
        <w:rPr>
          <w:bCs/>
          <w:sz w:val="17"/>
          <w:szCs w:val="17"/>
        </w:rPr>
      </w:pPr>
      <w:r w:rsidRPr="006C15E0">
        <w:rPr>
          <w:bCs/>
          <w:sz w:val="17"/>
          <w:szCs w:val="17"/>
        </w:rPr>
        <w:t>the sub-set of equity investments is clearly identified and managed separately from the other activities of the undertaking;</w:t>
      </w:r>
    </w:p>
    <w:p w14:paraId="073818F1" w14:textId="77777777" w:rsidR="0062698C" w:rsidRPr="006C15E0" w:rsidRDefault="0062698C" w:rsidP="00E37709">
      <w:pPr>
        <w:pStyle w:val="Odsekzoznamu"/>
        <w:numPr>
          <w:ilvl w:val="0"/>
          <w:numId w:val="5"/>
        </w:numPr>
        <w:autoSpaceDE w:val="0"/>
        <w:autoSpaceDN w:val="0"/>
        <w:adjustRightInd w:val="0"/>
        <w:rPr>
          <w:bCs/>
          <w:sz w:val="17"/>
          <w:szCs w:val="17"/>
        </w:rPr>
      </w:pPr>
      <w:r w:rsidRPr="006C15E0">
        <w:rPr>
          <w:bCs/>
          <w:sz w:val="17"/>
          <w:szCs w:val="17"/>
        </w:rPr>
        <w:t>a policy for long-term investment management is set up for each long-term equity portfolio and reflects the undertaking’s commitment to hold the overall exposure to equity in the sub-set of equity investment for a period that exceeds five years on average. The administrative, management or supervisory body of the undertaking shall explicitly endorse the investment management policies and those policies are frequently reviewed against the actual management of the portfolios, and reported in the own-risk and solvency assessment of the undertaking referred to in Article 45;</w:t>
      </w:r>
    </w:p>
    <w:p w14:paraId="0E219CE3" w14:textId="77777777" w:rsidR="0062698C" w:rsidRPr="006C15E0" w:rsidRDefault="0062698C" w:rsidP="00E37709">
      <w:pPr>
        <w:pStyle w:val="Odsekzoznamu"/>
        <w:numPr>
          <w:ilvl w:val="0"/>
          <w:numId w:val="5"/>
        </w:numPr>
        <w:autoSpaceDE w:val="0"/>
        <w:autoSpaceDN w:val="0"/>
        <w:adjustRightInd w:val="0"/>
        <w:rPr>
          <w:bCs/>
          <w:sz w:val="17"/>
          <w:szCs w:val="17"/>
        </w:rPr>
      </w:pPr>
      <w:r w:rsidRPr="006C15E0">
        <w:rPr>
          <w:bCs/>
          <w:sz w:val="17"/>
          <w:szCs w:val="17"/>
        </w:rPr>
        <w:t>the sub-set of equity investments consists only of equities that are listed in countries that are member of the EEA or of the Organisation for Economic Co-operation and Development (OECD) or of unlisted equities of companies that have their head offices in countries that are member of the EEA or of the OECD;</w:t>
      </w:r>
    </w:p>
    <w:p w14:paraId="3A8C60F2" w14:textId="77777777" w:rsidR="0062698C" w:rsidRPr="006C15E0" w:rsidRDefault="0062698C" w:rsidP="00E37709">
      <w:pPr>
        <w:pStyle w:val="Odsekzoznamu"/>
        <w:numPr>
          <w:ilvl w:val="0"/>
          <w:numId w:val="5"/>
        </w:numPr>
        <w:autoSpaceDE w:val="0"/>
        <w:autoSpaceDN w:val="0"/>
        <w:adjustRightInd w:val="0"/>
        <w:rPr>
          <w:bCs/>
          <w:sz w:val="17"/>
          <w:szCs w:val="17"/>
        </w:rPr>
      </w:pPr>
      <w:r w:rsidRPr="006C15E0">
        <w:rPr>
          <w:bCs/>
          <w:sz w:val="17"/>
          <w:szCs w:val="17"/>
        </w:rPr>
        <w:t>on an ongoing basis and under stressed conditions, the insurance or reinsurance undertaking is able to avoid forced selling of equity investments within the sub-set for five years;</w:t>
      </w:r>
    </w:p>
    <w:p w14:paraId="366FEB66" w14:textId="77777777" w:rsidR="0062698C" w:rsidRPr="006C15E0" w:rsidRDefault="0062698C" w:rsidP="00E37709">
      <w:pPr>
        <w:pStyle w:val="Odsekzoznamu"/>
        <w:numPr>
          <w:ilvl w:val="0"/>
          <w:numId w:val="5"/>
        </w:numPr>
        <w:autoSpaceDE w:val="0"/>
        <w:autoSpaceDN w:val="0"/>
        <w:adjustRightInd w:val="0"/>
        <w:rPr>
          <w:bCs/>
          <w:sz w:val="17"/>
          <w:szCs w:val="17"/>
        </w:rPr>
      </w:pPr>
      <w:r w:rsidRPr="006C15E0">
        <w:rPr>
          <w:bCs/>
          <w:sz w:val="17"/>
          <w:szCs w:val="17"/>
        </w:rPr>
        <w:t>the risk management, asset-liability management and investment policies of the insurance or reinsurance undertaking reflect the undertaking’s intention to hold the sub-set of equity investments for a period that is compatible with the requirement laid down in point (b) and the undertaking’s ability to meet the requirement laid down in point (d);</w:t>
      </w:r>
    </w:p>
    <w:p w14:paraId="7EA66677" w14:textId="77777777" w:rsidR="0062698C" w:rsidRPr="006C15E0" w:rsidRDefault="0062698C" w:rsidP="00E37709">
      <w:pPr>
        <w:pStyle w:val="Odsekzoznamu"/>
        <w:numPr>
          <w:ilvl w:val="0"/>
          <w:numId w:val="5"/>
        </w:numPr>
        <w:autoSpaceDE w:val="0"/>
        <w:autoSpaceDN w:val="0"/>
        <w:adjustRightInd w:val="0"/>
        <w:rPr>
          <w:bCs/>
          <w:sz w:val="17"/>
          <w:szCs w:val="17"/>
        </w:rPr>
      </w:pPr>
      <w:r w:rsidRPr="006C15E0">
        <w:rPr>
          <w:bCs/>
          <w:sz w:val="17"/>
          <w:szCs w:val="17"/>
        </w:rPr>
        <w:t>the sub-set of equity investments is appropriately diversified in such a way as to avoid excessive reliance on any particular issuer or group of undertakings and excessive accumulation of risk in the portfolio of long-term equity investments as a whole with the same risk profile;</w:t>
      </w:r>
    </w:p>
    <w:p w14:paraId="50B5EF32" w14:textId="77777777" w:rsidR="0062698C" w:rsidRPr="006C15E0" w:rsidRDefault="0062698C" w:rsidP="00E37709">
      <w:pPr>
        <w:pStyle w:val="Odsekzoznamu"/>
        <w:numPr>
          <w:ilvl w:val="0"/>
          <w:numId w:val="5"/>
        </w:numPr>
        <w:autoSpaceDE w:val="0"/>
        <w:autoSpaceDN w:val="0"/>
        <w:adjustRightInd w:val="0"/>
        <w:rPr>
          <w:bCs/>
          <w:sz w:val="17"/>
          <w:szCs w:val="17"/>
        </w:rPr>
      </w:pPr>
      <w:r w:rsidRPr="006C15E0">
        <w:rPr>
          <w:bCs/>
          <w:sz w:val="17"/>
          <w:szCs w:val="17"/>
        </w:rPr>
        <w:t>the sub-set of equity investments does not include participations.</w:t>
      </w:r>
    </w:p>
    <w:p w14:paraId="6EA636B0" w14:textId="77777777" w:rsidR="0062698C" w:rsidRPr="006C15E0" w:rsidRDefault="0062698C" w:rsidP="0062698C">
      <w:pPr>
        <w:autoSpaceDE w:val="0"/>
        <w:autoSpaceDN w:val="0"/>
        <w:adjustRightInd w:val="0"/>
        <w:rPr>
          <w:bCs/>
          <w:sz w:val="17"/>
          <w:szCs w:val="17"/>
        </w:rPr>
      </w:pPr>
    </w:p>
    <w:p w14:paraId="798D02DB" w14:textId="77777777" w:rsidR="0062698C" w:rsidRPr="006C15E0" w:rsidRDefault="0062698C" w:rsidP="0062698C">
      <w:pPr>
        <w:autoSpaceDE w:val="0"/>
        <w:autoSpaceDN w:val="0"/>
        <w:adjustRightInd w:val="0"/>
        <w:rPr>
          <w:bCs/>
          <w:sz w:val="17"/>
          <w:szCs w:val="17"/>
        </w:rPr>
      </w:pPr>
      <w:r w:rsidRPr="006C15E0">
        <w:rPr>
          <w:bCs/>
          <w:sz w:val="17"/>
          <w:szCs w:val="17"/>
        </w:rPr>
        <w:t>2. Where equities are held within European long-term investment funds or within certain types of collective investment undertaking, including alternative investment funds, which are identified in the delegated acts adopted pursuant to this Directive as having a lower risk profile, the conditions laid down in paragraph 1 may be assessed at the level of the funds and not of the underlying assets held within those funds.</w:t>
      </w:r>
    </w:p>
    <w:p w14:paraId="31B394C1" w14:textId="77777777" w:rsidR="0062698C" w:rsidRPr="006C15E0" w:rsidRDefault="0062698C" w:rsidP="0062698C">
      <w:pPr>
        <w:autoSpaceDE w:val="0"/>
        <w:autoSpaceDN w:val="0"/>
        <w:adjustRightInd w:val="0"/>
        <w:rPr>
          <w:bCs/>
          <w:sz w:val="17"/>
          <w:szCs w:val="17"/>
        </w:rPr>
      </w:pPr>
    </w:p>
    <w:p w14:paraId="515E7A11" w14:textId="77777777" w:rsidR="0062698C" w:rsidRPr="006C15E0" w:rsidRDefault="0062698C" w:rsidP="0062698C">
      <w:pPr>
        <w:autoSpaceDE w:val="0"/>
        <w:autoSpaceDN w:val="0"/>
        <w:adjustRightInd w:val="0"/>
        <w:rPr>
          <w:bCs/>
          <w:sz w:val="17"/>
          <w:szCs w:val="17"/>
        </w:rPr>
      </w:pPr>
      <w:r w:rsidRPr="006C15E0">
        <w:rPr>
          <w:bCs/>
          <w:sz w:val="17"/>
          <w:szCs w:val="17"/>
        </w:rPr>
        <w:t xml:space="preserve">3. Insurance or reinsurance undertakings that treat a sub-set of equity investments as long-term equity investments in accordance with paragraph 1 shall not revert back to an approach that does not include long-term equity investments. </w:t>
      </w:r>
    </w:p>
    <w:p w14:paraId="307DC2BB" w14:textId="77777777" w:rsidR="0062698C" w:rsidRPr="006C15E0" w:rsidRDefault="0062698C" w:rsidP="0062698C">
      <w:pPr>
        <w:autoSpaceDE w:val="0"/>
        <w:autoSpaceDN w:val="0"/>
        <w:adjustRightInd w:val="0"/>
        <w:rPr>
          <w:bCs/>
          <w:sz w:val="17"/>
          <w:szCs w:val="17"/>
        </w:rPr>
      </w:pPr>
    </w:p>
    <w:p w14:paraId="63A450A1" w14:textId="77777777" w:rsidR="0062698C" w:rsidRPr="006C15E0" w:rsidRDefault="0062698C" w:rsidP="0062698C">
      <w:pPr>
        <w:autoSpaceDE w:val="0"/>
        <w:autoSpaceDN w:val="0"/>
        <w:adjustRightInd w:val="0"/>
        <w:rPr>
          <w:bCs/>
          <w:sz w:val="17"/>
          <w:szCs w:val="17"/>
        </w:rPr>
      </w:pPr>
      <w:r w:rsidRPr="006C15E0">
        <w:rPr>
          <w:bCs/>
          <w:sz w:val="17"/>
          <w:szCs w:val="17"/>
        </w:rPr>
        <w:t xml:space="preserve">Where an insurance or reinsurance undertaking that treats a sub-set of equity investments as long-term equity investments no longer complies with the conditions laid down in paragraph 1, it shall immediately inform the supervisory authority and take the necessary measures to restore compliance. </w:t>
      </w:r>
    </w:p>
    <w:p w14:paraId="31B62261" w14:textId="77777777" w:rsidR="0062698C" w:rsidRPr="006C15E0" w:rsidRDefault="0062698C" w:rsidP="0062698C">
      <w:pPr>
        <w:autoSpaceDE w:val="0"/>
        <w:autoSpaceDN w:val="0"/>
        <w:adjustRightInd w:val="0"/>
        <w:rPr>
          <w:bCs/>
          <w:sz w:val="17"/>
          <w:szCs w:val="17"/>
        </w:rPr>
      </w:pPr>
    </w:p>
    <w:p w14:paraId="3351C0AD" w14:textId="77777777" w:rsidR="0062698C" w:rsidRPr="006C15E0" w:rsidRDefault="0062698C" w:rsidP="0062698C">
      <w:pPr>
        <w:autoSpaceDE w:val="0"/>
        <w:autoSpaceDN w:val="0"/>
        <w:adjustRightInd w:val="0"/>
        <w:rPr>
          <w:bCs/>
          <w:sz w:val="17"/>
          <w:szCs w:val="17"/>
        </w:rPr>
      </w:pPr>
      <w:r w:rsidRPr="006C15E0">
        <w:rPr>
          <w:bCs/>
          <w:sz w:val="17"/>
          <w:szCs w:val="17"/>
        </w:rPr>
        <w:t xml:space="preserve">Within one month of the date of the first observation of non-compliance with the conditions laid down in paragraph 1, the insurance or reinsurance undertaking shall provide the supervisory authority with the necessary </w:t>
      </w:r>
      <w:r w:rsidRPr="006C15E0">
        <w:rPr>
          <w:bCs/>
          <w:sz w:val="17"/>
          <w:szCs w:val="17"/>
        </w:rPr>
        <w:lastRenderedPageBreak/>
        <w:t xml:space="preserve">information and the actions to be taken by the undertaking to achieve, within six months of the date of the first observation of non-compliance, the re-establishment of compliance with those conditions. </w:t>
      </w:r>
    </w:p>
    <w:p w14:paraId="625973BA" w14:textId="77777777" w:rsidR="0062698C" w:rsidRPr="006C15E0" w:rsidRDefault="0062698C" w:rsidP="0062698C">
      <w:pPr>
        <w:autoSpaceDE w:val="0"/>
        <w:autoSpaceDN w:val="0"/>
        <w:adjustRightInd w:val="0"/>
        <w:rPr>
          <w:bCs/>
          <w:sz w:val="17"/>
          <w:szCs w:val="17"/>
        </w:rPr>
      </w:pPr>
    </w:p>
    <w:p w14:paraId="1CB9A055" w14:textId="77777777" w:rsidR="0062698C" w:rsidRPr="006C15E0" w:rsidRDefault="0062698C" w:rsidP="0062698C">
      <w:pPr>
        <w:autoSpaceDE w:val="0"/>
        <w:autoSpaceDN w:val="0"/>
        <w:adjustRightInd w:val="0"/>
        <w:rPr>
          <w:bCs/>
          <w:sz w:val="17"/>
          <w:szCs w:val="17"/>
        </w:rPr>
      </w:pPr>
      <w:r w:rsidRPr="006C15E0">
        <w:rPr>
          <w:bCs/>
          <w:sz w:val="17"/>
          <w:szCs w:val="17"/>
        </w:rPr>
        <w:t>Where the undertaking is not able to restore compliance within six months of the date of the first observation of non-compliance, it shall cease to classify any equity investment as a long-term equity investment in accordance with this Article for a period of two and a half years, or as long as compliance with the conditions laid down in paragraph 1 is not restored, whichever period is longer.</w:t>
      </w:r>
    </w:p>
    <w:p w14:paraId="184896BA" w14:textId="77777777" w:rsidR="0062698C" w:rsidRPr="006C15E0" w:rsidRDefault="0062698C" w:rsidP="0062698C">
      <w:pPr>
        <w:autoSpaceDE w:val="0"/>
        <w:autoSpaceDN w:val="0"/>
        <w:adjustRightInd w:val="0"/>
        <w:rPr>
          <w:bCs/>
          <w:sz w:val="17"/>
          <w:szCs w:val="17"/>
        </w:rPr>
      </w:pPr>
    </w:p>
    <w:p w14:paraId="33CB19BD" w14:textId="77777777" w:rsidR="0062698C" w:rsidRPr="006C15E0" w:rsidRDefault="0062698C" w:rsidP="0062698C">
      <w:pPr>
        <w:autoSpaceDE w:val="0"/>
        <w:autoSpaceDN w:val="0"/>
        <w:adjustRightInd w:val="0"/>
        <w:rPr>
          <w:bCs/>
          <w:sz w:val="17"/>
          <w:szCs w:val="17"/>
        </w:rPr>
      </w:pPr>
      <w:r w:rsidRPr="006C15E0">
        <w:rPr>
          <w:bCs/>
          <w:sz w:val="17"/>
          <w:szCs w:val="17"/>
        </w:rPr>
        <w:t>4. The capital requirement for long-term equity investments shall be equal to the loss in the basic own funds that would result from an instantaneous decrease equal to 22 % in the value of investments that are treated as long-term equity</w:t>
      </w:r>
    </w:p>
    <w:p w14:paraId="11A73C08" w14:textId="77777777" w:rsidR="0062698C" w:rsidRPr="006C15E0" w:rsidRDefault="0062698C" w:rsidP="0062698C">
      <w:pPr>
        <w:autoSpaceDE w:val="0"/>
        <w:autoSpaceDN w:val="0"/>
        <w:adjustRightInd w:val="0"/>
        <w:rPr>
          <w:bCs/>
          <w:sz w:val="17"/>
          <w:szCs w:val="17"/>
        </w:rPr>
      </w:pPr>
    </w:p>
    <w:p w14:paraId="57B6C69D" w14:textId="77777777" w:rsidR="0062698C" w:rsidRPr="006C15E0" w:rsidRDefault="0062698C" w:rsidP="0062698C">
      <w:pPr>
        <w:autoSpaceDE w:val="0"/>
        <w:autoSpaceDN w:val="0"/>
        <w:adjustRightInd w:val="0"/>
        <w:rPr>
          <w:bCs/>
          <w:sz w:val="17"/>
          <w:szCs w:val="17"/>
        </w:rPr>
      </w:pPr>
      <w:r w:rsidRPr="006C15E0">
        <w:rPr>
          <w:bCs/>
          <w:sz w:val="17"/>
          <w:szCs w:val="17"/>
        </w:rPr>
        <w:t xml:space="preserve">5. The Commission shall adopt delegated acts in accordance with Article 301a to supplement this Directive by further specifying: </w:t>
      </w:r>
    </w:p>
    <w:p w14:paraId="19EE485C" w14:textId="77777777" w:rsidR="0062698C" w:rsidRPr="006C15E0" w:rsidRDefault="0062698C" w:rsidP="0062698C">
      <w:pPr>
        <w:autoSpaceDE w:val="0"/>
        <w:autoSpaceDN w:val="0"/>
        <w:adjustRightInd w:val="0"/>
        <w:rPr>
          <w:bCs/>
          <w:sz w:val="17"/>
          <w:szCs w:val="17"/>
        </w:rPr>
      </w:pPr>
      <w:r w:rsidRPr="006C15E0">
        <w:rPr>
          <w:bCs/>
          <w:sz w:val="17"/>
          <w:szCs w:val="17"/>
        </w:rPr>
        <w:t xml:space="preserve">(a) the conditions set out in paragraph 1, second subparagraph, of this Article; </w:t>
      </w:r>
    </w:p>
    <w:p w14:paraId="655AA44C" w14:textId="77777777" w:rsidR="0062698C" w:rsidRPr="006C15E0" w:rsidRDefault="0062698C" w:rsidP="0062698C">
      <w:pPr>
        <w:autoSpaceDE w:val="0"/>
        <w:autoSpaceDN w:val="0"/>
        <w:adjustRightInd w:val="0"/>
        <w:rPr>
          <w:bCs/>
          <w:sz w:val="17"/>
          <w:szCs w:val="17"/>
        </w:rPr>
      </w:pPr>
      <w:r w:rsidRPr="006C15E0">
        <w:rPr>
          <w:bCs/>
          <w:sz w:val="17"/>
          <w:szCs w:val="17"/>
        </w:rPr>
        <w:t xml:space="preserve">(b) the types of collective investment undertaking referred to in paragraph 2 of this Article; </w:t>
      </w:r>
    </w:p>
    <w:p w14:paraId="615DDE42" w14:textId="77777777" w:rsidR="0062698C" w:rsidRPr="006C15E0" w:rsidRDefault="0062698C" w:rsidP="0062698C">
      <w:pPr>
        <w:autoSpaceDE w:val="0"/>
        <w:autoSpaceDN w:val="0"/>
        <w:adjustRightInd w:val="0"/>
        <w:rPr>
          <w:bCs/>
          <w:sz w:val="17"/>
          <w:szCs w:val="17"/>
        </w:rPr>
      </w:pPr>
      <w:r w:rsidRPr="006C15E0">
        <w:rPr>
          <w:bCs/>
          <w:sz w:val="17"/>
          <w:szCs w:val="17"/>
        </w:rPr>
        <w:t>(c) the information to be included in the solvency and financial condition report referred to in Article 51(1) and in the regular supervisory report referred to in Article 35(5a).’;</w:t>
      </w:r>
    </w:p>
    <w:p w14:paraId="4011C649" w14:textId="77777777" w:rsidR="00632DCB" w:rsidRPr="00632DCB" w:rsidRDefault="00632DCB" w:rsidP="00E37709">
      <w:pPr>
        <w:pStyle w:val="Odsekzoznamu"/>
        <w:numPr>
          <w:ilvl w:val="0"/>
          <w:numId w:val="8"/>
        </w:numPr>
        <w:rPr>
          <w:sz w:val="17"/>
          <w:szCs w:val="17"/>
        </w:rPr>
      </w:pPr>
    </w:p>
    <w:sectPr w:rsidR="00632DCB" w:rsidRPr="00632DCB" w:rsidSect="005665BA">
      <w:type w:val="continuous"/>
      <w:pgSz w:w="11907" w:h="16839" w:code="9"/>
      <w:pgMar w:top="2336" w:right="902" w:bottom="1077" w:left="1474" w:header="709" w:footer="2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surance Europe" w:date="2025-02-19T09:33:00Z" w:initials="IE">
    <w:p w14:paraId="55B3BF38" w14:textId="77777777" w:rsidR="00C30099" w:rsidRDefault="00C30099" w:rsidP="00C30099">
      <w:pPr>
        <w:pStyle w:val="Textkomentra"/>
      </w:pPr>
      <w:r>
        <w:rPr>
          <w:rStyle w:val="Odkaznakomentr"/>
        </w:rPr>
        <w:annotationRef/>
      </w:r>
      <w:r>
        <w:t>Members are invited to add additional funds which should be included in this list</w:t>
      </w:r>
    </w:p>
  </w:comment>
  <w:comment w:id="2" w:author="Insurance Europe" w:date="2025-02-19T09:34:00Z" w:initials="IE">
    <w:p w14:paraId="135750B5" w14:textId="77777777" w:rsidR="005C2C9F" w:rsidRDefault="005C2C9F" w:rsidP="005C2C9F">
      <w:pPr>
        <w:pStyle w:val="Textkomentra"/>
      </w:pPr>
      <w:r>
        <w:rPr>
          <w:rStyle w:val="Odkaznakomentr"/>
        </w:rPr>
        <w:annotationRef/>
      </w:r>
      <w:r>
        <w:t>Members are invited to provide specific requirements/views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3BF38" w15:done="0"/>
  <w15:commentEx w15:paraId="135750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96E76" w16cex:dateUtc="2025-02-19T08:33:00Z"/>
  <w16cex:commentExtensible w16cex:durableId="6A2DA6FC" w16cex:dateUtc="2025-02-1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3BF38" w16cid:durableId="22F96E76"/>
  <w16cid:commentId w16cid:paraId="135750B5" w16cid:durableId="6A2DA6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C7F0" w14:textId="77777777" w:rsidR="00AA1FF0" w:rsidRDefault="00AA1FF0">
      <w:pPr>
        <w:spacing w:line="240" w:lineRule="auto"/>
      </w:pPr>
      <w:r>
        <w:separator/>
      </w:r>
    </w:p>
  </w:endnote>
  <w:endnote w:type="continuationSeparator" w:id="0">
    <w:p w14:paraId="48BB2652" w14:textId="77777777" w:rsidR="00AA1FF0" w:rsidRDefault="00AA1FF0">
      <w:pPr>
        <w:spacing w:line="240" w:lineRule="auto"/>
      </w:pPr>
      <w:r>
        <w:continuationSeparator/>
      </w:r>
    </w:p>
  </w:endnote>
  <w:endnote w:type="continuationNotice" w:id="1">
    <w:p w14:paraId="4C1EBA30" w14:textId="77777777" w:rsidR="00AA1FF0" w:rsidRDefault="00AA1F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A777" w14:textId="77777777" w:rsidR="00E84F75" w:rsidRDefault="00152882" w:rsidP="00E84F7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086F33" w14:textId="77777777" w:rsidR="00E84F75" w:rsidRDefault="00E84F75" w:rsidP="00E84F7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342C" w14:textId="77777777" w:rsidR="00E84F75" w:rsidRPr="007748EE" w:rsidRDefault="00152882" w:rsidP="00E84F75">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009F36CD" w:rsidRPr="007748EE">
      <w:rPr>
        <w:rStyle w:val="slostrany"/>
        <w:noProof/>
        <w:color w:val="002957"/>
        <w:sz w:val="14"/>
        <w:szCs w:val="14"/>
      </w:rPr>
      <w:t>2</w:t>
    </w:r>
    <w:r w:rsidRPr="007748EE">
      <w:rPr>
        <w:rStyle w:val="slostrany"/>
        <w:color w:val="002957"/>
        <w:sz w:val="14"/>
        <w:szCs w:val="14"/>
      </w:rPr>
      <w:fldChar w:fldCharType="end"/>
    </w:r>
  </w:p>
  <w:p w14:paraId="179B6722" w14:textId="77777777" w:rsidR="00E84F75" w:rsidRPr="0085650F" w:rsidRDefault="00E84F75" w:rsidP="00E84F75">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2469D" w14:paraId="3BDA0906" w14:textId="77777777" w:rsidTr="007748EE">
      <w:tc>
        <w:tcPr>
          <w:tcW w:w="5387" w:type="dxa"/>
        </w:tcPr>
        <w:p w14:paraId="223AB0CA" w14:textId="77777777" w:rsidR="0012469D" w:rsidRPr="00563E81" w:rsidRDefault="0012469D"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409D0242" w14:textId="77777777" w:rsidR="0012469D" w:rsidRPr="00A4463C" w:rsidRDefault="0012469D"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26C85C0" w14:textId="77777777" w:rsidR="0012469D" w:rsidRDefault="0012469D"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69F1905" w14:textId="7E8E0E28" w:rsidR="0012469D" w:rsidRPr="0012469D" w:rsidRDefault="0012469D"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00630D89" w:rsidRPr="00630D89">
              <w:rPr>
                <w:rStyle w:val="Hypertextovprepojenie"/>
                <w:b w:val="0"/>
                <w:sz w:val="14"/>
                <w:szCs w:val="14"/>
                <w:lang w:val="pt-PT"/>
              </w:rPr>
              <w:t>p</w:t>
            </w:r>
            <w:r w:rsidR="00630D89" w:rsidRPr="00050663">
              <w:rPr>
                <w:rStyle w:val="Hypertextovprepojenie"/>
                <w:b w:val="0"/>
                <w:sz w:val="14"/>
                <w:szCs w:val="14"/>
                <w:lang w:val="pt-PT"/>
              </w:rPr>
              <w:t>rudential</w:t>
            </w:r>
            <w:r w:rsidR="00630D89" w:rsidRPr="00630D89">
              <w:rPr>
                <w:rStyle w:val="Hypertextovprepojenie"/>
                <w:b w:val="0"/>
                <w:sz w:val="14"/>
                <w:szCs w:val="14"/>
                <w:lang w:val="pt-PT"/>
              </w:rPr>
              <w:t>@insuranceeurope.eu</w:t>
            </w:r>
          </w:hyperlink>
          <w:r w:rsidR="007748EE">
            <w:rPr>
              <w:b w:val="0"/>
              <w:color w:val="002957"/>
              <w:sz w:val="14"/>
              <w:szCs w:val="14"/>
              <w:lang w:val="pt-PT"/>
            </w:rPr>
            <w:br/>
          </w:r>
          <w:r w:rsidR="007748EE" w:rsidRPr="007748EE">
            <w:rPr>
              <w:b w:val="0"/>
              <w:color w:val="82C55B"/>
              <w:sz w:val="14"/>
              <w:szCs w:val="14"/>
              <w:lang w:val="pt-PT"/>
            </w:rPr>
            <w:t>www.insuranceeurope.eu</w:t>
          </w:r>
        </w:p>
      </w:tc>
      <w:tc>
        <w:tcPr>
          <w:tcW w:w="4253" w:type="dxa"/>
        </w:tcPr>
        <w:p w14:paraId="208F7DCE" w14:textId="3A444E5B" w:rsidR="0012469D" w:rsidRPr="002F12C5" w:rsidRDefault="002F12C5"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1297F9E" w14:textId="77777777" w:rsidR="00E84F75" w:rsidRPr="007D1194" w:rsidRDefault="00E84F75">
    <w:pPr>
      <w:pStyle w:val="Pta"/>
      <w:rPr>
        <w:color w:val="002957"/>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9991" w14:textId="77777777" w:rsidR="00AA1FF0" w:rsidRDefault="00AA1FF0">
      <w:pPr>
        <w:spacing w:line="240" w:lineRule="auto"/>
      </w:pPr>
      <w:r>
        <w:separator/>
      </w:r>
    </w:p>
  </w:footnote>
  <w:footnote w:type="continuationSeparator" w:id="0">
    <w:p w14:paraId="32D51B44" w14:textId="77777777" w:rsidR="00AA1FF0" w:rsidRDefault="00AA1FF0">
      <w:pPr>
        <w:spacing w:line="240" w:lineRule="auto"/>
      </w:pPr>
      <w:r>
        <w:continuationSeparator/>
      </w:r>
    </w:p>
  </w:footnote>
  <w:footnote w:type="continuationNotice" w:id="1">
    <w:p w14:paraId="3FB96CA1" w14:textId="77777777" w:rsidR="00AA1FF0" w:rsidRDefault="00AA1FF0">
      <w:pPr>
        <w:spacing w:line="240" w:lineRule="auto"/>
      </w:pPr>
    </w:p>
  </w:footnote>
  <w:footnote w:id="2">
    <w:p w14:paraId="231211B9" w14:textId="163F3717" w:rsidR="00DE32F1" w:rsidRPr="00F90C1F" w:rsidRDefault="00DE32F1">
      <w:pPr>
        <w:pStyle w:val="Textpoznmkypodiarou"/>
        <w:rPr>
          <w:lang w:val="en-US"/>
        </w:rPr>
      </w:pPr>
      <w:r>
        <w:rPr>
          <w:rStyle w:val="Odkaznapoznmkupodiarou"/>
        </w:rPr>
        <w:footnoteRef/>
      </w:r>
      <w:r w:rsidRPr="00F90C1F">
        <w:rPr>
          <w:lang w:val="en-GB"/>
        </w:rPr>
        <w:t xml:space="preserve"> </w:t>
      </w:r>
      <w:r w:rsidRPr="006F7848">
        <w:rPr>
          <w:lang w:val="en-US"/>
        </w:rPr>
        <w:t>Commission services</w:t>
      </w:r>
      <w:r w:rsidR="006F7848" w:rsidRPr="006F7848">
        <w:rPr>
          <w:lang w:val="en-US"/>
        </w:rPr>
        <w:t xml:space="preserve"> non-pape</w:t>
      </w:r>
      <w:r w:rsidR="006F7848">
        <w:rPr>
          <w:lang w:val="en-US"/>
        </w:rPr>
        <w:t xml:space="preserve">r: </w:t>
      </w:r>
      <w:r w:rsidR="006F7848" w:rsidRPr="006F7848">
        <w:rPr>
          <w:lang w:val="en-US"/>
        </w:rPr>
        <w:t>L</w:t>
      </w:r>
      <w:r w:rsidR="006F7848" w:rsidRPr="00F90C1F">
        <w:rPr>
          <w:lang w:val="en-US"/>
        </w:rPr>
        <w:t>ong-term equity</w:t>
      </w:r>
      <w:r w:rsidR="006F7848">
        <w:rPr>
          <w:lang w:val="en-US"/>
        </w:rPr>
        <w:t xml:space="preserve"> investments for 6 February 2025 meeting.</w:t>
      </w:r>
    </w:p>
  </w:footnote>
  <w:footnote w:id="3">
    <w:p w14:paraId="6904BA42" w14:textId="0B98929E" w:rsidR="000F4AA5" w:rsidRPr="007D2B71" w:rsidRDefault="000F4AA5" w:rsidP="000F4AA5">
      <w:pPr>
        <w:pStyle w:val="Textpoznmkypodiarou"/>
        <w:rPr>
          <w:lang w:val="en-US"/>
        </w:rPr>
      </w:pPr>
      <w:r>
        <w:rPr>
          <w:rStyle w:val="Odkaznapoznmkupodiarou"/>
        </w:rPr>
        <w:footnoteRef/>
      </w:r>
      <w:r w:rsidRPr="00B13D0A">
        <w:rPr>
          <w:lang w:val="en-GB"/>
        </w:rPr>
        <w:t xml:space="preserve"> </w:t>
      </w:r>
      <w:r w:rsidRPr="006F7848">
        <w:rPr>
          <w:lang w:val="en-US"/>
        </w:rPr>
        <w:t>Commission services non-pape</w:t>
      </w:r>
      <w:r>
        <w:rPr>
          <w:lang w:val="en-US"/>
        </w:rPr>
        <w:t xml:space="preserve">r: </w:t>
      </w:r>
      <w:r w:rsidRPr="006F7848">
        <w:rPr>
          <w:lang w:val="en-US"/>
        </w:rPr>
        <w:t>L</w:t>
      </w:r>
      <w:r w:rsidRPr="007D2B71">
        <w:rPr>
          <w:lang w:val="en-US"/>
        </w:rPr>
        <w:t>ong-term equity</w:t>
      </w:r>
      <w:r>
        <w:rPr>
          <w:lang w:val="en-US"/>
        </w:rPr>
        <w:t xml:space="preserve"> investments for 6 February 2025 meeting – Annex </w:t>
      </w:r>
      <w:r w:rsidR="00694FF4">
        <w:rPr>
          <w:lang w:val="en-US"/>
        </w:rPr>
        <w:t>2</w:t>
      </w:r>
    </w:p>
    <w:p w14:paraId="724C0A4A" w14:textId="756A6D69" w:rsidR="000F4AA5" w:rsidRPr="00B13D0A" w:rsidRDefault="000F4AA5">
      <w:pPr>
        <w:pStyle w:val="Textpoznmkypodiarou"/>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E3F" w14:textId="77777777" w:rsidR="003A795A" w:rsidRDefault="003A79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157A" w14:textId="3E6B2389" w:rsidR="00E84F75" w:rsidRPr="00323E1C" w:rsidRDefault="00DC180E" w:rsidP="00E84F75">
    <w:pPr>
      <w:pStyle w:val="Noparagraphstyle"/>
      <w:jc w:val="right"/>
      <w:rPr>
        <w:rFonts w:ascii="Verdana" w:hAnsi="Verdana"/>
        <w:sz w:val="18"/>
        <w:szCs w:val="18"/>
      </w:rPr>
    </w:pPr>
    <w:sdt>
      <w:sdtPr>
        <w:rPr>
          <w:rFonts w:ascii="Verdana" w:hAnsi="Verdana"/>
          <w:sz w:val="18"/>
          <w:szCs w:val="18"/>
        </w:rPr>
        <w:id w:val="260493343"/>
        <w:docPartObj>
          <w:docPartGallery w:val="Watermarks"/>
          <w:docPartUnique/>
        </w:docPartObj>
      </w:sdtPr>
      <w:sdtEndPr/>
      <w:sdtContent>
        <w:r>
          <w:rPr>
            <w:rFonts w:ascii="Verdana" w:hAnsi="Verdana"/>
            <w:sz w:val="18"/>
            <w:szCs w:val="18"/>
          </w:rPr>
          <w:pict w14:anchorId="36F63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B6FE8" w:rsidRPr="00EB6FE8">
      <w:rPr>
        <w:rFonts w:ascii="Verdana" w:hAnsi="Verdana"/>
        <w:b/>
        <w:bCs/>
        <w:i/>
        <w:iCs/>
        <w:sz w:val="18"/>
        <w:szCs w:val="18"/>
      </w:rPr>
      <w:t xml:space="preserve"> Draft – for feedback by Thursday 27 February COB</w:t>
    </w:r>
    <w:r w:rsidR="00EB6FE8" w:rsidRPr="00EB6FE8">
      <w:rPr>
        <w:rFonts w:ascii="Frutiger LT Com 45 Light" w:hAnsi="Frutiger LT Com 45 Light"/>
        <w:noProof/>
        <w:lang w:eastAsia="nl-BE"/>
      </w:rPr>
      <w:t xml:space="preserve"> </w:t>
    </w:r>
    <w:r w:rsidR="00152882" w:rsidRPr="000D41DA">
      <w:rPr>
        <w:rFonts w:ascii="Frutiger LT Com 45 Light" w:hAnsi="Frutiger LT Com 45 Light"/>
        <w:noProof/>
        <w:lang w:val="nl-BE" w:eastAsia="nl-BE"/>
      </w:rPr>
      <w:drawing>
        <wp:anchor distT="0" distB="0" distL="114300" distR="114300" simplePos="0" relativeHeight="251657728" behindDoc="0" locked="0" layoutInCell="1" allowOverlap="1" wp14:anchorId="3E4E9827" wp14:editId="682FE296">
          <wp:simplePos x="0" y="0"/>
          <wp:positionH relativeFrom="page">
            <wp:posOffset>528955</wp:posOffset>
          </wp:positionH>
          <wp:positionV relativeFrom="page">
            <wp:posOffset>521970</wp:posOffset>
          </wp:positionV>
          <wp:extent cx="1457325" cy="895350"/>
          <wp:effectExtent l="19050" t="0" r="0" b="0"/>
          <wp:wrapSquare wrapText="bothSides"/>
          <wp:docPr id="6"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B4D2BF" w14:textId="77777777" w:rsidR="00E84F75" w:rsidRPr="0085650F" w:rsidRDefault="00152882" w:rsidP="00E84F75">
    <w:pPr>
      <w:pStyle w:val="Noparagraphstyle"/>
      <w:jc w:val="right"/>
      <w:rPr>
        <w:rFonts w:ascii="Verdana" w:hAnsi="Verdana" w:cs="Arial"/>
        <w:i/>
        <w:iCs/>
        <w:color w:val="034EA2"/>
      </w:rPr>
    </w:pPr>
    <w:r w:rsidRPr="00323E1C">
      <w:rPr>
        <w:rFonts w:ascii="Verdana" w:hAnsi="Verdana"/>
      </w:rPr>
      <w:tab/>
    </w:r>
  </w:p>
  <w:p w14:paraId="6A05B2BD" w14:textId="77777777" w:rsidR="00E84F75" w:rsidRPr="00491802" w:rsidRDefault="00E84F75" w:rsidP="00E84F75">
    <w:pPr>
      <w:pStyle w:val="Hlavika"/>
      <w:tabs>
        <w:tab w:val="clear" w:pos="4320"/>
        <w:tab w:val="clear" w:pos="8640"/>
        <w:tab w:val="center" w:pos="0"/>
        <w:tab w:val="right" w:pos="104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4349" w14:textId="314EDF8F" w:rsidR="00E84F75" w:rsidRPr="00EB6FE8" w:rsidRDefault="00152882" w:rsidP="00E84F75">
    <w:pPr>
      <w:pStyle w:val="Noparagraphstyle"/>
      <w:jc w:val="right"/>
      <w:rPr>
        <w:rFonts w:ascii="Verdana" w:hAnsi="Verdana"/>
        <w:b/>
        <w:bCs/>
        <w:i/>
        <w:iCs/>
        <w:sz w:val="18"/>
        <w:szCs w:val="18"/>
      </w:rPr>
    </w:pPr>
    <w:r w:rsidRPr="00EB6FE8">
      <w:rPr>
        <w:rFonts w:ascii="Frutiger LT Com 45 Light" w:hAnsi="Frutiger LT Com 45 Light"/>
        <w:b/>
        <w:bCs/>
        <w:i/>
        <w:iCs/>
        <w:noProof/>
        <w:sz w:val="18"/>
        <w:szCs w:val="18"/>
        <w:lang w:val="nl-BE" w:eastAsia="nl-BE"/>
      </w:rPr>
      <w:drawing>
        <wp:anchor distT="0" distB="0" distL="114300" distR="114300" simplePos="0" relativeHeight="251656704" behindDoc="0" locked="0" layoutInCell="1" allowOverlap="1" wp14:anchorId="10148D34" wp14:editId="7F79CF44">
          <wp:simplePos x="0" y="0"/>
          <wp:positionH relativeFrom="page">
            <wp:posOffset>523875</wp:posOffset>
          </wp:positionH>
          <wp:positionV relativeFrom="page">
            <wp:posOffset>523875</wp:posOffset>
          </wp:positionV>
          <wp:extent cx="1457325" cy="895350"/>
          <wp:effectExtent l="19050" t="0" r="0" b="0"/>
          <wp:wrapSquare wrapText="bothSides"/>
          <wp:docPr id="7"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3A795A" w:rsidRPr="00EB6FE8">
      <w:rPr>
        <w:rFonts w:ascii="Verdana" w:hAnsi="Verdana"/>
        <w:b/>
        <w:bCs/>
        <w:i/>
        <w:iCs/>
        <w:sz w:val="18"/>
        <w:szCs w:val="18"/>
      </w:rPr>
      <w:t xml:space="preserve">Draft – for feedback by </w:t>
    </w:r>
    <w:r w:rsidR="00EB6FE8" w:rsidRPr="00EB6FE8">
      <w:rPr>
        <w:rFonts w:ascii="Verdana" w:hAnsi="Verdana"/>
        <w:b/>
        <w:bCs/>
        <w:i/>
        <w:iCs/>
        <w:sz w:val="18"/>
        <w:szCs w:val="18"/>
      </w:rPr>
      <w:t>Thursday 27 February COB</w:t>
    </w:r>
  </w:p>
  <w:p w14:paraId="42081F8F" w14:textId="77777777" w:rsidR="00E84F75" w:rsidRDefault="00E84F75">
    <w:pPr>
      <w:pStyle w:val="Hlavika"/>
    </w:pPr>
  </w:p>
  <w:p w14:paraId="28CF5DF4" w14:textId="1EF444CA" w:rsidR="0017261F" w:rsidRDefault="00152882" w:rsidP="00A46D3F">
    <w:pPr>
      <w:spacing w:line="240" w:lineRule="auto"/>
      <w:rPr>
        <w:b/>
        <w:i/>
        <w:color w:val="002957"/>
        <w:sz w:val="32"/>
        <w:szCs w:val="32"/>
      </w:rPr>
    </w:pP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bookmarkStart w:id="0" w:name="Draft1st"/>
    <w:bookmarkEnd w:id="0"/>
  </w:p>
  <w:p w14:paraId="3654217F" w14:textId="77777777" w:rsidR="00E84F75" w:rsidRPr="00D74967" w:rsidRDefault="00E84F75" w:rsidP="00E84F75">
    <w:pPr>
      <w:pStyle w:val="CEADraft"/>
      <w:rPr>
        <w:color w:val="002957"/>
        <w:lang w:val="en-US"/>
      </w:rPr>
    </w:pPr>
  </w:p>
  <w:p w14:paraId="0299F3F5" w14:textId="77777777" w:rsidR="00E84F75" w:rsidRPr="000D41DA" w:rsidRDefault="00E84F75" w:rsidP="00E84F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28A"/>
    <w:multiLevelType w:val="hybridMultilevel"/>
    <w:tmpl w:val="6228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B04E8"/>
    <w:multiLevelType w:val="hybridMultilevel"/>
    <w:tmpl w:val="E8C6A6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1BAA70CB"/>
    <w:multiLevelType w:val="hybridMultilevel"/>
    <w:tmpl w:val="940E50E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DD945C6"/>
    <w:multiLevelType w:val="hybridMultilevel"/>
    <w:tmpl w:val="30E673F8"/>
    <w:lvl w:ilvl="0" w:tplc="7496F8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84580"/>
    <w:multiLevelType w:val="hybridMultilevel"/>
    <w:tmpl w:val="ED28DADC"/>
    <w:lvl w:ilvl="0" w:tplc="7496F8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81D60"/>
    <w:multiLevelType w:val="hybridMultilevel"/>
    <w:tmpl w:val="62781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3610E"/>
    <w:multiLevelType w:val="hybridMultilevel"/>
    <w:tmpl w:val="A4C2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0555"/>
    <w:multiLevelType w:val="multilevel"/>
    <w:tmpl w:val="58F87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62EF3"/>
    <w:multiLevelType w:val="hybridMultilevel"/>
    <w:tmpl w:val="290C1A78"/>
    <w:lvl w:ilvl="0" w:tplc="0DD89420">
      <w:start w:val="3"/>
      <w:numFmt w:val="bullet"/>
      <w:lvlText w:val="-"/>
      <w:lvlJc w:val="left"/>
      <w:pPr>
        <w:ind w:left="720" w:hanging="360"/>
      </w:pPr>
      <w:rPr>
        <w:rFonts w:ascii="Poppins" w:eastAsiaTheme="minorHAnsi" w:hAnsi="Poppins" w:cs="Poppi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1" w15:restartNumberingAfterBreak="0">
    <w:nsid w:val="469E67D3"/>
    <w:multiLevelType w:val="hybridMultilevel"/>
    <w:tmpl w:val="05C0E4E2"/>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2" w15:restartNumberingAfterBreak="0">
    <w:nsid w:val="47776882"/>
    <w:multiLevelType w:val="hybridMultilevel"/>
    <w:tmpl w:val="835A8386"/>
    <w:lvl w:ilvl="0" w:tplc="0DEA4E04">
      <w:start w:val="1"/>
      <w:numFmt w:val="upperLetter"/>
      <w:lvlText w:val="%1."/>
      <w:lvlJc w:val="left"/>
      <w:pPr>
        <w:ind w:left="720" w:hanging="360"/>
      </w:pPr>
      <w:rPr>
        <w:rFonts w:hint="default"/>
        <w:color w:val="0020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C539CC"/>
    <w:multiLevelType w:val="hybridMultilevel"/>
    <w:tmpl w:val="8C7E556A"/>
    <w:lvl w:ilvl="0" w:tplc="2000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DF498D"/>
    <w:multiLevelType w:val="hybridMultilevel"/>
    <w:tmpl w:val="C52C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82F25"/>
    <w:multiLevelType w:val="hybridMultilevel"/>
    <w:tmpl w:val="9E26C2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B26ACF"/>
    <w:multiLevelType w:val="hybridMultilevel"/>
    <w:tmpl w:val="ACF6FE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699E2B88"/>
    <w:multiLevelType w:val="hybridMultilevel"/>
    <w:tmpl w:val="636CBA02"/>
    <w:lvl w:ilvl="0" w:tplc="2CF65F2A">
      <w:start w:val="165"/>
      <w:numFmt w:val="bullet"/>
      <w:pStyle w:val="CEABullet-Level1"/>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B0E49B2"/>
    <w:multiLevelType w:val="multilevel"/>
    <w:tmpl w:val="FB988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7C4AA2"/>
    <w:multiLevelType w:val="hybridMultilevel"/>
    <w:tmpl w:val="8C7E556A"/>
    <w:lvl w:ilvl="0" w:tplc="FFFFFFF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3F600B"/>
    <w:multiLevelType w:val="multilevel"/>
    <w:tmpl w:val="B61C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D4A8C"/>
    <w:multiLevelType w:val="multilevel"/>
    <w:tmpl w:val="2078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226041">
    <w:abstractNumId w:val="17"/>
  </w:num>
  <w:num w:numId="2" w16cid:durableId="549922824">
    <w:abstractNumId w:val="2"/>
  </w:num>
  <w:num w:numId="3" w16cid:durableId="933708874">
    <w:abstractNumId w:val="10"/>
  </w:num>
  <w:num w:numId="4" w16cid:durableId="235288851">
    <w:abstractNumId w:val="13"/>
  </w:num>
  <w:num w:numId="5" w16cid:durableId="764766123">
    <w:abstractNumId w:val="15"/>
  </w:num>
  <w:num w:numId="6" w16cid:durableId="1778788224">
    <w:abstractNumId w:val="9"/>
  </w:num>
  <w:num w:numId="7" w16cid:durableId="1108113196">
    <w:abstractNumId w:val="21"/>
  </w:num>
  <w:num w:numId="8" w16cid:durableId="176427158">
    <w:abstractNumId w:val="0"/>
  </w:num>
  <w:num w:numId="9" w16cid:durableId="1923563241">
    <w:abstractNumId w:val="4"/>
  </w:num>
  <w:num w:numId="10" w16cid:durableId="803541778">
    <w:abstractNumId w:val="18"/>
  </w:num>
  <w:num w:numId="11" w16cid:durableId="2131436309">
    <w:abstractNumId w:val="5"/>
  </w:num>
  <w:num w:numId="12" w16cid:durableId="1594896040">
    <w:abstractNumId w:val="20"/>
  </w:num>
  <w:num w:numId="13" w16cid:durableId="257645550">
    <w:abstractNumId w:val="8"/>
  </w:num>
  <w:num w:numId="14" w16cid:durableId="113718279">
    <w:abstractNumId w:val="6"/>
  </w:num>
  <w:num w:numId="15" w16cid:durableId="1951623172">
    <w:abstractNumId w:val="7"/>
  </w:num>
  <w:num w:numId="16" w16cid:durableId="1262638866">
    <w:abstractNumId w:val="12"/>
  </w:num>
  <w:num w:numId="17" w16cid:durableId="1342970104">
    <w:abstractNumId w:val="17"/>
  </w:num>
  <w:num w:numId="18" w16cid:durableId="749930741">
    <w:abstractNumId w:val="17"/>
  </w:num>
  <w:num w:numId="19" w16cid:durableId="1858301684">
    <w:abstractNumId w:val="3"/>
  </w:num>
  <w:num w:numId="20" w16cid:durableId="1189413824">
    <w:abstractNumId w:val="11"/>
  </w:num>
  <w:num w:numId="21" w16cid:durableId="1682580604">
    <w:abstractNumId w:val="19"/>
  </w:num>
  <w:num w:numId="22" w16cid:durableId="1618365083">
    <w:abstractNumId w:val="16"/>
  </w:num>
  <w:num w:numId="23" w16cid:durableId="2830008">
    <w:abstractNumId w:val="1"/>
  </w:num>
  <w:num w:numId="24" w16cid:durableId="419527867">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02A38"/>
    <w:rsid w:val="00003826"/>
    <w:rsid w:val="00005001"/>
    <w:rsid w:val="00010FB8"/>
    <w:rsid w:val="00012F35"/>
    <w:rsid w:val="00014DF5"/>
    <w:rsid w:val="0001515B"/>
    <w:rsid w:val="000163A6"/>
    <w:rsid w:val="00017E2D"/>
    <w:rsid w:val="00020124"/>
    <w:rsid w:val="0002181A"/>
    <w:rsid w:val="000218CF"/>
    <w:rsid w:val="00022B70"/>
    <w:rsid w:val="00023A0E"/>
    <w:rsid w:val="0002482E"/>
    <w:rsid w:val="000248B9"/>
    <w:rsid w:val="00024D92"/>
    <w:rsid w:val="00024F8D"/>
    <w:rsid w:val="00030F7F"/>
    <w:rsid w:val="00031EE6"/>
    <w:rsid w:val="000330A8"/>
    <w:rsid w:val="0003338E"/>
    <w:rsid w:val="00034333"/>
    <w:rsid w:val="000378CA"/>
    <w:rsid w:val="00042533"/>
    <w:rsid w:val="00043D38"/>
    <w:rsid w:val="000454D1"/>
    <w:rsid w:val="00045F34"/>
    <w:rsid w:val="00050663"/>
    <w:rsid w:val="00051FC9"/>
    <w:rsid w:val="0005233E"/>
    <w:rsid w:val="00053155"/>
    <w:rsid w:val="00053D41"/>
    <w:rsid w:val="00054083"/>
    <w:rsid w:val="000572D0"/>
    <w:rsid w:val="00057674"/>
    <w:rsid w:val="000602AB"/>
    <w:rsid w:val="00060FE9"/>
    <w:rsid w:val="0006202F"/>
    <w:rsid w:val="00062117"/>
    <w:rsid w:val="00063EEF"/>
    <w:rsid w:val="00066DF2"/>
    <w:rsid w:val="00070E26"/>
    <w:rsid w:val="000727F0"/>
    <w:rsid w:val="0008034A"/>
    <w:rsid w:val="00082A40"/>
    <w:rsid w:val="0008309D"/>
    <w:rsid w:val="000846AD"/>
    <w:rsid w:val="0008509D"/>
    <w:rsid w:val="00086AFE"/>
    <w:rsid w:val="00090B63"/>
    <w:rsid w:val="00092F3F"/>
    <w:rsid w:val="00093F76"/>
    <w:rsid w:val="0009724F"/>
    <w:rsid w:val="000977A6"/>
    <w:rsid w:val="000A12F8"/>
    <w:rsid w:val="000A45B7"/>
    <w:rsid w:val="000A6744"/>
    <w:rsid w:val="000A7AF3"/>
    <w:rsid w:val="000B0B39"/>
    <w:rsid w:val="000B19BD"/>
    <w:rsid w:val="000B37FE"/>
    <w:rsid w:val="000B4A9E"/>
    <w:rsid w:val="000B66DE"/>
    <w:rsid w:val="000B6AB6"/>
    <w:rsid w:val="000B7AD9"/>
    <w:rsid w:val="000C076D"/>
    <w:rsid w:val="000C3756"/>
    <w:rsid w:val="000C779B"/>
    <w:rsid w:val="000D0295"/>
    <w:rsid w:val="000D116E"/>
    <w:rsid w:val="000D3A9E"/>
    <w:rsid w:val="000D58F0"/>
    <w:rsid w:val="000D633D"/>
    <w:rsid w:val="000D6AE6"/>
    <w:rsid w:val="000E16A1"/>
    <w:rsid w:val="000E566F"/>
    <w:rsid w:val="000F032E"/>
    <w:rsid w:val="000F350F"/>
    <w:rsid w:val="000F3966"/>
    <w:rsid w:val="000F4AA5"/>
    <w:rsid w:val="000F6C28"/>
    <w:rsid w:val="00106E6B"/>
    <w:rsid w:val="00107140"/>
    <w:rsid w:val="00114367"/>
    <w:rsid w:val="001147FC"/>
    <w:rsid w:val="00115D89"/>
    <w:rsid w:val="0012042B"/>
    <w:rsid w:val="001211B1"/>
    <w:rsid w:val="00121B9A"/>
    <w:rsid w:val="00122F22"/>
    <w:rsid w:val="00123348"/>
    <w:rsid w:val="0012469D"/>
    <w:rsid w:val="00132E59"/>
    <w:rsid w:val="001347D3"/>
    <w:rsid w:val="00134FDA"/>
    <w:rsid w:val="00135585"/>
    <w:rsid w:val="0013611C"/>
    <w:rsid w:val="00136836"/>
    <w:rsid w:val="00137E2E"/>
    <w:rsid w:val="001400A4"/>
    <w:rsid w:val="00145929"/>
    <w:rsid w:val="0014610F"/>
    <w:rsid w:val="00146C5B"/>
    <w:rsid w:val="00150B34"/>
    <w:rsid w:val="00150BC4"/>
    <w:rsid w:val="00151390"/>
    <w:rsid w:val="00152882"/>
    <w:rsid w:val="0015662C"/>
    <w:rsid w:val="00166CC2"/>
    <w:rsid w:val="00167474"/>
    <w:rsid w:val="00170B6E"/>
    <w:rsid w:val="00171064"/>
    <w:rsid w:val="0017261F"/>
    <w:rsid w:val="00172832"/>
    <w:rsid w:val="00173577"/>
    <w:rsid w:val="00180522"/>
    <w:rsid w:val="00180F95"/>
    <w:rsid w:val="001818DA"/>
    <w:rsid w:val="001826AC"/>
    <w:rsid w:val="00182EE9"/>
    <w:rsid w:val="0018614D"/>
    <w:rsid w:val="001865E2"/>
    <w:rsid w:val="00186BE3"/>
    <w:rsid w:val="00190565"/>
    <w:rsid w:val="00190BC8"/>
    <w:rsid w:val="00195198"/>
    <w:rsid w:val="001A3445"/>
    <w:rsid w:val="001A3CA7"/>
    <w:rsid w:val="001A3E58"/>
    <w:rsid w:val="001A4508"/>
    <w:rsid w:val="001A7223"/>
    <w:rsid w:val="001B2898"/>
    <w:rsid w:val="001B4AB3"/>
    <w:rsid w:val="001B5862"/>
    <w:rsid w:val="001B7A40"/>
    <w:rsid w:val="001C08F1"/>
    <w:rsid w:val="001C0A1F"/>
    <w:rsid w:val="001C5237"/>
    <w:rsid w:val="001C7160"/>
    <w:rsid w:val="001D21D1"/>
    <w:rsid w:val="001D39C0"/>
    <w:rsid w:val="001D3B6C"/>
    <w:rsid w:val="001D5FFA"/>
    <w:rsid w:val="001D67E1"/>
    <w:rsid w:val="001D76D4"/>
    <w:rsid w:val="001D7B5A"/>
    <w:rsid w:val="001E0DE5"/>
    <w:rsid w:val="001E0EC2"/>
    <w:rsid w:val="001E1FFF"/>
    <w:rsid w:val="001E3E4B"/>
    <w:rsid w:val="001E57D9"/>
    <w:rsid w:val="001E71AA"/>
    <w:rsid w:val="001F20A8"/>
    <w:rsid w:val="001F4803"/>
    <w:rsid w:val="001F73A0"/>
    <w:rsid w:val="00200215"/>
    <w:rsid w:val="00200725"/>
    <w:rsid w:val="0020358C"/>
    <w:rsid w:val="00203EBF"/>
    <w:rsid w:val="00206DDE"/>
    <w:rsid w:val="0020711F"/>
    <w:rsid w:val="00212F5C"/>
    <w:rsid w:val="00212FD8"/>
    <w:rsid w:val="00215F8B"/>
    <w:rsid w:val="00222A9C"/>
    <w:rsid w:val="00224EBA"/>
    <w:rsid w:val="0022556F"/>
    <w:rsid w:val="0022785B"/>
    <w:rsid w:val="00227913"/>
    <w:rsid w:val="00232795"/>
    <w:rsid w:val="00232BB7"/>
    <w:rsid w:val="00235EEE"/>
    <w:rsid w:val="002372F8"/>
    <w:rsid w:val="00240F50"/>
    <w:rsid w:val="00241218"/>
    <w:rsid w:val="00246156"/>
    <w:rsid w:val="00261545"/>
    <w:rsid w:val="00264AB0"/>
    <w:rsid w:val="002666DB"/>
    <w:rsid w:val="002667B1"/>
    <w:rsid w:val="00267592"/>
    <w:rsid w:val="00267BC7"/>
    <w:rsid w:val="00273A59"/>
    <w:rsid w:val="0027442E"/>
    <w:rsid w:val="0027595A"/>
    <w:rsid w:val="00277B72"/>
    <w:rsid w:val="002828AF"/>
    <w:rsid w:val="00282BEB"/>
    <w:rsid w:val="00285808"/>
    <w:rsid w:val="0029025C"/>
    <w:rsid w:val="0029054A"/>
    <w:rsid w:val="002905CF"/>
    <w:rsid w:val="00291FEA"/>
    <w:rsid w:val="002922F2"/>
    <w:rsid w:val="002973CF"/>
    <w:rsid w:val="00297838"/>
    <w:rsid w:val="002A0871"/>
    <w:rsid w:val="002A2697"/>
    <w:rsid w:val="002A439D"/>
    <w:rsid w:val="002A5336"/>
    <w:rsid w:val="002A785D"/>
    <w:rsid w:val="002B1AEE"/>
    <w:rsid w:val="002B2100"/>
    <w:rsid w:val="002B4D85"/>
    <w:rsid w:val="002B6456"/>
    <w:rsid w:val="002B718D"/>
    <w:rsid w:val="002C7356"/>
    <w:rsid w:val="002D0FB8"/>
    <w:rsid w:val="002D39B6"/>
    <w:rsid w:val="002D5ACC"/>
    <w:rsid w:val="002D6C47"/>
    <w:rsid w:val="002D7504"/>
    <w:rsid w:val="002E0A54"/>
    <w:rsid w:val="002F12C5"/>
    <w:rsid w:val="002F621A"/>
    <w:rsid w:val="002F6880"/>
    <w:rsid w:val="002F78B1"/>
    <w:rsid w:val="003033A4"/>
    <w:rsid w:val="00305712"/>
    <w:rsid w:val="003076C1"/>
    <w:rsid w:val="00307A90"/>
    <w:rsid w:val="00311EBC"/>
    <w:rsid w:val="003124A9"/>
    <w:rsid w:val="00313669"/>
    <w:rsid w:val="00315263"/>
    <w:rsid w:val="00320352"/>
    <w:rsid w:val="0032055A"/>
    <w:rsid w:val="00320CAE"/>
    <w:rsid w:val="00322936"/>
    <w:rsid w:val="00323116"/>
    <w:rsid w:val="00325A60"/>
    <w:rsid w:val="003314FF"/>
    <w:rsid w:val="00331C27"/>
    <w:rsid w:val="003366B0"/>
    <w:rsid w:val="003375D4"/>
    <w:rsid w:val="003431A5"/>
    <w:rsid w:val="00345838"/>
    <w:rsid w:val="00346792"/>
    <w:rsid w:val="00351E20"/>
    <w:rsid w:val="00354935"/>
    <w:rsid w:val="00356201"/>
    <w:rsid w:val="003577A8"/>
    <w:rsid w:val="00362EA8"/>
    <w:rsid w:val="003634E6"/>
    <w:rsid w:val="00370824"/>
    <w:rsid w:val="003715C9"/>
    <w:rsid w:val="00371691"/>
    <w:rsid w:val="0037293B"/>
    <w:rsid w:val="0037671C"/>
    <w:rsid w:val="003776AC"/>
    <w:rsid w:val="00382174"/>
    <w:rsid w:val="0038238F"/>
    <w:rsid w:val="00382F7E"/>
    <w:rsid w:val="00384B5E"/>
    <w:rsid w:val="00386F7D"/>
    <w:rsid w:val="00387E00"/>
    <w:rsid w:val="00390C4B"/>
    <w:rsid w:val="00392217"/>
    <w:rsid w:val="003949EC"/>
    <w:rsid w:val="003951EA"/>
    <w:rsid w:val="00396786"/>
    <w:rsid w:val="003A17C0"/>
    <w:rsid w:val="003A2BE0"/>
    <w:rsid w:val="003A338F"/>
    <w:rsid w:val="003A3DC6"/>
    <w:rsid w:val="003A42EB"/>
    <w:rsid w:val="003A4AAA"/>
    <w:rsid w:val="003A5C7C"/>
    <w:rsid w:val="003A6212"/>
    <w:rsid w:val="003A733A"/>
    <w:rsid w:val="003A795A"/>
    <w:rsid w:val="003B3734"/>
    <w:rsid w:val="003B43DE"/>
    <w:rsid w:val="003B6BA7"/>
    <w:rsid w:val="003C278A"/>
    <w:rsid w:val="003C4FC8"/>
    <w:rsid w:val="003C79A2"/>
    <w:rsid w:val="003D0236"/>
    <w:rsid w:val="003D0986"/>
    <w:rsid w:val="003D1090"/>
    <w:rsid w:val="003D169C"/>
    <w:rsid w:val="003D2C75"/>
    <w:rsid w:val="003D3178"/>
    <w:rsid w:val="003D3E85"/>
    <w:rsid w:val="003D7298"/>
    <w:rsid w:val="003E3325"/>
    <w:rsid w:val="003E3801"/>
    <w:rsid w:val="003E4023"/>
    <w:rsid w:val="003F3211"/>
    <w:rsid w:val="003F469F"/>
    <w:rsid w:val="003F506D"/>
    <w:rsid w:val="003F7D16"/>
    <w:rsid w:val="00403235"/>
    <w:rsid w:val="004047B4"/>
    <w:rsid w:val="00406900"/>
    <w:rsid w:val="00407B3E"/>
    <w:rsid w:val="0041214E"/>
    <w:rsid w:val="00412D37"/>
    <w:rsid w:val="004137AB"/>
    <w:rsid w:val="00414DA8"/>
    <w:rsid w:val="00421018"/>
    <w:rsid w:val="004246B9"/>
    <w:rsid w:val="00425FBE"/>
    <w:rsid w:val="00426A9F"/>
    <w:rsid w:val="00427E78"/>
    <w:rsid w:val="0043036C"/>
    <w:rsid w:val="00436A8A"/>
    <w:rsid w:val="00437702"/>
    <w:rsid w:val="00440FEE"/>
    <w:rsid w:val="0044257C"/>
    <w:rsid w:val="00442E59"/>
    <w:rsid w:val="00444030"/>
    <w:rsid w:val="00445D8E"/>
    <w:rsid w:val="004460A0"/>
    <w:rsid w:val="00450936"/>
    <w:rsid w:val="00450D56"/>
    <w:rsid w:val="00451758"/>
    <w:rsid w:val="00453045"/>
    <w:rsid w:val="0045425C"/>
    <w:rsid w:val="00454E95"/>
    <w:rsid w:val="00456979"/>
    <w:rsid w:val="004613D5"/>
    <w:rsid w:val="00467BE4"/>
    <w:rsid w:val="004720CD"/>
    <w:rsid w:val="0047388F"/>
    <w:rsid w:val="00473925"/>
    <w:rsid w:val="00474FCF"/>
    <w:rsid w:val="00477093"/>
    <w:rsid w:val="00481858"/>
    <w:rsid w:val="004823A6"/>
    <w:rsid w:val="00482D7C"/>
    <w:rsid w:val="00487351"/>
    <w:rsid w:val="00491021"/>
    <w:rsid w:val="0049282F"/>
    <w:rsid w:val="00495AC5"/>
    <w:rsid w:val="004A1963"/>
    <w:rsid w:val="004A39F4"/>
    <w:rsid w:val="004A3B13"/>
    <w:rsid w:val="004A63F8"/>
    <w:rsid w:val="004A797C"/>
    <w:rsid w:val="004B04F5"/>
    <w:rsid w:val="004B1A3C"/>
    <w:rsid w:val="004B2F81"/>
    <w:rsid w:val="004B321E"/>
    <w:rsid w:val="004B365D"/>
    <w:rsid w:val="004B4535"/>
    <w:rsid w:val="004C0EF6"/>
    <w:rsid w:val="004C147A"/>
    <w:rsid w:val="004C2451"/>
    <w:rsid w:val="004C4693"/>
    <w:rsid w:val="004C7416"/>
    <w:rsid w:val="004D0403"/>
    <w:rsid w:val="004D1C4B"/>
    <w:rsid w:val="004D3A8D"/>
    <w:rsid w:val="004D61E3"/>
    <w:rsid w:val="004D6D42"/>
    <w:rsid w:val="004E17CA"/>
    <w:rsid w:val="004E1909"/>
    <w:rsid w:val="004E658B"/>
    <w:rsid w:val="004E73CF"/>
    <w:rsid w:val="004F1863"/>
    <w:rsid w:val="004F1D7D"/>
    <w:rsid w:val="004F317D"/>
    <w:rsid w:val="004F5A14"/>
    <w:rsid w:val="004F7108"/>
    <w:rsid w:val="005006BC"/>
    <w:rsid w:val="0050177E"/>
    <w:rsid w:val="00503ACC"/>
    <w:rsid w:val="0051083E"/>
    <w:rsid w:val="00510CC0"/>
    <w:rsid w:val="00511BE2"/>
    <w:rsid w:val="00515396"/>
    <w:rsid w:val="005153E9"/>
    <w:rsid w:val="005155AB"/>
    <w:rsid w:val="00516F56"/>
    <w:rsid w:val="00520055"/>
    <w:rsid w:val="00523452"/>
    <w:rsid w:val="0052604F"/>
    <w:rsid w:val="00526B3D"/>
    <w:rsid w:val="00527D6A"/>
    <w:rsid w:val="00534139"/>
    <w:rsid w:val="005341DD"/>
    <w:rsid w:val="005371FC"/>
    <w:rsid w:val="00537E79"/>
    <w:rsid w:val="00537F7E"/>
    <w:rsid w:val="00543024"/>
    <w:rsid w:val="005453A8"/>
    <w:rsid w:val="00545500"/>
    <w:rsid w:val="00545975"/>
    <w:rsid w:val="00545DEF"/>
    <w:rsid w:val="005541F6"/>
    <w:rsid w:val="0055752E"/>
    <w:rsid w:val="00557CAC"/>
    <w:rsid w:val="005612B0"/>
    <w:rsid w:val="005612EB"/>
    <w:rsid w:val="00563E81"/>
    <w:rsid w:val="00565A82"/>
    <w:rsid w:val="005665BA"/>
    <w:rsid w:val="005708B7"/>
    <w:rsid w:val="00571512"/>
    <w:rsid w:val="00571A29"/>
    <w:rsid w:val="00572173"/>
    <w:rsid w:val="00572767"/>
    <w:rsid w:val="005727BC"/>
    <w:rsid w:val="005760B5"/>
    <w:rsid w:val="00577AD9"/>
    <w:rsid w:val="00583F6A"/>
    <w:rsid w:val="00584849"/>
    <w:rsid w:val="0059024C"/>
    <w:rsid w:val="00590F41"/>
    <w:rsid w:val="00592BE7"/>
    <w:rsid w:val="00596D24"/>
    <w:rsid w:val="00596D25"/>
    <w:rsid w:val="00597EDD"/>
    <w:rsid w:val="005B1903"/>
    <w:rsid w:val="005B28F7"/>
    <w:rsid w:val="005B3153"/>
    <w:rsid w:val="005B4245"/>
    <w:rsid w:val="005C042D"/>
    <w:rsid w:val="005C12B8"/>
    <w:rsid w:val="005C1A7E"/>
    <w:rsid w:val="005C1F3C"/>
    <w:rsid w:val="005C2C9F"/>
    <w:rsid w:val="005C751B"/>
    <w:rsid w:val="005D12FC"/>
    <w:rsid w:val="005D1558"/>
    <w:rsid w:val="005D3B8E"/>
    <w:rsid w:val="005D501C"/>
    <w:rsid w:val="005D6243"/>
    <w:rsid w:val="005D70EB"/>
    <w:rsid w:val="005E02E5"/>
    <w:rsid w:val="005E0899"/>
    <w:rsid w:val="005E4F61"/>
    <w:rsid w:val="005E5833"/>
    <w:rsid w:val="005E619F"/>
    <w:rsid w:val="005F188D"/>
    <w:rsid w:val="005F23D1"/>
    <w:rsid w:val="005F3791"/>
    <w:rsid w:val="006006F9"/>
    <w:rsid w:val="00602629"/>
    <w:rsid w:val="006026B3"/>
    <w:rsid w:val="00603C77"/>
    <w:rsid w:val="0060510C"/>
    <w:rsid w:val="00605FA5"/>
    <w:rsid w:val="006107B9"/>
    <w:rsid w:val="00611F19"/>
    <w:rsid w:val="00612ACB"/>
    <w:rsid w:val="00613844"/>
    <w:rsid w:val="006161B8"/>
    <w:rsid w:val="006211E7"/>
    <w:rsid w:val="00621E81"/>
    <w:rsid w:val="0062346D"/>
    <w:rsid w:val="00625050"/>
    <w:rsid w:val="006251A5"/>
    <w:rsid w:val="006265F7"/>
    <w:rsid w:val="0062698C"/>
    <w:rsid w:val="00630D89"/>
    <w:rsid w:val="006326F7"/>
    <w:rsid w:val="00632961"/>
    <w:rsid w:val="00632DCB"/>
    <w:rsid w:val="006331F5"/>
    <w:rsid w:val="006340F7"/>
    <w:rsid w:val="006360B9"/>
    <w:rsid w:val="006364D3"/>
    <w:rsid w:val="006407D5"/>
    <w:rsid w:val="00642C0D"/>
    <w:rsid w:val="0064456A"/>
    <w:rsid w:val="00645892"/>
    <w:rsid w:val="006503A6"/>
    <w:rsid w:val="00653EF9"/>
    <w:rsid w:val="00655F05"/>
    <w:rsid w:val="00664114"/>
    <w:rsid w:val="00664FA2"/>
    <w:rsid w:val="006661D6"/>
    <w:rsid w:val="0066628B"/>
    <w:rsid w:val="00670318"/>
    <w:rsid w:val="00671FD3"/>
    <w:rsid w:val="0068129C"/>
    <w:rsid w:val="00681341"/>
    <w:rsid w:val="006823E6"/>
    <w:rsid w:val="006851CA"/>
    <w:rsid w:val="006857D6"/>
    <w:rsid w:val="00686ED3"/>
    <w:rsid w:val="006870AF"/>
    <w:rsid w:val="00692DBA"/>
    <w:rsid w:val="0069371D"/>
    <w:rsid w:val="00693B88"/>
    <w:rsid w:val="0069426E"/>
    <w:rsid w:val="00694FF4"/>
    <w:rsid w:val="00695E56"/>
    <w:rsid w:val="006A00E0"/>
    <w:rsid w:val="006A212F"/>
    <w:rsid w:val="006A568C"/>
    <w:rsid w:val="006B0149"/>
    <w:rsid w:val="006B0CA7"/>
    <w:rsid w:val="006B191B"/>
    <w:rsid w:val="006B4478"/>
    <w:rsid w:val="006B5737"/>
    <w:rsid w:val="006B6369"/>
    <w:rsid w:val="006B6CAD"/>
    <w:rsid w:val="006C15E0"/>
    <w:rsid w:val="006C287B"/>
    <w:rsid w:val="006C3904"/>
    <w:rsid w:val="006C5E67"/>
    <w:rsid w:val="006C6A28"/>
    <w:rsid w:val="006C7195"/>
    <w:rsid w:val="006C76D1"/>
    <w:rsid w:val="006C7B7E"/>
    <w:rsid w:val="006D1AF9"/>
    <w:rsid w:val="006D27E2"/>
    <w:rsid w:val="006D3100"/>
    <w:rsid w:val="006D361D"/>
    <w:rsid w:val="006D3A0E"/>
    <w:rsid w:val="006D4625"/>
    <w:rsid w:val="006E09C7"/>
    <w:rsid w:val="006E19E8"/>
    <w:rsid w:val="006E1A95"/>
    <w:rsid w:val="006E1EA8"/>
    <w:rsid w:val="006E21A0"/>
    <w:rsid w:val="006E4AE7"/>
    <w:rsid w:val="006F1261"/>
    <w:rsid w:val="006F1736"/>
    <w:rsid w:val="006F19B5"/>
    <w:rsid w:val="006F3095"/>
    <w:rsid w:val="006F3A27"/>
    <w:rsid w:val="006F3BA1"/>
    <w:rsid w:val="006F60E5"/>
    <w:rsid w:val="006F66FC"/>
    <w:rsid w:val="006F7848"/>
    <w:rsid w:val="00700B34"/>
    <w:rsid w:val="00702392"/>
    <w:rsid w:val="007026A5"/>
    <w:rsid w:val="0070279B"/>
    <w:rsid w:val="00703BFF"/>
    <w:rsid w:val="00704714"/>
    <w:rsid w:val="00713FFC"/>
    <w:rsid w:val="007211E7"/>
    <w:rsid w:val="007217EB"/>
    <w:rsid w:val="0072273B"/>
    <w:rsid w:val="00724948"/>
    <w:rsid w:val="007311DA"/>
    <w:rsid w:val="00731C30"/>
    <w:rsid w:val="00735E60"/>
    <w:rsid w:val="007424CA"/>
    <w:rsid w:val="00743E90"/>
    <w:rsid w:val="00747B61"/>
    <w:rsid w:val="00747D1B"/>
    <w:rsid w:val="00751C35"/>
    <w:rsid w:val="00752590"/>
    <w:rsid w:val="00752603"/>
    <w:rsid w:val="00753E75"/>
    <w:rsid w:val="0075414B"/>
    <w:rsid w:val="00755220"/>
    <w:rsid w:val="0075682D"/>
    <w:rsid w:val="00760039"/>
    <w:rsid w:val="007614FA"/>
    <w:rsid w:val="0076246E"/>
    <w:rsid w:val="00764D0E"/>
    <w:rsid w:val="00765374"/>
    <w:rsid w:val="00766AC5"/>
    <w:rsid w:val="007710B8"/>
    <w:rsid w:val="007725A0"/>
    <w:rsid w:val="007731EE"/>
    <w:rsid w:val="00773232"/>
    <w:rsid w:val="007743CE"/>
    <w:rsid w:val="007747D4"/>
    <w:rsid w:val="007748EE"/>
    <w:rsid w:val="00781A11"/>
    <w:rsid w:val="007864FF"/>
    <w:rsid w:val="007903A4"/>
    <w:rsid w:val="007924F1"/>
    <w:rsid w:val="00792745"/>
    <w:rsid w:val="00795ABE"/>
    <w:rsid w:val="0079644E"/>
    <w:rsid w:val="00797D6B"/>
    <w:rsid w:val="007A331F"/>
    <w:rsid w:val="007A47FD"/>
    <w:rsid w:val="007A4C8D"/>
    <w:rsid w:val="007A505E"/>
    <w:rsid w:val="007A60F6"/>
    <w:rsid w:val="007A75CE"/>
    <w:rsid w:val="007B23AD"/>
    <w:rsid w:val="007B3DF5"/>
    <w:rsid w:val="007B7E71"/>
    <w:rsid w:val="007C7724"/>
    <w:rsid w:val="007D0439"/>
    <w:rsid w:val="007D0B13"/>
    <w:rsid w:val="007D1194"/>
    <w:rsid w:val="007D17D9"/>
    <w:rsid w:val="007D3570"/>
    <w:rsid w:val="007D73F3"/>
    <w:rsid w:val="007E14FB"/>
    <w:rsid w:val="007E18E7"/>
    <w:rsid w:val="007F1C20"/>
    <w:rsid w:val="007F3D14"/>
    <w:rsid w:val="007F4109"/>
    <w:rsid w:val="007F47B3"/>
    <w:rsid w:val="007F6F2E"/>
    <w:rsid w:val="00800104"/>
    <w:rsid w:val="00804E3F"/>
    <w:rsid w:val="00811A34"/>
    <w:rsid w:val="00812D75"/>
    <w:rsid w:val="00813FC9"/>
    <w:rsid w:val="00815FC7"/>
    <w:rsid w:val="0082303E"/>
    <w:rsid w:val="00825DAE"/>
    <w:rsid w:val="00834B3F"/>
    <w:rsid w:val="00835D9F"/>
    <w:rsid w:val="00843F9A"/>
    <w:rsid w:val="0084514D"/>
    <w:rsid w:val="00845FDD"/>
    <w:rsid w:val="008473D3"/>
    <w:rsid w:val="00853C6B"/>
    <w:rsid w:val="00856ECA"/>
    <w:rsid w:val="0086365B"/>
    <w:rsid w:val="008645F5"/>
    <w:rsid w:val="008667B5"/>
    <w:rsid w:val="008716B8"/>
    <w:rsid w:val="0087180A"/>
    <w:rsid w:val="00871910"/>
    <w:rsid w:val="00873070"/>
    <w:rsid w:val="008739CF"/>
    <w:rsid w:val="008748E1"/>
    <w:rsid w:val="0087502B"/>
    <w:rsid w:val="008813FF"/>
    <w:rsid w:val="00887AA8"/>
    <w:rsid w:val="00890AEB"/>
    <w:rsid w:val="00894B36"/>
    <w:rsid w:val="00895807"/>
    <w:rsid w:val="00895A77"/>
    <w:rsid w:val="00896137"/>
    <w:rsid w:val="00897B71"/>
    <w:rsid w:val="008A2E1B"/>
    <w:rsid w:val="008A3305"/>
    <w:rsid w:val="008A45FD"/>
    <w:rsid w:val="008A622F"/>
    <w:rsid w:val="008A6AC3"/>
    <w:rsid w:val="008B2515"/>
    <w:rsid w:val="008B2BA1"/>
    <w:rsid w:val="008B6E29"/>
    <w:rsid w:val="008B7B9F"/>
    <w:rsid w:val="008C0F2E"/>
    <w:rsid w:val="008C3206"/>
    <w:rsid w:val="008D0BCA"/>
    <w:rsid w:val="008D3417"/>
    <w:rsid w:val="008D39B0"/>
    <w:rsid w:val="008D5158"/>
    <w:rsid w:val="008D6E74"/>
    <w:rsid w:val="008D7B8C"/>
    <w:rsid w:val="008E09BE"/>
    <w:rsid w:val="008E37E9"/>
    <w:rsid w:val="008E3C6C"/>
    <w:rsid w:val="008E3E21"/>
    <w:rsid w:val="008E439B"/>
    <w:rsid w:val="008E52EC"/>
    <w:rsid w:val="008E65AE"/>
    <w:rsid w:val="008E6677"/>
    <w:rsid w:val="008F0310"/>
    <w:rsid w:val="008F3431"/>
    <w:rsid w:val="008F59FE"/>
    <w:rsid w:val="008F728A"/>
    <w:rsid w:val="00907A22"/>
    <w:rsid w:val="0091158C"/>
    <w:rsid w:val="00911F90"/>
    <w:rsid w:val="00920CCF"/>
    <w:rsid w:val="00920FCB"/>
    <w:rsid w:val="0092242C"/>
    <w:rsid w:val="00924E66"/>
    <w:rsid w:val="00925798"/>
    <w:rsid w:val="009279C8"/>
    <w:rsid w:val="00932B66"/>
    <w:rsid w:val="00935969"/>
    <w:rsid w:val="009371BC"/>
    <w:rsid w:val="009376BA"/>
    <w:rsid w:val="00941199"/>
    <w:rsid w:val="0094128F"/>
    <w:rsid w:val="0094389C"/>
    <w:rsid w:val="0094645E"/>
    <w:rsid w:val="00946645"/>
    <w:rsid w:val="00947425"/>
    <w:rsid w:val="00950581"/>
    <w:rsid w:val="00954109"/>
    <w:rsid w:val="009556BC"/>
    <w:rsid w:val="00955780"/>
    <w:rsid w:val="00963C71"/>
    <w:rsid w:val="009644F1"/>
    <w:rsid w:val="009728B6"/>
    <w:rsid w:val="00972E39"/>
    <w:rsid w:val="00974483"/>
    <w:rsid w:val="00974495"/>
    <w:rsid w:val="00974F6E"/>
    <w:rsid w:val="009777E5"/>
    <w:rsid w:val="00982AE8"/>
    <w:rsid w:val="009841B0"/>
    <w:rsid w:val="00991B48"/>
    <w:rsid w:val="00994BAF"/>
    <w:rsid w:val="00996506"/>
    <w:rsid w:val="0099679E"/>
    <w:rsid w:val="00996FD6"/>
    <w:rsid w:val="00997617"/>
    <w:rsid w:val="009A126E"/>
    <w:rsid w:val="009A2957"/>
    <w:rsid w:val="009A6489"/>
    <w:rsid w:val="009B1D10"/>
    <w:rsid w:val="009B4910"/>
    <w:rsid w:val="009B55F2"/>
    <w:rsid w:val="009B64DB"/>
    <w:rsid w:val="009C21B4"/>
    <w:rsid w:val="009C2B3E"/>
    <w:rsid w:val="009C4738"/>
    <w:rsid w:val="009C48DB"/>
    <w:rsid w:val="009C6847"/>
    <w:rsid w:val="009C7BBF"/>
    <w:rsid w:val="009D0EFE"/>
    <w:rsid w:val="009D317A"/>
    <w:rsid w:val="009D6CF8"/>
    <w:rsid w:val="009D7D70"/>
    <w:rsid w:val="009E0345"/>
    <w:rsid w:val="009E04C8"/>
    <w:rsid w:val="009E0625"/>
    <w:rsid w:val="009E326A"/>
    <w:rsid w:val="009E73B1"/>
    <w:rsid w:val="009E7E7E"/>
    <w:rsid w:val="009F0859"/>
    <w:rsid w:val="009F36CD"/>
    <w:rsid w:val="009F7B25"/>
    <w:rsid w:val="00A0020E"/>
    <w:rsid w:val="00A006CB"/>
    <w:rsid w:val="00A066CE"/>
    <w:rsid w:val="00A14EC3"/>
    <w:rsid w:val="00A16296"/>
    <w:rsid w:val="00A17B39"/>
    <w:rsid w:val="00A20F94"/>
    <w:rsid w:val="00A21444"/>
    <w:rsid w:val="00A247CF"/>
    <w:rsid w:val="00A25568"/>
    <w:rsid w:val="00A255DD"/>
    <w:rsid w:val="00A259E8"/>
    <w:rsid w:val="00A25A21"/>
    <w:rsid w:val="00A334A9"/>
    <w:rsid w:val="00A34CC6"/>
    <w:rsid w:val="00A36DB8"/>
    <w:rsid w:val="00A41555"/>
    <w:rsid w:val="00A41CAE"/>
    <w:rsid w:val="00A42019"/>
    <w:rsid w:val="00A4240D"/>
    <w:rsid w:val="00A42876"/>
    <w:rsid w:val="00A4463C"/>
    <w:rsid w:val="00A44A68"/>
    <w:rsid w:val="00A44C75"/>
    <w:rsid w:val="00A44DC3"/>
    <w:rsid w:val="00A462A1"/>
    <w:rsid w:val="00A46D3F"/>
    <w:rsid w:val="00A477EE"/>
    <w:rsid w:val="00A5029A"/>
    <w:rsid w:val="00A510E1"/>
    <w:rsid w:val="00A542A4"/>
    <w:rsid w:val="00A54621"/>
    <w:rsid w:val="00A55883"/>
    <w:rsid w:val="00A55C22"/>
    <w:rsid w:val="00A62728"/>
    <w:rsid w:val="00A62EC7"/>
    <w:rsid w:val="00A635FB"/>
    <w:rsid w:val="00A6430D"/>
    <w:rsid w:val="00A664BD"/>
    <w:rsid w:val="00A736F9"/>
    <w:rsid w:val="00A74852"/>
    <w:rsid w:val="00A7729C"/>
    <w:rsid w:val="00A826F3"/>
    <w:rsid w:val="00A849AA"/>
    <w:rsid w:val="00A858F3"/>
    <w:rsid w:val="00A87F13"/>
    <w:rsid w:val="00A919EC"/>
    <w:rsid w:val="00A92379"/>
    <w:rsid w:val="00A9451A"/>
    <w:rsid w:val="00A964E5"/>
    <w:rsid w:val="00A97AAC"/>
    <w:rsid w:val="00AA1FF0"/>
    <w:rsid w:val="00AA2D87"/>
    <w:rsid w:val="00AA4BD6"/>
    <w:rsid w:val="00AA73BE"/>
    <w:rsid w:val="00AB238B"/>
    <w:rsid w:val="00AB3A92"/>
    <w:rsid w:val="00AB3E65"/>
    <w:rsid w:val="00AB5B46"/>
    <w:rsid w:val="00AB6AE1"/>
    <w:rsid w:val="00AB723A"/>
    <w:rsid w:val="00AC2581"/>
    <w:rsid w:val="00AC3B70"/>
    <w:rsid w:val="00AC6D30"/>
    <w:rsid w:val="00AC70AC"/>
    <w:rsid w:val="00AC737F"/>
    <w:rsid w:val="00AD1707"/>
    <w:rsid w:val="00AD5F18"/>
    <w:rsid w:val="00AE0306"/>
    <w:rsid w:val="00AE1928"/>
    <w:rsid w:val="00AE1C53"/>
    <w:rsid w:val="00AE4404"/>
    <w:rsid w:val="00AE64E5"/>
    <w:rsid w:val="00AE653A"/>
    <w:rsid w:val="00AE7373"/>
    <w:rsid w:val="00AF2770"/>
    <w:rsid w:val="00AF3132"/>
    <w:rsid w:val="00AF37D5"/>
    <w:rsid w:val="00AF5040"/>
    <w:rsid w:val="00AF797E"/>
    <w:rsid w:val="00B00618"/>
    <w:rsid w:val="00B0090C"/>
    <w:rsid w:val="00B01E3B"/>
    <w:rsid w:val="00B07360"/>
    <w:rsid w:val="00B07945"/>
    <w:rsid w:val="00B07E69"/>
    <w:rsid w:val="00B12C9C"/>
    <w:rsid w:val="00B13D0A"/>
    <w:rsid w:val="00B157BA"/>
    <w:rsid w:val="00B1659F"/>
    <w:rsid w:val="00B17EB2"/>
    <w:rsid w:val="00B2152A"/>
    <w:rsid w:val="00B21EEB"/>
    <w:rsid w:val="00B228A4"/>
    <w:rsid w:val="00B23F77"/>
    <w:rsid w:val="00B24B3A"/>
    <w:rsid w:val="00B254B3"/>
    <w:rsid w:val="00B26842"/>
    <w:rsid w:val="00B26D98"/>
    <w:rsid w:val="00B27BA2"/>
    <w:rsid w:val="00B305A1"/>
    <w:rsid w:val="00B30EA1"/>
    <w:rsid w:val="00B331BF"/>
    <w:rsid w:val="00B34077"/>
    <w:rsid w:val="00B4259C"/>
    <w:rsid w:val="00B46B48"/>
    <w:rsid w:val="00B4719F"/>
    <w:rsid w:val="00B47F1B"/>
    <w:rsid w:val="00B50D5F"/>
    <w:rsid w:val="00B523EB"/>
    <w:rsid w:val="00B52B63"/>
    <w:rsid w:val="00B53724"/>
    <w:rsid w:val="00B62105"/>
    <w:rsid w:val="00B639D9"/>
    <w:rsid w:val="00B641D7"/>
    <w:rsid w:val="00B72462"/>
    <w:rsid w:val="00B76608"/>
    <w:rsid w:val="00B76950"/>
    <w:rsid w:val="00B81CA1"/>
    <w:rsid w:val="00B833F8"/>
    <w:rsid w:val="00B8455F"/>
    <w:rsid w:val="00B874EC"/>
    <w:rsid w:val="00B90DA0"/>
    <w:rsid w:val="00B91256"/>
    <w:rsid w:val="00BA1EFC"/>
    <w:rsid w:val="00BA2003"/>
    <w:rsid w:val="00BB0BF9"/>
    <w:rsid w:val="00BB1FD2"/>
    <w:rsid w:val="00BB2A9F"/>
    <w:rsid w:val="00BB3D71"/>
    <w:rsid w:val="00BB556F"/>
    <w:rsid w:val="00BC02C8"/>
    <w:rsid w:val="00BC0B87"/>
    <w:rsid w:val="00BC1D50"/>
    <w:rsid w:val="00BC4D2B"/>
    <w:rsid w:val="00BC4E09"/>
    <w:rsid w:val="00BD0D39"/>
    <w:rsid w:val="00BD11A3"/>
    <w:rsid w:val="00BD17FD"/>
    <w:rsid w:val="00BD3110"/>
    <w:rsid w:val="00BD3E7B"/>
    <w:rsid w:val="00BD5BD5"/>
    <w:rsid w:val="00BD61EA"/>
    <w:rsid w:val="00BE0593"/>
    <w:rsid w:val="00BE12A2"/>
    <w:rsid w:val="00BE2102"/>
    <w:rsid w:val="00BE3144"/>
    <w:rsid w:val="00BE7037"/>
    <w:rsid w:val="00BE7C11"/>
    <w:rsid w:val="00BF11D2"/>
    <w:rsid w:val="00BF4AA7"/>
    <w:rsid w:val="00BF7989"/>
    <w:rsid w:val="00C010AE"/>
    <w:rsid w:val="00C01416"/>
    <w:rsid w:val="00C04916"/>
    <w:rsid w:val="00C06FB9"/>
    <w:rsid w:val="00C07173"/>
    <w:rsid w:val="00C117A2"/>
    <w:rsid w:val="00C11AAA"/>
    <w:rsid w:val="00C13A88"/>
    <w:rsid w:val="00C17B59"/>
    <w:rsid w:val="00C2074C"/>
    <w:rsid w:val="00C22394"/>
    <w:rsid w:val="00C223A6"/>
    <w:rsid w:val="00C24E96"/>
    <w:rsid w:val="00C2680A"/>
    <w:rsid w:val="00C27E63"/>
    <w:rsid w:val="00C30099"/>
    <w:rsid w:val="00C31613"/>
    <w:rsid w:val="00C31B6F"/>
    <w:rsid w:val="00C323D0"/>
    <w:rsid w:val="00C3572E"/>
    <w:rsid w:val="00C4066B"/>
    <w:rsid w:val="00C41765"/>
    <w:rsid w:val="00C41DC5"/>
    <w:rsid w:val="00C42540"/>
    <w:rsid w:val="00C460D6"/>
    <w:rsid w:val="00C46C2A"/>
    <w:rsid w:val="00C4758B"/>
    <w:rsid w:val="00C518EB"/>
    <w:rsid w:val="00C54E11"/>
    <w:rsid w:val="00C560EE"/>
    <w:rsid w:val="00C60FB2"/>
    <w:rsid w:val="00C61839"/>
    <w:rsid w:val="00C61968"/>
    <w:rsid w:val="00C64941"/>
    <w:rsid w:val="00C651F8"/>
    <w:rsid w:val="00C670C5"/>
    <w:rsid w:val="00C71201"/>
    <w:rsid w:val="00C71B3F"/>
    <w:rsid w:val="00C725E0"/>
    <w:rsid w:val="00C728C8"/>
    <w:rsid w:val="00C81090"/>
    <w:rsid w:val="00C821C4"/>
    <w:rsid w:val="00C82D9F"/>
    <w:rsid w:val="00C83CAB"/>
    <w:rsid w:val="00C84837"/>
    <w:rsid w:val="00C856F3"/>
    <w:rsid w:val="00C85D04"/>
    <w:rsid w:val="00C86596"/>
    <w:rsid w:val="00C865C2"/>
    <w:rsid w:val="00C87DD3"/>
    <w:rsid w:val="00C90179"/>
    <w:rsid w:val="00C91795"/>
    <w:rsid w:val="00C930A0"/>
    <w:rsid w:val="00CA140A"/>
    <w:rsid w:val="00CA253E"/>
    <w:rsid w:val="00CA2CDF"/>
    <w:rsid w:val="00CA51A2"/>
    <w:rsid w:val="00CB143E"/>
    <w:rsid w:val="00CB2200"/>
    <w:rsid w:val="00CB2C46"/>
    <w:rsid w:val="00CB37E2"/>
    <w:rsid w:val="00CB4A22"/>
    <w:rsid w:val="00CB5664"/>
    <w:rsid w:val="00CC24CB"/>
    <w:rsid w:val="00CC429C"/>
    <w:rsid w:val="00CC4A68"/>
    <w:rsid w:val="00CC667A"/>
    <w:rsid w:val="00CC757E"/>
    <w:rsid w:val="00CD03B0"/>
    <w:rsid w:val="00CD0565"/>
    <w:rsid w:val="00CD2FC9"/>
    <w:rsid w:val="00CD421B"/>
    <w:rsid w:val="00CD43F2"/>
    <w:rsid w:val="00CD55EC"/>
    <w:rsid w:val="00CD5BFA"/>
    <w:rsid w:val="00CE0BE0"/>
    <w:rsid w:val="00CE1A50"/>
    <w:rsid w:val="00CE71DF"/>
    <w:rsid w:val="00CE74C3"/>
    <w:rsid w:val="00CF0117"/>
    <w:rsid w:val="00CF149C"/>
    <w:rsid w:val="00CF7066"/>
    <w:rsid w:val="00D02B88"/>
    <w:rsid w:val="00D02CDD"/>
    <w:rsid w:val="00D05651"/>
    <w:rsid w:val="00D07CA9"/>
    <w:rsid w:val="00D13F81"/>
    <w:rsid w:val="00D149A2"/>
    <w:rsid w:val="00D16A31"/>
    <w:rsid w:val="00D1717C"/>
    <w:rsid w:val="00D1737F"/>
    <w:rsid w:val="00D20F99"/>
    <w:rsid w:val="00D21459"/>
    <w:rsid w:val="00D224AF"/>
    <w:rsid w:val="00D22BD3"/>
    <w:rsid w:val="00D24B68"/>
    <w:rsid w:val="00D25284"/>
    <w:rsid w:val="00D25E9C"/>
    <w:rsid w:val="00D26BC2"/>
    <w:rsid w:val="00D34380"/>
    <w:rsid w:val="00D344C5"/>
    <w:rsid w:val="00D34E6A"/>
    <w:rsid w:val="00D3610A"/>
    <w:rsid w:val="00D362B8"/>
    <w:rsid w:val="00D40D54"/>
    <w:rsid w:val="00D43FCA"/>
    <w:rsid w:val="00D44096"/>
    <w:rsid w:val="00D460AC"/>
    <w:rsid w:val="00D46112"/>
    <w:rsid w:val="00D470DE"/>
    <w:rsid w:val="00D50392"/>
    <w:rsid w:val="00D53214"/>
    <w:rsid w:val="00D55917"/>
    <w:rsid w:val="00D55F91"/>
    <w:rsid w:val="00D56936"/>
    <w:rsid w:val="00D605F2"/>
    <w:rsid w:val="00D61519"/>
    <w:rsid w:val="00D615BB"/>
    <w:rsid w:val="00D66CDA"/>
    <w:rsid w:val="00D707C5"/>
    <w:rsid w:val="00D70E0B"/>
    <w:rsid w:val="00D70F41"/>
    <w:rsid w:val="00D744D9"/>
    <w:rsid w:val="00D74967"/>
    <w:rsid w:val="00D74CC3"/>
    <w:rsid w:val="00D75CDF"/>
    <w:rsid w:val="00D763EF"/>
    <w:rsid w:val="00D764C9"/>
    <w:rsid w:val="00D77764"/>
    <w:rsid w:val="00D8241F"/>
    <w:rsid w:val="00D82AC2"/>
    <w:rsid w:val="00D82C88"/>
    <w:rsid w:val="00D85BE5"/>
    <w:rsid w:val="00D8765B"/>
    <w:rsid w:val="00D87781"/>
    <w:rsid w:val="00D87F01"/>
    <w:rsid w:val="00D91D96"/>
    <w:rsid w:val="00D976B2"/>
    <w:rsid w:val="00DA2A6C"/>
    <w:rsid w:val="00DA403E"/>
    <w:rsid w:val="00DA6145"/>
    <w:rsid w:val="00DA7294"/>
    <w:rsid w:val="00DA76D2"/>
    <w:rsid w:val="00DB1708"/>
    <w:rsid w:val="00DB18F0"/>
    <w:rsid w:val="00DB1C48"/>
    <w:rsid w:val="00DB2F12"/>
    <w:rsid w:val="00DB34F7"/>
    <w:rsid w:val="00DB6862"/>
    <w:rsid w:val="00DC07F0"/>
    <w:rsid w:val="00DC1116"/>
    <w:rsid w:val="00DC180E"/>
    <w:rsid w:val="00DC22F4"/>
    <w:rsid w:val="00DC2392"/>
    <w:rsid w:val="00DC2803"/>
    <w:rsid w:val="00DC2BD6"/>
    <w:rsid w:val="00DC2D21"/>
    <w:rsid w:val="00DC2D34"/>
    <w:rsid w:val="00DC4B41"/>
    <w:rsid w:val="00DD059D"/>
    <w:rsid w:val="00DD0E8F"/>
    <w:rsid w:val="00DD1F53"/>
    <w:rsid w:val="00DD2316"/>
    <w:rsid w:val="00DD5BFF"/>
    <w:rsid w:val="00DD7406"/>
    <w:rsid w:val="00DE0A2F"/>
    <w:rsid w:val="00DE32F1"/>
    <w:rsid w:val="00DE4933"/>
    <w:rsid w:val="00DE4D1E"/>
    <w:rsid w:val="00DE6139"/>
    <w:rsid w:val="00DE6338"/>
    <w:rsid w:val="00DF0972"/>
    <w:rsid w:val="00DF22F6"/>
    <w:rsid w:val="00DF355A"/>
    <w:rsid w:val="00DF3D20"/>
    <w:rsid w:val="00DF5225"/>
    <w:rsid w:val="00DF6465"/>
    <w:rsid w:val="00E02339"/>
    <w:rsid w:val="00E03727"/>
    <w:rsid w:val="00E10296"/>
    <w:rsid w:val="00E12063"/>
    <w:rsid w:val="00E13D7E"/>
    <w:rsid w:val="00E141B9"/>
    <w:rsid w:val="00E14C13"/>
    <w:rsid w:val="00E1755A"/>
    <w:rsid w:val="00E23B84"/>
    <w:rsid w:val="00E24707"/>
    <w:rsid w:val="00E259CD"/>
    <w:rsid w:val="00E26D6E"/>
    <w:rsid w:val="00E27803"/>
    <w:rsid w:val="00E331B3"/>
    <w:rsid w:val="00E339FF"/>
    <w:rsid w:val="00E3614B"/>
    <w:rsid w:val="00E361E2"/>
    <w:rsid w:val="00E36665"/>
    <w:rsid w:val="00E373D2"/>
    <w:rsid w:val="00E37709"/>
    <w:rsid w:val="00E412E4"/>
    <w:rsid w:val="00E43D80"/>
    <w:rsid w:val="00E4725C"/>
    <w:rsid w:val="00E47A59"/>
    <w:rsid w:val="00E47D2D"/>
    <w:rsid w:val="00E51022"/>
    <w:rsid w:val="00E51326"/>
    <w:rsid w:val="00E52AE5"/>
    <w:rsid w:val="00E534FB"/>
    <w:rsid w:val="00E54790"/>
    <w:rsid w:val="00E54C82"/>
    <w:rsid w:val="00E551D2"/>
    <w:rsid w:val="00E602D8"/>
    <w:rsid w:val="00E60F1C"/>
    <w:rsid w:val="00E704D0"/>
    <w:rsid w:val="00E70677"/>
    <w:rsid w:val="00E739E6"/>
    <w:rsid w:val="00E746A6"/>
    <w:rsid w:val="00E84B82"/>
    <w:rsid w:val="00E84F75"/>
    <w:rsid w:val="00E865F3"/>
    <w:rsid w:val="00E8781A"/>
    <w:rsid w:val="00E90D8F"/>
    <w:rsid w:val="00E9283C"/>
    <w:rsid w:val="00E97034"/>
    <w:rsid w:val="00E9736D"/>
    <w:rsid w:val="00EA0D9A"/>
    <w:rsid w:val="00EA2C97"/>
    <w:rsid w:val="00EA3700"/>
    <w:rsid w:val="00EA51A6"/>
    <w:rsid w:val="00EA5E90"/>
    <w:rsid w:val="00EA5EC7"/>
    <w:rsid w:val="00EB2EAC"/>
    <w:rsid w:val="00EB3B69"/>
    <w:rsid w:val="00EB4E87"/>
    <w:rsid w:val="00EB56B0"/>
    <w:rsid w:val="00EB595C"/>
    <w:rsid w:val="00EB5DC3"/>
    <w:rsid w:val="00EB6B48"/>
    <w:rsid w:val="00EB6FE8"/>
    <w:rsid w:val="00EB719E"/>
    <w:rsid w:val="00EC1672"/>
    <w:rsid w:val="00EC4DA6"/>
    <w:rsid w:val="00EC6CD6"/>
    <w:rsid w:val="00ED0BB8"/>
    <w:rsid w:val="00ED31C0"/>
    <w:rsid w:val="00ED699D"/>
    <w:rsid w:val="00ED6D44"/>
    <w:rsid w:val="00ED732E"/>
    <w:rsid w:val="00EE32E7"/>
    <w:rsid w:val="00EE453F"/>
    <w:rsid w:val="00EE4C47"/>
    <w:rsid w:val="00EE6DF6"/>
    <w:rsid w:val="00EE7603"/>
    <w:rsid w:val="00EF56C0"/>
    <w:rsid w:val="00EF70CE"/>
    <w:rsid w:val="00F05138"/>
    <w:rsid w:val="00F06601"/>
    <w:rsid w:val="00F07A06"/>
    <w:rsid w:val="00F11F3C"/>
    <w:rsid w:val="00F1478F"/>
    <w:rsid w:val="00F15A06"/>
    <w:rsid w:val="00F1657B"/>
    <w:rsid w:val="00F21E50"/>
    <w:rsid w:val="00F27232"/>
    <w:rsid w:val="00F273F4"/>
    <w:rsid w:val="00F34714"/>
    <w:rsid w:val="00F35230"/>
    <w:rsid w:val="00F41CB6"/>
    <w:rsid w:val="00F427E1"/>
    <w:rsid w:val="00F429A2"/>
    <w:rsid w:val="00F44CF4"/>
    <w:rsid w:val="00F45612"/>
    <w:rsid w:val="00F459DC"/>
    <w:rsid w:val="00F47D27"/>
    <w:rsid w:val="00F513B8"/>
    <w:rsid w:val="00F52944"/>
    <w:rsid w:val="00F55265"/>
    <w:rsid w:val="00F56657"/>
    <w:rsid w:val="00F606B6"/>
    <w:rsid w:val="00F61E1D"/>
    <w:rsid w:val="00F6239C"/>
    <w:rsid w:val="00F64E3F"/>
    <w:rsid w:val="00F6591B"/>
    <w:rsid w:val="00F700E7"/>
    <w:rsid w:val="00F71E06"/>
    <w:rsid w:val="00F7323B"/>
    <w:rsid w:val="00F73F59"/>
    <w:rsid w:val="00F75E27"/>
    <w:rsid w:val="00F778BB"/>
    <w:rsid w:val="00F80FC2"/>
    <w:rsid w:val="00F8452D"/>
    <w:rsid w:val="00F84D21"/>
    <w:rsid w:val="00F8705B"/>
    <w:rsid w:val="00F877F5"/>
    <w:rsid w:val="00F903EA"/>
    <w:rsid w:val="00F90C1F"/>
    <w:rsid w:val="00F92682"/>
    <w:rsid w:val="00F9604A"/>
    <w:rsid w:val="00F96C48"/>
    <w:rsid w:val="00F978E8"/>
    <w:rsid w:val="00FA1C0F"/>
    <w:rsid w:val="00FA3EAF"/>
    <w:rsid w:val="00FA561C"/>
    <w:rsid w:val="00FB1A3D"/>
    <w:rsid w:val="00FB3760"/>
    <w:rsid w:val="00FC4526"/>
    <w:rsid w:val="00FC4F6B"/>
    <w:rsid w:val="00FC50B5"/>
    <w:rsid w:val="00FC6467"/>
    <w:rsid w:val="00FD0281"/>
    <w:rsid w:val="00FD4018"/>
    <w:rsid w:val="00FD5CF4"/>
    <w:rsid w:val="00FD60DB"/>
    <w:rsid w:val="00FE1502"/>
    <w:rsid w:val="00FE235F"/>
    <w:rsid w:val="00FE2E26"/>
    <w:rsid w:val="00FE32E1"/>
    <w:rsid w:val="00FE5462"/>
    <w:rsid w:val="00FE7372"/>
    <w:rsid w:val="00FF3F74"/>
    <w:rsid w:val="00FF4257"/>
    <w:rsid w:val="0133D4C7"/>
    <w:rsid w:val="0411B5C0"/>
    <w:rsid w:val="052B4889"/>
    <w:rsid w:val="068795DF"/>
    <w:rsid w:val="0CA25600"/>
    <w:rsid w:val="0DD09B3D"/>
    <w:rsid w:val="1033335A"/>
    <w:rsid w:val="11542F2F"/>
    <w:rsid w:val="159FA08C"/>
    <w:rsid w:val="1907C65C"/>
    <w:rsid w:val="1A661008"/>
    <w:rsid w:val="20884EE4"/>
    <w:rsid w:val="237B7986"/>
    <w:rsid w:val="23F4750C"/>
    <w:rsid w:val="240464CE"/>
    <w:rsid w:val="27288C9F"/>
    <w:rsid w:val="2C2BB5C8"/>
    <w:rsid w:val="2D98FEE4"/>
    <w:rsid w:val="2FF46C07"/>
    <w:rsid w:val="30651F4E"/>
    <w:rsid w:val="35856A74"/>
    <w:rsid w:val="386CD68B"/>
    <w:rsid w:val="397C0C84"/>
    <w:rsid w:val="4261FDB5"/>
    <w:rsid w:val="45BE4624"/>
    <w:rsid w:val="4B5A4E8D"/>
    <w:rsid w:val="4D6AEA92"/>
    <w:rsid w:val="4D9FCC63"/>
    <w:rsid w:val="4DF0D9C5"/>
    <w:rsid w:val="51F280AA"/>
    <w:rsid w:val="55FE35FD"/>
    <w:rsid w:val="581E4905"/>
    <w:rsid w:val="5A216363"/>
    <w:rsid w:val="63D45C9C"/>
    <w:rsid w:val="6401A8FB"/>
    <w:rsid w:val="6888DD2E"/>
    <w:rsid w:val="69503FF8"/>
    <w:rsid w:val="6D1D1415"/>
    <w:rsid w:val="75C5538D"/>
    <w:rsid w:val="7DED238A"/>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7CE9"/>
  <w15:docId w15:val="{76E48E3E-34C4-4944-B7B1-73A51551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7F0"/>
    <w:pPr>
      <w:spacing w:after="0" w:line="288" w:lineRule="auto"/>
      <w:jc w:val="both"/>
    </w:pPr>
    <w:rPr>
      <w:rFonts w:ascii="Verdana" w:eastAsia="Times New Roman" w:hAnsi="Verdana" w:cs="Times New Roman"/>
      <w:sz w:val="18"/>
      <w:szCs w:val="24"/>
      <w:lang w:val="en-GB"/>
    </w:rPr>
  </w:style>
  <w:style w:type="paragraph" w:styleId="Nadpis1">
    <w:name w:val="heading 1"/>
    <w:basedOn w:val="Normlny"/>
    <w:next w:val="Normlny"/>
    <w:link w:val="Nadpis1Char"/>
    <w:uiPriority w:val="3"/>
    <w:qFormat/>
    <w:rsid w:val="00C87DD3"/>
    <w:pPr>
      <w:keepNext/>
      <w:spacing w:before="360" w:after="60" w:line="264" w:lineRule="auto"/>
      <w:jc w:val="left"/>
      <w:outlineLvl w:val="0"/>
    </w:pPr>
    <w:rPr>
      <w:rFonts w:asciiTheme="majorHAnsi" w:eastAsiaTheme="majorEastAsia" w:hAnsiTheme="majorHAnsi" w:cs="Arial"/>
      <w:b/>
      <w:bCs/>
      <w:color w:val="000000"/>
      <w:sz w:val="28"/>
      <w:szCs w:val="28"/>
      <w:lang w:val="sv-SE" w:eastAsia="sv-SE"/>
    </w:rPr>
  </w:style>
  <w:style w:type="paragraph" w:styleId="Nadpis2">
    <w:name w:val="heading 2"/>
    <w:basedOn w:val="Normlny"/>
    <w:next w:val="Normlny"/>
    <w:link w:val="Nadpis2Char"/>
    <w:uiPriority w:val="9"/>
    <w:unhideWhenUsed/>
    <w:qFormat/>
    <w:rsid w:val="00AB6A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3"/>
    <w:qFormat/>
    <w:rsid w:val="00C87DD3"/>
    <w:pPr>
      <w:keepNext/>
      <w:spacing w:before="360" w:after="60" w:line="264" w:lineRule="auto"/>
      <w:jc w:val="left"/>
      <w:outlineLvl w:val="2"/>
    </w:pPr>
    <w:rPr>
      <w:rFonts w:asciiTheme="majorHAnsi" w:eastAsiaTheme="majorEastAsia" w:hAnsiTheme="majorHAnsi" w:cs="Arial"/>
      <w:b/>
      <w:bCs/>
      <w:color w:val="000000"/>
      <w:sz w:val="20"/>
      <w:lang w:val="sv-SE" w:eastAsia="sv-SE"/>
    </w:rPr>
  </w:style>
  <w:style w:type="paragraph" w:styleId="Nadpis4">
    <w:name w:val="heading 4"/>
    <w:basedOn w:val="Normlny"/>
    <w:next w:val="Normlny"/>
    <w:link w:val="Nadpis4Char"/>
    <w:uiPriority w:val="9"/>
    <w:unhideWhenUsed/>
    <w:qFormat/>
    <w:rsid w:val="00090B63"/>
    <w:pPr>
      <w:keepNext/>
      <w:keepLines/>
      <w:spacing w:before="40" w:line="259" w:lineRule="auto"/>
      <w:jc w:val="left"/>
      <w:outlineLvl w:val="3"/>
    </w:pPr>
    <w:rPr>
      <w:rFonts w:asciiTheme="majorHAnsi" w:eastAsiaTheme="majorEastAsia" w:hAnsiTheme="majorHAnsi" w:cstheme="majorBidi"/>
      <w:i/>
      <w:iCs/>
      <w:color w:val="365F91" w:themeColor="accent1" w:themeShade="BF"/>
      <w:kern w:val="2"/>
      <w:sz w:val="22"/>
      <w:szCs w:val="22"/>
      <w:lang w:val="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3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character" w:styleId="Odkaznakomentr">
    <w:name w:val="annotation reference"/>
    <w:basedOn w:val="Predvolenpsmoodseku"/>
    <w:uiPriority w:val="99"/>
    <w:semiHidden/>
    <w:unhideWhenUsed/>
    <w:rsid w:val="00412D37"/>
    <w:rPr>
      <w:sz w:val="16"/>
      <w:szCs w:val="16"/>
    </w:rPr>
  </w:style>
  <w:style w:type="paragraph" w:styleId="Textkomentra">
    <w:name w:val="annotation text"/>
    <w:basedOn w:val="Normlny"/>
    <w:link w:val="TextkomentraChar"/>
    <w:uiPriority w:val="99"/>
    <w:unhideWhenUsed/>
    <w:rsid w:val="00412D37"/>
    <w:pPr>
      <w:spacing w:after="160" w:line="240" w:lineRule="auto"/>
      <w:jc w:val="left"/>
    </w:pPr>
    <w:rPr>
      <w:rFonts w:asciiTheme="minorHAnsi" w:eastAsiaTheme="minorHAnsi" w:hAnsiTheme="minorHAnsi" w:cstheme="minorBidi"/>
      <w:sz w:val="20"/>
      <w:szCs w:val="20"/>
      <w:lang w:val="fr-FR"/>
    </w:rPr>
  </w:style>
  <w:style w:type="character" w:customStyle="1" w:styleId="TextkomentraChar">
    <w:name w:val="Text komentára Char"/>
    <w:basedOn w:val="Predvolenpsmoodseku"/>
    <w:link w:val="Textkomentra"/>
    <w:uiPriority w:val="99"/>
    <w:rsid w:val="00412D37"/>
    <w:rPr>
      <w:sz w:val="20"/>
      <w:szCs w:val="20"/>
      <w:lang w:val="fr-FR"/>
    </w:rPr>
  </w:style>
  <w:style w:type="paragraph" w:styleId="Odsekzoznamu">
    <w:name w:val="List Paragraph"/>
    <w:basedOn w:val="Normlny"/>
    <w:link w:val="OdsekzoznamuChar"/>
    <w:uiPriority w:val="34"/>
    <w:qFormat/>
    <w:rsid w:val="00412D37"/>
    <w:pPr>
      <w:ind w:left="720"/>
      <w:contextualSpacing/>
    </w:pPr>
    <w:rPr>
      <w:sz w:val="20"/>
    </w:rPr>
  </w:style>
  <w:style w:type="paragraph" w:styleId="Predmetkomentra">
    <w:name w:val="annotation subject"/>
    <w:basedOn w:val="Textkomentra"/>
    <w:next w:val="Textkomentra"/>
    <w:link w:val="PredmetkomentraChar"/>
    <w:uiPriority w:val="99"/>
    <w:semiHidden/>
    <w:unhideWhenUsed/>
    <w:rsid w:val="007B3DF5"/>
    <w:pPr>
      <w:spacing w:after="0"/>
      <w:jc w:val="both"/>
    </w:pPr>
    <w:rPr>
      <w:rFonts w:ascii="Verdana" w:eastAsia="Times New Roman" w:hAnsi="Verdana" w:cs="Times New Roman"/>
      <w:b/>
      <w:bCs/>
      <w:lang w:val="en-GB"/>
    </w:rPr>
  </w:style>
  <w:style w:type="character" w:customStyle="1" w:styleId="PredmetkomentraChar">
    <w:name w:val="Predmet komentára Char"/>
    <w:basedOn w:val="TextkomentraChar"/>
    <w:link w:val="Predmetkomentra"/>
    <w:uiPriority w:val="99"/>
    <w:semiHidden/>
    <w:rsid w:val="007B3DF5"/>
    <w:rPr>
      <w:rFonts w:ascii="Verdana" w:eastAsia="Times New Roman" w:hAnsi="Verdana" w:cs="Times New Roman"/>
      <w:b/>
      <w:bCs/>
      <w:sz w:val="20"/>
      <w:szCs w:val="20"/>
      <w:lang w:val="en-GB"/>
    </w:rPr>
  </w:style>
  <w:style w:type="paragraph" w:styleId="Revzia">
    <w:name w:val="Revision"/>
    <w:hidden/>
    <w:uiPriority w:val="99"/>
    <w:semiHidden/>
    <w:rsid w:val="009B64DB"/>
    <w:pPr>
      <w:spacing w:after="0" w:line="240" w:lineRule="auto"/>
    </w:pPr>
    <w:rPr>
      <w:rFonts w:ascii="Verdana" w:eastAsia="Times New Roman" w:hAnsi="Verdana" w:cs="Times New Roman"/>
      <w:sz w:val="18"/>
      <w:szCs w:val="24"/>
      <w:lang w:val="en-GB"/>
    </w:rPr>
  </w:style>
  <w:style w:type="character" w:customStyle="1" w:styleId="OdsekzoznamuChar">
    <w:name w:val="Odsek zoznamu Char"/>
    <w:basedOn w:val="Predvolenpsmoodseku"/>
    <w:link w:val="Odsekzoznamu"/>
    <w:uiPriority w:val="34"/>
    <w:locked/>
    <w:rsid w:val="00BD11A3"/>
    <w:rPr>
      <w:rFonts w:ascii="Verdana" w:eastAsia="Times New Roman" w:hAnsi="Verdana" w:cs="Times New Roman"/>
      <w:sz w:val="20"/>
      <w:szCs w:val="24"/>
      <w:lang w:val="en-GB"/>
    </w:rPr>
  </w:style>
  <w:style w:type="paragraph" w:customStyle="1" w:styleId="Default">
    <w:name w:val="Default"/>
    <w:rsid w:val="003366B0"/>
    <w:pPr>
      <w:autoSpaceDE w:val="0"/>
      <w:autoSpaceDN w:val="0"/>
      <w:adjustRightInd w:val="0"/>
      <w:spacing w:after="0" w:line="240" w:lineRule="auto"/>
    </w:pPr>
    <w:rPr>
      <w:rFonts w:ascii="Verdana" w:hAnsi="Verdana" w:cs="Verdana"/>
      <w:color w:val="000000"/>
      <w:sz w:val="24"/>
      <w:szCs w:val="24"/>
      <w:lang w:val="en-GB"/>
    </w:rPr>
  </w:style>
  <w:style w:type="character" w:customStyle="1" w:styleId="Nadpis1Char">
    <w:name w:val="Nadpis 1 Char"/>
    <w:basedOn w:val="Predvolenpsmoodseku"/>
    <w:link w:val="Nadpis1"/>
    <w:uiPriority w:val="3"/>
    <w:rsid w:val="00C87DD3"/>
    <w:rPr>
      <w:rFonts w:asciiTheme="majorHAnsi" w:eastAsiaTheme="majorEastAsia" w:hAnsiTheme="majorHAnsi" w:cs="Arial"/>
      <w:b/>
      <w:bCs/>
      <w:color w:val="000000"/>
      <w:sz w:val="28"/>
      <w:szCs w:val="28"/>
      <w:lang w:val="sv-SE" w:eastAsia="sv-SE"/>
    </w:rPr>
  </w:style>
  <w:style w:type="character" w:customStyle="1" w:styleId="Nadpis3Char">
    <w:name w:val="Nadpis 3 Char"/>
    <w:basedOn w:val="Predvolenpsmoodseku"/>
    <w:link w:val="Nadpis3"/>
    <w:uiPriority w:val="3"/>
    <w:rsid w:val="00C87DD3"/>
    <w:rPr>
      <w:rFonts w:asciiTheme="majorHAnsi" w:eastAsiaTheme="majorEastAsia" w:hAnsiTheme="majorHAnsi" w:cs="Arial"/>
      <w:b/>
      <w:bCs/>
      <w:color w:val="000000"/>
      <w:sz w:val="20"/>
      <w:szCs w:val="24"/>
      <w:lang w:val="sv-SE" w:eastAsia="sv-SE"/>
    </w:rPr>
  </w:style>
  <w:style w:type="character" w:styleId="Odkaznapoznmkupodiarou">
    <w:name w:val="footnote reference"/>
    <w:basedOn w:val="Predvolenpsmoodseku"/>
    <w:uiPriority w:val="99"/>
    <w:semiHidden/>
    <w:rsid w:val="00C87DD3"/>
    <w:rPr>
      <w:rFonts w:asciiTheme="minorHAnsi" w:hAnsiTheme="minorHAnsi"/>
      <w:sz w:val="20"/>
      <w:vertAlign w:val="superscript"/>
    </w:rPr>
  </w:style>
  <w:style w:type="paragraph" w:styleId="Textpoznmkypodiarou">
    <w:name w:val="footnote text"/>
    <w:basedOn w:val="Normlny"/>
    <w:link w:val="TextpoznmkypodiarouChar"/>
    <w:uiPriority w:val="99"/>
    <w:rsid w:val="00C87DD3"/>
    <w:pPr>
      <w:spacing w:line="240" w:lineRule="auto"/>
      <w:jc w:val="left"/>
    </w:pPr>
    <w:rPr>
      <w:rFonts w:asciiTheme="minorHAnsi" w:hAnsiTheme="minorHAnsi" w:cs="Arial"/>
      <w:color w:val="000000"/>
      <w:sz w:val="16"/>
      <w:szCs w:val="20"/>
      <w:lang w:val="sv-SE" w:eastAsia="sv-SE"/>
    </w:rPr>
  </w:style>
  <w:style w:type="character" w:customStyle="1" w:styleId="TextpoznmkypodiarouChar">
    <w:name w:val="Text poznámky pod čiarou Char"/>
    <w:basedOn w:val="Predvolenpsmoodseku"/>
    <w:link w:val="Textpoznmkypodiarou"/>
    <w:uiPriority w:val="99"/>
    <w:rsid w:val="00C87DD3"/>
    <w:rPr>
      <w:rFonts w:eastAsia="Times New Roman" w:cs="Arial"/>
      <w:color w:val="000000"/>
      <w:sz w:val="16"/>
      <w:szCs w:val="20"/>
      <w:lang w:val="sv-SE" w:eastAsia="sv-SE"/>
    </w:rPr>
  </w:style>
  <w:style w:type="character" w:customStyle="1" w:styleId="Nadpis4Char">
    <w:name w:val="Nadpis 4 Char"/>
    <w:basedOn w:val="Predvolenpsmoodseku"/>
    <w:link w:val="Nadpis4"/>
    <w:uiPriority w:val="9"/>
    <w:rsid w:val="00090B63"/>
    <w:rPr>
      <w:rFonts w:asciiTheme="majorHAnsi" w:eastAsiaTheme="majorEastAsia" w:hAnsiTheme="majorHAnsi" w:cstheme="majorBidi"/>
      <w:i/>
      <w:iCs/>
      <w:color w:val="365F91" w:themeColor="accent1" w:themeShade="BF"/>
      <w:kern w:val="2"/>
      <w:lang w:val="en-US"/>
      <w14:ligatures w14:val="standardContextual"/>
    </w:rPr>
  </w:style>
  <w:style w:type="paragraph" w:styleId="Citcia">
    <w:name w:val="Quote"/>
    <w:basedOn w:val="Normlny"/>
    <w:next w:val="Normlny"/>
    <w:link w:val="CitciaChar"/>
    <w:uiPriority w:val="29"/>
    <w:qFormat/>
    <w:rsid w:val="00A664BD"/>
    <w:pPr>
      <w:spacing w:before="200" w:after="160" w:line="240" w:lineRule="auto"/>
      <w:ind w:right="864"/>
    </w:pPr>
    <w:rPr>
      <w:rFonts w:ascii="Poppins" w:eastAsiaTheme="minorHAnsi" w:hAnsi="Poppins" w:cs="Poppins"/>
      <w:iCs/>
      <w:color w:val="4F81BD" w:themeColor="accent1"/>
      <w:sz w:val="20"/>
      <w:szCs w:val="20"/>
      <w:lang w:val="nl-BE"/>
    </w:rPr>
  </w:style>
  <w:style w:type="character" w:customStyle="1" w:styleId="CitciaChar">
    <w:name w:val="Citácia Char"/>
    <w:basedOn w:val="Predvolenpsmoodseku"/>
    <w:link w:val="Citcia"/>
    <w:uiPriority w:val="29"/>
    <w:rsid w:val="00A664BD"/>
    <w:rPr>
      <w:rFonts w:ascii="Poppins" w:hAnsi="Poppins" w:cs="Poppins"/>
      <w:iCs/>
      <w:color w:val="4F81BD" w:themeColor="accent1"/>
      <w:sz w:val="20"/>
      <w:szCs w:val="20"/>
      <w:lang w:val="nl-BE"/>
    </w:rPr>
  </w:style>
  <w:style w:type="paragraph" w:styleId="Normlnywebov">
    <w:name w:val="Normal (Web)"/>
    <w:basedOn w:val="Normlny"/>
    <w:uiPriority w:val="99"/>
    <w:semiHidden/>
    <w:unhideWhenUsed/>
    <w:rsid w:val="009644F1"/>
    <w:pPr>
      <w:spacing w:before="100" w:beforeAutospacing="1" w:after="100" w:afterAutospacing="1" w:line="240" w:lineRule="auto"/>
      <w:jc w:val="left"/>
    </w:pPr>
    <w:rPr>
      <w:rFonts w:ascii="Times New Roman" w:hAnsi="Times New Roman"/>
      <w:sz w:val="24"/>
      <w:lang w:eastAsia="en-GB"/>
    </w:rPr>
  </w:style>
  <w:style w:type="character" w:styleId="Vrazn">
    <w:name w:val="Strong"/>
    <w:basedOn w:val="Predvolenpsmoodseku"/>
    <w:uiPriority w:val="22"/>
    <w:qFormat/>
    <w:rsid w:val="009644F1"/>
    <w:rPr>
      <w:b/>
      <w:bCs/>
    </w:rPr>
  </w:style>
  <w:style w:type="character" w:customStyle="1" w:styleId="Nadpis2Char">
    <w:name w:val="Nadpis 2 Char"/>
    <w:basedOn w:val="Predvolenpsmoodseku"/>
    <w:link w:val="Nadpis2"/>
    <w:uiPriority w:val="9"/>
    <w:rsid w:val="00AB6AE1"/>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6994">
      <w:bodyDiv w:val="1"/>
      <w:marLeft w:val="0"/>
      <w:marRight w:val="0"/>
      <w:marTop w:val="0"/>
      <w:marBottom w:val="0"/>
      <w:divBdr>
        <w:top w:val="none" w:sz="0" w:space="0" w:color="auto"/>
        <w:left w:val="none" w:sz="0" w:space="0" w:color="auto"/>
        <w:bottom w:val="none" w:sz="0" w:space="0" w:color="auto"/>
        <w:right w:val="none" w:sz="0" w:space="0" w:color="auto"/>
      </w:divBdr>
    </w:div>
    <w:div w:id="110243282">
      <w:bodyDiv w:val="1"/>
      <w:marLeft w:val="0"/>
      <w:marRight w:val="0"/>
      <w:marTop w:val="0"/>
      <w:marBottom w:val="0"/>
      <w:divBdr>
        <w:top w:val="none" w:sz="0" w:space="0" w:color="auto"/>
        <w:left w:val="none" w:sz="0" w:space="0" w:color="auto"/>
        <w:bottom w:val="none" w:sz="0" w:space="0" w:color="auto"/>
        <w:right w:val="none" w:sz="0" w:space="0" w:color="auto"/>
      </w:divBdr>
    </w:div>
    <w:div w:id="118033883">
      <w:bodyDiv w:val="1"/>
      <w:marLeft w:val="0"/>
      <w:marRight w:val="0"/>
      <w:marTop w:val="0"/>
      <w:marBottom w:val="0"/>
      <w:divBdr>
        <w:top w:val="none" w:sz="0" w:space="0" w:color="auto"/>
        <w:left w:val="none" w:sz="0" w:space="0" w:color="auto"/>
        <w:bottom w:val="none" w:sz="0" w:space="0" w:color="auto"/>
        <w:right w:val="none" w:sz="0" w:space="0" w:color="auto"/>
      </w:divBdr>
    </w:div>
    <w:div w:id="125660343">
      <w:bodyDiv w:val="1"/>
      <w:marLeft w:val="0"/>
      <w:marRight w:val="0"/>
      <w:marTop w:val="0"/>
      <w:marBottom w:val="0"/>
      <w:divBdr>
        <w:top w:val="none" w:sz="0" w:space="0" w:color="auto"/>
        <w:left w:val="none" w:sz="0" w:space="0" w:color="auto"/>
        <w:bottom w:val="none" w:sz="0" w:space="0" w:color="auto"/>
        <w:right w:val="none" w:sz="0" w:space="0" w:color="auto"/>
      </w:divBdr>
    </w:div>
    <w:div w:id="272790493">
      <w:bodyDiv w:val="1"/>
      <w:marLeft w:val="0"/>
      <w:marRight w:val="0"/>
      <w:marTop w:val="0"/>
      <w:marBottom w:val="0"/>
      <w:divBdr>
        <w:top w:val="none" w:sz="0" w:space="0" w:color="auto"/>
        <w:left w:val="none" w:sz="0" w:space="0" w:color="auto"/>
        <w:bottom w:val="none" w:sz="0" w:space="0" w:color="auto"/>
        <w:right w:val="none" w:sz="0" w:space="0" w:color="auto"/>
      </w:divBdr>
    </w:div>
    <w:div w:id="310671517">
      <w:bodyDiv w:val="1"/>
      <w:marLeft w:val="0"/>
      <w:marRight w:val="0"/>
      <w:marTop w:val="0"/>
      <w:marBottom w:val="0"/>
      <w:divBdr>
        <w:top w:val="none" w:sz="0" w:space="0" w:color="auto"/>
        <w:left w:val="none" w:sz="0" w:space="0" w:color="auto"/>
        <w:bottom w:val="none" w:sz="0" w:space="0" w:color="auto"/>
        <w:right w:val="none" w:sz="0" w:space="0" w:color="auto"/>
      </w:divBdr>
    </w:div>
    <w:div w:id="338000537">
      <w:bodyDiv w:val="1"/>
      <w:marLeft w:val="0"/>
      <w:marRight w:val="0"/>
      <w:marTop w:val="0"/>
      <w:marBottom w:val="0"/>
      <w:divBdr>
        <w:top w:val="none" w:sz="0" w:space="0" w:color="auto"/>
        <w:left w:val="none" w:sz="0" w:space="0" w:color="auto"/>
        <w:bottom w:val="none" w:sz="0" w:space="0" w:color="auto"/>
        <w:right w:val="none" w:sz="0" w:space="0" w:color="auto"/>
      </w:divBdr>
    </w:div>
    <w:div w:id="355353287">
      <w:bodyDiv w:val="1"/>
      <w:marLeft w:val="0"/>
      <w:marRight w:val="0"/>
      <w:marTop w:val="0"/>
      <w:marBottom w:val="0"/>
      <w:divBdr>
        <w:top w:val="none" w:sz="0" w:space="0" w:color="auto"/>
        <w:left w:val="none" w:sz="0" w:space="0" w:color="auto"/>
        <w:bottom w:val="none" w:sz="0" w:space="0" w:color="auto"/>
        <w:right w:val="none" w:sz="0" w:space="0" w:color="auto"/>
      </w:divBdr>
    </w:div>
    <w:div w:id="450973443">
      <w:bodyDiv w:val="1"/>
      <w:marLeft w:val="0"/>
      <w:marRight w:val="0"/>
      <w:marTop w:val="0"/>
      <w:marBottom w:val="0"/>
      <w:divBdr>
        <w:top w:val="none" w:sz="0" w:space="0" w:color="auto"/>
        <w:left w:val="none" w:sz="0" w:space="0" w:color="auto"/>
        <w:bottom w:val="none" w:sz="0" w:space="0" w:color="auto"/>
        <w:right w:val="none" w:sz="0" w:space="0" w:color="auto"/>
      </w:divBdr>
    </w:div>
    <w:div w:id="481392420">
      <w:bodyDiv w:val="1"/>
      <w:marLeft w:val="0"/>
      <w:marRight w:val="0"/>
      <w:marTop w:val="0"/>
      <w:marBottom w:val="0"/>
      <w:divBdr>
        <w:top w:val="none" w:sz="0" w:space="0" w:color="auto"/>
        <w:left w:val="none" w:sz="0" w:space="0" w:color="auto"/>
        <w:bottom w:val="none" w:sz="0" w:space="0" w:color="auto"/>
        <w:right w:val="none" w:sz="0" w:space="0" w:color="auto"/>
      </w:divBdr>
    </w:div>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558443622">
      <w:bodyDiv w:val="1"/>
      <w:marLeft w:val="0"/>
      <w:marRight w:val="0"/>
      <w:marTop w:val="0"/>
      <w:marBottom w:val="0"/>
      <w:divBdr>
        <w:top w:val="none" w:sz="0" w:space="0" w:color="auto"/>
        <w:left w:val="none" w:sz="0" w:space="0" w:color="auto"/>
        <w:bottom w:val="none" w:sz="0" w:space="0" w:color="auto"/>
        <w:right w:val="none" w:sz="0" w:space="0" w:color="auto"/>
      </w:divBdr>
    </w:div>
    <w:div w:id="657152285">
      <w:bodyDiv w:val="1"/>
      <w:marLeft w:val="0"/>
      <w:marRight w:val="0"/>
      <w:marTop w:val="0"/>
      <w:marBottom w:val="0"/>
      <w:divBdr>
        <w:top w:val="none" w:sz="0" w:space="0" w:color="auto"/>
        <w:left w:val="none" w:sz="0" w:space="0" w:color="auto"/>
        <w:bottom w:val="none" w:sz="0" w:space="0" w:color="auto"/>
        <w:right w:val="none" w:sz="0" w:space="0" w:color="auto"/>
      </w:divBdr>
    </w:div>
    <w:div w:id="677732962">
      <w:bodyDiv w:val="1"/>
      <w:marLeft w:val="0"/>
      <w:marRight w:val="0"/>
      <w:marTop w:val="0"/>
      <w:marBottom w:val="0"/>
      <w:divBdr>
        <w:top w:val="none" w:sz="0" w:space="0" w:color="auto"/>
        <w:left w:val="none" w:sz="0" w:space="0" w:color="auto"/>
        <w:bottom w:val="none" w:sz="0" w:space="0" w:color="auto"/>
        <w:right w:val="none" w:sz="0" w:space="0" w:color="auto"/>
      </w:divBdr>
    </w:div>
    <w:div w:id="692003188">
      <w:bodyDiv w:val="1"/>
      <w:marLeft w:val="0"/>
      <w:marRight w:val="0"/>
      <w:marTop w:val="0"/>
      <w:marBottom w:val="0"/>
      <w:divBdr>
        <w:top w:val="none" w:sz="0" w:space="0" w:color="auto"/>
        <w:left w:val="none" w:sz="0" w:space="0" w:color="auto"/>
        <w:bottom w:val="none" w:sz="0" w:space="0" w:color="auto"/>
        <w:right w:val="none" w:sz="0" w:space="0" w:color="auto"/>
      </w:divBdr>
    </w:div>
    <w:div w:id="731274170">
      <w:bodyDiv w:val="1"/>
      <w:marLeft w:val="0"/>
      <w:marRight w:val="0"/>
      <w:marTop w:val="0"/>
      <w:marBottom w:val="0"/>
      <w:divBdr>
        <w:top w:val="none" w:sz="0" w:space="0" w:color="auto"/>
        <w:left w:val="none" w:sz="0" w:space="0" w:color="auto"/>
        <w:bottom w:val="none" w:sz="0" w:space="0" w:color="auto"/>
        <w:right w:val="none" w:sz="0" w:space="0" w:color="auto"/>
      </w:divBdr>
    </w:div>
    <w:div w:id="736441461">
      <w:bodyDiv w:val="1"/>
      <w:marLeft w:val="0"/>
      <w:marRight w:val="0"/>
      <w:marTop w:val="0"/>
      <w:marBottom w:val="0"/>
      <w:divBdr>
        <w:top w:val="none" w:sz="0" w:space="0" w:color="auto"/>
        <w:left w:val="none" w:sz="0" w:space="0" w:color="auto"/>
        <w:bottom w:val="none" w:sz="0" w:space="0" w:color="auto"/>
        <w:right w:val="none" w:sz="0" w:space="0" w:color="auto"/>
      </w:divBdr>
    </w:div>
    <w:div w:id="754859955">
      <w:bodyDiv w:val="1"/>
      <w:marLeft w:val="0"/>
      <w:marRight w:val="0"/>
      <w:marTop w:val="0"/>
      <w:marBottom w:val="0"/>
      <w:divBdr>
        <w:top w:val="none" w:sz="0" w:space="0" w:color="auto"/>
        <w:left w:val="none" w:sz="0" w:space="0" w:color="auto"/>
        <w:bottom w:val="none" w:sz="0" w:space="0" w:color="auto"/>
        <w:right w:val="none" w:sz="0" w:space="0" w:color="auto"/>
      </w:divBdr>
    </w:div>
    <w:div w:id="768819209">
      <w:bodyDiv w:val="1"/>
      <w:marLeft w:val="0"/>
      <w:marRight w:val="0"/>
      <w:marTop w:val="0"/>
      <w:marBottom w:val="0"/>
      <w:divBdr>
        <w:top w:val="none" w:sz="0" w:space="0" w:color="auto"/>
        <w:left w:val="none" w:sz="0" w:space="0" w:color="auto"/>
        <w:bottom w:val="none" w:sz="0" w:space="0" w:color="auto"/>
        <w:right w:val="none" w:sz="0" w:space="0" w:color="auto"/>
      </w:divBdr>
    </w:div>
    <w:div w:id="830485726">
      <w:bodyDiv w:val="1"/>
      <w:marLeft w:val="0"/>
      <w:marRight w:val="0"/>
      <w:marTop w:val="0"/>
      <w:marBottom w:val="0"/>
      <w:divBdr>
        <w:top w:val="none" w:sz="0" w:space="0" w:color="auto"/>
        <w:left w:val="none" w:sz="0" w:space="0" w:color="auto"/>
        <w:bottom w:val="none" w:sz="0" w:space="0" w:color="auto"/>
        <w:right w:val="none" w:sz="0" w:space="0" w:color="auto"/>
      </w:divBdr>
    </w:div>
    <w:div w:id="835995191">
      <w:bodyDiv w:val="1"/>
      <w:marLeft w:val="0"/>
      <w:marRight w:val="0"/>
      <w:marTop w:val="0"/>
      <w:marBottom w:val="0"/>
      <w:divBdr>
        <w:top w:val="none" w:sz="0" w:space="0" w:color="auto"/>
        <w:left w:val="none" w:sz="0" w:space="0" w:color="auto"/>
        <w:bottom w:val="none" w:sz="0" w:space="0" w:color="auto"/>
        <w:right w:val="none" w:sz="0" w:space="0" w:color="auto"/>
      </w:divBdr>
    </w:div>
    <w:div w:id="853348241">
      <w:bodyDiv w:val="1"/>
      <w:marLeft w:val="0"/>
      <w:marRight w:val="0"/>
      <w:marTop w:val="0"/>
      <w:marBottom w:val="0"/>
      <w:divBdr>
        <w:top w:val="none" w:sz="0" w:space="0" w:color="auto"/>
        <w:left w:val="none" w:sz="0" w:space="0" w:color="auto"/>
        <w:bottom w:val="none" w:sz="0" w:space="0" w:color="auto"/>
        <w:right w:val="none" w:sz="0" w:space="0" w:color="auto"/>
      </w:divBdr>
    </w:div>
    <w:div w:id="956571465">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067726284">
      <w:bodyDiv w:val="1"/>
      <w:marLeft w:val="0"/>
      <w:marRight w:val="0"/>
      <w:marTop w:val="0"/>
      <w:marBottom w:val="0"/>
      <w:divBdr>
        <w:top w:val="none" w:sz="0" w:space="0" w:color="auto"/>
        <w:left w:val="none" w:sz="0" w:space="0" w:color="auto"/>
        <w:bottom w:val="none" w:sz="0" w:space="0" w:color="auto"/>
        <w:right w:val="none" w:sz="0" w:space="0" w:color="auto"/>
      </w:divBdr>
    </w:div>
    <w:div w:id="1115557498">
      <w:bodyDiv w:val="1"/>
      <w:marLeft w:val="0"/>
      <w:marRight w:val="0"/>
      <w:marTop w:val="0"/>
      <w:marBottom w:val="0"/>
      <w:divBdr>
        <w:top w:val="none" w:sz="0" w:space="0" w:color="auto"/>
        <w:left w:val="none" w:sz="0" w:space="0" w:color="auto"/>
        <w:bottom w:val="none" w:sz="0" w:space="0" w:color="auto"/>
        <w:right w:val="none" w:sz="0" w:space="0" w:color="auto"/>
      </w:divBdr>
    </w:div>
    <w:div w:id="1240022271">
      <w:bodyDiv w:val="1"/>
      <w:marLeft w:val="0"/>
      <w:marRight w:val="0"/>
      <w:marTop w:val="0"/>
      <w:marBottom w:val="0"/>
      <w:divBdr>
        <w:top w:val="none" w:sz="0" w:space="0" w:color="auto"/>
        <w:left w:val="none" w:sz="0" w:space="0" w:color="auto"/>
        <w:bottom w:val="none" w:sz="0" w:space="0" w:color="auto"/>
        <w:right w:val="none" w:sz="0" w:space="0" w:color="auto"/>
      </w:divBdr>
    </w:div>
    <w:div w:id="1249655888">
      <w:bodyDiv w:val="1"/>
      <w:marLeft w:val="0"/>
      <w:marRight w:val="0"/>
      <w:marTop w:val="0"/>
      <w:marBottom w:val="0"/>
      <w:divBdr>
        <w:top w:val="none" w:sz="0" w:space="0" w:color="auto"/>
        <w:left w:val="none" w:sz="0" w:space="0" w:color="auto"/>
        <w:bottom w:val="none" w:sz="0" w:space="0" w:color="auto"/>
        <w:right w:val="none" w:sz="0" w:space="0" w:color="auto"/>
      </w:divBdr>
    </w:div>
    <w:div w:id="1304500127">
      <w:bodyDiv w:val="1"/>
      <w:marLeft w:val="0"/>
      <w:marRight w:val="0"/>
      <w:marTop w:val="0"/>
      <w:marBottom w:val="0"/>
      <w:divBdr>
        <w:top w:val="none" w:sz="0" w:space="0" w:color="auto"/>
        <w:left w:val="none" w:sz="0" w:space="0" w:color="auto"/>
        <w:bottom w:val="none" w:sz="0" w:space="0" w:color="auto"/>
        <w:right w:val="none" w:sz="0" w:space="0" w:color="auto"/>
      </w:divBdr>
    </w:div>
    <w:div w:id="1463697443">
      <w:bodyDiv w:val="1"/>
      <w:marLeft w:val="0"/>
      <w:marRight w:val="0"/>
      <w:marTop w:val="0"/>
      <w:marBottom w:val="0"/>
      <w:divBdr>
        <w:top w:val="none" w:sz="0" w:space="0" w:color="auto"/>
        <w:left w:val="none" w:sz="0" w:space="0" w:color="auto"/>
        <w:bottom w:val="none" w:sz="0" w:space="0" w:color="auto"/>
        <w:right w:val="none" w:sz="0" w:space="0" w:color="auto"/>
      </w:divBdr>
    </w:div>
    <w:div w:id="1590918466">
      <w:bodyDiv w:val="1"/>
      <w:marLeft w:val="0"/>
      <w:marRight w:val="0"/>
      <w:marTop w:val="0"/>
      <w:marBottom w:val="0"/>
      <w:divBdr>
        <w:top w:val="none" w:sz="0" w:space="0" w:color="auto"/>
        <w:left w:val="none" w:sz="0" w:space="0" w:color="auto"/>
        <w:bottom w:val="none" w:sz="0" w:space="0" w:color="auto"/>
        <w:right w:val="none" w:sz="0" w:space="0" w:color="auto"/>
      </w:divBdr>
    </w:div>
    <w:div w:id="1690180931">
      <w:bodyDiv w:val="1"/>
      <w:marLeft w:val="0"/>
      <w:marRight w:val="0"/>
      <w:marTop w:val="0"/>
      <w:marBottom w:val="0"/>
      <w:divBdr>
        <w:top w:val="none" w:sz="0" w:space="0" w:color="auto"/>
        <w:left w:val="none" w:sz="0" w:space="0" w:color="auto"/>
        <w:bottom w:val="none" w:sz="0" w:space="0" w:color="auto"/>
        <w:right w:val="none" w:sz="0" w:space="0" w:color="auto"/>
      </w:divBdr>
    </w:div>
    <w:div w:id="1761027129">
      <w:bodyDiv w:val="1"/>
      <w:marLeft w:val="0"/>
      <w:marRight w:val="0"/>
      <w:marTop w:val="0"/>
      <w:marBottom w:val="0"/>
      <w:divBdr>
        <w:top w:val="none" w:sz="0" w:space="0" w:color="auto"/>
        <w:left w:val="none" w:sz="0" w:space="0" w:color="auto"/>
        <w:bottom w:val="none" w:sz="0" w:space="0" w:color="auto"/>
        <w:right w:val="none" w:sz="0" w:space="0" w:color="auto"/>
      </w:divBdr>
    </w:div>
    <w:div w:id="1795176323">
      <w:bodyDiv w:val="1"/>
      <w:marLeft w:val="0"/>
      <w:marRight w:val="0"/>
      <w:marTop w:val="0"/>
      <w:marBottom w:val="0"/>
      <w:divBdr>
        <w:top w:val="none" w:sz="0" w:space="0" w:color="auto"/>
        <w:left w:val="none" w:sz="0" w:space="0" w:color="auto"/>
        <w:bottom w:val="none" w:sz="0" w:space="0" w:color="auto"/>
        <w:right w:val="none" w:sz="0" w:space="0" w:color="auto"/>
      </w:divBdr>
    </w:div>
    <w:div w:id="1880194275">
      <w:bodyDiv w:val="1"/>
      <w:marLeft w:val="0"/>
      <w:marRight w:val="0"/>
      <w:marTop w:val="0"/>
      <w:marBottom w:val="0"/>
      <w:divBdr>
        <w:top w:val="none" w:sz="0" w:space="0" w:color="auto"/>
        <w:left w:val="none" w:sz="0" w:space="0" w:color="auto"/>
        <w:bottom w:val="none" w:sz="0" w:space="0" w:color="auto"/>
        <w:right w:val="none" w:sz="0" w:space="0" w:color="auto"/>
      </w:divBdr>
    </w:div>
    <w:div w:id="18940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prudential@insuranceeurop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8FAE289C14A39A5B73B6A2FDD7D04"/>
        <w:category>
          <w:name w:val="General"/>
          <w:gallery w:val="placeholder"/>
        </w:category>
        <w:types>
          <w:type w:val="bbPlcHdr"/>
        </w:types>
        <w:behaviors>
          <w:behavior w:val="content"/>
        </w:behaviors>
        <w:guid w:val="{61093BDF-E2FF-45B5-A969-4C42CDA7F247}"/>
      </w:docPartPr>
      <w:docPartBody>
        <w:p w:rsidR="00B9287F" w:rsidRDefault="0022383E" w:rsidP="0022383E">
          <w:pPr>
            <w:pStyle w:val="1EA8FAE289C14A39A5B73B6A2FDD7D04"/>
          </w:pPr>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F1CB6"/>
    <w:rsid w:val="00131FC4"/>
    <w:rsid w:val="001609FC"/>
    <w:rsid w:val="001B2898"/>
    <w:rsid w:val="001B5862"/>
    <w:rsid w:val="0022383E"/>
    <w:rsid w:val="00232713"/>
    <w:rsid w:val="002973CF"/>
    <w:rsid w:val="002A380D"/>
    <w:rsid w:val="00352D1D"/>
    <w:rsid w:val="00380A13"/>
    <w:rsid w:val="00383DFC"/>
    <w:rsid w:val="003F4667"/>
    <w:rsid w:val="00427EDA"/>
    <w:rsid w:val="00431584"/>
    <w:rsid w:val="004E2DA3"/>
    <w:rsid w:val="0054208E"/>
    <w:rsid w:val="00543B5B"/>
    <w:rsid w:val="0056041F"/>
    <w:rsid w:val="0057158E"/>
    <w:rsid w:val="005A13BF"/>
    <w:rsid w:val="00612ACB"/>
    <w:rsid w:val="00634188"/>
    <w:rsid w:val="00692E8A"/>
    <w:rsid w:val="006B5737"/>
    <w:rsid w:val="00711F3D"/>
    <w:rsid w:val="0079537D"/>
    <w:rsid w:val="007E3414"/>
    <w:rsid w:val="007F1C20"/>
    <w:rsid w:val="008569AE"/>
    <w:rsid w:val="009C6847"/>
    <w:rsid w:val="00A255DD"/>
    <w:rsid w:val="00A307CB"/>
    <w:rsid w:val="00AD31C9"/>
    <w:rsid w:val="00AF50EC"/>
    <w:rsid w:val="00B372C9"/>
    <w:rsid w:val="00B9287F"/>
    <w:rsid w:val="00C05EA8"/>
    <w:rsid w:val="00C629CC"/>
    <w:rsid w:val="00CE5681"/>
    <w:rsid w:val="00D36F9F"/>
    <w:rsid w:val="00D744D9"/>
    <w:rsid w:val="00E401F3"/>
    <w:rsid w:val="00E96C6B"/>
    <w:rsid w:val="00EC3302"/>
    <w:rsid w:val="00ED732E"/>
    <w:rsid w:val="00F06601"/>
    <w:rsid w:val="00F340F7"/>
    <w:rsid w:val="00F36970"/>
    <w:rsid w:val="00F633AE"/>
    <w:rsid w:val="00F67907"/>
    <w:rsid w:val="00FC71B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22383E"/>
    <w:rPr>
      <w:color w:val="808080"/>
    </w:rPr>
  </w:style>
  <w:style w:type="paragraph" w:customStyle="1" w:styleId="1EA8FAE289C14A39A5B73B6A2FDD7D04">
    <w:name w:val="1EA8FAE289C14A39A5B73B6A2FDD7D04"/>
    <w:rsid w:val="0022383E"/>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485A1-11AA-442D-8577-727460E39C5A}">
  <ds:schemaRefs>
    <ds:schemaRef ds:uri="http://purl.org/dc/elements/1.1/"/>
    <ds:schemaRef ds:uri="d352728d-c7aa-455d-bd83-40fe44122be8"/>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3.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customXml/itemProps4.xml><?xml version="1.0" encoding="utf-8"?>
<ds:datastoreItem xmlns:ds="http://schemas.openxmlformats.org/officeDocument/2006/customXml" ds:itemID="{F9D8B203-0F82-46A3-8350-ECA850965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1851</Words>
  <Characters>10557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Insurance Europe views on equity</vt:lpstr>
    </vt:vector>
  </TitlesOfParts>
  <Company>Insurance Europe</Company>
  <LinksUpToDate>false</LinksUpToDate>
  <CharactersWithSpaces>12384</CharactersWithSpaces>
  <SharedDoc>false</SharedDoc>
  <HLinks>
    <vt:vector size="6" baseType="variant">
      <vt:variant>
        <vt:i4>7471182</vt:i4>
      </vt:variant>
      <vt:variant>
        <vt:i4>5</vt:i4>
      </vt:variant>
      <vt:variant>
        <vt:i4>0</vt:i4>
      </vt:variant>
      <vt:variant>
        <vt:i4>5</vt:i4>
      </vt:variant>
      <vt:variant>
        <vt:lpwstr>mailto:prudential@insuranceeurope.eu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Insurance Europe views on equity</dc:title>
  <dc:subject/>
  <dc:creator>Insurance Europe</dc:creator>
  <cp:keywords/>
  <cp:lastModifiedBy>jozef.bachnicek</cp:lastModifiedBy>
  <cp:revision>2</cp:revision>
  <dcterms:created xsi:type="dcterms:W3CDTF">2025-02-20T08:32:00Z</dcterms:created>
  <dcterms:modified xsi:type="dcterms:W3CDTF">2025-02-20T08:32:00Z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_dlc_DocIdItemGuid">
    <vt:lpwstr>53f2ccfc-cb5c-4b2a-a083-e4a7e98f292e</vt:lpwstr>
  </property>
  <property fmtid="{D5CDD505-2E9C-101B-9397-08002B2CF9AE}" pid="4" name="MediaServiceImageTags">
    <vt:lpwstr/>
  </property>
</Properties>
</file>