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872CF7" w14:textId="4D17D4F0" w:rsidR="00A779DC" w:rsidRPr="00520F4A" w:rsidRDefault="00A779DC" w:rsidP="00520F4A">
      <w:pPr>
        <w:jc w:val="both"/>
        <w:rPr>
          <w:b/>
          <w:bCs/>
          <w:lang w:val="en-US"/>
        </w:rPr>
      </w:pPr>
      <w:r w:rsidRPr="00A779DC">
        <w:rPr>
          <w:b/>
          <w:bCs/>
          <w:lang w:val="en-US"/>
        </w:rPr>
        <w:t xml:space="preserve">Change in the possibility to accrue a foreseeable dividend over the year. </w:t>
      </w:r>
    </w:p>
    <w:p w14:paraId="30178BFE" w14:textId="77777777" w:rsidR="00A779DC" w:rsidRPr="003D0236" w:rsidRDefault="00A779DC" w:rsidP="00520F4A">
      <w:pPr>
        <w:autoSpaceDE w:val="0"/>
        <w:autoSpaceDN w:val="0"/>
        <w:adjustRightInd w:val="0"/>
        <w:jc w:val="both"/>
        <w:rPr>
          <w:b/>
          <w:color w:val="002957"/>
          <w:sz w:val="17"/>
          <w:szCs w:val="17"/>
        </w:rPr>
      </w:pPr>
      <w:r w:rsidRPr="003D0236">
        <w:rPr>
          <w:b/>
          <w:color w:val="002957"/>
          <w:sz w:val="17"/>
          <w:szCs w:val="17"/>
        </w:rPr>
        <w:t>Introduction</w:t>
      </w:r>
    </w:p>
    <w:p w14:paraId="126255EF" w14:textId="4AB6D65A" w:rsidR="00A779DC" w:rsidRDefault="00A779DC" w:rsidP="00520F4A">
      <w:pPr>
        <w:jc w:val="both"/>
        <w:rPr>
          <w:sz w:val="17"/>
          <w:szCs w:val="17"/>
        </w:rPr>
      </w:pPr>
      <w:bookmarkStart w:id="0" w:name="start"/>
      <w:r>
        <w:rPr>
          <w:sz w:val="17"/>
          <w:szCs w:val="17"/>
        </w:rPr>
        <w:t>T</w:t>
      </w:r>
      <w:r w:rsidRPr="00E707FE">
        <w:rPr>
          <w:sz w:val="17"/>
          <w:szCs w:val="17"/>
        </w:rPr>
        <w:t>he</w:t>
      </w:r>
      <w:r>
        <w:rPr>
          <w:sz w:val="17"/>
          <w:szCs w:val="17"/>
        </w:rPr>
        <w:t xml:space="preserve"> Implementing</w:t>
      </w:r>
      <w:r w:rsidRPr="00E707FE">
        <w:rPr>
          <w:sz w:val="17"/>
          <w:szCs w:val="17"/>
        </w:rPr>
        <w:t xml:space="preserve"> </w:t>
      </w:r>
      <w:r>
        <w:rPr>
          <w:sz w:val="17"/>
          <w:szCs w:val="17"/>
        </w:rPr>
        <w:t>Technical Standards</w:t>
      </w:r>
      <w:r w:rsidRPr="00E707FE">
        <w:rPr>
          <w:sz w:val="17"/>
          <w:szCs w:val="17"/>
        </w:rPr>
        <w:t xml:space="preserve"> </w:t>
      </w:r>
      <w:r>
        <w:rPr>
          <w:sz w:val="17"/>
          <w:szCs w:val="17"/>
        </w:rPr>
        <w:t xml:space="preserve">(ITS) </w:t>
      </w:r>
      <w:r w:rsidRPr="00E707FE">
        <w:rPr>
          <w:sz w:val="17"/>
          <w:szCs w:val="17"/>
        </w:rPr>
        <w:t>on</w:t>
      </w:r>
      <w:r>
        <w:rPr>
          <w:sz w:val="17"/>
          <w:szCs w:val="17"/>
        </w:rPr>
        <w:t xml:space="preserve"> supervisory</w:t>
      </w:r>
      <w:r w:rsidRPr="00E707FE">
        <w:rPr>
          <w:sz w:val="17"/>
          <w:szCs w:val="17"/>
        </w:rPr>
        <w:t xml:space="preserve"> reporting </w:t>
      </w:r>
      <w:r>
        <w:rPr>
          <w:sz w:val="17"/>
          <w:szCs w:val="17"/>
        </w:rPr>
        <w:t>(</w:t>
      </w:r>
      <w:hyperlink r:id="rId10" w:history="1">
        <w:r w:rsidRPr="00F45188">
          <w:rPr>
            <w:rStyle w:val="Hypertextovprepojenie"/>
            <w:sz w:val="17"/>
            <w:szCs w:val="17"/>
          </w:rPr>
          <w:t>Implementing Regulation (EU) 2023/894</w:t>
        </w:r>
      </w:hyperlink>
      <w:r>
        <w:rPr>
          <w:sz w:val="17"/>
          <w:szCs w:val="17"/>
        </w:rPr>
        <w:t xml:space="preserve">), applicable from Q4 2023, contains a change in the definition of foreseeable dividends which has had, or is likely to have, significantly  detrimental and uneconomical impacts on the solvency ratios of insurers. </w:t>
      </w:r>
    </w:p>
    <w:p w14:paraId="46CEBD42" w14:textId="7F679CC3" w:rsidR="00A779DC" w:rsidRDefault="00CC3FE2" w:rsidP="00520F4A">
      <w:pPr>
        <w:autoSpaceDE w:val="0"/>
        <w:autoSpaceDN w:val="0"/>
        <w:adjustRightInd w:val="0"/>
        <w:jc w:val="both"/>
        <w:rPr>
          <w:sz w:val="17"/>
          <w:szCs w:val="17"/>
        </w:rPr>
      </w:pPr>
      <w:r>
        <w:rPr>
          <w:sz w:val="17"/>
          <w:szCs w:val="17"/>
        </w:rPr>
        <w:t>Importantly, t</w:t>
      </w:r>
      <w:r w:rsidR="00A779DC">
        <w:rPr>
          <w:sz w:val="17"/>
          <w:szCs w:val="17"/>
        </w:rPr>
        <w:t>he new definition for “foreseeable dividend” removes the possibility for companies to accrue dividends on a quarterly basis, as the dividend is being earned.</w:t>
      </w:r>
      <w:r w:rsidR="00A779DC" w:rsidRPr="00CD1B56">
        <w:rPr>
          <w:sz w:val="17"/>
          <w:szCs w:val="17"/>
        </w:rPr>
        <w:t xml:space="preserve"> </w:t>
      </w:r>
      <w:r w:rsidR="00A779DC">
        <w:rPr>
          <w:sz w:val="17"/>
          <w:szCs w:val="17"/>
        </w:rPr>
        <w:t>A</w:t>
      </w:r>
      <w:r w:rsidR="00A779DC" w:rsidRPr="001F003E">
        <w:rPr>
          <w:sz w:val="17"/>
          <w:szCs w:val="17"/>
        </w:rPr>
        <w:t xml:space="preserve">s a result of these </w:t>
      </w:r>
      <w:r w:rsidR="00A779DC">
        <w:rPr>
          <w:sz w:val="17"/>
          <w:szCs w:val="17"/>
        </w:rPr>
        <w:t>changed requirements</w:t>
      </w:r>
      <w:r w:rsidR="00A779DC" w:rsidRPr="007D7CDF">
        <w:rPr>
          <w:sz w:val="17"/>
          <w:szCs w:val="17"/>
        </w:rPr>
        <w:t>,</w:t>
      </w:r>
      <w:r w:rsidR="00A779DC">
        <w:rPr>
          <w:sz w:val="17"/>
          <w:szCs w:val="17"/>
        </w:rPr>
        <w:t xml:space="preserve"> some insurers are now forced to take an uneconomic approach to accounting for foreseeable dividends </w:t>
      </w:r>
      <w:r>
        <w:rPr>
          <w:sz w:val="17"/>
          <w:szCs w:val="17"/>
        </w:rPr>
        <w:t xml:space="preserve">by </w:t>
      </w:r>
      <w:r w:rsidR="00A779DC">
        <w:rPr>
          <w:sz w:val="17"/>
          <w:szCs w:val="17"/>
        </w:rPr>
        <w:t>recognis</w:t>
      </w:r>
      <w:r>
        <w:rPr>
          <w:sz w:val="17"/>
          <w:szCs w:val="17"/>
        </w:rPr>
        <w:t>ing them</w:t>
      </w:r>
      <w:r w:rsidR="00A779DC">
        <w:rPr>
          <w:sz w:val="17"/>
          <w:szCs w:val="17"/>
        </w:rPr>
        <w:t xml:space="preserve"> in full, prior to them being earned or agreed by shareholders. </w:t>
      </w:r>
      <w:r>
        <w:rPr>
          <w:sz w:val="17"/>
          <w:szCs w:val="17"/>
        </w:rPr>
        <w:t xml:space="preserve">This results in significant </w:t>
      </w:r>
      <w:r w:rsidRPr="007D7CDF">
        <w:rPr>
          <w:sz w:val="17"/>
          <w:szCs w:val="17"/>
        </w:rPr>
        <w:t xml:space="preserve">one-off </w:t>
      </w:r>
      <w:r>
        <w:rPr>
          <w:sz w:val="17"/>
          <w:szCs w:val="17"/>
        </w:rPr>
        <w:t xml:space="preserve">negative impacts on </w:t>
      </w:r>
      <w:r w:rsidRPr="007D7CDF">
        <w:rPr>
          <w:sz w:val="17"/>
          <w:szCs w:val="17"/>
        </w:rPr>
        <w:t>solvency ratios each</w:t>
      </w:r>
      <w:r w:rsidRPr="001F003E">
        <w:rPr>
          <w:sz w:val="17"/>
          <w:szCs w:val="17"/>
        </w:rPr>
        <w:t xml:space="preserve"> year </w:t>
      </w:r>
      <w:r>
        <w:rPr>
          <w:sz w:val="17"/>
          <w:szCs w:val="17"/>
        </w:rPr>
        <w:t xml:space="preserve">when the </w:t>
      </w:r>
      <w:r w:rsidRPr="001F003E">
        <w:rPr>
          <w:sz w:val="17"/>
          <w:szCs w:val="17"/>
        </w:rPr>
        <w:t xml:space="preserve">foreseeable dividends </w:t>
      </w:r>
      <w:r>
        <w:rPr>
          <w:sz w:val="17"/>
          <w:szCs w:val="17"/>
        </w:rPr>
        <w:t>are recognised.</w:t>
      </w:r>
    </w:p>
    <w:p w14:paraId="67EEAE33" w14:textId="77777777" w:rsidR="00A779DC" w:rsidRDefault="00A779DC" w:rsidP="00520F4A">
      <w:pPr>
        <w:jc w:val="both"/>
        <w:rPr>
          <w:sz w:val="17"/>
          <w:szCs w:val="17"/>
        </w:rPr>
      </w:pPr>
      <w:r>
        <w:rPr>
          <w:sz w:val="17"/>
          <w:szCs w:val="17"/>
        </w:rPr>
        <w:t>T</w:t>
      </w:r>
      <w:r w:rsidRPr="00C80063">
        <w:rPr>
          <w:sz w:val="17"/>
          <w:szCs w:val="17"/>
        </w:rPr>
        <w:t xml:space="preserve">his paper briefly presents the current </w:t>
      </w:r>
      <w:r w:rsidRPr="00BD1667">
        <w:rPr>
          <w:sz w:val="17"/>
          <w:szCs w:val="17"/>
        </w:rPr>
        <w:t>legal</w:t>
      </w:r>
      <w:r w:rsidRPr="00C80063">
        <w:rPr>
          <w:sz w:val="17"/>
          <w:szCs w:val="17"/>
        </w:rPr>
        <w:t xml:space="preserve"> situation, analyses problems with this approach</w:t>
      </w:r>
      <w:r>
        <w:rPr>
          <w:sz w:val="17"/>
          <w:szCs w:val="17"/>
        </w:rPr>
        <w:t xml:space="preserve"> and</w:t>
      </w:r>
      <w:r w:rsidRPr="00C80063">
        <w:rPr>
          <w:sz w:val="17"/>
          <w:szCs w:val="17"/>
        </w:rPr>
        <w:t xml:space="preserve"> </w:t>
      </w:r>
      <w:r>
        <w:rPr>
          <w:sz w:val="17"/>
          <w:szCs w:val="17"/>
        </w:rPr>
        <w:t xml:space="preserve">sets out some potential </w:t>
      </w:r>
      <w:r w:rsidRPr="006C351A">
        <w:rPr>
          <w:sz w:val="17"/>
          <w:szCs w:val="17"/>
        </w:rPr>
        <w:t>approach</w:t>
      </w:r>
      <w:r>
        <w:rPr>
          <w:sz w:val="17"/>
          <w:szCs w:val="17"/>
        </w:rPr>
        <w:t xml:space="preserve">es to addressing this issue. </w:t>
      </w:r>
    </w:p>
    <w:bookmarkEnd w:id="0"/>
    <w:p w14:paraId="1358787B" w14:textId="77777777" w:rsidR="00A779DC" w:rsidRDefault="00A779DC" w:rsidP="00520F4A">
      <w:pPr>
        <w:autoSpaceDE w:val="0"/>
        <w:autoSpaceDN w:val="0"/>
        <w:adjustRightInd w:val="0"/>
        <w:jc w:val="both"/>
        <w:rPr>
          <w:b/>
          <w:color w:val="002957"/>
          <w:sz w:val="17"/>
          <w:szCs w:val="17"/>
        </w:rPr>
      </w:pPr>
    </w:p>
    <w:p w14:paraId="37CE8B6B" w14:textId="22EA58AC" w:rsidR="00A779DC" w:rsidRDefault="00A779DC" w:rsidP="00520F4A">
      <w:pPr>
        <w:autoSpaceDE w:val="0"/>
        <w:autoSpaceDN w:val="0"/>
        <w:adjustRightInd w:val="0"/>
        <w:jc w:val="both"/>
        <w:rPr>
          <w:b/>
          <w:color w:val="002957"/>
          <w:sz w:val="17"/>
          <w:szCs w:val="17"/>
        </w:rPr>
      </w:pPr>
      <w:r>
        <w:rPr>
          <w:b/>
          <w:color w:val="002957"/>
          <w:sz w:val="17"/>
          <w:szCs w:val="17"/>
        </w:rPr>
        <w:t>Current situation</w:t>
      </w:r>
    </w:p>
    <w:p w14:paraId="09C76622" w14:textId="77777777" w:rsidR="00A779DC" w:rsidRDefault="00A779DC" w:rsidP="00520F4A">
      <w:pPr>
        <w:autoSpaceDE w:val="0"/>
        <w:autoSpaceDN w:val="0"/>
        <w:adjustRightInd w:val="0"/>
        <w:jc w:val="both"/>
        <w:rPr>
          <w:sz w:val="17"/>
          <w:szCs w:val="17"/>
        </w:rPr>
      </w:pPr>
      <w:r>
        <w:rPr>
          <w:sz w:val="17"/>
          <w:szCs w:val="17"/>
        </w:rPr>
        <w:t>Acc</w:t>
      </w:r>
      <w:r w:rsidRPr="00613532">
        <w:rPr>
          <w:sz w:val="17"/>
          <w:szCs w:val="17"/>
        </w:rPr>
        <w:t>ording to Art 70(1)(b)</w:t>
      </w:r>
      <w:r>
        <w:rPr>
          <w:sz w:val="17"/>
          <w:szCs w:val="17"/>
        </w:rPr>
        <w:t xml:space="preserve"> </w:t>
      </w:r>
      <w:r w:rsidRPr="003036A4">
        <w:rPr>
          <w:sz w:val="17"/>
          <w:szCs w:val="17"/>
        </w:rPr>
        <w:t xml:space="preserve">of </w:t>
      </w:r>
      <w:r>
        <w:rPr>
          <w:sz w:val="17"/>
          <w:szCs w:val="17"/>
        </w:rPr>
        <w:t>Solvency II DA</w:t>
      </w:r>
      <w:r w:rsidRPr="00613532">
        <w:rPr>
          <w:sz w:val="17"/>
          <w:szCs w:val="17"/>
        </w:rPr>
        <w:t>, the items to be deducted</w:t>
      </w:r>
      <w:r>
        <w:rPr>
          <w:sz w:val="17"/>
          <w:szCs w:val="17"/>
        </w:rPr>
        <w:t xml:space="preserve"> from the reconciliation reserve (surplus of assets over liabilities)</w:t>
      </w:r>
      <w:r w:rsidRPr="00613532">
        <w:rPr>
          <w:sz w:val="17"/>
          <w:szCs w:val="17"/>
        </w:rPr>
        <w:t xml:space="preserve"> include foreseeable dividends. Foreseeable dividends therefore directly </w:t>
      </w:r>
      <w:r w:rsidRPr="00CC3FE2">
        <w:rPr>
          <w:sz w:val="17"/>
          <w:szCs w:val="17"/>
        </w:rPr>
        <w:t>reduce the eligible own funds.</w:t>
      </w:r>
    </w:p>
    <w:p w14:paraId="6743651C" w14:textId="77777777" w:rsidR="003570C2" w:rsidRPr="00CC3FE2" w:rsidRDefault="003570C2" w:rsidP="003570C2">
      <w:pPr>
        <w:autoSpaceDE w:val="0"/>
        <w:autoSpaceDN w:val="0"/>
        <w:adjustRightInd w:val="0"/>
        <w:jc w:val="both"/>
        <w:rPr>
          <w:sz w:val="17"/>
          <w:szCs w:val="17"/>
          <w:lang w:val="en-US"/>
        </w:rPr>
      </w:pPr>
      <w:r w:rsidRPr="00CC3FE2">
        <w:rPr>
          <w:sz w:val="17"/>
          <w:szCs w:val="17"/>
          <w:lang w:val="en-US"/>
        </w:rPr>
        <w:t xml:space="preserve">Some companies have historically accrued the current year’s expected dividend on a quarterly basis to reflect that the dividend is being earned on a continual basis during the year. </w:t>
      </w:r>
    </w:p>
    <w:p w14:paraId="1F8AD5BD" w14:textId="77777777" w:rsidR="003570C2" w:rsidRPr="00CC3FE2" w:rsidRDefault="003570C2" w:rsidP="003570C2">
      <w:pPr>
        <w:autoSpaceDE w:val="0"/>
        <w:autoSpaceDN w:val="0"/>
        <w:adjustRightInd w:val="0"/>
        <w:jc w:val="both"/>
        <w:rPr>
          <w:sz w:val="17"/>
          <w:szCs w:val="17"/>
          <w:lang w:val="en-US"/>
        </w:rPr>
      </w:pPr>
      <w:r w:rsidRPr="00CC3FE2">
        <w:rPr>
          <w:sz w:val="17"/>
          <w:szCs w:val="17"/>
          <w:lang w:val="en-US"/>
        </w:rPr>
        <w:t xml:space="preserve">This approach provides a sensible, but prudent, economic picture of the company’s own funds throughout the year. Sensible because an accrual approach provides arguably a “true” economic picture of the own funds. It also serves to </w:t>
      </w:r>
      <w:r w:rsidRPr="00814B87">
        <w:rPr>
          <w:sz w:val="17"/>
          <w:szCs w:val="17"/>
          <w:lang w:val="en-GB"/>
        </w:rPr>
        <w:t>minimise</w:t>
      </w:r>
      <w:r w:rsidRPr="00CC3FE2">
        <w:rPr>
          <w:sz w:val="17"/>
          <w:szCs w:val="17"/>
          <w:lang w:val="en-US"/>
        </w:rPr>
        <w:t xml:space="preserve"> SCR ratio volatility as the accrued dividend offsets the increase in own funds due to the earnings. Prudent because from a risk management, ie Solvency II, perspective, the approach reduces own funds which actually remain available for risk absorption until the dividend is declared. </w:t>
      </w:r>
    </w:p>
    <w:p w14:paraId="59D6DD08" w14:textId="77777777" w:rsidR="00A779DC" w:rsidRDefault="00A779DC" w:rsidP="00520F4A">
      <w:pPr>
        <w:autoSpaceDE w:val="0"/>
        <w:autoSpaceDN w:val="0"/>
        <w:adjustRightInd w:val="0"/>
        <w:jc w:val="both"/>
        <w:rPr>
          <w:b/>
          <w:color w:val="002957"/>
          <w:sz w:val="17"/>
          <w:szCs w:val="17"/>
        </w:rPr>
      </w:pPr>
    </w:p>
    <w:p w14:paraId="7D3CF10D" w14:textId="0166A50F" w:rsidR="00A779DC" w:rsidRPr="00A95D8B" w:rsidRDefault="00A779DC" w:rsidP="00520F4A">
      <w:pPr>
        <w:autoSpaceDE w:val="0"/>
        <w:autoSpaceDN w:val="0"/>
        <w:adjustRightInd w:val="0"/>
        <w:jc w:val="both"/>
        <w:rPr>
          <w:b/>
          <w:color w:val="002957"/>
          <w:sz w:val="17"/>
          <w:szCs w:val="17"/>
        </w:rPr>
      </w:pPr>
      <w:r>
        <w:rPr>
          <w:b/>
          <w:color w:val="002957"/>
          <w:sz w:val="17"/>
          <w:szCs w:val="17"/>
        </w:rPr>
        <w:t>Consequences of the changing interpretation of the definition</w:t>
      </w:r>
    </w:p>
    <w:p w14:paraId="57CB7EB3" w14:textId="77777777" w:rsidR="003E235E" w:rsidRDefault="003E235E" w:rsidP="003E235E">
      <w:pPr>
        <w:autoSpaceDE w:val="0"/>
        <w:autoSpaceDN w:val="0"/>
        <w:adjustRightInd w:val="0"/>
        <w:jc w:val="both"/>
        <w:rPr>
          <w:sz w:val="17"/>
          <w:szCs w:val="17"/>
        </w:rPr>
      </w:pPr>
      <w:r>
        <w:rPr>
          <w:sz w:val="17"/>
          <w:szCs w:val="17"/>
        </w:rPr>
        <w:t>While the Solvency II DA d</w:t>
      </w:r>
      <w:r w:rsidRPr="00691717">
        <w:rPr>
          <w:sz w:val="17"/>
          <w:szCs w:val="17"/>
        </w:rPr>
        <w:t>oes not provide a definition of the term "foreseeable dividends"</w:t>
      </w:r>
      <w:r>
        <w:rPr>
          <w:sz w:val="17"/>
          <w:szCs w:val="17"/>
        </w:rPr>
        <w:t>, a new definition was introduced in the ITS on supervisory reporting, as part of the QRT instructions (i.e. the</w:t>
      </w:r>
      <w:r w:rsidRPr="001C1399">
        <w:rPr>
          <w:sz w:val="17"/>
          <w:szCs w:val="17"/>
        </w:rPr>
        <w:t xml:space="preserve"> term "</w:t>
      </w:r>
      <w:r>
        <w:rPr>
          <w:sz w:val="17"/>
          <w:szCs w:val="17"/>
        </w:rPr>
        <w:t>f</w:t>
      </w:r>
      <w:r w:rsidRPr="001C1399">
        <w:rPr>
          <w:sz w:val="17"/>
          <w:szCs w:val="17"/>
        </w:rPr>
        <w:t>oreseeable dividends, distributions and charges"</w:t>
      </w:r>
      <w:r>
        <w:rPr>
          <w:sz w:val="17"/>
          <w:szCs w:val="17"/>
        </w:rPr>
        <w:t>). The instructions state that “</w:t>
      </w:r>
      <w:r w:rsidRPr="00A779DC">
        <w:rPr>
          <w:i/>
          <w:iCs/>
          <w:sz w:val="17"/>
          <w:szCs w:val="17"/>
        </w:rPr>
        <w:t>the full amount of dividend must be included in the quarterly reporting at one time, which means that it shall not be added incrementally from quarter to quarter</w:t>
      </w:r>
      <w:r>
        <w:rPr>
          <w:sz w:val="17"/>
          <w:szCs w:val="17"/>
        </w:rPr>
        <w:t>” (see Annex 1 for full extract).</w:t>
      </w:r>
      <w:r w:rsidRPr="00C74E1A">
        <w:rPr>
          <w:sz w:val="17"/>
          <w:szCs w:val="17"/>
        </w:rPr>
        <w:t xml:space="preserve"> </w:t>
      </w:r>
    </w:p>
    <w:p w14:paraId="34C88B5E" w14:textId="77777777" w:rsidR="003E235E" w:rsidRDefault="003E235E" w:rsidP="003E235E">
      <w:pPr>
        <w:autoSpaceDE w:val="0"/>
        <w:autoSpaceDN w:val="0"/>
        <w:adjustRightInd w:val="0"/>
        <w:jc w:val="both"/>
        <w:rPr>
          <w:sz w:val="17"/>
          <w:szCs w:val="17"/>
        </w:rPr>
      </w:pPr>
      <w:r>
        <w:rPr>
          <w:sz w:val="17"/>
          <w:szCs w:val="17"/>
        </w:rPr>
        <w:t>This origin of this change is understood to be the response to EIOPA Q&amp;A #1701 which led to a proposal from EIOPA to change the definition in the ITS which was subsequently approved by the Commission. Concerns related to this ITS</w:t>
      </w:r>
      <w:r w:rsidRPr="00E707FE">
        <w:rPr>
          <w:sz w:val="17"/>
          <w:szCs w:val="17"/>
        </w:rPr>
        <w:t xml:space="preserve"> </w:t>
      </w:r>
      <w:r>
        <w:rPr>
          <w:sz w:val="17"/>
          <w:szCs w:val="17"/>
        </w:rPr>
        <w:t>change were</w:t>
      </w:r>
      <w:r w:rsidRPr="00E707FE">
        <w:rPr>
          <w:sz w:val="17"/>
          <w:szCs w:val="17"/>
        </w:rPr>
        <w:t xml:space="preserve"> already highlighted by </w:t>
      </w:r>
      <w:r>
        <w:rPr>
          <w:sz w:val="17"/>
          <w:szCs w:val="17"/>
        </w:rPr>
        <w:t xml:space="preserve">Insurance Europe </w:t>
      </w:r>
      <w:r w:rsidRPr="00E707FE">
        <w:rPr>
          <w:sz w:val="17"/>
          <w:szCs w:val="17"/>
        </w:rPr>
        <w:t xml:space="preserve">in </w:t>
      </w:r>
      <w:r>
        <w:rPr>
          <w:sz w:val="17"/>
          <w:szCs w:val="17"/>
        </w:rPr>
        <w:t xml:space="preserve">the </w:t>
      </w:r>
      <w:hyperlink r:id="rId11" w:anchor="page=24" w:history="1">
        <w:r w:rsidRPr="002E7E9E">
          <w:rPr>
            <w:rStyle w:val="Hypertextovprepojenie"/>
            <w:sz w:val="17"/>
            <w:szCs w:val="17"/>
          </w:rPr>
          <w:t>response to EIOPA’s consultation</w:t>
        </w:r>
      </w:hyperlink>
      <w:r>
        <w:rPr>
          <w:sz w:val="17"/>
          <w:szCs w:val="17"/>
        </w:rPr>
        <w:t xml:space="preserve"> on the ITS amendments in October 2021. However, these concerns were unheeded by both EIOPA and the Commission.</w:t>
      </w:r>
    </w:p>
    <w:p w14:paraId="25F87DFB" w14:textId="0AFC2F93" w:rsidR="00A779DC" w:rsidRDefault="00A779DC" w:rsidP="00520F4A">
      <w:pPr>
        <w:autoSpaceDE w:val="0"/>
        <w:autoSpaceDN w:val="0"/>
        <w:adjustRightInd w:val="0"/>
        <w:jc w:val="both"/>
        <w:rPr>
          <w:sz w:val="17"/>
          <w:szCs w:val="17"/>
        </w:rPr>
      </w:pPr>
      <w:r w:rsidRPr="00687DCD">
        <w:rPr>
          <w:sz w:val="17"/>
          <w:szCs w:val="17"/>
        </w:rPr>
        <w:t>The</w:t>
      </w:r>
      <w:r w:rsidR="00CC3FE2">
        <w:rPr>
          <w:sz w:val="17"/>
          <w:szCs w:val="17"/>
        </w:rPr>
        <w:t xml:space="preserve"> </w:t>
      </w:r>
      <w:r w:rsidRPr="00687DCD">
        <w:rPr>
          <w:sz w:val="17"/>
          <w:szCs w:val="17"/>
        </w:rPr>
        <w:t>new requirement</w:t>
      </w:r>
      <w:r w:rsidR="00CC3FE2">
        <w:rPr>
          <w:sz w:val="17"/>
          <w:szCs w:val="17"/>
        </w:rPr>
        <w:t xml:space="preserve"> </w:t>
      </w:r>
      <w:r w:rsidRPr="00687DCD">
        <w:rPr>
          <w:sz w:val="17"/>
          <w:szCs w:val="17"/>
        </w:rPr>
        <w:t>mean</w:t>
      </w:r>
      <w:r w:rsidR="003E235E">
        <w:rPr>
          <w:sz w:val="17"/>
          <w:szCs w:val="17"/>
        </w:rPr>
        <w:t>s</w:t>
      </w:r>
      <w:r w:rsidRPr="00687DCD">
        <w:rPr>
          <w:sz w:val="17"/>
          <w:szCs w:val="17"/>
        </w:rPr>
        <w:t xml:space="preserve"> that </w:t>
      </w:r>
      <w:r w:rsidR="00CC3FE2">
        <w:rPr>
          <w:sz w:val="17"/>
          <w:szCs w:val="17"/>
        </w:rPr>
        <w:t xml:space="preserve">the expected </w:t>
      </w:r>
      <w:r w:rsidRPr="00687DCD">
        <w:rPr>
          <w:sz w:val="17"/>
          <w:szCs w:val="17"/>
        </w:rPr>
        <w:t>dividend</w:t>
      </w:r>
      <w:r w:rsidR="00CC3FE2">
        <w:rPr>
          <w:sz w:val="17"/>
          <w:szCs w:val="17"/>
        </w:rPr>
        <w:t xml:space="preserve"> for the year </w:t>
      </w:r>
      <w:r w:rsidRPr="00687DCD">
        <w:rPr>
          <w:sz w:val="17"/>
          <w:szCs w:val="17"/>
        </w:rPr>
        <w:t xml:space="preserve">must </w:t>
      </w:r>
      <w:r w:rsidRPr="00CC3FE2">
        <w:rPr>
          <w:sz w:val="17"/>
          <w:szCs w:val="17"/>
        </w:rPr>
        <w:t>be deducted in full as soon</w:t>
      </w:r>
      <w:r w:rsidRPr="00687DCD">
        <w:rPr>
          <w:sz w:val="17"/>
          <w:szCs w:val="17"/>
        </w:rPr>
        <w:t xml:space="preserve"> as they </w:t>
      </w:r>
      <w:r>
        <w:rPr>
          <w:sz w:val="17"/>
          <w:szCs w:val="17"/>
        </w:rPr>
        <w:t>become</w:t>
      </w:r>
      <w:r w:rsidRPr="00687DCD">
        <w:rPr>
          <w:sz w:val="17"/>
          <w:szCs w:val="17"/>
        </w:rPr>
        <w:t xml:space="preserve"> likely</w:t>
      </w:r>
      <w:r>
        <w:rPr>
          <w:sz w:val="17"/>
          <w:szCs w:val="17"/>
        </w:rPr>
        <w:t xml:space="preserve">, </w:t>
      </w:r>
      <w:r w:rsidRPr="00C84CA6">
        <w:rPr>
          <w:sz w:val="17"/>
          <w:szCs w:val="17"/>
        </w:rPr>
        <w:t>even if they have not been fully earned or approved by the shareholders</w:t>
      </w:r>
      <w:r>
        <w:rPr>
          <w:sz w:val="17"/>
          <w:szCs w:val="17"/>
        </w:rPr>
        <w:t xml:space="preserve">. </w:t>
      </w:r>
      <w:r w:rsidR="0041091C">
        <w:rPr>
          <w:sz w:val="17"/>
          <w:szCs w:val="17"/>
        </w:rPr>
        <w:t xml:space="preserve">The recognition must be </w:t>
      </w:r>
      <w:r>
        <w:rPr>
          <w:sz w:val="17"/>
          <w:szCs w:val="17"/>
        </w:rPr>
        <w:t>determined based o</w:t>
      </w:r>
      <w:r w:rsidRPr="00687DCD">
        <w:rPr>
          <w:sz w:val="17"/>
          <w:szCs w:val="17"/>
        </w:rPr>
        <w:t xml:space="preserve">n the </w:t>
      </w:r>
      <w:r w:rsidRPr="006A7BB5">
        <w:rPr>
          <w:sz w:val="17"/>
          <w:szCs w:val="17"/>
        </w:rPr>
        <w:t>own dividend history</w:t>
      </w:r>
      <w:r w:rsidRPr="00687DCD">
        <w:rPr>
          <w:sz w:val="17"/>
          <w:szCs w:val="17"/>
        </w:rPr>
        <w:t xml:space="preserve">, the business development throughout the year, the reference date of the assessment and, where appropriate, other relevant circumstances. </w:t>
      </w:r>
    </w:p>
    <w:p w14:paraId="7C1215AA" w14:textId="4FBE2FD1" w:rsidR="00A779DC" w:rsidRPr="0041091C" w:rsidRDefault="00A779DC" w:rsidP="00520F4A">
      <w:pPr>
        <w:autoSpaceDE w:val="0"/>
        <w:autoSpaceDN w:val="0"/>
        <w:adjustRightInd w:val="0"/>
        <w:jc w:val="both"/>
        <w:rPr>
          <w:sz w:val="17"/>
          <w:szCs w:val="17"/>
        </w:rPr>
      </w:pPr>
      <w:r>
        <w:rPr>
          <w:sz w:val="17"/>
          <w:szCs w:val="17"/>
        </w:rPr>
        <w:t>While t</w:t>
      </w:r>
      <w:r w:rsidRPr="00687DCD">
        <w:rPr>
          <w:sz w:val="17"/>
          <w:szCs w:val="17"/>
        </w:rPr>
        <w:t xml:space="preserve">his does not rule </w:t>
      </w:r>
      <w:r w:rsidRPr="0041091C">
        <w:rPr>
          <w:sz w:val="17"/>
          <w:szCs w:val="17"/>
        </w:rPr>
        <w:t>out subsequent increases and reductions depending on further developments, it is not permissible to deliberately spread the full amount over several quarters</w:t>
      </w:r>
      <w:r w:rsidR="0041091C" w:rsidRPr="0041091C">
        <w:rPr>
          <w:sz w:val="17"/>
          <w:szCs w:val="17"/>
        </w:rPr>
        <w:t xml:space="preserve">. </w:t>
      </w:r>
    </w:p>
    <w:p w14:paraId="72D588CA" w14:textId="62EE1A8F" w:rsidR="0041091C" w:rsidRPr="0041091C" w:rsidRDefault="0041091C" w:rsidP="00520F4A">
      <w:pPr>
        <w:autoSpaceDE w:val="0"/>
        <w:autoSpaceDN w:val="0"/>
        <w:adjustRightInd w:val="0"/>
        <w:jc w:val="both"/>
        <w:rPr>
          <w:sz w:val="17"/>
          <w:szCs w:val="17"/>
        </w:rPr>
      </w:pPr>
      <w:r w:rsidRPr="0041091C">
        <w:rPr>
          <w:sz w:val="17"/>
          <w:szCs w:val="17"/>
        </w:rPr>
        <w:t>The main consequence of the change is foreseeable dividends must be deducted, typically during the first quarterly reporting (Q1).</w:t>
      </w:r>
    </w:p>
    <w:p w14:paraId="2E48984F" w14:textId="77777777" w:rsidR="0041091C" w:rsidRPr="007D7CDF" w:rsidRDefault="0041091C" w:rsidP="00520F4A">
      <w:pPr>
        <w:autoSpaceDE w:val="0"/>
        <w:autoSpaceDN w:val="0"/>
        <w:adjustRightInd w:val="0"/>
        <w:jc w:val="both"/>
        <w:rPr>
          <w:sz w:val="17"/>
          <w:szCs w:val="17"/>
        </w:rPr>
      </w:pPr>
      <w:r w:rsidRPr="0041091C">
        <w:rPr>
          <w:sz w:val="17"/>
          <w:szCs w:val="17"/>
        </w:rPr>
        <w:t>The deduction of a full dividend already in the first quarters of a year appears misleading and incorrect, from a risk management and an investor’s perspective. Both issues – the one-off-decrease, and the pre-mature indication of a high dividend – are economically questionable and could give stakeholders</w:t>
      </w:r>
      <w:r w:rsidRPr="004E2000">
        <w:rPr>
          <w:sz w:val="17"/>
          <w:szCs w:val="17"/>
        </w:rPr>
        <w:t xml:space="preserve"> false signals about the current situation of the insurance undertaking as </w:t>
      </w:r>
      <w:r w:rsidRPr="007D7CDF">
        <w:rPr>
          <w:sz w:val="17"/>
          <w:szCs w:val="17"/>
        </w:rPr>
        <w:t>profits reflected by the deducted dividend have not yet been earned.</w:t>
      </w:r>
    </w:p>
    <w:p w14:paraId="1EC38ADF" w14:textId="1A1A7270" w:rsidR="00A779DC" w:rsidRPr="00E05744" w:rsidRDefault="0041091C" w:rsidP="00520F4A">
      <w:pPr>
        <w:autoSpaceDE w:val="0"/>
        <w:autoSpaceDN w:val="0"/>
        <w:adjustRightInd w:val="0"/>
        <w:jc w:val="both"/>
        <w:rPr>
          <w:sz w:val="17"/>
          <w:szCs w:val="17"/>
        </w:rPr>
      </w:pPr>
      <w:r>
        <w:rPr>
          <w:sz w:val="17"/>
          <w:szCs w:val="17"/>
        </w:rPr>
        <w:t>Furthermore, t</w:t>
      </w:r>
      <w:r w:rsidR="00A779DC">
        <w:rPr>
          <w:sz w:val="17"/>
          <w:szCs w:val="17"/>
        </w:rPr>
        <w:t>he new approach, introduced following the ITS, d</w:t>
      </w:r>
      <w:r w:rsidR="00A779DC" w:rsidRPr="005D0FE1">
        <w:rPr>
          <w:sz w:val="17"/>
          <w:szCs w:val="17"/>
        </w:rPr>
        <w:t>eviates from</w:t>
      </w:r>
      <w:r w:rsidR="00A779DC">
        <w:rPr>
          <w:sz w:val="17"/>
          <w:szCs w:val="17"/>
        </w:rPr>
        <w:t xml:space="preserve"> </w:t>
      </w:r>
      <w:r w:rsidR="00A779DC" w:rsidRPr="005D0FE1">
        <w:rPr>
          <w:sz w:val="17"/>
          <w:szCs w:val="17"/>
        </w:rPr>
        <w:t xml:space="preserve">the </w:t>
      </w:r>
      <w:hyperlink r:id="rId12" w:history="1">
        <w:r w:rsidR="00A779DC" w:rsidRPr="005D0FE1">
          <w:rPr>
            <w:rStyle w:val="Hypertextovprepojenie"/>
            <w:sz w:val="17"/>
            <w:szCs w:val="17"/>
          </w:rPr>
          <w:t>EIOPA guidelines on classification on the own funds</w:t>
        </w:r>
      </w:hyperlink>
      <w:r w:rsidR="00A779DC">
        <w:rPr>
          <w:sz w:val="17"/>
          <w:szCs w:val="17"/>
        </w:rPr>
        <w:t>, where f</w:t>
      </w:r>
      <w:r w:rsidR="00A779DC" w:rsidRPr="005D0FE1">
        <w:rPr>
          <w:sz w:val="17"/>
          <w:szCs w:val="17"/>
        </w:rPr>
        <w:t xml:space="preserve">oreseeable dividends are recognised when the proposal is </w:t>
      </w:r>
      <w:r w:rsidR="00A779DC">
        <w:rPr>
          <w:sz w:val="17"/>
          <w:szCs w:val="17"/>
        </w:rPr>
        <w:t>“</w:t>
      </w:r>
      <w:r w:rsidR="00A779DC" w:rsidRPr="005D0FE1">
        <w:rPr>
          <w:sz w:val="17"/>
          <w:szCs w:val="17"/>
        </w:rPr>
        <w:t xml:space="preserve">declared </w:t>
      </w:r>
      <w:r w:rsidR="00A779DC">
        <w:rPr>
          <w:sz w:val="17"/>
          <w:szCs w:val="17"/>
        </w:rPr>
        <w:t xml:space="preserve">or approved </w:t>
      </w:r>
      <w:r w:rsidR="00A779DC" w:rsidRPr="005D0FE1">
        <w:rPr>
          <w:sz w:val="17"/>
          <w:szCs w:val="17"/>
        </w:rPr>
        <w:t>by the administrative, management or supervisory body (AMSB)</w:t>
      </w:r>
      <w:r w:rsidR="00A779DC">
        <w:rPr>
          <w:sz w:val="17"/>
          <w:szCs w:val="17"/>
        </w:rPr>
        <w:t>”</w:t>
      </w:r>
      <w:r w:rsidR="00A779DC" w:rsidRPr="005D0FE1">
        <w:rPr>
          <w:sz w:val="17"/>
          <w:szCs w:val="17"/>
        </w:rPr>
        <w:t xml:space="preserve">. </w:t>
      </w:r>
      <w:r w:rsidR="00A779DC">
        <w:rPr>
          <w:sz w:val="17"/>
          <w:szCs w:val="17"/>
        </w:rPr>
        <w:t xml:space="preserve">This deviation was previously highlighted in Insurance Europe’s </w:t>
      </w:r>
      <w:hyperlink r:id="rId13" w:anchor="page=24" w:history="1">
        <w:r w:rsidR="00A779DC" w:rsidRPr="002E7E9E">
          <w:rPr>
            <w:rStyle w:val="Hypertextovprepojenie"/>
            <w:sz w:val="17"/>
            <w:szCs w:val="17"/>
          </w:rPr>
          <w:t>response to EIOPA’s consultation</w:t>
        </w:r>
      </w:hyperlink>
      <w:r w:rsidR="00A779DC">
        <w:rPr>
          <w:sz w:val="17"/>
          <w:szCs w:val="17"/>
        </w:rPr>
        <w:t xml:space="preserve"> on this change (in October 2021).</w:t>
      </w:r>
    </w:p>
    <w:p w14:paraId="4EB35B16" w14:textId="77777777" w:rsidR="00A779DC" w:rsidRDefault="00A779DC" w:rsidP="00520F4A">
      <w:pPr>
        <w:autoSpaceDE w:val="0"/>
        <w:autoSpaceDN w:val="0"/>
        <w:adjustRightInd w:val="0"/>
        <w:jc w:val="both"/>
        <w:rPr>
          <w:sz w:val="17"/>
          <w:szCs w:val="17"/>
        </w:rPr>
      </w:pPr>
    </w:p>
    <w:p w14:paraId="0AE1B0C3" w14:textId="004683EC" w:rsidR="00A779DC" w:rsidRPr="003D0236" w:rsidRDefault="00520F4A" w:rsidP="00520F4A">
      <w:pPr>
        <w:autoSpaceDE w:val="0"/>
        <w:autoSpaceDN w:val="0"/>
        <w:adjustRightInd w:val="0"/>
        <w:jc w:val="both"/>
        <w:rPr>
          <w:b/>
          <w:color w:val="002957"/>
          <w:sz w:val="17"/>
          <w:szCs w:val="17"/>
        </w:rPr>
      </w:pPr>
      <w:r>
        <w:rPr>
          <w:b/>
          <w:color w:val="002957"/>
          <w:sz w:val="17"/>
          <w:szCs w:val="17"/>
        </w:rPr>
        <w:t xml:space="preserve">Potential wayforward </w:t>
      </w:r>
    </w:p>
    <w:p w14:paraId="0F46D55A" w14:textId="77777777" w:rsidR="00A779DC" w:rsidRPr="00520F4A" w:rsidRDefault="00A779DC" w:rsidP="00520F4A">
      <w:pPr>
        <w:jc w:val="both"/>
        <w:rPr>
          <w:sz w:val="17"/>
          <w:szCs w:val="17"/>
        </w:rPr>
      </w:pPr>
      <w:r>
        <w:rPr>
          <w:sz w:val="17"/>
          <w:szCs w:val="17"/>
        </w:rPr>
        <w:t>T</w:t>
      </w:r>
      <w:r w:rsidRPr="00DB1785">
        <w:rPr>
          <w:sz w:val="17"/>
          <w:szCs w:val="17"/>
        </w:rPr>
        <w:t xml:space="preserve">he definition of </w:t>
      </w:r>
      <w:r w:rsidRPr="00520F4A">
        <w:rPr>
          <w:sz w:val="17"/>
          <w:szCs w:val="17"/>
        </w:rPr>
        <w:t>foreseeable dividends should be aligned with the undertaking’s business model for an appropriate implementation within Solvency II.</w:t>
      </w:r>
    </w:p>
    <w:p w14:paraId="0AF9DDA5" w14:textId="77777777" w:rsidR="00A779DC" w:rsidRDefault="00A779DC" w:rsidP="00520F4A">
      <w:pPr>
        <w:jc w:val="both"/>
        <w:rPr>
          <w:sz w:val="17"/>
          <w:szCs w:val="17"/>
        </w:rPr>
      </w:pPr>
      <w:r w:rsidRPr="00520F4A">
        <w:rPr>
          <w:sz w:val="17"/>
          <w:szCs w:val="17"/>
        </w:rPr>
        <w:t>Adopting an incremental approach to the deduction of dividends would be much more economically sensible for most insurance undertakings. Over the course of the year, as the surplus of assets over liabilities increases due to underwriting profit or investment returns, the amount</w:t>
      </w:r>
      <w:r w:rsidRPr="00DB1785">
        <w:rPr>
          <w:sz w:val="17"/>
          <w:szCs w:val="17"/>
        </w:rPr>
        <w:t xml:space="preserve"> needed for foreseeable future dividend payments </w:t>
      </w:r>
      <w:r>
        <w:rPr>
          <w:sz w:val="17"/>
          <w:szCs w:val="17"/>
        </w:rPr>
        <w:t>would also rise proportionally</w:t>
      </w:r>
      <w:r w:rsidRPr="00DB1785">
        <w:rPr>
          <w:sz w:val="17"/>
          <w:szCs w:val="17"/>
        </w:rPr>
        <w:t>.</w:t>
      </w:r>
      <w:r>
        <w:rPr>
          <w:sz w:val="17"/>
          <w:szCs w:val="17"/>
        </w:rPr>
        <w:t xml:space="preserve"> This method would allow dividends to be deducted in line with the actual accrual of underlying profits, offering a more economic reflection. </w:t>
      </w:r>
    </w:p>
    <w:p w14:paraId="7E048682" w14:textId="77777777" w:rsidR="00A779DC" w:rsidRDefault="00A779DC" w:rsidP="00520F4A">
      <w:pPr>
        <w:jc w:val="both"/>
        <w:rPr>
          <w:sz w:val="17"/>
          <w:szCs w:val="17"/>
        </w:rPr>
      </w:pPr>
      <w:r w:rsidRPr="0035025A">
        <w:rPr>
          <w:sz w:val="17"/>
          <w:szCs w:val="17"/>
        </w:rPr>
        <w:t xml:space="preserve">Such an approach </w:t>
      </w:r>
      <w:r>
        <w:rPr>
          <w:sz w:val="17"/>
          <w:szCs w:val="17"/>
        </w:rPr>
        <w:t xml:space="preserve">was considered appropriate prior to the recent ITS change and </w:t>
      </w:r>
      <w:r w:rsidRPr="0035025A">
        <w:rPr>
          <w:sz w:val="17"/>
          <w:szCs w:val="17"/>
        </w:rPr>
        <w:t xml:space="preserve">is </w:t>
      </w:r>
      <w:r>
        <w:rPr>
          <w:sz w:val="17"/>
          <w:szCs w:val="17"/>
        </w:rPr>
        <w:t>further</w:t>
      </w:r>
      <w:r w:rsidRPr="0035025A">
        <w:rPr>
          <w:sz w:val="17"/>
          <w:szCs w:val="17"/>
        </w:rPr>
        <w:t xml:space="preserve"> supported by a comparison </w:t>
      </w:r>
      <w:r w:rsidRPr="00E07CE1">
        <w:rPr>
          <w:sz w:val="17"/>
          <w:szCs w:val="17"/>
        </w:rPr>
        <w:t>with the banking sector (</w:t>
      </w:r>
      <w:r>
        <w:rPr>
          <w:sz w:val="17"/>
          <w:szCs w:val="17"/>
        </w:rPr>
        <w:t>see Annex 2 for more details).</w:t>
      </w:r>
    </w:p>
    <w:p w14:paraId="084B8DDF" w14:textId="77777777" w:rsidR="00A779DC" w:rsidRDefault="00A779DC" w:rsidP="00520F4A">
      <w:pPr>
        <w:jc w:val="both"/>
        <w:rPr>
          <w:b/>
          <w:bCs/>
          <w:sz w:val="17"/>
          <w:szCs w:val="17"/>
        </w:rPr>
      </w:pPr>
      <w:r w:rsidRPr="007D7CDF">
        <w:rPr>
          <w:sz w:val="17"/>
          <w:szCs w:val="17"/>
        </w:rPr>
        <w:t>However, many insurance business models are seasonally driven or significantly influenced by short term developments</w:t>
      </w:r>
      <w:r>
        <w:rPr>
          <w:sz w:val="17"/>
          <w:szCs w:val="17"/>
        </w:rPr>
        <w:t xml:space="preserve">, such as </w:t>
      </w:r>
      <w:r w:rsidRPr="007D7CDF">
        <w:rPr>
          <w:sz w:val="17"/>
          <w:szCs w:val="17"/>
        </w:rPr>
        <w:t>natural catastrophes. As a result, earnings are subject to significant uncertainty until the financial year</w:t>
      </w:r>
      <w:r>
        <w:rPr>
          <w:sz w:val="17"/>
          <w:szCs w:val="17"/>
        </w:rPr>
        <w:t>-end, making it difficult to predict dividends in advance</w:t>
      </w:r>
      <w:r w:rsidRPr="00731B28">
        <w:rPr>
          <w:b/>
          <w:bCs/>
          <w:sz w:val="17"/>
          <w:szCs w:val="17"/>
        </w:rPr>
        <w:t>.</w:t>
      </w:r>
    </w:p>
    <w:p w14:paraId="4F2F9A0F" w14:textId="77777777" w:rsidR="00A779DC" w:rsidRDefault="00A779DC" w:rsidP="00520F4A">
      <w:pPr>
        <w:jc w:val="both"/>
        <w:rPr>
          <w:sz w:val="17"/>
          <w:szCs w:val="17"/>
        </w:rPr>
      </w:pPr>
      <w:r w:rsidRPr="009D7B5B">
        <w:rPr>
          <w:sz w:val="17"/>
          <w:szCs w:val="17"/>
        </w:rPr>
        <w:t xml:space="preserve">To ensure a level playing field, particularly for capital market-oriented insurance companies, an approach comparable to the banking sector </w:t>
      </w:r>
      <w:r>
        <w:rPr>
          <w:sz w:val="17"/>
          <w:szCs w:val="17"/>
        </w:rPr>
        <w:t xml:space="preserve">could be considered. Such an approach would </w:t>
      </w:r>
      <w:r w:rsidRPr="009D7B5B">
        <w:rPr>
          <w:sz w:val="17"/>
          <w:szCs w:val="17"/>
        </w:rPr>
        <w:t>allow to broadly synchronise the development of foreseeable dividends with the development of underlying profits.</w:t>
      </w:r>
    </w:p>
    <w:p w14:paraId="15067FFD" w14:textId="77777777" w:rsidR="00520F4A" w:rsidRDefault="00520F4A" w:rsidP="00520F4A">
      <w:pPr>
        <w:jc w:val="both"/>
        <w:rPr>
          <w:b/>
          <w:color w:val="002957"/>
          <w:sz w:val="17"/>
          <w:szCs w:val="17"/>
        </w:rPr>
      </w:pPr>
    </w:p>
    <w:p w14:paraId="1D21571F" w14:textId="23B294E3" w:rsidR="00520F4A" w:rsidRDefault="00A779DC" w:rsidP="00520F4A">
      <w:pPr>
        <w:jc w:val="both"/>
        <w:rPr>
          <w:b/>
          <w:color w:val="002957"/>
          <w:sz w:val="17"/>
          <w:szCs w:val="17"/>
        </w:rPr>
      </w:pPr>
      <w:r>
        <w:rPr>
          <w:b/>
          <w:color w:val="002957"/>
          <w:sz w:val="17"/>
          <w:szCs w:val="17"/>
        </w:rPr>
        <w:t>Practical</w:t>
      </w:r>
      <w:r w:rsidR="00520F4A">
        <w:rPr>
          <w:b/>
          <w:color w:val="002957"/>
          <w:sz w:val="17"/>
          <w:szCs w:val="17"/>
        </w:rPr>
        <w:t xml:space="preserve"> considerations</w:t>
      </w:r>
    </w:p>
    <w:p w14:paraId="069F768F" w14:textId="528023B5" w:rsidR="00520F4A" w:rsidRDefault="00520F4A" w:rsidP="00520F4A">
      <w:pPr>
        <w:jc w:val="both"/>
        <w:rPr>
          <w:sz w:val="17"/>
          <w:szCs w:val="17"/>
        </w:rPr>
      </w:pPr>
      <w:r>
        <w:rPr>
          <w:sz w:val="17"/>
          <w:szCs w:val="17"/>
        </w:rPr>
        <w:t>EIOPA is understood to be assessing the impact of the changes and mentioned the possibility of proposing changes to the ITS if its analysis led to this conclusion. Form an industry perspective, it would be optimal if EIOPA reversed the impact of its new definition.</w:t>
      </w:r>
    </w:p>
    <w:p w14:paraId="50E659A0" w14:textId="16C9DFFA" w:rsidR="00A779DC" w:rsidRDefault="00520F4A" w:rsidP="00520F4A">
      <w:pPr>
        <w:jc w:val="both"/>
        <w:rPr>
          <w:sz w:val="17"/>
          <w:szCs w:val="17"/>
        </w:rPr>
      </w:pPr>
      <w:r>
        <w:rPr>
          <w:sz w:val="17"/>
          <w:szCs w:val="17"/>
        </w:rPr>
        <w:t>However, if after its analysis, EIOPA does not support changes, it is possible that t</w:t>
      </w:r>
      <w:r w:rsidR="00A779DC">
        <w:rPr>
          <w:sz w:val="17"/>
          <w:szCs w:val="17"/>
        </w:rPr>
        <w:t>he suggested</w:t>
      </w:r>
      <w:r w:rsidR="00A779DC" w:rsidRPr="0031293F">
        <w:rPr>
          <w:sz w:val="17"/>
          <w:szCs w:val="17"/>
        </w:rPr>
        <w:t xml:space="preserve"> approach could be implemented by </w:t>
      </w:r>
      <w:r w:rsidR="00A779DC" w:rsidRPr="0031293F">
        <w:rPr>
          <w:b/>
          <w:bCs/>
          <w:sz w:val="17"/>
          <w:szCs w:val="17"/>
        </w:rPr>
        <w:t>adding a definition</w:t>
      </w:r>
      <w:r w:rsidR="00A779DC" w:rsidRPr="0031293F">
        <w:rPr>
          <w:sz w:val="17"/>
          <w:szCs w:val="17"/>
        </w:rPr>
        <w:t xml:space="preserve"> </w:t>
      </w:r>
      <w:r w:rsidR="00A779DC" w:rsidRPr="0031293F">
        <w:rPr>
          <w:b/>
          <w:bCs/>
          <w:sz w:val="17"/>
          <w:szCs w:val="17"/>
        </w:rPr>
        <w:t>of “foreseeable dividends”</w:t>
      </w:r>
      <w:r w:rsidR="00A779DC" w:rsidRPr="0031293F">
        <w:rPr>
          <w:sz w:val="17"/>
          <w:szCs w:val="17"/>
        </w:rPr>
        <w:t xml:space="preserve"> in Art. 1 of Delegated Regulation (EU) 2015/35 as part of the </w:t>
      </w:r>
      <w:r w:rsidR="00A779DC">
        <w:rPr>
          <w:sz w:val="17"/>
          <w:szCs w:val="17"/>
        </w:rPr>
        <w:t>ongoing</w:t>
      </w:r>
      <w:r w:rsidR="00A779DC" w:rsidRPr="0031293F">
        <w:rPr>
          <w:sz w:val="17"/>
          <w:szCs w:val="17"/>
        </w:rPr>
        <w:t xml:space="preserve"> </w:t>
      </w:r>
      <w:r w:rsidR="00A779DC">
        <w:rPr>
          <w:sz w:val="17"/>
          <w:szCs w:val="17"/>
        </w:rPr>
        <w:t>review of Solvency II</w:t>
      </w:r>
      <w:r w:rsidR="00A779DC" w:rsidRPr="0031293F">
        <w:rPr>
          <w:sz w:val="17"/>
          <w:szCs w:val="17"/>
        </w:rPr>
        <w:t xml:space="preserve">. </w:t>
      </w:r>
    </w:p>
    <w:p w14:paraId="6A57A6FA" w14:textId="77777777" w:rsidR="00A779DC" w:rsidRPr="0031293F" w:rsidRDefault="00A779DC" w:rsidP="00520F4A">
      <w:pPr>
        <w:jc w:val="both"/>
        <w:rPr>
          <w:sz w:val="17"/>
          <w:szCs w:val="17"/>
        </w:rPr>
      </w:pPr>
      <w:r w:rsidRPr="0031293F">
        <w:rPr>
          <w:sz w:val="17"/>
          <w:szCs w:val="17"/>
        </w:rPr>
        <w:t xml:space="preserve">Irrespective of the exact implementation, a consistent definition of the term "foreseeable dividend" is essential to ensure a </w:t>
      </w:r>
      <w:r w:rsidRPr="0031293F">
        <w:rPr>
          <w:b/>
          <w:bCs/>
          <w:sz w:val="17"/>
          <w:szCs w:val="17"/>
        </w:rPr>
        <w:t>level playing field</w:t>
      </w:r>
      <w:r w:rsidRPr="0031293F">
        <w:rPr>
          <w:sz w:val="17"/>
          <w:szCs w:val="17"/>
        </w:rPr>
        <w:t xml:space="preserve"> across the European Economic Area.</w:t>
      </w:r>
    </w:p>
    <w:p w14:paraId="3FADB5AA" w14:textId="77777777" w:rsidR="00A779DC" w:rsidRDefault="00A779DC" w:rsidP="00A779DC">
      <w:pPr>
        <w:autoSpaceDE w:val="0"/>
        <w:autoSpaceDN w:val="0"/>
        <w:adjustRightInd w:val="0"/>
        <w:rPr>
          <w:b/>
          <w:color w:val="002957"/>
          <w:sz w:val="17"/>
          <w:szCs w:val="17"/>
        </w:rPr>
      </w:pPr>
    </w:p>
    <w:p w14:paraId="061F035E" w14:textId="77777777" w:rsidR="00A779DC" w:rsidRDefault="00A779DC" w:rsidP="00A779DC">
      <w:pPr>
        <w:autoSpaceDE w:val="0"/>
        <w:autoSpaceDN w:val="0"/>
        <w:adjustRightInd w:val="0"/>
        <w:rPr>
          <w:sz w:val="17"/>
          <w:szCs w:val="17"/>
        </w:rPr>
      </w:pPr>
    </w:p>
    <w:p w14:paraId="6ED0E0FF" w14:textId="77777777" w:rsidR="00A779DC" w:rsidRDefault="00A779DC" w:rsidP="00A779DC">
      <w:pPr>
        <w:autoSpaceDE w:val="0"/>
        <w:autoSpaceDN w:val="0"/>
        <w:adjustRightInd w:val="0"/>
        <w:rPr>
          <w:sz w:val="17"/>
          <w:szCs w:val="17"/>
        </w:rPr>
      </w:pPr>
    </w:p>
    <w:p w14:paraId="5E548B26" w14:textId="77777777" w:rsidR="00A779DC" w:rsidRDefault="00A779DC" w:rsidP="00A779DC">
      <w:pPr>
        <w:autoSpaceDE w:val="0"/>
        <w:autoSpaceDN w:val="0"/>
        <w:adjustRightInd w:val="0"/>
        <w:rPr>
          <w:sz w:val="17"/>
          <w:szCs w:val="17"/>
        </w:rPr>
      </w:pPr>
    </w:p>
    <w:p w14:paraId="6C6B1C06" w14:textId="77777777" w:rsidR="00A779DC" w:rsidRDefault="00A779DC" w:rsidP="00A779DC">
      <w:pPr>
        <w:autoSpaceDE w:val="0"/>
        <w:autoSpaceDN w:val="0"/>
        <w:adjustRightInd w:val="0"/>
        <w:rPr>
          <w:sz w:val="17"/>
          <w:szCs w:val="17"/>
        </w:rPr>
      </w:pPr>
    </w:p>
    <w:p w14:paraId="641F0F9C" w14:textId="77777777" w:rsidR="00A779DC" w:rsidRDefault="00A779DC" w:rsidP="00A779DC">
      <w:pPr>
        <w:autoSpaceDE w:val="0"/>
        <w:autoSpaceDN w:val="0"/>
        <w:adjustRightInd w:val="0"/>
        <w:rPr>
          <w:sz w:val="17"/>
          <w:szCs w:val="17"/>
        </w:rPr>
      </w:pPr>
    </w:p>
    <w:p w14:paraId="16A6B036" w14:textId="77777777" w:rsidR="00A779DC" w:rsidRDefault="00A779DC" w:rsidP="00A779DC">
      <w:pPr>
        <w:autoSpaceDE w:val="0"/>
        <w:autoSpaceDN w:val="0"/>
        <w:adjustRightInd w:val="0"/>
        <w:rPr>
          <w:sz w:val="17"/>
          <w:szCs w:val="17"/>
        </w:rPr>
      </w:pPr>
    </w:p>
    <w:p w14:paraId="13C2C79C" w14:textId="77777777" w:rsidR="00A779DC" w:rsidRDefault="00A779DC" w:rsidP="00A779DC">
      <w:pPr>
        <w:autoSpaceDE w:val="0"/>
        <w:autoSpaceDN w:val="0"/>
        <w:adjustRightInd w:val="0"/>
        <w:rPr>
          <w:sz w:val="17"/>
          <w:szCs w:val="17"/>
        </w:rPr>
      </w:pPr>
    </w:p>
    <w:p w14:paraId="327063CB" w14:textId="77777777" w:rsidR="00A779DC" w:rsidRDefault="00A779DC" w:rsidP="00A779DC">
      <w:pPr>
        <w:autoSpaceDE w:val="0"/>
        <w:autoSpaceDN w:val="0"/>
        <w:adjustRightInd w:val="0"/>
        <w:rPr>
          <w:sz w:val="17"/>
          <w:szCs w:val="17"/>
        </w:rPr>
      </w:pPr>
    </w:p>
    <w:p w14:paraId="1CB13E76" w14:textId="77777777" w:rsidR="00A779DC" w:rsidRDefault="00A779DC" w:rsidP="00A779DC">
      <w:pPr>
        <w:autoSpaceDE w:val="0"/>
        <w:autoSpaceDN w:val="0"/>
        <w:adjustRightInd w:val="0"/>
        <w:rPr>
          <w:sz w:val="17"/>
          <w:szCs w:val="17"/>
        </w:rPr>
      </w:pPr>
    </w:p>
    <w:p w14:paraId="56B5F4EE" w14:textId="77777777" w:rsidR="00A779DC" w:rsidRDefault="00A779DC" w:rsidP="00A779DC">
      <w:pPr>
        <w:autoSpaceDE w:val="0"/>
        <w:autoSpaceDN w:val="0"/>
        <w:adjustRightInd w:val="0"/>
        <w:rPr>
          <w:sz w:val="17"/>
          <w:szCs w:val="17"/>
        </w:rPr>
      </w:pPr>
    </w:p>
    <w:p w14:paraId="1D8233EB" w14:textId="77777777" w:rsidR="00A779DC" w:rsidRDefault="00A779DC" w:rsidP="00A779DC">
      <w:pPr>
        <w:autoSpaceDE w:val="0"/>
        <w:autoSpaceDN w:val="0"/>
        <w:adjustRightInd w:val="0"/>
        <w:rPr>
          <w:sz w:val="17"/>
          <w:szCs w:val="17"/>
        </w:rPr>
      </w:pPr>
    </w:p>
    <w:p w14:paraId="270E6F9A" w14:textId="77777777" w:rsidR="00A779DC" w:rsidRDefault="00A779DC" w:rsidP="00A779DC">
      <w:pPr>
        <w:autoSpaceDE w:val="0"/>
        <w:autoSpaceDN w:val="0"/>
        <w:adjustRightInd w:val="0"/>
        <w:rPr>
          <w:sz w:val="17"/>
          <w:szCs w:val="17"/>
        </w:rPr>
      </w:pPr>
    </w:p>
    <w:p w14:paraId="6FDC2762" w14:textId="77777777" w:rsidR="00A779DC" w:rsidRDefault="00A779DC" w:rsidP="00A779DC">
      <w:pPr>
        <w:autoSpaceDE w:val="0"/>
        <w:autoSpaceDN w:val="0"/>
        <w:adjustRightInd w:val="0"/>
        <w:rPr>
          <w:sz w:val="17"/>
          <w:szCs w:val="17"/>
        </w:rPr>
      </w:pPr>
    </w:p>
    <w:p w14:paraId="6BDFBC88" w14:textId="77777777" w:rsidR="00A779DC" w:rsidRDefault="00A779DC" w:rsidP="00A779DC">
      <w:pPr>
        <w:autoSpaceDE w:val="0"/>
        <w:autoSpaceDN w:val="0"/>
        <w:adjustRightInd w:val="0"/>
        <w:rPr>
          <w:sz w:val="17"/>
          <w:szCs w:val="17"/>
        </w:rPr>
      </w:pPr>
    </w:p>
    <w:p w14:paraId="015096D6" w14:textId="77777777" w:rsidR="00A779DC" w:rsidRDefault="00A779DC" w:rsidP="00A779DC">
      <w:pPr>
        <w:autoSpaceDE w:val="0"/>
        <w:autoSpaceDN w:val="0"/>
        <w:adjustRightInd w:val="0"/>
        <w:rPr>
          <w:sz w:val="17"/>
          <w:szCs w:val="17"/>
        </w:rPr>
      </w:pPr>
    </w:p>
    <w:p w14:paraId="5E6930D1" w14:textId="2C3FB566" w:rsidR="00A779DC" w:rsidRPr="00AB2BD2" w:rsidRDefault="00A779DC" w:rsidP="00A779DC">
      <w:pPr>
        <w:autoSpaceDE w:val="0"/>
        <w:autoSpaceDN w:val="0"/>
        <w:adjustRightInd w:val="0"/>
        <w:rPr>
          <w:sz w:val="17"/>
          <w:szCs w:val="17"/>
        </w:rPr>
      </w:pPr>
      <w:r>
        <w:rPr>
          <w:b/>
          <w:color w:val="002957"/>
          <w:sz w:val="17"/>
          <w:szCs w:val="17"/>
        </w:rPr>
        <w:lastRenderedPageBreak/>
        <w:t xml:space="preserve">Annex 1 - </w:t>
      </w:r>
      <w:r w:rsidRPr="00D93D16">
        <w:rPr>
          <w:b/>
          <w:color w:val="002957"/>
          <w:sz w:val="17"/>
          <w:szCs w:val="17"/>
        </w:rPr>
        <w:t xml:space="preserve">QRT S.23.01 – </w:t>
      </w:r>
      <w:r w:rsidRPr="00892356">
        <w:rPr>
          <w:b/>
          <w:color w:val="002957"/>
          <w:sz w:val="17"/>
          <w:szCs w:val="17"/>
        </w:rPr>
        <w:t>Foreseeable dividends, distributions and charges</w:t>
      </w:r>
    </w:p>
    <w:p w14:paraId="0482AD74" w14:textId="77777777" w:rsidR="00A779DC" w:rsidRDefault="00A779DC" w:rsidP="00A779DC">
      <w:pPr>
        <w:rPr>
          <w:sz w:val="17"/>
          <w:szCs w:val="17"/>
        </w:rPr>
      </w:pPr>
      <w:hyperlink r:id="rId14" w:history="1">
        <w:r w:rsidRPr="00F45188">
          <w:rPr>
            <w:rStyle w:val="Hypertextovprepojenie"/>
            <w:sz w:val="17"/>
            <w:szCs w:val="17"/>
          </w:rPr>
          <w:t>Implementing Regulation (EU) 2023/894</w:t>
        </w:r>
      </w:hyperlink>
      <w:hyperlink r:id="rId15" w:history="1"/>
      <w:r w:rsidRPr="001C1399">
        <w:rPr>
          <w:sz w:val="17"/>
          <w:szCs w:val="17"/>
        </w:rPr>
        <w:t xml:space="preserve"> </w:t>
      </w:r>
      <w:r w:rsidRPr="00307A9A">
        <w:rPr>
          <w:sz w:val="17"/>
          <w:szCs w:val="17"/>
        </w:rPr>
        <w:t>of 4 April 2023</w:t>
      </w:r>
      <w:r>
        <w:rPr>
          <w:sz w:val="17"/>
          <w:szCs w:val="17"/>
        </w:rPr>
        <w:t xml:space="preserve"> (</w:t>
      </w:r>
      <w:r w:rsidRPr="00307A9A">
        <w:rPr>
          <w:sz w:val="17"/>
          <w:szCs w:val="17"/>
        </w:rPr>
        <w:t>page 821</w:t>
      </w:r>
      <w:r>
        <w:rPr>
          <w:sz w:val="17"/>
          <w:szCs w:val="17"/>
        </w:rPr>
        <w:t>)</w:t>
      </w:r>
      <w:r w:rsidRPr="00307A9A">
        <w:rPr>
          <w:sz w:val="17"/>
          <w:szCs w:val="17"/>
        </w:rPr>
        <w:t>, referring to cell R0720/C0060</w:t>
      </w:r>
      <w:r>
        <w:rPr>
          <w:sz w:val="17"/>
          <w:szCs w:val="17"/>
        </w:rPr>
        <w:t xml:space="preserve"> of QRT S.23.01</w:t>
      </w:r>
      <w:r w:rsidRPr="00307A9A">
        <w:rPr>
          <w:sz w:val="17"/>
          <w:szCs w:val="17"/>
        </w:rPr>
        <w:t>,</w:t>
      </w:r>
      <w:r>
        <w:rPr>
          <w:sz w:val="17"/>
          <w:szCs w:val="17"/>
        </w:rPr>
        <w:t xml:space="preserve"> explains</w:t>
      </w:r>
      <w:r w:rsidRPr="00307A9A">
        <w:rPr>
          <w:sz w:val="17"/>
          <w:szCs w:val="17"/>
        </w:rPr>
        <w:t xml:space="preserve"> the term "Foreseeable dividends, distributions and charges" as follows: </w:t>
      </w:r>
    </w:p>
    <w:p w14:paraId="2444E15B" w14:textId="77777777" w:rsidR="00A779DC" w:rsidRPr="00307A9A" w:rsidRDefault="00A779DC" w:rsidP="00A779DC">
      <w:pPr>
        <w:pStyle w:val="Default"/>
        <w:rPr>
          <w:rFonts w:ascii="Verdana" w:eastAsia="Times New Roman" w:hAnsi="Verdana" w:cs="Times New Roman"/>
          <w:color w:val="auto"/>
          <w:sz w:val="17"/>
          <w:szCs w:val="17"/>
          <w:lang w:val="en-GB"/>
        </w:rPr>
      </w:pPr>
    </w:p>
    <w:p w14:paraId="01862BF7" w14:textId="77777777" w:rsidR="00A779DC" w:rsidRPr="00307A9A" w:rsidRDefault="00A779DC" w:rsidP="00A779DC">
      <w:pPr>
        <w:pStyle w:val="Default"/>
        <w:rPr>
          <w:rFonts w:ascii="Verdana" w:eastAsia="Times New Roman" w:hAnsi="Verdana" w:cs="Times New Roman"/>
          <w:i/>
          <w:iCs/>
          <w:color w:val="auto"/>
          <w:sz w:val="17"/>
          <w:szCs w:val="17"/>
          <w:lang w:val="en-GB"/>
        </w:rPr>
      </w:pPr>
      <w:r w:rsidRPr="00307A9A">
        <w:rPr>
          <w:rFonts w:ascii="Verdana" w:eastAsia="Times New Roman" w:hAnsi="Verdana" w:cs="Times New Roman"/>
          <w:i/>
          <w:iCs/>
          <w:color w:val="auto"/>
          <w:sz w:val="17"/>
          <w:szCs w:val="17"/>
          <w:lang w:val="en-GB"/>
        </w:rPr>
        <w:t xml:space="preserve">“These are the dividends, distributions and charges foreseeable by the undertaking. As soon as a dividend is foreseeable it is considered in full in the quarterly reporting. As soon as a dividend is foreseeable, the full amount of dividend must be included in the quarterly reporting at one time, which means that it shall not be added incrementally from quarter to quarter. </w:t>
      </w:r>
    </w:p>
    <w:p w14:paraId="13515649" w14:textId="77777777" w:rsidR="00A779DC" w:rsidRPr="00307A9A" w:rsidRDefault="00A779DC" w:rsidP="00A779DC">
      <w:pPr>
        <w:pStyle w:val="Default"/>
        <w:rPr>
          <w:rFonts w:ascii="Verdana" w:eastAsia="Times New Roman" w:hAnsi="Verdana" w:cs="Times New Roman"/>
          <w:i/>
          <w:iCs/>
          <w:color w:val="auto"/>
          <w:sz w:val="17"/>
          <w:szCs w:val="17"/>
          <w:lang w:val="en-GB"/>
        </w:rPr>
      </w:pPr>
    </w:p>
    <w:p w14:paraId="3267E0CC" w14:textId="77777777" w:rsidR="00A779DC" w:rsidRPr="00307A9A" w:rsidRDefault="00A779DC" w:rsidP="00A779DC">
      <w:pPr>
        <w:pStyle w:val="Default"/>
        <w:rPr>
          <w:rFonts w:ascii="Verdana" w:eastAsia="Times New Roman" w:hAnsi="Verdana" w:cs="Times New Roman"/>
          <w:i/>
          <w:iCs/>
          <w:color w:val="auto"/>
          <w:sz w:val="17"/>
          <w:szCs w:val="17"/>
          <w:lang w:val="en-GB"/>
        </w:rPr>
      </w:pPr>
      <w:r w:rsidRPr="00307A9A">
        <w:rPr>
          <w:rFonts w:ascii="Verdana" w:eastAsia="Times New Roman" w:hAnsi="Verdana" w:cs="Times New Roman"/>
          <w:i/>
          <w:iCs/>
          <w:color w:val="auto"/>
          <w:sz w:val="17"/>
          <w:szCs w:val="17"/>
          <w:lang w:val="en-GB"/>
        </w:rPr>
        <w:t xml:space="preserve">A dividend is foreseeable when the payment becomes likely considering the dividend payment history of the company, the business development throughout the year, the reference date of the assessment and, where appropriate, other relevant circumstances. </w:t>
      </w:r>
    </w:p>
    <w:p w14:paraId="5627D2E1" w14:textId="77777777" w:rsidR="00A779DC" w:rsidRPr="00307A9A" w:rsidRDefault="00A779DC" w:rsidP="00A779DC">
      <w:pPr>
        <w:pStyle w:val="Default"/>
        <w:rPr>
          <w:rFonts w:ascii="Verdana" w:eastAsia="Times New Roman" w:hAnsi="Verdana" w:cs="Times New Roman"/>
          <w:i/>
          <w:iCs/>
          <w:color w:val="auto"/>
          <w:sz w:val="17"/>
          <w:szCs w:val="17"/>
          <w:lang w:val="en-GB"/>
        </w:rPr>
      </w:pPr>
    </w:p>
    <w:p w14:paraId="1E645898" w14:textId="277909E1" w:rsidR="00A779DC" w:rsidRPr="00612FF9" w:rsidRDefault="00A779DC" w:rsidP="00612FF9">
      <w:pPr>
        <w:ind w:left="708" w:hanging="708"/>
        <w:rPr>
          <w:rFonts w:ascii="Verdana" w:eastAsia="Times New Roman" w:hAnsi="Verdana" w:cs="Times New Roman"/>
          <w:i/>
          <w:iCs/>
          <w:kern w:val="0"/>
          <w:sz w:val="17"/>
          <w:szCs w:val="17"/>
          <w:lang w:val="en-GB"/>
          <w14:ligatures w14:val="none"/>
        </w:rPr>
      </w:pPr>
      <w:r w:rsidRPr="00612FF9">
        <w:rPr>
          <w:rFonts w:ascii="Verdana" w:eastAsia="Times New Roman" w:hAnsi="Verdana" w:cs="Times New Roman"/>
          <w:i/>
          <w:iCs/>
          <w:kern w:val="0"/>
          <w:sz w:val="17"/>
          <w:szCs w:val="17"/>
          <w:lang w:val="en-GB"/>
          <w14:ligatures w14:val="none"/>
        </w:rPr>
        <w:t>The dividend shall be reported as foreseeable until it has been approved at the annual general meeting (not</w:t>
      </w:r>
      <w:r w:rsidR="00612FF9" w:rsidRPr="00612FF9">
        <w:rPr>
          <w:rFonts w:ascii="Verdana" w:eastAsia="Times New Roman" w:hAnsi="Verdana" w:cs="Times New Roman"/>
          <w:i/>
          <w:iCs/>
          <w:kern w:val="0"/>
          <w:sz w:val="17"/>
          <w:szCs w:val="17"/>
          <w:lang w:val="en-GB"/>
          <w14:ligatures w14:val="none"/>
        </w:rPr>
        <w:t xml:space="preserve"> </w:t>
      </w:r>
      <w:r w:rsidRPr="00612FF9">
        <w:rPr>
          <w:rFonts w:ascii="Verdana" w:eastAsia="Times New Roman" w:hAnsi="Verdana" w:cs="Times New Roman"/>
          <w:i/>
          <w:iCs/>
          <w:kern w:val="0"/>
          <w:sz w:val="17"/>
          <w:szCs w:val="17"/>
          <w:lang w:val="en-GB"/>
          <w14:ligatures w14:val="none"/>
        </w:rPr>
        <w:t>until it has been</w:t>
      </w:r>
      <w:r w:rsidR="00612FF9" w:rsidRPr="00612FF9">
        <w:rPr>
          <w:rFonts w:ascii="Verdana" w:eastAsia="Times New Roman" w:hAnsi="Verdana" w:cs="Times New Roman"/>
          <w:i/>
          <w:iCs/>
          <w:kern w:val="0"/>
          <w:sz w:val="17"/>
          <w:szCs w:val="17"/>
          <w:lang w:val="en-GB"/>
          <w14:ligatures w14:val="none"/>
        </w:rPr>
        <w:t xml:space="preserve"> </w:t>
      </w:r>
      <w:r w:rsidRPr="00612FF9">
        <w:rPr>
          <w:rFonts w:ascii="Verdana" w:eastAsia="Times New Roman" w:hAnsi="Verdana" w:cs="Times New Roman"/>
          <w:i/>
          <w:iCs/>
          <w:kern w:val="0"/>
          <w:sz w:val="17"/>
          <w:szCs w:val="17"/>
          <w:lang w:val="en-GB"/>
          <w14:ligatures w14:val="none"/>
        </w:rPr>
        <w:t>paid).”</w:t>
      </w:r>
      <w:bookmarkStart w:id="1" w:name="BorderPlate"/>
      <w:bookmarkEnd w:id="1"/>
    </w:p>
    <w:p w14:paraId="0AA77A0B" w14:textId="77777777" w:rsidR="00A779DC" w:rsidRDefault="00A779DC" w:rsidP="00A779DC">
      <w:pPr>
        <w:rPr>
          <w:b/>
          <w:color w:val="002957"/>
          <w:sz w:val="17"/>
          <w:szCs w:val="17"/>
        </w:rPr>
      </w:pPr>
    </w:p>
    <w:p w14:paraId="56019BA9" w14:textId="77777777" w:rsidR="00A779DC" w:rsidRDefault="00A779DC" w:rsidP="00A779DC">
      <w:pPr>
        <w:rPr>
          <w:b/>
          <w:color w:val="002957"/>
          <w:sz w:val="17"/>
          <w:szCs w:val="17"/>
        </w:rPr>
      </w:pPr>
      <w:r>
        <w:rPr>
          <w:b/>
          <w:color w:val="002957"/>
          <w:sz w:val="17"/>
          <w:szCs w:val="17"/>
        </w:rPr>
        <w:t xml:space="preserve">Annex 2 - </w:t>
      </w:r>
      <w:r w:rsidRPr="00250560">
        <w:rPr>
          <w:b/>
          <w:color w:val="002957"/>
          <w:sz w:val="17"/>
          <w:szCs w:val="17"/>
        </w:rPr>
        <w:t>Deduction of foreseeable dividends in the banking sector</w:t>
      </w:r>
    </w:p>
    <w:p w14:paraId="16BD8DEB" w14:textId="6623E175" w:rsidR="00A779DC" w:rsidRPr="00961DDF" w:rsidRDefault="00A779DC" w:rsidP="00A779DC">
      <w:pPr>
        <w:rPr>
          <w:sz w:val="17"/>
          <w:szCs w:val="17"/>
        </w:rPr>
      </w:pPr>
      <w:r w:rsidRPr="00245D5F">
        <w:rPr>
          <w:sz w:val="17"/>
          <w:szCs w:val="17"/>
        </w:rPr>
        <w:t xml:space="preserve">The regulation of the banking sector does not provide for a full market value balance sheet as in Solvency II. Accordingly, own funds are not derived directly from the current surplus of assets over liabilities. Instead, profits generated in the current year contribute to regulatory own funds. </w:t>
      </w:r>
      <w:r w:rsidRPr="00245D5F">
        <w:rPr>
          <w:sz w:val="17"/>
          <w:szCs w:val="17"/>
        </w:rPr>
        <w:br/>
      </w:r>
      <w:r w:rsidRPr="00245D5F">
        <w:rPr>
          <w:sz w:val="17"/>
          <w:szCs w:val="17"/>
        </w:rPr>
        <w:br/>
        <w:t xml:space="preserve">According to Art. 26 (1) (c) of the Capital Requirements Regulation (CRR) Regulation (EU) No 575/2013, retained earnings and accumulated other comprehensive income are included in Common Equity Tier 1 under certain conditions. According to Art. 26 (2), interim or year-end profits may only be included in Common Equity Tier 1 capital with prior permission of the competent authority and if any foreseeable charge or dividend has been deducted from the amount of those profits. According to Art. 26 (4), EBA shall draft regulatory technical standards to specify the meaning of "foreseeable" in this context. </w:t>
      </w:r>
      <w:r w:rsidRPr="00245D5F">
        <w:rPr>
          <w:sz w:val="17"/>
          <w:szCs w:val="17"/>
        </w:rPr>
        <w:br/>
      </w:r>
      <w:r w:rsidRPr="00245D5F">
        <w:rPr>
          <w:sz w:val="17"/>
          <w:szCs w:val="17"/>
        </w:rPr>
        <w:br/>
        <w:t xml:space="preserve">Commission Delegated Regulation (EU) No 241/2014 provides these regulatory technical standards (RTS) for own funds. </w:t>
      </w:r>
      <w:r w:rsidRPr="00961DDF">
        <w:rPr>
          <w:sz w:val="17"/>
          <w:szCs w:val="17"/>
        </w:rPr>
        <w:t>Art. 2 sets out in detail what "foreseeable"</w:t>
      </w:r>
      <w:r>
        <w:rPr>
          <w:sz w:val="17"/>
          <w:szCs w:val="17"/>
        </w:rPr>
        <w:t xml:space="preserve"> </w:t>
      </w:r>
      <w:r w:rsidRPr="00961DDF">
        <w:rPr>
          <w:sz w:val="17"/>
          <w:szCs w:val="17"/>
        </w:rPr>
        <w:t>means in relation to foreseeable dividends for the purposes of Art. 26 (2) (b)</w:t>
      </w:r>
      <w:r>
        <w:rPr>
          <w:sz w:val="17"/>
          <w:szCs w:val="17"/>
        </w:rPr>
        <w:t xml:space="preserve"> </w:t>
      </w:r>
      <w:r w:rsidRPr="00961DDF">
        <w:rPr>
          <w:sz w:val="17"/>
          <w:szCs w:val="17"/>
        </w:rPr>
        <w:t>CRR. Paragraph 4 states:</w:t>
      </w:r>
    </w:p>
    <w:p w14:paraId="00FA3CF4" w14:textId="77777777" w:rsidR="00A779DC" w:rsidRPr="00245D5F" w:rsidRDefault="00A779DC" w:rsidP="00A779DC">
      <w:pPr>
        <w:pStyle w:val="pf0"/>
        <w:rPr>
          <w:rFonts w:ascii="Verdana" w:hAnsi="Verdana"/>
          <w:sz w:val="17"/>
          <w:szCs w:val="17"/>
          <w:lang w:val="en-GB" w:eastAsia="en-US"/>
        </w:rPr>
      </w:pPr>
      <w:r w:rsidRPr="00245D5F">
        <w:rPr>
          <w:rFonts w:ascii="Verdana" w:hAnsi="Verdana"/>
          <w:i/>
          <w:iCs/>
          <w:sz w:val="17"/>
          <w:szCs w:val="17"/>
          <w:lang w:val="en-GB" w:eastAsia="en-US"/>
        </w:rPr>
        <w:t xml:space="preserve">"Before the management body has formally taken a decision or proposed a decision to the relevant body on the distribution of dividends, the </w:t>
      </w:r>
      <w:proofErr w:type="gramStart"/>
      <w:r w:rsidRPr="00245D5F">
        <w:rPr>
          <w:rFonts w:ascii="Verdana" w:hAnsi="Verdana"/>
          <w:i/>
          <w:iCs/>
          <w:sz w:val="17"/>
          <w:szCs w:val="17"/>
          <w:lang w:val="en-GB" w:eastAsia="en-US"/>
        </w:rPr>
        <w:t>amount</w:t>
      </w:r>
      <w:proofErr w:type="gramEnd"/>
      <w:r w:rsidRPr="00245D5F">
        <w:rPr>
          <w:rFonts w:ascii="Verdana" w:hAnsi="Verdana"/>
          <w:i/>
          <w:iCs/>
          <w:sz w:val="17"/>
          <w:szCs w:val="17"/>
          <w:lang w:val="en-GB" w:eastAsia="en-US"/>
        </w:rPr>
        <w:t xml:space="preserve"> of foreseeable dividends to be deducted by institutions from the interim or year-end profits shall equal the amount of interim or year-end profits multiplied by the dividend payout ratio." </w:t>
      </w:r>
    </w:p>
    <w:p w14:paraId="1B01022F" w14:textId="77777777" w:rsidR="00A779DC" w:rsidRPr="00612FF9" w:rsidRDefault="00A779DC" w:rsidP="00A779DC">
      <w:pPr>
        <w:pStyle w:val="pf0"/>
        <w:rPr>
          <w:rFonts w:asciiTheme="minorHAnsi" w:eastAsiaTheme="minorHAnsi" w:hAnsiTheme="minorHAnsi" w:cstheme="minorBidi"/>
          <w:kern w:val="2"/>
          <w:sz w:val="17"/>
          <w:szCs w:val="17"/>
          <w:lang w:eastAsia="en-US"/>
          <w14:ligatures w14:val="standardContextual"/>
        </w:rPr>
      </w:pPr>
      <w:r w:rsidRPr="00612FF9">
        <w:rPr>
          <w:rFonts w:asciiTheme="minorHAnsi" w:eastAsiaTheme="minorHAnsi" w:hAnsiTheme="minorHAnsi" w:cstheme="minorBidi"/>
          <w:kern w:val="2"/>
          <w:sz w:val="17"/>
          <w:szCs w:val="17"/>
          <w:lang w:eastAsia="en-US"/>
          <w14:ligatures w14:val="standardContextual"/>
        </w:rPr>
        <w:t xml:space="preserve">This means that in the banking sector, an incremental build-up of foreseeable dividends from quarter to quarter in line with the development of profits is expressly provided for. This seems to be an established, sensible solution. Also, we see no reason for a different and more burdensome solution in the insurance sector. </w:t>
      </w:r>
    </w:p>
    <w:p w14:paraId="55610E38" w14:textId="77777777" w:rsidR="00C424DC" w:rsidRPr="00A779DC" w:rsidRDefault="00C424DC">
      <w:pPr>
        <w:rPr>
          <w:lang w:val="en-US"/>
        </w:rPr>
      </w:pPr>
    </w:p>
    <w:sectPr w:rsidR="00C424DC" w:rsidRPr="00A779DC">
      <w:headerReference w:type="default" r:id="rId1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D9DDB1" w14:textId="77777777" w:rsidR="007711EF" w:rsidRDefault="007711EF" w:rsidP="002D6470">
      <w:pPr>
        <w:spacing w:after="0" w:line="240" w:lineRule="auto"/>
      </w:pPr>
      <w:r>
        <w:separator/>
      </w:r>
    </w:p>
  </w:endnote>
  <w:endnote w:type="continuationSeparator" w:id="0">
    <w:p w14:paraId="1EBADD0C" w14:textId="77777777" w:rsidR="007711EF" w:rsidRDefault="007711EF" w:rsidP="002D6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A15EDE" w14:textId="77777777" w:rsidR="007711EF" w:rsidRDefault="007711EF" w:rsidP="002D6470">
      <w:pPr>
        <w:spacing w:after="0" w:line="240" w:lineRule="auto"/>
      </w:pPr>
      <w:r>
        <w:separator/>
      </w:r>
    </w:p>
  </w:footnote>
  <w:footnote w:type="continuationSeparator" w:id="0">
    <w:p w14:paraId="20A0FEC2" w14:textId="77777777" w:rsidR="007711EF" w:rsidRDefault="007711EF" w:rsidP="002D64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47E89" w14:textId="058E5E1B" w:rsidR="002D6470" w:rsidRPr="00E21419" w:rsidRDefault="00FF0FE8">
    <w:pPr>
      <w:pStyle w:val="Hlavika"/>
      <w:rPr>
        <w:color w:val="FF0000"/>
      </w:rPr>
    </w:pPr>
    <w:sdt>
      <w:sdtPr>
        <w:id w:val="-1090542973"/>
        <w:docPartObj>
          <w:docPartGallery w:val="Watermarks"/>
          <w:docPartUnique/>
        </w:docPartObj>
      </w:sdtPr>
      <w:sdtEndPr/>
      <w:sdtContent>
        <w:r>
          <w:rPr>
            <w:noProof/>
          </w:rPr>
          <w:pict w14:anchorId="0CB38E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21419" w:rsidRPr="00E21419">
      <w:rPr>
        <w:color w:val="FF0000"/>
      </w:rPr>
      <w:t>DRAFT_Explanatory paper</w:t>
    </w:r>
  </w:p>
  <w:p w14:paraId="058A00A5" w14:textId="4DB5DB65" w:rsidR="00E21419" w:rsidRPr="00E21419" w:rsidRDefault="00E21419">
    <w:pPr>
      <w:pStyle w:val="Hlavika"/>
      <w:rPr>
        <w:color w:val="FF0000"/>
      </w:rPr>
    </w:pPr>
    <w:r w:rsidRPr="00E21419">
      <w:rPr>
        <w:color w:val="FF0000"/>
      </w:rPr>
      <w:t>For feedback via Extranet by 7 October COB.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9DC"/>
    <w:rsid w:val="0013795D"/>
    <w:rsid w:val="00294489"/>
    <w:rsid w:val="002D6470"/>
    <w:rsid w:val="003570C2"/>
    <w:rsid w:val="003E235E"/>
    <w:rsid w:val="0041091C"/>
    <w:rsid w:val="00484391"/>
    <w:rsid w:val="00520F4A"/>
    <w:rsid w:val="005A42F4"/>
    <w:rsid w:val="005B2990"/>
    <w:rsid w:val="00612FF9"/>
    <w:rsid w:val="007711EF"/>
    <w:rsid w:val="007826B3"/>
    <w:rsid w:val="00814B87"/>
    <w:rsid w:val="00A779DC"/>
    <w:rsid w:val="00AE1334"/>
    <w:rsid w:val="00C424DC"/>
    <w:rsid w:val="00CC3FE2"/>
    <w:rsid w:val="00D677B7"/>
    <w:rsid w:val="00E21419"/>
    <w:rsid w:val="00ED6D8C"/>
    <w:rsid w:val="00EF633A"/>
    <w:rsid w:val="00FF0FE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BF4B0"/>
  <w15:chartTrackingRefBased/>
  <w15:docId w15:val="{D0494172-37FE-4E50-AC88-0BD7F1FE3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A779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A779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A779D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A779D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A779DC"/>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A779D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A779DC"/>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A779DC"/>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A779DC"/>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779D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A779D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A779DC"/>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A779DC"/>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A779DC"/>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A779DC"/>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A779DC"/>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A779DC"/>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A779DC"/>
    <w:rPr>
      <w:rFonts w:eastAsiaTheme="majorEastAsia" w:cstheme="majorBidi"/>
      <w:color w:val="272727" w:themeColor="text1" w:themeTint="D8"/>
    </w:rPr>
  </w:style>
  <w:style w:type="paragraph" w:styleId="Nzov">
    <w:name w:val="Title"/>
    <w:basedOn w:val="Normlny"/>
    <w:next w:val="Normlny"/>
    <w:link w:val="NzovChar"/>
    <w:uiPriority w:val="10"/>
    <w:qFormat/>
    <w:rsid w:val="00A779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A779DC"/>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A779DC"/>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A779DC"/>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A779DC"/>
    <w:pPr>
      <w:spacing w:before="160"/>
      <w:jc w:val="center"/>
    </w:pPr>
    <w:rPr>
      <w:i/>
      <w:iCs/>
      <w:color w:val="404040" w:themeColor="text1" w:themeTint="BF"/>
    </w:rPr>
  </w:style>
  <w:style w:type="character" w:customStyle="1" w:styleId="CitciaChar">
    <w:name w:val="Citácia Char"/>
    <w:basedOn w:val="Predvolenpsmoodseku"/>
    <w:link w:val="Citcia"/>
    <w:uiPriority w:val="29"/>
    <w:rsid w:val="00A779DC"/>
    <w:rPr>
      <w:i/>
      <w:iCs/>
      <w:color w:val="404040" w:themeColor="text1" w:themeTint="BF"/>
    </w:rPr>
  </w:style>
  <w:style w:type="paragraph" w:styleId="Odsekzoznamu">
    <w:name w:val="List Paragraph"/>
    <w:basedOn w:val="Normlny"/>
    <w:uiPriority w:val="34"/>
    <w:qFormat/>
    <w:rsid w:val="00A779DC"/>
    <w:pPr>
      <w:ind w:left="720"/>
      <w:contextualSpacing/>
    </w:pPr>
  </w:style>
  <w:style w:type="character" w:styleId="Intenzvnezvraznenie">
    <w:name w:val="Intense Emphasis"/>
    <w:basedOn w:val="Predvolenpsmoodseku"/>
    <w:uiPriority w:val="21"/>
    <w:qFormat/>
    <w:rsid w:val="00A779DC"/>
    <w:rPr>
      <w:i/>
      <w:iCs/>
      <w:color w:val="0F4761" w:themeColor="accent1" w:themeShade="BF"/>
    </w:rPr>
  </w:style>
  <w:style w:type="paragraph" w:styleId="Zvraznencitcia">
    <w:name w:val="Intense Quote"/>
    <w:basedOn w:val="Normlny"/>
    <w:next w:val="Normlny"/>
    <w:link w:val="ZvraznencitciaChar"/>
    <w:uiPriority w:val="30"/>
    <w:qFormat/>
    <w:rsid w:val="00A779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A779DC"/>
    <w:rPr>
      <w:i/>
      <w:iCs/>
      <w:color w:val="0F4761" w:themeColor="accent1" w:themeShade="BF"/>
    </w:rPr>
  </w:style>
  <w:style w:type="character" w:styleId="Zvraznenodkaz">
    <w:name w:val="Intense Reference"/>
    <w:basedOn w:val="Predvolenpsmoodseku"/>
    <w:uiPriority w:val="32"/>
    <w:qFormat/>
    <w:rsid w:val="00A779DC"/>
    <w:rPr>
      <w:b/>
      <w:bCs/>
      <w:smallCaps/>
      <w:color w:val="0F4761" w:themeColor="accent1" w:themeShade="BF"/>
      <w:spacing w:val="5"/>
    </w:rPr>
  </w:style>
  <w:style w:type="character" w:styleId="Hypertextovprepojenie">
    <w:name w:val="Hyperlink"/>
    <w:basedOn w:val="Predvolenpsmoodseku"/>
    <w:uiPriority w:val="99"/>
    <w:unhideWhenUsed/>
    <w:rsid w:val="00A779DC"/>
    <w:rPr>
      <w:color w:val="467886" w:themeColor="hyperlink"/>
      <w:u w:val="single"/>
    </w:rPr>
  </w:style>
  <w:style w:type="character" w:styleId="Odkaznakomentr">
    <w:name w:val="annotation reference"/>
    <w:basedOn w:val="Predvolenpsmoodseku"/>
    <w:uiPriority w:val="99"/>
    <w:semiHidden/>
    <w:unhideWhenUsed/>
    <w:rsid w:val="00A779DC"/>
    <w:rPr>
      <w:sz w:val="16"/>
      <w:szCs w:val="16"/>
    </w:rPr>
  </w:style>
  <w:style w:type="paragraph" w:styleId="Textkomentra">
    <w:name w:val="annotation text"/>
    <w:basedOn w:val="Normlny"/>
    <w:link w:val="TextkomentraChar"/>
    <w:uiPriority w:val="99"/>
    <w:unhideWhenUsed/>
    <w:rsid w:val="00A779DC"/>
    <w:pPr>
      <w:spacing w:after="0" w:line="240" w:lineRule="auto"/>
      <w:jc w:val="both"/>
    </w:pPr>
    <w:rPr>
      <w:rFonts w:ascii="Verdana" w:eastAsia="Times New Roman" w:hAnsi="Verdana" w:cs="Times New Roman"/>
      <w:kern w:val="0"/>
      <w:sz w:val="20"/>
      <w:szCs w:val="20"/>
      <w:lang w:val="en-GB"/>
      <w14:ligatures w14:val="none"/>
    </w:rPr>
  </w:style>
  <w:style w:type="character" w:customStyle="1" w:styleId="TextkomentraChar">
    <w:name w:val="Text komentára Char"/>
    <w:basedOn w:val="Predvolenpsmoodseku"/>
    <w:link w:val="Textkomentra"/>
    <w:uiPriority w:val="99"/>
    <w:rsid w:val="00A779DC"/>
    <w:rPr>
      <w:rFonts w:ascii="Verdana" w:eastAsia="Times New Roman" w:hAnsi="Verdana" w:cs="Times New Roman"/>
      <w:kern w:val="0"/>
      <w:sz w:val="20"/>
      <w:szCs w:val="20"/>
      <w:lang w:val="en-GB"/>
      <w14:ligatures w14:val="none"/>
    </w:rPr>
  </w:style>
  <w:style w:type="paragraph" w:customStyle="1" w:styleId="pf0">
    <w:name w:val="pf0"/>
    <w:basedOn w:val="Normlny"/>
    <w:rsid w:val="00A779DC"/>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customStyle="1" w:styleId="Default">
    <w:name w:val="Default"/>
    <w:rsid w:val="00A779DC"/>
    <w:pPr>
      <w:autoSpaceDE w:val="0"/>
      <w:autoSpaceDN w:val="0"/>
      <w:adjustRightInd w:val="0"/>
      <w:spacing w:after="0" w:line="240" w:lineRule="auto"/>
    </w:pPr>
    <w:rPr>
      <w:rFonts w:ascii="Arial" w:hAnsi="Arial" w:cs="Arial"/>
      <w:color w:val="000000"/>
      <w:kern w:val="0"/>
      <w:sz w:val="24"/>
      <w:szCs w:val="24"/>
      <w14:ligatures w14:val="none"/>
    </w:rPr>
  </w:style>
  <w:style w:type="character" w:styleId="PouitHypertextovPrepojenie">
    <w:name w:val="FollowedHyperlink"/>
    <w:basedOn w:val="Predvolenpsmoodseku"/>
    <w:uiPriority w:val="99"/>
    <w:semiHidden/>
    <w:unhideWhenUsed/>
    <w:rsid w:val="00A779DC"/>
    <w:rPr>
      <w:color w:val="96607D" w:themeColor="followedHyperlink"/>
      <w:u w:val="single"/>
    </w:rPr>
  </w:style>
  <w:style w:type="paragraph" w:styleId="Hlavika">
    <w:name w:val="header"/>
    <w:basedOn w:val="Normlny"/>
    <w:link w:val="HlavikaChar"/>
    <w:uiPriority w:val="99"/>
    <w:unhideWhenUsed/>
    <w:rsid w:val="002D6470"/>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2D6470"/>
  </w:style>
  <w:style w:type="paragraph" w:styleId="Pta">
    <w:name w:val="footer"/>
    <w:basedOn w:val="Normlny"/>
    <w:link w:val="PtaChar"/>
    <w:uiPriority w:val="99"/>
    <w:unhideWhenUsed/>
    <w:rsid w:val="002D6470"/>
    <w:pPr>
      <w:tabs>
        <w:tab w:val="center" w:pos="4513"/>
        <w:tab w:val="right" w:pos="9026"/>
      </w:tabs>
      <w:spacing w:after="0" w:line="240" w:lineRule="auto"/>
    </w:pPr>
  </w:style>
  <w:style w:type="character" w:customStyle="1" w:styleId="PtaChar">
    <w:name w:val="Päta Char"/>
    <w:basedOn w:val="Predvolenpsmoodseku"/>
    <w:link w:val="Pta"/>
    <w:uiPriority w:val="99"/>
    <w:rsid w:val="002D6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6438988">
      <w:bodyDiv w:val="1"/>
      <w:marLeft w:val="0"/>
      <w:marRight w:val="0"/>
      <w:marTop w:val="0"/>
      <w:marBottom w:val="0"/>
      <w:divBdr>
        <w:top w:val="none" w:sz="0" w:space="0" w:color="auto"/>
        <w:left w:val="none" w:sz="0" w:space="0" w:color="auto"/>
        <w:bottom w:val="none" w:sz="0" w:space="0" w:color="auto"/>
        <w:right w:val="none" w:sz="0" w:space="0" w:color="auto"/>
      </w:divBdr>
    </w:div>
    <w:div w:id="582223017">
      <w:bodyDiv w:val="1"/>
      <w:marLeft w:val="0"/>
      <w:marRight w:val="0"/>
      <w:marTop w:val="0"/>
      <w:marBottom w:val="0"/>
      <w:divBdr>
        <w:top w:val="none" w:sz="0" w:space="0" w:color="auto"/>
        <w:left w:val="none" w:sz="0" w:space="0" w:color="auto"/>
        <w:bottom w:val="none" w:sz="0" w:space="0" w:color="auto"/>
        <w:right w:val="none" w:sz="0" w:space="0" w:color="auto"/>
      </w:divBdr>
    </w:div>
    <w:div w:id="1076129089">
      <w:bodyDiv w:val="1"/>
      <w:marLeft w:val="0"/>
      <w:marRight w:val="0"/>
      <w:marTop w:val="0"/>
      <w:marBottom w:val="0"/>
      <w:divBdr>
        <w:top w:val="none" w:sz="0" w:space="0" w:color="auto"/>
        <w:left w:val="none" w:sz="0" w:space="0" w:color="auto"/>
        <w:bottom w:val="none" w:sz="0" w:space="0" w:color="auto"/>
        <w:right w:val="none" w:sz="0" w:space="0" w:color="auto"/>
      </w:divBdr>
    </w:div>
    <w:div w:id="130581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nsuranceeurope.eu/publications/2453/response-to-eiopa-consultation-on-amendments-to-supervisory-reporting-and-public-disclosure-documen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iopa.europa.eu/publications/guidelines-classification-own-funds_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suranceeurope.eu/publications/2453/response-to-eiopa-consultation-on-amendments-to-supervisory-reporting-and-public-disclosure-documents/" TargetMode="External"/><Relationship Id="rId5" Type="http://schemas.openxmlformats.org/officeDocument/2006/relationships/styles" Target="styles.xml"/><Relationship Id="rId15" Type="http://schemas.openxmlformats.org/officeDocument/2006/relationships/hyperlink" Target="https://eur-lex.europa.eu/legal-content/EN/TXT/?uri=CELEX%3A32023R0894" TargetMode="External"/><Relationship Id="rId10" Type="http://schemas.openxmlformats.org/officeDocument/2006/relationships/hyperlink" Target="https://eur-lex.europa.eu/legal-content/EN/TXT/?uri=CELEX%3A32023R0894"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eur-lex.europa.eu/legal-content/EN/TXT/?uri=CELEX%3A32023R08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ublished Documents" ma:contentTypeID="0x0101007A2A1B97D27D6A4C90B6022E1624614C" ma:contentTypeVersion="25" ma:contentTypeDescription="Published Documents Content types for Insurance Europe" ma:contentTypeScope="" ma:versionID="8a2d4692b2818bc39a2ce63c0804f6e5">
  <xsd:schema xmlns:xsd="http://www.w3.org/2001/XMLSchema" xmlns:xs="http://www.w3.org/2001/XMLSchema" xmlns:p="http://schemas.microsoft.com/office/2006/metadata/properties" xmlns:ns2="d352728d-c7aa-455d-bd83-40fe44122be8" targetNamespace="http://schemas.microsoft.com/office/2006/metadata/properties" ma:root="true" ma:fieldsID="8b95e88459e8d978ad07ee6f97c580c8" ns2:_="">
    <xsd:import namespace="d352728d-c7aa-455d-bd83-40fe44122be8"/>
    <xsd:element name="properties">
      <xsd:complexType>
        <xsd:sequence>
          <xsd:element name="documentManagement">
            <xsd:complexType>
              <xsd:all>
                <xsd:element ref="ns2:AllowComments" minOccurs="0"/>
                <xsd:element ref="ns2:Validated" minOccurs="0"/>
                <xsd:element ref="ns2:ValidationComment" minOccurs="0"/>
                <xsd:element ref="ns2:Can_x0020_be_x0020_edited" minOccurs="0"/>
                <xsd:element ref="ns2:Type_x0020_of_x0020_document" minOccurs="0"/>
                <xsd:element ref="ns2:Deadline" minOccurs="0"/>
                <xsd:element ref="ns2:Type_x0020_of_x0020_memo" minOccurs="0"/>
                <xsd:element ref="ns2:Display_x0020_validated_x0020_documents_x0020_library_x0020_button" minOccurs="0"/>
                <xsd:element ref="ns2:isAnnex" minOccurs="0"/>
                <xsd:element ref="ns2:Uploads" minOccurs="0"/>
                <xsd:element ref="ns2:Allow_x0020_uploads" minOccurs="0"/>
                <xsd:element ref="ns2:Allow_x0020_comments" minOccurs="0"/>
                <xsd:element ref="ns2:Feedback_x0020_type" minOccurs="0"/>
                <xsd:element ref="ns2:Leading_x0020_document" minOccurs="0"/>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2728d-c7aa-455d-bd83-40fe44122be8" elementFormDefault="qualified">
    <xsd:import namespace="http://schemas.microsoft.com/office/2006/documentManagement/types"/>
    <xsd:import namespace="http://schemas.microsoft.com/office/infopath/2007/PartnerControls"/>
    <xsd:element name="AllowComments" ma:index="8" nillable="true" ma:displayName="AllowComments" ma:default="1" ma:internalName="AllowComments" ma:readOnly="false">
      <xsd:simpleType>
        <xsd:restriction base="dms:Boolean"/>
      </xsd:simpleType>
    </xsd:element>
    <xsd:element name="Validated" ma:index="9" nillable="true" ma:displayName="Validated" ma:default="0" ma:internalName="Validated" ma:readOnly="false">
      <xsd:simpleType>
        <xsd:restriction base="dms:Boolean"/>
      </xsd:simpleType>
    </xsd:element>
    <xsd:element name="ValidationComment" ma:index="10" nillable="true" ma:displayName="ValidationComment" ma:internalName="ValidationComment" ma:readOnly="false">
      <xsd:simpleType>
        <xsd:restriction base="dms:Note">
          <xsd:maxLength value="255"/>
        </xsd:restriction>
      </xsd:simpleType>
    </xsd:element>
    <xsd:element name="Can_x0020_be_x0020_edited" ma:index="11" nillable="true" ma:displayName="Can be edited" ma:default="0" ma:internalName="Can_x0020_be_x0020_edited" ma:readOnly="false">
      <xsd:simpleType>
        <xsd:restriction base="dms:Boolean"/>
      </xsd:simpleType>
    </xsd:element>
    <xsd:element name="Type_x0020_of_x0020_document" ma:index="12" nillable="true" ma:displayName="Type of document" ma:format="Dropdown" ma:internalName="Type_x0020_of_x0020_document" ma:readOnly="false">
      <xsd:simpleType>
        <xsd:restriction base="dms:Choice">
          <xsd:enumeration value="Memo"/>
          <xsd:enumeration value="Blank document"/>
          <xsd:enumeration value="Agenda"/>
          <xsd:enumeration value="News Flash"/>
          <xsd:enumeration value="Participants List"/>
          <xsd:enumeration value="Press Release"/>
          <xsd:enumeration value="Fax Cover"/>
          <xsd:enumeration value="Letter"/>
          <xsd:enumeration value="Background note"/>
          <xsd:enumeration value="Meeting Conclusions"/>
          <xsd:enumeration value="Position Paper"/>
          <xsd:enumeration value="PowerPoint template"/>
        </xsd:restriction>
      </xsd:simpleType>
    </xsd:element>
    <xsd:element name="Deadline" ma:index="13" nillable="true" ma:displayName="Deadline" ma:format="DateTime" ma:internalName="Deadline" ma:readOnly="false">
      <xsd:simpleType>
        <xsd:restriction base="dms:DateTime"/>
      </xsd:simpleType>
    </xsd:element>
    <xsd:element name="Type_x0020_of_x0020_memo" ma:index="14" nillable="true" ma:displayName="Type of memo" ma:format="Dropdown" ma:internalName="Type_x0020_of_x0020_memo" ma:readOnly="false">
      <xsd:simpleType>
        <xsd:restriction base="dms:Choice">
          <xsd:enumeration value="information"/>
          <xsd:enumeration value="action"/>
        </xsd:restriction>
      </xsd:simpleType>
    </xsd:element>
    <xsd:element name="Display_x0020_validated_x0020_documents_x0020_library_x0020_button" ma:index="15" nillable="true" ma:displayName="Display validated documents library button" ma:default="0" ma:internalName="Display_x0020_validated_x0020_documents_x0020_library_x0020_button" ma:readOnly="false">
      <xsd:simpleType>
        <xsd:restriction base="dms:Boolean"/>
      </xsd:simpleType>
    </xsd:element>
    <xsd:element name="isAnnex" ma:index="16" nillable="true" ma:displayName="isAnnex" ma:internalName="isAnnex" ma:readOnly="false">
      <xsd:simpleType>
        <xsd:restriction base="dms:Text"/>
      </xsd:simpleType>
    </xsd:element>
    <xsd:element name="Uploads" ma:index="17" nillable="true" ma:displayName="Uploads" ma:internalName="Uploads" ma:readOnly="false">
      <xsd:simpleType>
        <xsd:restriction base="dms:Boolean"/>
      </xsd:simpleType>
    </xsd:element>
    <xsd:element name="Allow_x0020_uploads" ma:index="18" nillable="true" ma:displayName="Allow uploads" ma:internalName="Allow_x0020_uploads">
      <xsd:simpleType>
        <xsd:restriction base="dms:Boolean"/>
      </xsd:simpleType>
    </xsd:element>
    <xsd:element name="Allow_x0020_comments" ma:index="19" nillable="true" ma:displayName="Allow comments" ma:internalName="Allow_x0020_comments">
      <xsd:simpleType>
        <xsd:restriction base="dms:Boolean"/>
      </xsd:simpleType>
    </xsd:element>
    <xsd:element name="Feedback_x0020_type" ma:index="20" nillable="true" ma:displayName="Feedback type" ma:internalName="Feedback_x0020_type">
      <xsd:simpleType>
        <xsd:restriction base="dms:Text"/>
      </xsd:simpleType>
    </xsd:element>
    <xsd:element name="Leading_x0020_document" ma:index="21" nillable="true" ma:displayName="Leading document" ma:internalName="Leading_x0020_document">
      <xsd:simpleType>
        <xsd:restriction base="dms:Text"/>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eadline xmlns="d352728d-c7aa-455d-bd83-40fe44122be8" xsi:nil="true"/>
    <Type_x0020_of_x0020_document xmlns="d352728d-c7aa-455d-bd83-40fe44122be8" xsi:nil="true"/>
    <Type_x0020_of_x0020_memo xmlns="d352728d-c7aa-455d-bd83-40fe44122be8" xsi:nil="true"/>
    <Uploads xmlns="d352728d-c7aa-455d-bd83-40fe44122be8" xsi:nil="true"/>
    <Leading_x0020_document xmlns="d352728d-c7aa-455d-bd83-40fe44122be8" xsi:nil="true"/>
    <Can_x0020_be_x0020_edited xmlns="d352728d-c7aa-455d-bd83-40fe44122be8">false</Can_x0020_be_x0020_edited>
    <AllowComments xmlns="d352728d-c7aa-455d-bd83-40fe44122be8">true</AllowComments>
    <Allow_x0020_uploads xmlns="d352728d-c7aa-455d-bd83-40fe44122be8" xsi:nil="true"/>
    <Display_x0020_validated_x0020_documents_x0020_library_x0020_button xmlns="d352728d-c7aa-455d-bd83-40fe44122be8">false</Display_x0020_validated_x0020_documents_x0020_library_x0020_button>
    <Validated xmlns="d352728d-c7aa-455d-bd83-40fe44122be8">false</Validated>
    <Feedback_x0020_type xmlns="d352728d-c7aa-455d-bd83-40fe44122be8" xsi:nil="true"/>
    <isAnnex xmlns="d352728d-c7aa-455d-bd83-40fe44122be8" xsi:nil="true"/>
    <ValidationComment xmlns="d352728d-c7aa-455d-bd83-40fe44122be8" xsi:nil="true"/>
    <Allow_x0020_comments xmlns="d352728d-c7aa-455d-bd83-40fe44122be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BED773-6B83-493F-972D-BA7E60D26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2728d-c7aa-455d-bd83-40fe44122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F99BB0-D608-4054-9243-6A86E73BC6F1}">
  <ds:schemaRefs>
    <ds:schemaRef ds:uri="http://schemas.openxmlformats.org/officeDocument/2006/bibliography"/>
  </ds:schemaRefs>
</ds:datastoreItem>
</file>

<file path=customXml/itemProps3.xml><?xml version="1.0" encoding="utf-8"?>
<ds:datastoreItem xmlns:ds="http://schemas.openxmlformats.org/officeDocument/2006/customXml" ds:itemID="{9F5F268D-1528-465D-ACE4-A540995C3185}">
  <ds:schemaRefs>
    <ds:schemaRef ds:uri="http://schemas.microsoft.com/office/2006/metadata/properties"/>
    <ds:schemaRef ds:uri="http://purl.org/dc/elements/1.1/"/>
    <ds:schemaRef ds:uri="d352728d-c7aa-455d-bd83-40fe44122be8"/>
    <ds:schemaRef ds:uri="http://schemas.microsoft.com/office/2006/documentManagement/types"/>
    <ds:schemaRef ds:uri="http://purl.org/dc/terms/"/>
    <ds:schemaRef ds:uri="http://www.w3.org/XML/1998/namespace"/>
    <ds:schemaRef ds:uri="http://schemas.openxmlformats.org/package/2006/metadata/core-properti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DD48D3B2-BFED-44B9-B73E-82DA47005A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1562</Words>
  <Characters>8909</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Explanatory Paper - Change in the possibility to accrue a foreseeable dividend over the year</dc:title>
  <dc:subject/>
  <dc:creator>Angus</dc:creator>
  <cp:keywords/>
  <dc:description/>
  <cp:lastModifiedBy>jozef.bachnicek</cp:lastModifiedBy>
  <cp:revision>2</cp:revision>
  <dcterms:created xsi:type="dcterms:W3CDTF">2024-10-04T06:49:00Z</dcterms:created>
  <dcterms:modified xsi:type="dcterms:W3CDTF">2024-10-04T06:49:00Z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0x0101007A2A1B97D27D6A4C90B6022E1624614C</vt:lpwstr>
  </property>
  <property fmtid="{D5CDD505-2E9C-101B-9397-08002B2CF9AE}" pid="3" name="MediaServiceImageTags">
    <vt:lpwstr/>
  </property>
</Properties>
</file>