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9E8B1" w14:textId="4AABEC95" w:rsidR="00044A5A" w:rsidRPr="00BC4CA4" w:rsidRDefault="00044A5A" w:rsidP="00317CEA">
      <w:pPr>
        <w:autoSpaceDE w:val="0"/>
        <w:autoSpaceDN w:val="0"/>
        <w:adjustRightInd w:val="0"/>
        <w:jc w:val="center"/>
        <w:rPr>
          <w:rFonts w:cs="Calibri"/>
          <w:b/>
          <w:bCs/>
          <w:color w:val="000000"/>
          <w:szCs w:val="17"/>
        </w:rPr>
      </w:pPr>
      <w:r w:rsidRPr="00BC4CA4">
        <w:rPr>
          <w:rFonts w:cs="Calibri"/>
          <w:b/>
          <w:bCs/>
          <w:color w:val="000000"/>
          <w:szCs w:val="17"/>
        </w:rPr>
        <w:t xml:space="preserve">DRAFT Plan </w:t>
      </w:r>
      <w:r w:rsidRPr="004166E4">
        <w:rPr>
          <w:rFonts w:cs="Calibri"/>
          <w:b/>
          <w:bCs/>
          <w:color w:val="000000"/>
          <w:szCs w:val="17"/>
        </w:rPr>
        <w:t xml:space="preserve">for </w:t>
      </w:r>
      <w:r w:rsidRPr="004166E4">
        <w:rPr>
          <w:rFonts w:cs="Calibri"/>
          <w:b/>
          <w:color w:val="000000"/>
          <w:szCs w:val="17"/>
        </w:rPr>
        <w:t>progressing</w:t>
      </w:r>
      <w:r w:rsidRPr="004166E4">
        <w:rPr>
          <w:rFonts w:cs="Calibri"/>
          <w:b/>
          <w:bCs/>
          <w:color w:val="000000"/>
          <w:szCs w:val="17"/>
        </w:rPr>
        <w:t xml:space="preserve"> </w:t>
      </w:r>
      <w:r w:rsidR="004166E4">
        <w:rPr>
          <w:rFonts w:cs="Calibri"/>
          <w:b/>
          <w:bCs/>
          <w:color w:val="000000"/>
          <w:szCs w:val="17"/>
        </w:rPr>
        <w:t xml:space="preserve">work </w:t>
      </w:r>
      <w:r w:rsidRPr="004166E4">
        <w:rPr>
          <w:rFonts w:cs="Calibri"/>
          <w:b/>
          <w:bCs/>
          <w:color w:val="000000"/>
          <w:szCs w:val="17"/>
        </w:rPr>
        <w:t>on mitigating</w:t>
      </w:r>
      <w:r w:rsidRPr="00BC4CA4">
        <w:rPr>
          <w:rFonts w:cs="Calibri"/>
          <w:b/>
          <w:bCs/>
          <w:color w:val="000000"/>
          <w:szCs w:val="17"/>
        </w:rPr>
        <w:t xml:space="preserve"> measures for Covid-19 impact on solvency ratios</w:t>
      </w:r>
    </w:p>
    <w:p w14:paraId="1C008D9E" w14:textId="77777777" w:rsidR="00044A5A" w:rsidRPr="00BC4CA4" w:rsidRDefault="00044A5A" w:rsidP="00317CEA">
      <w:pPr>
        <w:autoSpaceDE w:val="0"/>
        <w:autoSpaceDN w:val="0"/>
        <w:adjustRightInd w:val="0"/>
        <w:rPr>
          <w:rFonts w:cs="Calibri"/>
          <w:color w:val="000000"/>
          <w:szCs w:val="17"/>
        </w:rPr>
      </w:pPr>
    </w:p>
    <w:p w14:paraId="36BEC505" w14:textId="6FC30BDC" w:rsidR="00044A5A" w:rsidRPr="00BC4CA4" w:rsidRDefault="00044A5A" w:rsidP="00317CEA">
      <w:pPr>
        <w:autoSpaceDE w:val="0"/>
        <w:autoSpaceDN w:val="0"/>
        <w:adjustRightInd w:val="0"/>
        <w:rPr>
          <w:rFonts w:cs="Calibri"/>
          <w:color w:val="000000"/>
          <w:szCs w:val="17"/>
        </w:rPr>
      </w:pPr>
    </w:p>
    <w:p w14:paraId="28AAFAF3" w14:textId="5CE9EF29" w:rsidR="00044A5A" w:rsidRPr="004166E4" w:rsidRDefault="00044A5A" w:rsidP="00317CEA">
      <w:pPr>
        <w:autoSpaceDE w:val="0"/>
        <w:autoSpaceDN w:val="0"/>
        <w:adjustRightInd w:val="0"/>
        <w:rPr>
          <w:rFonts w:cs="Calibri"/>
          <w:color w:val="0F243E" w:themeColor="text2" w:themeShade="80"/>
          <w:sz w:val="19"/>
          <w:szCs w:val="19"/>
        </w:rPr>
      </w:pPr>
      <w:r w:rsidRPr="004166E4">
        <w:rPr>
          <w:rFonts w:cs="Calibri"/>
          <w:color w:val="0F243E" w:themeColor="text2" w:themeShade="80"/>
          <w:sz w:val="19"/>
          <w:szCs w:val="19"/>
        </w:rPr>
        <w:t>Summary</w:t>
      </w:r>
    </w:p>
    <w:p w14:paraId="1A3ADF34" w14:textId="0BD39B28" w:rsidR="00044A5A" w:rsidRPr="00BC4CA4" w:rsidRDefault="00044A5A" w:rsidP="00317CEA">
      <w:pPr>
        <w:autoSpaceDE w:val="0"/>
        <w:autoSpaceDN w:val="0"/>
        <w:adjustRightInd w:val="0"/>
        <w:rPr>
          <w:rFonts w:cs="Calibri"/>
          <w:color w:val="000000"/>
          <w:szCs w:val="17"/>
        </w:rPr>
      </w:pPr>
      <w:r w:rsidRPr="00BC4CA4">
        <w:rPr>
          <w:rFonts w:cs="Calibri"/>
          <w:color w:val="000000"/>
          <w:szCs w:val="17"/>
        </w:rPr>
        <w:t>Th</w:t>
      </w:r>
      <w:r w:rsidR="00CD70F8" w:rsidRPr="00BC4CA4">
        <w:rPr>
          <w:rFonts w:cs="Calibri"/>
          <w:color w:val="000000"/>
          <w:szCs w:val="17"/>
        </w:rPr>
        <w:t>is</w:t>
      </w:r>
      <w:r w:rsidRPr="00BC4CA4">
        <w:rPr>
          <w:rFonts w:cs="Calibri"/>
          <w:color w:val="000000"/>
          <w:szCs w:val="17"/>
        </w:rPr>
        <w:t xml:space="preserve"> discussion note is aimed at streamlining work related to Solvency II and COVID-19. </w:t>
      </w:r>
    </w:p>
    <w:p w14:paraId="6DE2F062" w14:textId="77777777" w:rsidR="00044A5A" w:rsidRPr="00BC4CA4" w:rsidRDefault="00044A5A" w:rsidP="00317CEA">
      <w:pPr>
        <w:autoSpaceDE w:val="0"/>
        <w:autoSpaceDN w:val="0"/>
        <w:adjustRightInd w:val="0"/>
        <w:rPr>
          <w:rFonts w:cs="Calibri"/>
          <w:color w:val="000000"/>
          <w:szCs w:val="17"/>
        </w:rPr>
      </w:pPr>
    </w:p>
    <w:p w14:paraId="72A9B28C" w14:textId="6F3FFBAD" w:rsidR="00044A5A" w:rsidRPr="00BC4CA4" w:rsidRDefault="00044A5A" w:rsidP="00317CEA">
      <w:pPr>
        <w:autoSpaceDE w:val="0"/>
        <w:autoSpaceDN w:val="0"/>
        <w:adjustRightInd w:val="0"/>
        <w:rPr>
          <w:rFonts w:cs="Calibri"/>
          <w:color w:val="000000"/>
          <w:szCs w:val="17"/>
        </w:rPr>
      </w:pPr>
      <w:r w:rsidRPr="00BC4CA4">
        <w:rPr>
          <w:rFonts w:cs="Calibri"/>
          <w:color w:val="000000"/>
          <w:szCs w:val="17"/>
        </w:rPr>
        <w:t xml:space="preserve">The secretariat has identified all areas discussed so </w:t>
      </w:r>
      <w:r w:rsidR="00574C3D" w:rsidRPr="00BC4CA4">
        <w:rPr>
          <w:rFonts w:cs="Calibri"/>
          <w:color w:val="000000"/>
          <w:szCs w:val="17"/>
        </w:rPr>
        <w:t>far and</w:t>
      </w:r>
      <w:r w:rsidRPr="00BC4CA4">
        <w:rPr>
          <w:rFonts w:cs="Calibri"/>
          <w:color w:val="000000"/>
          <w:szCs w:val="17"/>
        </w:rPr>
        <w:t xml:space="preserve"> makes recommendations for next steps on the basis o</w:t>
      </w:r>
      <w:r w:rsidR="00AD3AAF">
        <w:rPr>
          <w:rFonts w:cs="Calibri"/>
          <w:color w:val="000000"/>
          <w:szCs w:val="17"/>
        </w:rPr>
        <w:t>f</w:t>
      </w:r>
      <w:r w:rsidRPr="00BC4CA4">
        <w:rPr>
          <w:rFonts w:cs="Calibri"/>
          <w:color w:val="000000"/>
          <w:szCs w:val="17"/>
        </w:rPr>
        <w:t xml:space="preserve"> input received from members. </w:t>
      </w:r>
    </w:p>
    <w:p w14:paraId="5CA17644" w14:textId="77777777" w:rsidR="00044A5A" w:rsidRPr="00BC4CA4" w:rsidRDefault="00044A5A" w:rsidP="00317CEA">
      <w:pPr>
        <w:autoSpaceDE w:val="0"/>
        <w:autoSpaceDN w:val="0"/>
        <w:adjustRightInd w:val="0"/>
        <w:rPr>
          <w:rFonts w:cs="Calibri"/>
          <w:color w:val="000000"/>
          <w:szCs w:val="17"/>
        </w:rPr>
      </w:pPr>
    </w:p>
    <w:p w14:paraId="1ED535AE" w14:textId="0BAE683F" w:rsidR="00044A5A" w:rsidRPr="00BC4CA4" w:rsidRDefault="00044A5A" w:rsidP="00317CEA">
      <w:pPr>
        <w:autoSpaceDE w:val="0"/>
        <w:autoSpaceDN w:val="0"/>
        <w:adjustRightInd w:val="0"/>
        <w:rPr>
          <w:rFonts w:cs="Calibri"/>
          <w:color w:val="000000"/>
          <w:szCs w:val="17"/>
        </w:rPr>
      </w:pPr>
      <w:r w:rsidRPr="00BC4CA4">
        <w:rPr>
          <w:rFonts w:cs="Calibri"/>
          <w:color w:val="000000"/>
          <w:szCs w:val="17"/>
        </w:rPr>
        <w:t>The secretariat welcomes members’</w:t>
      </w:r>
      <w:r w:rsidR="002F081E">
        <w:rPr>
          <w:rFonts w:cs="Calibri"/>
          <w:color w:val="000000"/>
          <w:szCs w:val="17"/>
        </w:rPr>
        <w:t xml:space="preserve"> </w:t>
      </w:r>
      <w:r w:rsidRPr="00BC4CA4">
        <w:rPr>
          <w:rFonts w:cs="Calibri"/>
          <w:color w:val="000000"/>
          <w:szCs w:val="17"/>
        </w:rPr>
        <w:t>input on any other elements not capture</w:t>
      </w:r>
      <w:r w:rsidR="00FC5A4A" w:rsidRPr="00BC4CA4">
        <w:rPr>
          <w:rFonts w:cs="Calibri"/>
          <w:color w:val="000000"/>
          <w:szCs w:val="17"/>
        </w:rPr>
        <w:t>d</w:t>
      </w:r>
      <w:r w:rsidRPr="00BC4CA4">
        <w:rPr>
          <w:rFonts w:cs="Calibri"/>
          <w:color w:val="000000"/>
          <w:szCs w:val="17"/>
        </w:rPr>
        <w:t xml:space="preserve"> by this note.</w:t>
      </w:r>
    </w:p>
    <w:p w14:paraId="66E0064A" w14:textId="77777777" w:rsidR="00044A5A" w:rsidRPr="00BC4CA4" w:rsidRDefault="00044A5A" w:rsidP="00317CEA">
      <w:pPr>
        <w:autoSpaceDE w:val="0"/>
        <w:autoSpaceDN w:val="0"/>
        <w:adjustRightInd w:val="0"/>
        <w:rPr>
          <w:rFonts w:cs="Calibri"/>
          <w:color w:val="000000"/>
          <w:szCs w:val="17"/>
        </w:rPr>
      </w:pPr>
    </w:p>
    <w:p w14:paraId="29D536F1" w14:textId="77777777" w:rsidR="00044A5A" w:rsidRPr="00BC4CA4" w:rsidRDefault="00044A5A" w:rsidP="00317CEA">
      <w:pPr>
        <w:autoSpaceDE w:val="0"/>
        <w:autoSpaceDN w:val="0"/>
        <w:adjustRightInd w:val="0"/>
        <w:rPr>
          <w:rFonts w:cs="Calibri"/>
          <w:color w:val="000000"/>
          <w:szCs w:val="17"/>
        </w:rPr>
      </w:pPr>
    </w:p>
    <w:p w14:paraId="6E718C6B" w14:textId="78F54B7C" w:rsidR="00044A5A" w:rsidRPr="004166E4" w:rsidRDefault="00044A5A" w:rsidP="00317CEA">
      <w:pPr>
        <w:autoSpaceDE w:val="0"/>
        <w:autoSpaceDN w:val="0"/>
        <w:adjustRightInd w:val="0"/>
        <w:rPr>
          <w:rFonts w:cs="Calibri"/>
          <w:color w:val="0F243E" w:themeColor="text2" w:themeShade="80"/>
          <w:sz w:val="19"/>
          <w:szCs w:val="19"/>
        </w:rPr>
      </w:pPr>
      <w:r w:rsidRPr="004166E4">
        <w:rPr>
          <w:rFonts w:cs="Calibri"/>
          <w:color w:val="0F243E" w:themeColor="text2" w:themeShade="80"/>
          <w:sz w:val="19"/>
          <w:szCs w:val="19"/>
        </w:rPr>
        <w:t>Background</w:t>
      </w:r>
    </w:p>
    <w:p w14:paraId="0ADEF283" w14:textId="77777777" w:rsidR="00044A5A" w:rsidRPr="00BC4CA4" w:rsidRDefault="00044A5A" w:rsidP="00317CEA">
      <w:pPr>
        <w:autoSpaceDE w:val="0"/>
        <w:autoSpaceDN w:val="0"/>
        <w:adjustRightInd w:val="0"/>
        <w:rPr>
          <w:rFonts w:cs="Calibri"/>
          <w:color w:val="000000"/>
          <w:szCs w:val="17"/>
        </w:rPr>
      </w:pPr>
      <w:r w:rsidRPr="00BC4CA4">
        <w:rPr>
          <w:rFonts w:cs="Calibri"/>
          <w:color w:val="000000"/>
          <w:szCs w:val="17"/>
        </w:rPr>
        <w:t>Discussions on the impact of COVID-19 in the context of the Solvency II framework were kicked off at the Ecofin call of 16 March, continued in the Solvency II WG call of 19 March, and then in the ExCo call of 25 March. In addition, the secretariat received input from members in the ExCo COVID-19 questionnaire.</w:t>
      </w:r>
    </w:p>
    <w:p w14:paraId="724D5EE8" w14:textId="77777777" w:rsidR="00044A5A" w:rsidRPr="00BC4CA4" w:rsidRDefault="00044A5A" w:rsidP="00317CEA">
      <w:pPr>
        <w:autoSpaceDE w:val="0"/>
        <w:autoSpaceDN w:val="0"/>
        <w:adjustRightInd w:val="0"/>
        <w:rPr>
          <w:rFonts w:cs="Calibri"/>
          <w:color w:val="000000"/>
          <w:szCs w:val="17"/>
        </w:rPr>
      </w:pPr>
    </w:p>
    <w:p w14:paraId="196DBDEC" w14:textId="5D150622" w:rsidR="00044A5A" w:rsidRPr="00BC4CA4" w:rsidRDefault="00044A5A" w:rsidP="00317CEA">
      <w:pPr>
        <w:autoSpaceDE w:val="0"/>
        <w:autoSpaceDN w:val="0"/>
        <w:adjustRightInd w:val="0"/>
        <w:rPr>
          <w:rFonts w:cs="Calibri"/>
          <w:color w:val="000000"/>
          <w:szCs w:val="17"/>
        </w:rPr>
      </w:pPr>
      <w:r w:rsidRPr="00BC4CA4">
        <w:rPr>
          <w:rFonts w:cs="Calibri"/>
          <w:color w:val="000000"/>
          <w:szCs w:val="17"/>
        </w:rPr>
        <w:t>At this stage, the secretariat is seeking a way forward on the issues,</w:t>
      </w:r>
      <w:r w:rsidR="0077022B">
        <w:rPr>
          <w:rFonts w:cs="Calibri"/>
          <w:color w:val="000000"/>
          <w:szCs w:val="17"/>
        </w:rPr>
        <w:t xml:space="preserve"> and plans to update the Executive Committee on the outcomes during an ExCo call scheduled for 29 April</w:t>
      </w:r>
      <w:r w:rsidRPr="00BC4CA4">
        <w:rPr>
          <w:rFonts w:cs="Calibri"/>
          <w:color w:val="000000"/>
          <w:szCs w:val="17"/>
        </w:rPr>
        <w:t>.</w:t>
      </w:r>
    </w:p>
    <w:p w14:paraId="217461A1" w14:textId="77777777" w:rsidR="008D0E59" w:rsidRPr="00BC4CA4" w:rsidRDefault="008D0E59" w:rsidP="00317CEA">
      <w:pPr>
        <w:autoSpaceDE w:val="0"/>
        <w:autoSpaceDN w:val="0"/>
        <w:adjustRightInd w:val="0"/>
        <w:rPr>
          <w:rFonts w:cs="Calibri"/>
          <w:color w:val="000000"/>
          <w:szCs w:val="17"/>
        </w:rPr>
      </w:pPr>
    </w:p>
    <w:p w14:paraId="1ABC49D8" w14:textId="4A4C3263" w:rsidR="00044A5A" w:rsidRPr="004A2BB2" w:rsidRDefault="00044A5A" w:rsidP="00BC4CA4">
      <w:pPr>
        <w:pStyle w:val="Odsekzoznamu"/>
        <w:numPr>
          <w:ilvl w:val="0"/>
          <w:numId w:val="19"/>
        </w:numPr>
        <w:autoSpaceDE w:val="0"/>
        <w:autoSpaceDN w:val="0"/>
        <w:adjustRightInd w:val="0"/>
        <w:rPr>
          <w:rFonts w:ascii="Verdana" w:hAnsi="Verdana" w:cs="Calibri"/>
          <w:color w:val="000000"/>
          <w:sz w:val="17"/>
          <w:szCs w:val="17"/>
        </w:rPr>
      </w:pPr>
      <w:r w:rsidRPr="00BC4CA4">
        <w:rPr>
          <w:rFonts w:ascii="Verdana" w:hAnsi="Verdana" w:cs="Calibri"/>
          <w:b/>
          <w:bCs/>
          <w:color w:val="000000"/>
          <w:sz w:val="17"/>
          <w:szCs w:val="17"/>
        </w:rPr>
        <w:t xml:space="preserve">Elements existing in the Solvency II framework that could help mitigate the impact of COVID-19 </w:t>
      </w:r>
    </w:p>
    <w:p w14:paraId="0AC30343" w14:textId="77777777" w:rsidR="000D41A6" w:rsidRPr="004A2BB2" w:rsidRDefault="000D41A6" w:rsidP="004A2BB2">
      <w:pPr>
        <w:autoSpaceDE w:val="0"/>
        <w:autoSpaceDN w:val="0"/>
        <w:adjustRightInd w:val="0"/>
        <w:rPr>
          <w:rFonts w:cs="Calibri"/>
          <w:color w:val="000000"/>
          <w:szCs w:val="17"/>
        </w:rPr>
      </w:pPr>
      <w:r w:rsidRPr="004A2BB2">
        <w:rPr>
          <w:rFonts w:cs="Calibri"/>
          <w:color w:val="000000"/>
          <w:szCs w:val="17"/>
        </w:rPr>
        <w:t>The following elements have been discussed so far:</w:t>
      </w:r>
    </w:p>
    <w:p w14:paraId="6835DC46" w14:textId="77777777" w:rsidR="000D41A6" w:rsidRPr="004A2BB2" w:rsidRDefault="000D41A6" w:rsidP="004A2BB2">
      <w:pPr>
        <w:autoSpaceDE w:val="0"/>
        <w:autoSpaceDN w:val="0"/>
        <w:adjustRightInd w:val="0"/>
        <w:rPr>
          <w:rFonts w:cs="Calibri"/>
          <w:color w:val="000000"/>
          <w:szCs w:val="17"/>
        </w:rPr>
      </w:pPr>
    </w:p>
    <w:p w14:paraId="45A2CD5F" w14:textId="7778DEAD" w:rsidR="00044A5A" w:rsidRPr="00BC4CA4" w:rsidRDefault="00044A5A" w:rsidP="004166E4">
      <w:pPr>
        <w:pStyle w:val="Odsekzoznamu"/>
        <w:numPr>
          <w:ilvl w:val="1"/>
          <w:numId w:val="10"/>
        </w:numPr>
        <w:autoSpaceDE w:val="0"/>
        <w:autoSpaceDN w:val="0"/>
        <w:adjustRightInd w:val="0"/>
        <w:spacing w:after="0" w:line="288" w:lineRule="auto"/>
        <w:ind w:left="714" w:hanging="357"/>
        <w:rPr>
          <w:rFonts w:ascii="Verdana" w:hAnsi="Verdana" w:cs="Calibri"/>
          <w:b/>
          <w:bCs/>
          <w:color w:val="000000"/>
          <w:sz w:val="17"/>
          <w:szCs w:val="17"/>
        </w:rPr>
      </w:pPr>
      <w:r w:rsidRPr="00BC4CA4">
        <w:rPr>
          <w:rFonts w:ascii="Verdana" w:hAnsi="Verdana" w:cs="Calibri"/>
          <w:b/>
          <w:bCs/>
          <w:color w:val="000000"/>
          <w:sz w:val="17"/>
          <w:szCs w:val="17"/>
        </w:rPr>
        <w:t>Article 28</w:t>
      </w:r>
      <w:r w:rsidR="00074403" w:rsidRPr="00BC4CA4">
        <w:rPr>
          <w:rFonts w:ascii="Verdana" w:hAnsi="Verdana" w:cs="Calibri"/>
          <w:b/>
          <w:bCs/>
          <w:color w:val="000000"/>
          <w:sz w:val="17"/>
          <w:szCs w:val="17"/>
        </w:rPr>
        <w:t xml:space="preserve"> </w:t>
      </w:r>
      <w:r w:rsidR="00E52004">
        <w:rPr>
          <w:rFonts w:ascii="Verdana" w:hAnsi="Verdana" w:cs="Calibri"/>
          <w:b/>
          <w:bCs/>
          <w:color w:val="000000"/>
          <w:sz w:val="17"/>
          <w:szCs w:val="17"/>
        </w:rPr>
        <w:t xml:space="preserve">on </w:t>
      </w:r>
      <w:r w:rsidR="00E52004" w:rsidRPr="00E52004">
        <w:rPr>
          <w:rFonts w:ascii="Verdana" w:hAnsi="Verdana" w:cs="Calibri"/>
          <w:b/>
          <w:bCs/>
          <w:color w:val="000000"/>
          <w:sz w:val="17"/>
          <w:szCs w:val="17"/>
        </w:rPr>
        <w:t>potential pro-cyclical effects</w:t>
      </w:r>
      <w:r w:rsidR="00E52004">
        <w:rPr>
          <w:rFonts w:ascii="Verdana" w:hAnsi="Verdana" w:cs="Calibri"/>
          <w:b/>
          <w:bCs/>
          <w:color w:val="000000"/>
          <w:sz w:val="17"/>
          <w:szCs w:val="17"/>
        </w:rPr>
        <w:t xml:space="preserve"> of NSA actions</w:t>
      </w:r>
    </w:p>
    <w:p w14:paraId="466956C3" w14:textId="3549778B" w:rsidR="00074403" w:rsidRPr="00BC4CA4" w:rsidRDefault="00074403" w:rsidP="00317CEA">
      <w:pPr>
        <w:pStyle w:val="CEABullet-Level1"/>
        <w:numPr>
          <w:ilvl w:val="0"/>
          <w:numId w:val="0"/>
        </w:numPr>
        <w:ind w:left="360"/>
        <w:rPr>
          <w:szCs w:val="17"/>
        </w:rPr>
      </w:pPr>
      <w:r w:rsidRPr="00BC4CA4">
        <w:rPr>
          <w:szCs w:val="17"/>
        </w:rPr>
        <w:t>Feedback so far indicates that:</w:t>
      </w:r>
    </w:p>
    <w:p w14:paraId="416D1184" w14:textId="32BC23B6" w:rsidR="00074403" w:rsidRPr="00BC4CA4" w:rsidRDefault="00074403" w:rsidP="00317CEA">
      <w:pPr>
        <w:pStyle w:val="CEABullet-Level1"/>
        <w:rPr>
          <w:szCs w:val="17"/>
        </w:rPr>
      </w:pPr>
      <w:r w:rsidRPr="00BC4CA4">
        <w:rPr>
          <w:szCs w:val="17"/>
        </w:rPr>
        <w:t xml:space="preserve">This article can indeed be </w:t>
      </w:r>
      <w:r w:rsidR="00950490">
        <w:rPr>
          <w:szCs w:val="17"/>
        </w:rPr>
        <w:t xml:space="preserve">very helpful </w:t>
      </w:r>
      <w:r w:rsidRPr="00BC4CA4">
        <w:rPr>
          <w:szCs w:val="17"/>
        </w:rPr>
        <w:t>at national level to argue against potentially wrong actions by the NSAs.</w:t>
      </w:r>
    </w:p>
    <w:p w14:paraId="5C17C224" w14:textId="40994DDE" w:rsidR="00074403" w:rsidRPr="00BC4CA4" w:rsidRDefault="00074403" w:rsidP="00317CEA">
      <w:pPr>
        <w:pStyle w:val="CEABullet-Level1"/>
        <w:rPr>
          <w:szCs w:val="17"/>
        </w:rPr>
      </w:pPr>
      <w:r w:rsidRPr="004F0C55">
        <w:rPr>
          <w:szCs w:val="17"/>
        </w:rPr>
        <w:t xml:space="preserve">More broadly, the secretariat could make general statements on the need for NSAs to avoid unjustified </w:t>
      </w:r>
      <w:r w:rsidR="008A449C">
        <w:rPr>
          <w:szCs w:val="17"/>
        </w:rPr>
        <w:t xml:space="preserve">and dangerous </w:t>
      </w:r>
      <w:r w:rsidRPr="004F0C55">
        <w:rPr>
          <w:szCs w:val="17"/>
        </w:rPr>
        <w:t>conservatism</w:t>
      </w:r>
      <w:r w:rsidR="00262582">
        <w:rPr>
          <w:szCs w:val="17"/>
        </w:rPr>
        <w:t>.</w:t>
      </w:r>
    </w:p>
    <w:p w14:paraId="72BB159A" w14:textId="4D57C4A8" w:rsidR="00D2292B" w:rsidRDefault="00950490" w:rsidP="00317CEA">
      <w:pPr>
        <w:pStyle w:val="CEABullet-Level1"/>
        <w:rPr>
          <w:szCs w:val="17"/>
        </w:rPr>
      </w:pPr>
      <w:r>
        <w:rPr>
          <w:szCs w:val="17"/>
        </w:rPr>
        <w:t xml:space="preserve">We have not received or identified </w:t>
      </w:r>
      <w:r w:rsidR="00074403" w:rsidRPr="00BC4CA4">
        <w:rPr>
          <w:szCs w:val="17"/>
        </w:rPr>
        <w:t xml:space="preserve">concrete examples of areas where something </w:t>
      </w:r>
      <w:r w:rsidR="00D2292B">
        <w:rPr>
          <w:szCs w:val="17"/>
        </w:rPr>
        <w:t xml:space="preserve">straightforward </w:t>
      </w:r>
      <w:r w:rsidR="00074403" w:rsidRPr="00BC4CA4">
        <w:rPr>
          <w:szCs w:val="17"/>
        </w:rPr>
        <w:t xml:space="preserve">could be done </w:t>
      </w:r>
      <w:r w:rsidR="00650711">
        <w:rPr>
          <w:szCs w:val="17"/>
        </w:rPr>
        <w:t xml:space="preserve">by Insurance Europe </w:t>
      </w:r>
      <w:r w:rsidR="00074403" w:rsidRPr="00BC4CA4">
        <w:rPr>
          <w:szCs w:val="17"/>
        </w:rPr>
        <w:t xml:space="preserve">at European level (as most concerns </w:t>
      </w:r>
      <w:r>
        <w:rPr>
          <w:szCs w:val="17"/>
        </w:rPr>
        <w:t xml:space="preserve">and actions </w:t>
      </w:r>
      <w:r w:rsidR="00074403" w:rsidRPr="00BC4CA4">
        <w:rPr>
          <w:szCs w:val="17"/>
        </w:rPr>
        <w:t>emerge at national level</w:t>
      </w:r>
      <w:r w:rsidR="00D2292B">
        <w:rPr>
          <w:szCs w:val="17"/>
        </w:rPr>
        <w:t xml:space="preserve">), with </w:t>
      </w:r>
      <w:r>
        <w:rPr>
          <w:szCs w:val="17"/>
        </w:rPr>
        <w:t xml:space="preserve">one </w:t>
      </w:r>
      <w:r w:rsidR="00D2292B">
        <w:rPr>
          <w:szCs w:val="17"/>
        </w:rPr>
        <w:t>exception:</w:t>
      </w:r>
    </w:p>
    <w:p w14:paraId="23BEA04A" w14:textId="2960F573" w:rsidR="00074403" w:rsidRPr="00BC4CA4" w:rsidRDefault="00D2292B" w:rsidP="008E1253">
      <w:pPr>
        <w:pStyle w:val="CEABullet-Level2"/>
      </w:pPr>
      <w:r>
        <w:t>The DK market raised concerns on t</w:t>
      </w:r>
      <w:r w:rsidR="00074403" w:rsidRPr="00BC4CA4">
        <w:t xml:space="preserve">he treatment of the </w:t>
      </w:r>
      <w:r w:rsidR="0027058A">
        <w:t>I</w:t>
      </w:r>
      <w:r w:rsidR="00074403" w:rsidRPr="00BC4CA4">
        <w:t xml:space="preserve">nitial </w:t>
      </w:r>
      <w:r w:rsidR="0027058A">
        <w:t>M</w:t>
      </w:r>
      <w:r w:rsidR="00074403" w:rsidRPr="00BC4CA4">
        <w:t>argin for derivatives, which is deducted from own funds and thus takes away available capital</w:t>
      </w:r>
      <w:r w:rsidR="00650711">
        <w:t xml:space="preserve"> and so adds to solvency pressure</w:t>
      </w:r>
      <w:r w:rsidR="00074403" w:rsidRPr="00BC4CA4">
        <w:t xml:space="preserve">. </w:t>
      </w:r>
      <w:r w:rsidR="00650711">
        <w:t xml:space="preserve">Increases in Initial Margin due to market volatility worsen the problem. </w:t>
      </w:r>
      <w:r>
        <w:t>F</w:t>
      </w:r>
      <w:r w:rsidR="00074403" w:rsidRPr="00BC4CA4">
        <w:t xml:space="preserve">urther investigation is needed with other members </w:t>
      </w:r>
      <w:r w:rsidR="006E6FAA">
        <w:t xml:space="preserve">to assess </w:t>
      </w:r>
      <w:r w:rsidR="00650711">
        <w:t>a) if this is indeed an example of gold</w:t>
      </w:r>
      <w:r w:rsidR="00412D4A">
        <w:t xml:space="preserve"> </w:t>
      </w:r>
      <w:r w:rsidR="00650711">
        <w:t xml:space="preserve">plating/excessive conservatism by a supervisor, b) if the issue is also important in other markets </w:t>
      </w:r>
      <w:r w:rsidR="0077022B">
        <w:t>-</w:t>
      </w:r>
      <w:r w:rsidR="00650711">
        <w:t xml:space="preserve"> and if </w:t>
      </w:r>
      <w:proofErr w:type="gramStart"/>
      <w:r w:rsidR="00650711">
        <w:t>so</w:t>
      </w:r>
      <w:proofErr w:type="gramEnd"/>
      <w:r w:rsidR="00650711">
        <w:t xml:space="preserve"> </w:t>
      </w:r>
      <w:r w:rsidR="00074403" w:rsidRPr="00BC4CA4">
        <w:t xml:space="preserve">what solutions </w:t>
      </w:r>
      <w:r w:rsidR="006E6FAA">
        <w:t>could be proposed</w:t>
      </w:r>
      <w:r w:rsidR="00650711">
        <w:t xml:space="preserve"> at European level</w:t>
      </w:r>
      <w:r w:rsidR="00074403" w:rsidRPr="00BC4CA4">
        <w:t>.</w:t>
      </w:r>
    </w:p>
    <w:p w14:paraId="512AA24F" w14:textId="77777777" w:rsidR="00E8540D" w:rsidRPr="00BC4CA4" w:rsidRDefault="00E8540D" w:rsidP="00317CEA">
      <w:pPr>
        <w:pStyle w:val="CEABullet-Level2"/>
        <w:numPr>
          <w:ilvl w:val="0"/>
          <w:numId w:val="0"/>
        </w:numPr>
        <w:rPr>
          <w:szCs w:val="17"/>
          <w:highlight w:val="lightGray"/>
        </w:rPr>
      </w:pPr>
    </w:p>
    <w:p w14:paraId="6AA358F3" w14:textId="37712D54" w:rsidR="00E8540D" w:rsidRPr="00BC4CA4" w:rsidRDefault="00E8540D" w:rsidP="00317CEA">
      <w:pPr>
        <w:pStyle w:val="CEABullet-Level2"/>
        <w:numPr>
          <w:ilvl w:val="0"/>
          <w:numId w:val="0"/>
        </w:numPr>
        <w:ind w:firstLine="360"/>
        <w:rPr>
          <w:b/>
          <w:bCs/>
          <w:szCs w:val="17"/>
          <w:u w:val="single"/>
        </w:rPr>
      </w:pPr>
      <w:r w:rsidRPr="00BC4CA4">
        <w:rPr>
          <w:b/>
          <w:bCs/>
          <w:szCs w:val="17"/>
          <w:highlight w:val="lightGray"/>
          <w:u w:val="single"/>
        </w:rPr>
        <w:t>Secretariat recommendation</w:t>
      </w:r>
      <w:r w:rsidR="008F51AA">
        <w:rPr>
          <w:b/>
          <w:bCs/>
          <w:szCs w:val="17"/>
          <w:highlight w:val="lightGray"/>
          <w:u w:val="single"/>
        </w:rPr>
        <w:t>s</w:t>
      </w:r>
      <w:r w:rsidRPr="00BC4CA4">
        <w:rPr>
          <w:b/>
          <w:bCs/>
          <w:szCs w:val="17"/>
          <w:highlight w:val="lightGray"/>
          <w:u w:val="single"/>
        </w:rPr>
        <w:t>:</w:t>
      </w:r>
    </w:p>
    <w:p w14:paraId="060A75A0" w14:textId="330994C8" w:rsidR="00074403" w:rsidRPr="00BC4CA4" w:rsidRDefault="00074403" w:rsidP="00317CEA">
      <w:pPr>
        <w:pStyle w:val="CEABullet-Level1"/>
        <w:rPr>
          <w:szCs w:val="17"/>
        </w:rPr>
      </w:pPr>
      <w:r w:rsidRPr="00BC4CA4">
        <w:rPr>
          <w:szCs w:val="17"/>
        </w:rPr>
        <w:t>Insurance Europe can raise the issue of NSAs avoiding additional conservatism</w:t>
      </w:r>
      <w:r w:rsidR="00E802B8">
        <w:rPr>
          <w:szCs w:val="17"/>
        </w:rPr>
        <w:t xml:space="preserve"> and </w:t>
      </w:r>
      <w:r w:rsidR="00A10975">
        <w:rPr>
          <w:szCs w:val="17"/>
        </w:rPr>
        <w:t xml:space="preserve">also </w:t>
      </w:r>
      <w:r w:rsidR="00E802B8">
        <w:rPr>
          <w:szCs w:val="17"/>
        </w:rPr>
        <w:t>consider whether existing gold-plating/conservative approach</w:t>
      </w:r>
      <w:r w:rsidR="00400336">
        <w:rPr>
          <w:szCs w:val="17"/>
        </w:rPr>
        <w:t>es</w:t>
      </w:r>
      <w:r w:rsidR="00E802B8">
        <w:rPr>
          <w:szCs w:val="17"/>
        </w:rPr>
        <w:t xml:space="preserve"> </w:t>
      </w:r>
      <w:r w:rsidR="00400336">
        <w:rPr>
          <w:szCs w:val="17"/>
        </w:rPr>
        <w:t>are</w:t>
      </w:r>
      <w:r w:rsidR="00E802B8">
        <w:rPr>
          <w:szCs w:val="17"/>
        </w:rPr>
        <w:t xml:space="preserve"> appropriate</w:t>
      </w:r>
    </w:p>
    <w:p w14:paraId="77C6EC19" w14:textId="45EFBB25" w:rsidR="00D2292B" w:rsidRDefault="00074403" w:rsidP="00317CEA">
      <w:pPr>
        <w:pStyle w:val="CEABullet-Level1"/>
        <w:rPr>
          <w:szCs w:val="17"/>
        </w:rPr>
      </w:pPr>
      <w:r w:rsidRPr="00BC4CA4">
        <w:rPr>
          <w:szCs w:val="17"/>
        </w:rPr>
        <w:t>The secretariat</w:t>
      </w:r>
      <w:r w:rsidR="00D2292B">
        <w:rPr>
          <w:szCs w:val="17"/>
        </w:rPr>
        <w:t xml:space="preserve"> suggests further investigating with other members </w:t>
      </w:r>
      <w:r w:rsidRPr="00BC4CA4">
        <w:rPr>
          <w:szCs w:val="17"/>
        </w:rPr>
        <w:t xml:space="preserve">the issue of Initial Margin </w:t>
      </w:r>
      <w:r w:rsidR="00D2292B">
        <w:rPr>
          <w:szCs w:val="17"/>
        </w:rPr>
        <w:t>raised by</w:t>
      </w:r>
      <w:r w:rsidR="00E802B8">
        <w:rPr>
          <w:szCs w:val="17"/>
        </w:rPr>
        <w:t xml:space="preserve"> Denmark</w:t>
      </w:r>
      <w:r w:rsidR="00D2292B">
        <w:rPr>
          <w:szCs w:val="17"/>
        </w:rPr>
        <w:t>.</w:t>
      </w:r>
    </w:p>
    <w:p w14:paraId="4D5B708A" w14:textId="07B50F0D" w:rsidR="00992EB7" w:rsidRPr="002C4CD8" w:rsidRDefault="00074403" w:rsidP="00317CEA">
      <w:pPr>
        <w:pStyle w:val="CEABullet-Level1"/>
        <w:rPr>
          <w:rFonts w:cs="Calibri"/>
          <w:szCs w:val="17"/>
        </w:rPr>
      </w:pPr>
      <w:r w:rsidRPr="00BC4CA4">
        <w:rPr>
          <w:szCs w:val="17"/>
        </w:rPr>
        <w:t xml:space="preserve">The secretariat </w:t>
      </w:r>
      <w:r w:rsidR="00992EB7">
        <w:rPr>
          <w:szCs w:val="17"/>
        </w:rPr>
        <w:t>suggests maintaining a list of examples provided by members of how they have made use of Article 28 at national level and share</w:t>
      </w:r>
      <w:r w:rsidR="006833CB">
        <w:rPr>
          <w:szCs w:val="17"/>
        </w:rPr>
        <w:t xml:space="preserve"> it</w:t>
      </w:r>
      <w:r w:rsidR="00992EB7">
        <w:rPr>
          <w:szCs w:val="17"/>
        </w:rPr>
        <w:t xml:space="preserve"> with all members in order to support their local efforts. </w:t>
      </w:r>
    </w:p>
    <w:p w14:paraId="72DC3E6D" w14:textId="480F2A22" w:rsidR="00074403" w:rsidRPr="00BC4CA4" w:rsidRDefault="00992EB7" w:rsidP="00317CEA">
      <w:pPr>
        <w:pStyle w:val="CEABullet-Level1"/>
        <w:rPr>
          <w:rFonts w:cs="Calibri"/>
          <w:szCs w:val="17"/>
        </w:rPr>
      </w:pPr>
      <w:r>
        <w:rPr>
          <w:szCs w:val="17"/>
        </w:rPr>
        <w:t xml:space="preserve">The secretariat </w:t>
      </w:r>
      <w:r w:rsidR="00074403" w:rsidRPr="00BC4CA4">
        <w:rPr>
          <w:szCs w:val="17"/>
        </w:rPr>
        <w:t>would not do any other work in th</w:t>
      </w:r>
      <w:r w:rsidR="006162B7">
        <w:rPr>
          <w:szCs w:val="17"/>
        </w:rPr>
        <w:t>e</w:t>
      </w:r>
      <w:r w:rsidR="00074403" w:rsidRPr="00BC4CA4">
        <w:rPr>
          <w:szCs w:val="17"/>
        </w:rPr>
        <w:t xml:space="preserve"> area</w:t>
      </w:r>
      <w:r w:rsidR="006162B7">
        <w:rPr>
          <w:szCs w:val="17"/>
        </w:rPr>
        <w:t xml:space="preserve"> of Art 28</w:t>
      </w:r>
      <w:r w:rsidR="00074403" w:rsidRPr="00BC4CA4">
        <w:rPr>
          <w:szCs w:val="17"/>
        </w:rPr>
        <w:t xml:space="preserve">, unless members provide clear examples of issues that could be addressed at European level, with assessment of potential impact </w:t>
      </w:r>
    </w:p>
    <w:p w14:paraId="795F8702" w14:textId="08A20921" w:rsidR="00044A5A" w:rsidRDefault="00044A5A" w:rsidP="00317CEA">
      <w:pPr>
        <w:autoSpaceDE w:val="0"/>
        <w:autoSpaceDN w:val="0"/>
        <w:adjustRightInd w:val="0"/>
        <w:rPr>
          <w:rFonts w:cs="Calibri"/>
          <w:color w:val="000000"/>
          <w:szCs w:val="17"/>
        </w:rPr>
      </w:pPr>
    </w:p>
    <w:p w14:paraId="60CB51EF" w14:textId="15B2EE68" w:rsidR="00044A5A" w:rsidRPr="00BC4CA4" w:rsidRDefault="00044A5A" w:rsidP="004166E4">
      <w:pPr>
        <w:pStyle w:val="Odsekzoznamu"/>
        <w:numPr>
          <w:ilvl w:val="1"/>
          <w:numId w:val="10"/>
        </w:numPr>
        <w:autoSpaceDE w:val="0"/>
        <w:autoSpaceDN w:val="0"/>
        <w:adjustRightInd w:val="0"/>
        <w:spacing w:after="0" w:line="288" w:lineRule="auto"/>
        <w:ind w:left="714" w:hanging="357"/>
        <w:rPr>
          <w:rFonts w:ascii="Verdana" w:hAnsi="Verdana" w:cs="Calibri"/>
          <w:b/>
          <w:bCs/>
          <w:color w:val="000000"/>
          <w:sz w:val="17"/>
          <w:szCs w:val="17"/>
        </w:rPr>
      </w:pPr>
      <w:r w:rsidRPr="00BC4CA4">
        <w:rPr>
          <w:rFonts w:ascii="Verdana" w:hAnsi="Verdana" w:cs="Calibri"/>
          <w:b/>
          <w:bCs/>
          <w:color w:val="000000"/>
          <w:sz w:val="17"/>
          <w:szCs w:val="17"/>
        </w:rPr>
        <w:t>Article 138</w:t>
      </w:r>
      <w:r w:rsidR="00E52004">
        <w:rPr>
          <w:rFonts w:ascii="Verdana" w:hAnsi="Verdana" w:cs="Calibri"/>
          <w:b/>
          <w:bCs/>
          <w:color w:val="000000"/>
          <w:sz w:val="17"/>
          <w:szCs w:val="17"/>
        </w:rPr>
        <w:t xml:space="preserve"> on extension of the recovery period</w:t>
      </w:r>
    </w:p>
    <w:p w14:paraId="647E35CC" w14:textId="717708AD" w:rsidR="00074403" w:rsidRPr="00BC4CA4" w:rsidRDefault="00074403" w:rsidP="00317CEA">
      <w:pPr>
        <w:pStyle w:val="CEABullet-Level1"/>
        <w:numPr>
          <w:ilvl w:val="0"/>
          <w:numId w:val="0"/>
        </w:numPr>
        <w:ind w:left="360"/>
        <w:rPr>
          <w:szCs w:val="17"/>
        </w:rPr>
      </w:pPr>
      <w:r w:rsidRPr="00BC4CA4">
        <w:rPr>
          <w:szCs w:val="17"/>
        </w:rPr>
        <w:lastRenderedPageBreak/>
        <w:t>Feedback so far indicates that:</w:t>
      </w:r>
    </w:p>
    <w:p w14:paraId="6C7C23D1" w14:textId="52789E29" w:rsidR="00074403" w:rsidRPr="00BC4CA4" w:rsidRDefault="00074403" w:rsidP="00317CEA">
      <w:pPr>
        <w:pStyle w:val="CEABullet-Level1"/>
        <w:rPr>
          <w:szCs w:val="17"/>
        </w:rPr>
      </w:pPr>
      <w:r w:rsidRPr="00BC4CA4">
        <w:rPr>
          <w:szCs w:val="17"/>
        </w:rPr>
        <w:t>This article would be very relevant should solvency problems emerge</w:t>
      </w:r>
      <w:r w:rsidR="0047794A">
        <w:rPr>
          <w:szCs w:val="17"/>
        </w:rPr>
        <w:t>.</w:t>
      </w:r>
    </w:p>
    <w:p w14:paraId="2F044303" w14:textId="27C8CE14" w:rsidR="006A128F" w:rsidRDefault="006A128F" w:rsidP="00317CEA">
      <w:pPr>
        <w:pStyle w:val="CEABullet-Level1"/>
        <w:rPr>
          <w:szCs w:val="17"/>
        </w:rPr>
      </w:pPr>
      <w:r>
        <w:rPr>
          <w:szCs w:val="17"/>
        </w:rPr>
        <w:t xml:space="preserve">While one or two members </w:t>
      </w:r>
      <w:r w:rsidR="00E06BDE">
        <w:rPr>
          <w:szCs w:val="17"/>
        </w:rPr>
        <w:t xml:space="preserve">noted </w:t>
      </w:r>
      <w:r>
        <w:rPr>
          <w:szCs w:val="17"/>
        </w:rPr>
        <w:t>interest in this tool, the general view expressed by members is that this is a tool of last resort and should not be triggered now and care has to be taken to avoid prematurely signalling that there are problems.</w:t>
      </w:r>
    </w:p>
    <w:p w14:paraId="448A2403" w14:textId="031479E5" w:rsidR="00074403" w:rsidRPr="00BC4CA4" w:rsidRDefault="002A0FC3" w:rsidP="00317CEA">
      <w:pPr>
        <w:pStyle w:val="CEABullet-Level1"/>
        <w:rPr>
          <w:szCs w:val="17"/>
        </w:rPr>
      </w:pPr>
      <w:r w:rsidRPr="00BC4CA4">
        <w:rPr>
          <w:szCs w:val="17"/>
        </w:rPr>
        <w:t>At this stage</w:t>
      </w:r>
      <w:r w:rsidR="00074403" w:rsidRPr="00BC4CA4">
        <w:rPr>
          <w:szCs w:val="17"/>
        </w:rPr>
        <w:t xml:space="preserve">, members </w:t>
      </w:r>
      <w:r w:rsidR="006A128F">
        <w:rPr>
          <w:szCs w:val="17"/>
        </w:rPr>
        <w:t xml:space="preserve">have not indicated current </w:t>
      </w:r>
      <w:r w:rsidR="00074403" w:rsidRPr="00BC4CA4">
        <w:rPr>
          <w:szCs w:val="17"/>
        </w:rPr>
        <w:t>solvency problems</w:t>
      </w:r>
      <w:r w:rsidR="0047794A">
        <w:rPr>
          <w:szCs w:val="17"/>
        </w:rPr>
        <w:t>.</w:t>
      </w:r>
      <w:r w:rsidR="006436E8" w:rsidRPr="00BC4CA4">
        <w:rPr>
          <w:szCs w:val="17"/>
        </w:rPr>
        <w:t xml:space="preserve"> </w:t>
      </w:r>
    </w:p>
    <w:p w14:paraId="3B9AFFB8" w14:textId="5D969122" w:rsidR="006436E8" w:rsidRPr="00BC4CA4" w:rsidRDefault="006436E8" w:rsidP="00317CEA">
      <w:pPr>
        <w:pStyle w:val="CEABullet-Level1"/>
        <w:rPr>
          <w:szCs w:val="17"/>
        </w:rPr>
      </w:pPr>
      <w:r w:rsidRPr="00BC4CA4">
        <w:rPr>
          <w:szCs w:val="17"/>
        </w:rPr>
        <w:t xml:space="preserve">The secretariat is however aware that EIOPA has started work </w:t>
      </w:r>
      <w:r w:rsidR="0047794A">
        <w:rPr>
          <w:szCs w:val="17"/>
        </w:rPr>
        <w:t>i</w:t>
      </w:r>
      <w:r w:rsidRPr="00BC4CA4">
        <w:rPr>
          <w:szCs w:val="17"/>
        </w:rPr>
        <w:t>n this area</w:t>
      </w:r>
      <w:r w:rsidR="001520D0">
        <w:rPr>
          <w:szCs w:val="17"/>
        </w:rPr>
        <w:t xml:space="preserve"> and </w:t>
      </w:r>
      <w:r w:rsidR="00992EB7">
        <w:rPr>
          <w:szCs w:val="17"/>
        </w:rPr>
        <w:t xml:space="preserve">members have indicated a need to be </w:t>
      </w:r>
      <w:r w:rsidR="001520D0">
        <w:rPr>
          <w:szCs w:val="17"/>
        </w:rPr>
        <w:t>prepared</w:t>
      </w:r>
      <w:r w:rsidR="00992EB7">
        <w:rPr>
          <w:szCs w:val="17"/>
        </w:rPr>
        <w:t xml:space="preserve"> and consider potential triggers for action</w:t>
      </w:r>
      <w:r w:rsidRPr="00BC4CA4">
        <w:rPr>
          <w:szCs w:val="17"/>
        </w:rPr>
        <w:t>.</w:t>
      </w:r>
    </w:p>
    <w:p w14:paraId="28B8B37D" w14:textId="1CC7C0AE" w:rsidR="006436E8" w:rsidRPr="00BC4CA4" w:rsidRDefault="006436E8" w:rsidP="00317CEA">
      <w:pPr>
        <w:pStyle w:val="CEABullet-Level1"/>
        <w:numPr>
          <w:ilvl w:val="0"/>
          <w:numId w:val="0"/>
        </w:numPr>
        <w:ind w:left="720" w:hanging="360"/>
        <w:rPr>
          <w:szCs w:val="17"/>
        </w:rPr>
      </w:pPr>
    </w:p>
    <w:p w14:paraId="38CDF708" w14:textId="5683FDE7" w:rsidR="00E8540D" w:rsidRPr="00BC4CA4" w:rsidRDefault="00E8540D" w:rsidP="00317CEA">
      <w:pPr>
        <w:pStyle w:val="CEABullet-Level2"/>
        <w:numPr>
          <w:ilvl w:val="0"/>
          <w:numId w:val="0"/>
        </w:numPr>
        <w:ind w:firstLine="360"/>
        <w:rPr>
          <w:b/>
          <w:bCs/>
          <w:szCs w:val="17"/>
          <w:u w:val="single"/>
        </w:rPr>
      </w:pPr>
      <w:r w:rsidRPr="00BC4CA4">
        <w:rPr>
          <w:b/>
          <w:bCs/>
          <w:szCs w:val="17"/>
          <w:highlight w:val="lightGray"/>
          <w:u w:val="single"/>
        </w:rPr>
        <w:t>Secretariat recommendation</w:t>
      </w:r>
      <w:r w:rsidR="00D354C2">
        <w:rPr>
          <w:b/>
          <w:bCs/>
          <w:szCs w:val="17"/>
          <w:highlight w:val="lightGray"/>
          <w:u w:val="single"/>
        </w:rPr>
        <w:t>s</w:t>
      </w:r>
      <w:r w:rsidRPr="00BC4CA4">
        <w:rPr>
          <w:b/>
          <w:bCs/>
          <w:szCs w:val="17"/>
          <w:highlight w:val="lightGray"/>
          <w:u w:val="single"/>
        </w:rPr>
        <w:t>:</w:t>
      </w:r>
    </w:p>
    <w:p w14:paraId="39A8C236" w14:textId="376D5F30" w:rsidR="006436E8" w:rsidRDefault="006436E8" w:rsidP="00317CEA">
      <w:pPr>
        <w:pStyle w:val="CEABullet-Level1"/>
        <w:rPr>
          <w:b/>
          <w:bCs/>
          <w:szCs w:val="17"/>
        </w:rPr>
      </w:pPr>
      <w:r w:rsidRPr="00BC4CA4">
        <w:rPr>
          <w:szCs w:val="17"/>
        </w:rPr>
        <w:t>The secretariat proposes to member</w:t>
      </w:r>
      <w:r w:rsidR="00751051">
        <w:rPr>
          <w:szCs w:val="17"/>
        </w:rPr>
        <w:t>s</w:t>
      </w:r>
      <w:r w:rsidRPr="003338E3">
        <w:rPr>
          <w:szCs w:val="17"/>
        </w:rPr>
        <w:t xml:space="preserve"> </w:t>
      </w:r>
      <w:r w:rsidRPr="00C4399D">
        <w:rPr>
          <w:szCs w:val="17"/>
        </w:rPr>
        <w:t>to</w:t>
      </w:r>
      <w:r w:rsidRPr="0077022B">
        <w:rPr>
          <w:b/>
          <w:bCs/>
          <w:szCs w:val="17"/>
        </w:rPr>
        <w:t xml:space="preserve"> set up a </w:t>
      </w:r>
      <w:r w:rsidR="00D2292B" w:rsidRPr="0077022B">
        <w:rPr>
          <w:b/>
          <w:bCs/>
          <w:szCs w:val="17"/>
        </w:rPr>
        <w:t>“</w:t>
      </w:r>
      <w:r w:rsidR="00D2292B" w:rsidRPr="00C4399D">
        <w:rPr>
          <w:b/>
          <w:bCs/>
          <w:szCs w:val="17"/>
          <w:u w:val="single"/>
        </w:rPr>
        <w:t xml:space="preserve">COVID-19 monitoring </w:t>
      </w:r>
      <w:r w:rsidRPr="003338E3">
        <w:rPr>
          <w:b/>
          <w:bCs/>
          <w:szCs w:val="17"/>
          <w:u w:val="single"/>
        </w:rPr>
        <w:t>framework</w:t>
      </w:r>
      <w:r w:rsidR="00D2292B" w:rsidRPr="00C4399D">
        <w:rPr>
          <w:b/>
          <w:szCs w:val="17"/>
        </w:rPr>
        <w:t xml:space="preserve">” </w:t>
      </w:r>
      <w:r w:rsidR="00D2292B" w:rsidRPr="00C4399D">
        <w:rPr>
          <w:szCs w:val="17"/>
        </w:rPr>
        <w:t xml:space="preserve">to identify potential </w:t>
      </w:r>
      <w:r w:rsidR="00757929" w:rsidRPr="00C4399D">
        <w:rPr>
          <w:szCs w:val="17"/>
        </w:rPr>
        <w:t>points at which to discuss,</w:t>
      </w:r>
      <w:r w:rsidR="00757929">
        <w:rPr>
          <w:b/>
          <w:bCs/>
          <w:szCs w:val="17"/>
        </w:rPr>
        <w:t xml:space="preserve"> at short notice if needed, </w:t>
      </w:r>
      <w:r w:rsidRPr="0077022B">
        <w:rPr>
          <w:b/>
          <w:bCs/>
          <w:szCs w:val="17"/>
        </w:rPr>
        <w:t>Art 138</w:t>
      </w:r>
      <w:r w:rsidR="00757929">
        <w:rPr>
          <w:b/>
          <w:bCs/>
          <w:szCs w:val="17"/>
        </w:rPr>
        <w:t xml:space="preserve"> or other actions</w:t>
      </w:r>
      <w:r w:rsidR="00AE7914">
        <w:rPr>
          <w:b/>
          <w:bCs/>
          <w:szCs w:val="17"/>
        </w:rPr>
        <w:t>.</w:t>
      </w:r>
    </w:p>
    <w:p w14:paraId="4184E901" w14:textId="77777777" w:rsidR="00DC536C" w:rsidRPr="0077022B" w:rsidRDefault="00DC536C" w:rsidP="0077022B">
      <w:pPr>
        <w:pStyle w:val="CEABullet-Level1"/>
        <w:numPr>
          <w:ilvl w:val="0"/>
          <w:numId w:val="0"/>
        </w:numPr>
        <w:ind w:left="720"/>
        <w:rPr>
          <w:b/>
          <w:bCs/>
          <w:szCs w:val="17"/>
        </w:rPr>
      </w:pPr>
    </w:p>
    <w:p w14:paraId="55863F0E" w14:textId="744AA435" w:rsidR="006436E8" w:rsidRPr="00BC4CA4" w:rsidRDefault="006436E8" w:rsidP="00317CEA">
      <w:pPr>
        <w:pStyle w:val="CEABullet-Level1"/>
        <w:rPr>
          <w:szCs w:val="17"/>
        </w:rPr>
      </w:pPr>
      <w:r w:rsidRPr="00BC4CA4">
        <w:rPr>
          <w:szCs w:val="17"/>
        </w:rPr>
        <w:t>This framework would include 2 elements:</w:t>
      </w:r>
    </w:p>
    <w:p w14:paraId="65F6ABF0" w14:textId="52EF6E18" w:rsidR="006436E8" w:rsidRPr="00BC4CA4" w:rsidRDefault="006436E8" w:rsidP="0077022B">
      <w:pPr>
        <w:pStyle w:val="CEABullet-Level2"/>
        <w:ind w:left="1134"/>
        <w:rPr>
          <w:szCs w:val="17"/>
        </w:rPr>
      </w:pPr>
      <w:r w:rsidRPr="00BC4CA4">
        <w:rPr>
          <w:b/>
          <w:bCs/>
          <w:szCs w:val="17"/>
        </w:rPr>
        <w:t>Market movements:</w:t>
      </w:r>
      <w:r w:rsidRPr="00BC4CA4">
        <w:rPr>
          <w:szCs w:val="17"/>
        </w:rPr>
        <w:t xml:space="preserve"> The secretariat (with support</w:t>
      </w:r>
      <w:r w:rsidR="00D2292B">
        <w:rPr>
          <w:szCs w:val="17"/>
        </w:rPr>
        <w:t xml:space="preserve"> from members who have access to data</w:t>
      </w:r>
      <w:r w:rsidRPr="00BC4CA4">
        <w:rPr>
          <w:szCs w:val="17"/>
        </w:rPr>
        <w:t>) would monitor changes in financial markets (eg interest rates, equit</w:t>
      </w:r>
      <w:r w:rsidR="00E37CD9">
        <w:rPr>
          <w:szCs w:val="17"/>
        </w:rPr>
        <w:t>ies</w:t>
      </w:r>
      <w:r w:rsidRPr="00BC4CA4">
        <w:rPr>
          <w:szCs w:val="17"/>
        </w:rPr>
        <w:t>, spreads</w:t>
      </w:r>
      <w:r w:rsidR="00E20381">
        <w:rPr>
          <w:szCs w:val="17"/>
        </w:rPr>
        <w:t>)</w:t>
      </w:r>
      <w:r w:rsidRPr="00BC4CA4">
        <w:rPr>
          <w:szCs w:val="17"/>
        </w:rPr>
        <w:t xml:space="preserve"> and assess whether these </w:t>
      </w:r>
      <w:r w:rsidR="00373EFF">
        <w:rPr>
          <w:szCs w:val="17"/>
        </w:rPr>
        <w:t>levels</w:t>
      </w:r>
      <w:r w:rsidRPr="00BC4CA4">
        <w:rPr>
          <w:szCs w:val="17"/>
        </w:rPr>
        <w:t xml:space="preserve"> are wors</w:t>
      </w:r>
      <w:r w:rsidR="00373EFF">
        <w:rPr>
          <w:szCs w:val="17"/>
        </w:rPr>
        <w:t>e</w:t>
      </w:r>
      <w:r w:rsidRPr="00BC4CA4">
        <w:rPr>
          <w:szCs w:val="17"/>
        </w:rPr>
        <w:t xml:space="preserve"> than </w:t>
      </w:r>
      <w:r w:rsidR="00373EFF">
        <w:rPr>
          <w:szCs w:val="17"/>
        </w:rPr>
        <w:t>those of identifie</w:t>
      </w:r>
      <w:r w:rsidR="002C6A6D">
        <w:rPr>
          <w:szCs w:val="17"/>
        </w:rPr>
        <w:t>d</w:t>
      </w:r>
      <w:r w:rsidR="00373EFF">
        <w:rPr>
          <w:szCs w:val="17"/>
        </w:rPr>
        <w:t xml:space="preserve"> </w:t>
      </w:r>
      <w:r w:rsidR="00757929">
        <w:rPr>
          <w:szCs w:val="17"/>
        </w:rPr>
        <w:t>reference points</w:t>
      </w:r>
      <w:r w:rsidR="00757929" w:rsidRPr="00BC4CA4">
        <w:rPr>
          <w:szCs w:val="17"/>
        </w:rPr>
        <w:t xml:space="preserve"> </w:t>
      </w:r>
      <w:r w:rsidR="00757929">
        <w:rPr>
          <w:szCs w:val="17"/>
        </w:rPr>
        <w:t xml:space="preserve">when indicators reached very concerning levels </w:t>
      </w:r>
      <w:r w:rsidRPr="00BC4CA4">
        <w:rPr>
          <w:szCs w:val="17"/>
        </w:rPr>
        <w:t xml:space="preserve">(eg </w:t>
      </w:r>
      <w:r w:rsidR="00ED49EC">
        <w:rPr>
          <w:szCs w:val="17"/>
        </w:rPr>
        <w:t>mid-</w:t>
      </w:r>
      <w:r w:rsidRPr="00BC4CA4">
        <w:rPr>
          <w:szCs w:val="17"/>
        </w:rPr>
        <w:t>March data)</w:t>
      </w:r>
    </w:p>
    <w:p w14:paraId="432EFE1D" w14:textId="1F781FA6" w:rsidR="006436E8" w:rsidRPr="00BC4CA4" w:rsidRDefault="006436E8" w:rsidP="0077022B">
      <w:pPr>
        <w:pStyle w:val="CEABullet-Level2"/>
        <w:ind w:left="1134"/>
        <w:rPr>
          <w:szCs w:val="17"/>
        </w:rPr>
      </w:pPr>
      <w:r w:rsidRPr="00BC4CA4">
        <w:rPr>
          <w:b/>
          <w:bCs/>
          <w:szCs w:val="17"/>
        </w:rPr>
        <w:t>Companies falling below 100% SCR</w:t>
      </w:r>
      <w:r w:rsidRPr="00BC4CA4">
        <w:rPr>
          <w:szCs w:val="17"/>
        </w:rPr>
        <w:t>: Members would alert the secretariat as soon as they have concerns about significant company/companies falling below 100% SCR</w:t>
      </w:r>
    </w:p>
    <w:p w14:paraId="31BA388C" w14:textId="465F7D17" w:rsidR="006436E8" w:rsidRPr="00BC4CA4" w:rsidRDefault="006436E8" w:rsidP="00317CEA">
      <w:pPr>
        <w:pStyle w:val="CEABullet-Level1"/>
        <w:rPr>
          <w:szCs w:val="17"/>
        </w:rPr>
      </w:pPr>
      <w:r w:rsidRPr="00BC4CA4">
        <w:rPr>
          <w:szCs w:val="17"/>
        </w:rPr>
        <w:t xml:space="preserve">The secretariat would monitor the </w:t>
      </w:r>
      <w:r w:rsidR="00757929">
        <w:rPr>
          <w:szCs w:val="17"/>
        </w:rPr>
        <w:t xml:space="preserve">elements above </w:t>
      </w:r>
      <w:r w:rsidRPr="00BC4CA4">
        <w:rPr>
          <w:szCs w:val="17"/>
        </w:rPr>
        <w:t xml:space="preserve">and seek members’ advice as soon as </w:t>
      </w:r>
      <w:r w:rsidR="00757929">
        <w:rPr>
          <w:szCs w:val="17"/>
        </w:rPr>
        <w:t>the monitoring indicate</w:t>
      </w:r>
      <w:r w:rsidR="00476E08">
        <w:rPr>
          <w:szCs w:val="17"/>
        </w:rPr>
        <w:t>s</w:t>
      </w:r>
      <w:r w:rsidR="00757929">
        <w:rPr>
          <w:szCs w:val="17"/>
        </w:rPr>
        <w:t xml:space="preserve"> a need</w:t>
      </w:r>
      <w:r w:rsidR="00AE7914">
        <w:rPr>
          <w:szCs w:val="17"/>
        </w:rPr>
        <w:t xml:space="preserve"> for action</w:t>
      </w:r>
      <w:r w:rsidR="00D2292B">
        <w:rPr>
          <w:szCs w:val="17"/>
        </w:rPr>
        <w:t>.</w:t>
      </w:r>
    </w:p>
    <w:p w14:paraId="37DCF58F" w14:textId="77777777" w:rsidR="006436E8" w:rsidRPr="00BC4CA4" w:rsidRDefault="006436E8" w:rsidP="00317CEA">
      <w:pPr>
        <w:rPr>
          <w:szCs w:val="17"/>
        </w:rPr>
      </w:pPr>
    </w:p>
    <w:p w14:paraId="2C869C6E" w14:textId="035E1C9D" w:rsidR="00044A5A" w:rsidRPr="0077022B" w:rsidRDefault="00044A5A" w:rsidP="00317CEA">
      <w:pPr>
        <w:pStyle w:val="CEABullet-Level1"/>
        <w:rPr>
          <w:i/>
          <w:iCs/>
          <w:szCs w:val="17"/>
          <w:highlight w:val="lightGray"/>
        </w:rPr>
      </w:pPr>
      <w:r w:rsidRPr="0077022B">
        <w:rPr>
          <w:i/>
          <w:iCs/>
          <w:szCs w:val="17"/>
          <w:highlight w:val="lightGray"/>
        </w:rPr>
        <w:t>Questions</w:t>
      </w:r>
      <w:r w:rsidR="006436E8" w:rsidRPr="0077022B">
        <w:rPr>
          <w:i/>
          <w:iCs/>
          <w:szCs w:val="17"/>
          <w:highlight w:val="lightGray"/>
        </w:rPr>
        <w:t xml:space="preserve"> for members: </w:t>
      </w:r>
    </w:p>
    <w:p w14:paraId="5BC03DE6" w14:textId="4623404B" w:rsidR="006436E8" w:rsidRPr="00BC4CA4" w:rsidRDefault="006436E8" w:rsidP="0077022B">
      <w:pPr>
        <w:pStyle w:val="CEABullet-Level2"/>
        <w:ind w:left="1134"/>
        <w:rPr>
          <w:szCs w:val="17"/>
        </w:rPr>
      </w:pPr>
      <w:r w:rsidRPr="00BC4CA4">
        <w:rPr>
          <w:szCs w:val="17"/>
        </w:rPr>
        <w:t xml:space="preserve">Do you agree to set up triggers for monitoring </w:t>
      </w:r>
      <w:r w:rsidR="00D2292B">
        <w:rPr>
          <w:szCs w:val="17"/>
        </w:rPr>
        <w:t xml:space="preserve">the COVID-19 situation and impact on Solvency II? </w:t>
      </w:r>
    </w:p>
    <w:p w14:paraId="31F4BC6D" w14:textId="459567FB" w:rsidR="006436E8" w:rsidRPr="00BC4CA4" w:rsidRDefault="006436E8" w:rsidP="0077022B">
      <w:pPr>
        <w:pStyle w:val="CEABullet-Level2"/>
        <w:ind w:left="1134"/>
        <w:rPr>
          <w:szCs w:val="17"/>
        </w:rPr>
      </w:pPr>
      <w:r w:rsidRPr="00BC4CA4">
        <w:rPr>
          <w:szCs w:val="17"/>
        </w:rPr>
        <w:t>Do you have other ideas on potential industry actions regarding Art 138?</w:t>
      </w:r>
    </w:p>
    <w:p w14:paraId="0FC2E194" w14:textId="5234801F" w:rsidR="006436E8" w:rsidRPr="00BC4CA4" w:rsidRDefault="006436E8" w:rsidP="0077022B">
      <w:pPr>
        <w:pStyle w:val="CEABullet-Level2"/>
        <w:ind w:left="1134"/>
        <w:rPr>
          <w:szCs w:val="17"/>
        </w:rPr>
      </w:pPr>
      <w:r w:rsidRPr="00BC4CA4">
        <w:rPr>
          <w:szCs w:val="17"/>
        </w:rPr>
        <w:t>Should we work jointly with PEIF/CFOF/CROF companies in this regard?</w:t>
      </w:r>
    </w:p>
    <w:p w14:paraId="02B04405" w14:textId="77777777" w:rsidR="00044A5A" w:rsidRPr="00BC4CA4" w:rsidRDefault="00044A5A" w:rsidP="00317CEA">
      <w:pPr>
        <w:autoSpaceDE w:val="0"/>
        <w:autoSpaceDN w:val="0"/>
        <w:adjustRightInd w:val="0"/>
        <w:rPr>
          <w:rFonts w:cs="Calibri"/>
          <w:color w:val="000000"/>
          <w:szCs w:val="17"/>
        </w:rPr>
      </w:pPr>
    </w:p>
    <w:p w14:paraId="021FF995" w14:textId="77777777" w:rsidR="008D0E59" w:rsidRPr="00BC4CA4" w:rsidRDefault="008D0E59" w:rsidP="00317CEA">
      <w:pPr>
        <w:pStyle w:val="Odsekzoznamu"/>
        <w:numPr>
          <w:ilvl w:val="1"/>
          <w:numId w:val="10"/>
        </w:numPr>
        <w:autoSpaceDE w:val="0"/>
        <w:autoSpaceDN w:val="0"/>
        <w:adjustRightInd w:val="0"/>
        <w:spacing w:after="0" w:line="288" w:lineRule="auto"/>
        <w:rPr>
          <w:rFonts w:ascii="Verdana" w:hAnsi="Verdana" w:cs="Calibri"/>
          <w:b/>
          <w:bCs/>
          <w:color w:val="000000"/>
          <w:sz w:val="17"/>
          <w:szCs w:val="17"/>
        </w:rPr>
      </w:pPr>
      <w:r w:rsidRPr="00BC4CA4">
        <w:rPr>
          <w:rFonts w:ascii="Verdana" w:hAnsi="Verdana" w:cs="Calibri"/>
          <w:b/>
          <w:bCs/>
          <w:color w:val="000000"/>
          <w:sz w:val="17"/>
          <w:szCs w:val="17"/>
        </w:rPr>
        <w:t>Transitionals on technical provisions</w:t>
      </w:r>
    </w:p>
    <w:p w14:paraId="1FB67B8F" w14:textId="77777777" w:rsidR="008D0E59" w:rsidRPr="00BC4CA4" w:rsidRDefault="008D0E59" w:rsidP="00317CEA">
      <w:pPr>
        <w:pStyle w:val="CEABullet-Level1"/>
        <w:numPr>
          <w:ilvl w:val="0"/>
          <w:numId w:val="0"/>
        </w:numPr>
        <w:ind w:left="360"/>
        <w:rPr>
          <w:szCs w:val="17"/>
        </w:rPr>
      </w:pPr>
      <w:r w:rsidRPr="00BC4CA4">
        <w:rPr>
          <w:szCs w:val="17"/>
        </w:rPr>
        <w:t>Feedback so far indicates that:</w:t>
      </w:r>
    </w:p>
    <w:p w14:paraId="36AED9CB" w14:textId="584EA42F" w:rsidR="008D0E59" w:rsidRPr="00BC4CA4" w:rsidRDefault="008D0E59" w:rsidP="00317CEA">
      <w:pPr>
        <w:pStyle w:val="CEABullet-Level1"/>
        <w:rPr>
          <w:szCs w:val="17"/>
        </w:rPr>
      </w:pPr>
      <w:r w:rsidRPr="00BC4CA4">
        <w:rPr>
          <w:szCs w:val="17"/>
        </w:rPr>
        <w:t xml:space="preserve">There is broad agreement that transitionals are a legitimate method for </w:t>
      </w:r>
      <w:r w:rsidR="00757929">
        <w:rPr>
          <w:szCs w:val="17"/>
        </w:rPr>
        <w:t>allowing time to adapt long-term “back-book” business to the SII requirements</w:t>
      </w:r>
      <w:r w:rsidR="003338E3">
        <w:rPr>
          <w:szCs w:val="17"/>
        </w:rPr>
        <w:t>, and</w:t>
      </w:r>
      <w:r w:rsidR="00757929">
        <w:rPr>
          <w:szCs w:val="17"/>
        </w:rPr>
        <w:t xml:space="preserve"> can also help to mitigate short-term market movements, in particular </w:t>
      </w:r>
      <w:r w:rsidRPr="00BC4CA4">
        <w:rPr>
          <w:szCs w:val="17"/>
        </w:rPr>
        <w:t>interest rate volatility</w:t>
      </w:r>
      <w:r w:rsidR="00757929">
        <w:rPr>
          <w:szCs w:val="17"/>
        </w:rPr>
        <w:t xml:space="preserve">.  </w:t>
      </w:r>
    </w:p>
    <w:p w14:paraId="4C30C842" w14:textId="2944D5F4" w:rsidR="001F7F99" w:rsidRDefault="00757929" w:rsidP="00317CEA">
      <w:pPr>
        <w:pStyle w:val="CEABullet-Level1"/>
        <w:rPr>
          <w:szCs w:val="17"/>
        </w:rPr>
      </w:pPr>
      <w:r>
        <w:rPr>
          <w:szCs w:val="17"/>
        </w:rPr>
        <w:t xml:space="preserve">It is noted that the </w:t>
      </w:r>
      <w:r w:rsidRPr="009748FA">
        <w:rPr>
          <w:szCs w:val="17"/>
        </w:rPr>
        <w:t>transitional</w:t>
      </w:r>
      <w:r w:rsidR="001F7F99" w:rsidRPr="009748FA">
        <w:rPr>
          <w:szCs w:val="17"/>
        </w:rPr>
        <w:t xml:space="preserve"> </w:t>
      </w:r>
      <w:r w:rsidR="004531F5" w:rsidRPr="009748FA">
        <w:rPr>
          <w:szCs w:val="17"/>
        </w:rPr>
        <w:t>measure on technical provisions</w:t>
      </w:r>
      <w:r w:rsidRPr="009748FA">
        <w:rPr>
          <w:szCs w:val="17"/>
        </w:rPr>
        <w:t>, not only serve to phase</w:t>
      </w:r>
      <w:r w:rsidR="009279A6" w:rsidRPr="009748FA">
        <w:rPr>
          <w:szCs w:val="17"/>
        </w:rPr>
        <w:t>-</w:t>
      </w:r>
      <w:r w:rsidRPr="009748FA">
        <w:rPr>
          <w:szCs w:val="17"/>
        </w:rPr>
        <w:t xml:space="preserve">in the </w:t>
      </w:r>
      <w:r w:rsidR="009279A6" w:rsidRPr="009748FA">
        <w:rPr>
          <w:szCs w:val="17"/>
        </w:rPr>
        <w:t>impact on liabilities of the change in how liab</w:t>
      </w:r>
      <w:r w:rsidR="009279A6">
        <w:rPr>
          <w:szCs w:val="17"/>
        </w:rPr>
        <w:t xml:space="preserve">ilities (from the </w:t>
      </w:r>
      <w:r>
        <w:rPr>
          <w:szCs w:val="17"/>
        </w:rPr>
        <w:t xml:space="preserve">local implementation of Solvency </w:t>
      </w:r>
      <w:r w:rsidR="001F7F99">
        <w:rPr>
          <w:szCs w:val="17"/>
        </w:rPr>
        <w:t>I</w:t>
      </w:r>
      <w:r>
        <w:rPr>
          <w:szCs w:val="17"/>
        </w:rPr>
        <w:t xml:space="preserve"> </w:t>
      </w:r>
      <w:r w:rsidR="009279A6">
        <w:rPr>
          <w:szCs w:val="17"/>
        </w:rPr>
        <w:t xml:space="preserve">to </w:t>
      </w:r>
      <w:r>
        <w:rPr>
          <w:szCs w:val="17"/>
        </w:rPr>
        <w:t>the Solvency II rules</w:t>
      </w:r>
      <w:r w:rsidR="009279A6">
        <w:rPr>
          <w:szCs w:val="17"/>
        </w:rPr>
        <w:t>)</w:t>
      </w:r>
      <w:r>
        <w:rPr>
          <w:szCs w:val="17"/>
        </w:rPr>
        <w:t>, it can also allow phasing in of the Risk Margi</w:t>
      </w:r>
      <w:r w:rsidR="001F7F99">
        <w:rPr>
          <w:szCs w:val="17"/>
        </w:rPr>
        <w:t>n.</w:t>
      </w:r>
      <w:r>
        <w:rPr>
          <w:szCs w:val="17"/>
        </w:rPr>
        <w:t xml:space="preserve">  </w:t>
      </w:r>
    </w:p>
    <w:p w14:paraId="6CE61E1B" w14:textId="1A6C6A25" w:rsidR="008D0E59" w:rsidRPr="00BC4CA4" w:rsidRDefault="008D0E59" w:rsidP="00317CEA">
      <w:pPr>
        <w:pStyle w:val="CEABullet-Level1"/>
        <w:rPr>
          <w:szCs w:val="17"/>
        </w:rPr>
      </w:pPr>
      <w:r w:rsidRPr="00BC4CA4">
        <w:rPr>
          <w:szCs w:val="17"/>
        </w:rPr>
        <w:t>Some markets</w:t>
      </w:r>
      <w:r w:rsidR="00057345">
        <w:rPr>
          <w:szCs w:val="17"/>
        </w:rPr>
        <w:t xml:space="preserve"> and some companies within those markets</w:t>
      </w:r>
      <w:r w:rsidRPr="00BC4CA4">
        <w:rPr>
          <w:szCs w:val="17"/>
        </w:rPr>
        <w:t xml:space="preserve"> are making use of transitionals, others are not</w:t>
      </w:r>
      <w:r w:rsidR="00757929">
        <w:rPr>
          <w:szCs w:val="17"/>
        </w:rPr>
        <w:t xml:space="preserve">.  </w:t>
      </w:r>
    </w:p>
    <w:p w14:paraId="531DD816" w14:textId="54D0DCC1" w:rsidR="008D0E59" w:rsidRPr="00BC4CA4" w:rsidRDefault="008D0E59" w:rsidP="00317CEA">
      <w:pPr>
        <w:pStyle w:val="CEABullet-Level1"/>
        <w:rPr>
          <w:szCs w:val="17"/>
        </w:rPr>
      </w:pPr>
      <w:r w:rsidRPr="00BC4CA4">
        <w:rPr>
          <w:szCs w:val="17"/>
        </w:rPr>
        <w:t>Those markets who are not making use of transitionals have indicated either that: 1) they are not interested; 2) they are in discussion with NSAs regarding potential application; 3) making use of them would not make a material difference</w:t>
      </w:r>
      <w:r w:rsidR="00E03AAA">
        <w:rPr>
          <w:szCs w:val="17"/>
        </w:rPr>
        <w:t>.</w:t>
      </w:r>
      <w:r w:rsidRPr="00BC4CA4">
        <w:rPr>
          <w:szCs w:val="17"/>
        </w:rPr>
        <w:t xml:space="preserve"> </w:t>
      </w:r>
    </w:p>
    <w:p w14:paraId="06F2698B" w14:textId="50D0B78C" w:rsidR="00E8540D" w:rsidRPr="002C4CD8" w:rsidRDefault="008D0E59" w:rsidP="0077022B">
      <w:pPr>
        <w:pStyle w:val="CEABullet-Level1"/>
        <w:rPr>
          <w:szCs w:val="17"/>
        </w:rPr>
      </w:pPr>
      <w:r w:rsidRPr="002C4CD8">
        <w:rPr>
          <w:szCs w:val="17"/>
        </w:rPr>
        <w:t>There is no particular need for Insurance Europe to engage on this topic</w:t>
      </w:r>
      <w:r w:rsidR="00E03AAA">
        <w:rPr>
          <w:szCs w:val="17"/>
        </w:rPr>
        <w:t>.</w:t>
      </w:r>
    </w:p>
    <w:p w14:paraId="63353DE7" w14:textId="77777777" w:rsidR="001F7F99" w:rsidRDefault="001F7F99" w:rsidP="00317CEA">
      <w:pPr>
        <w:pStyle w:val="CEABullet-Level2"/>
        <w:numPr>
          <w:ilvl w:val="0"/>
          <w:numId w:val="0"/>
        </w:numPr>
        <w:ind w:firstLine="360"/>
        <w:rPr>
          <w:b/>
          <w:bCs/>
          <w:szCs w:val="17"/>
          <w:highlight w:val="lightGray"/>
          <w:u w:val="single"/>
        </w:rPr>
      </w:pPr>
    </w:p>
    <w:p w14:paraId="3EBA50B5" w14:textId="5732E820" w:rsidR="00E8540D" w:rsidRPr="00BC4CA4" w:rsidRDefault="00E8540D" w:rsidP="00317CEA">
      <w:pPr>
        <w:pStyle w:val="CEABullet-Level2"/>
        <w:numPr>
          <w:ilvl w:val="0"/>
          <w:numId w:val="0"/>
        </w:numPr>
        <w:ind w:firstLine="360"/>
        <w:rPr>
          <w:b/>
          <w:bCs/>
          <w:szCs w:val="17"/>
          <w:u w:val="single"/>
        </w:rPr>
      </w:pPr>
      <w:r w:rsidRPr="00BC4CA4">
        <w:rPr>
          <w:b/>
          <w:bCs/>
          <w:szCs w:val="17"/>
          <w:highlight w:val="lightGray"/>
          <w:u w:val="single"/>
        </w:rPr>
        <w:t>Secretariat recommendation</w:t>
      </w:r>
      <w:r w:rsidR="00E03AAA">
        <w:rPr>
          <w:b/>
          <w:bCs/>
          <w:szCs w:val="17"/>
          <w:highlight w:val="lightGray"/>
          <w:u w:val="single"/>
        </w:rPr>
        <w:t>s</w:t>
      </w:r>
      <w:r w:rsidRPr="00BC4CA4">
        <w:rPr>
          <w:b/>
          <w:bCs/>
          <w:szCs w:val="17"/>
          <w:highlight w:val="lightGray"/>
          <w:u w:val="single"/>
        </w:rPr>
        <w:t>:</w:t>
      </w:r>
    </w:p>
    <w:p w14:paraId="0C94BD9C" w14:textId="4E1704B8" w:rsidR="001F7F99" w:rsidRPr="00BC4CA4" w:rsidRDefault="001F7F99" w:rsidP="001F7F99">
      <w:pPr>
        <w:pStyle w:val="CEABullet-Level1"/>
        <w:rPr>
          <w:szCs w:val="17"/>
        </w:rPr>
      </w:pPr>
      <w:r>
        <w:rPr>
          <w:szCs w:val="17"/>
        </w:rPr>
        <w:t xml:space="preserve">Insurance Europe </w:t>
      </w:r>
      <w:r w:rsidR="009279A6">
        <w:rPr>
          <w:szCs w:val="17"/>
        </w:rPr>
        <w:t>to</w:t>
      </w:r>
      <w:r>
        <w:rPr>
          <w:szCs w:val="17"/>
        </w:rPr>
        <w:t xml:space="preserve"> continue to </w:t>
      </w:r>
      <w:r w:rsidR="009279A6">
        <w:rPr>
          <w:szCs w:val="17"/>
        </w:rPr>
        <w:t>send the message</w:t>
      </w:r>
      <w:r w:rsidRPr="00BC4CA4">
        <w:rPr>
          <w:szCs w:val="17"/>
        </w:rPr>
        <w:t xml:space="preserve"> that </w:t>
      </w:r>
      <w:r>
        <w:rPr>
          <w:szCs w:val="17"/>
        </w:rPr>
        <w:t>transitionals are a legitimate part of the SII framework and there should be no barriers for companies wishing to make use of them</w:t>
      </w:r>
      <w:r w:rsidR="009279A6">
        <w:rPr>
          <w:szCs w:val="17"/>
        </w:rPr>
        <w:t xml:space="preserve"> or requirements beyond those set by Solvency II</w:t>
      </w:r>
      <w:r w:rsidR="00423421">
        <w:rPr>
          <w:szCs w:val="17"/>
        </w:rPr>
        <w:t>.</w:t>
      </w:r>
    </w:p>
    <w:p w14:paraId="1FEF52AE" w14:textId="4B9B1220" w:rsidR="008D0E59" w:rsidRPr="00BC4CA4" w:rsidRDefault="00423421" w:rsidP="00317CEA">
      <w:pPr>
        <w:pStyle w:val="CEABullet-Level1"/>
        <w:rPr>
          <w:szCs w:val="17"/>
        </w:rPr>
      </w:pPr>
      <w:r>
        <w:rPr>
          <w:szCs w:val="17"/>
        </w:rPr>
        <w:t xml:space="preserve">Insurance Europe would not engage in any other work in this area, unless members have concrete requests. </w:t>
      </w:r>
    </w:p>
    <w:p w14:paraId="70D60135" w14:textId="77777777" w:rsidR="008D0E59" w:rsidRPr="00BC4CA4" w:rsidRDefault="008D0E59" w:rsidP="00317CEA">
      <w:pPr>
        <w:pStyle w:val="Odsekzoznamu"/>
        <w:autoSpaceDE w:val="0"/>
        <w:autoSpaceDN w:val="0"/>
        <w:adjustRightInd w:val="0"/>
        <w:spacing w:line="288" w:lineRule="auto"/>
        <w:rPr>
          <w:rFonts w:ascii="Verdana" w:hAnsi="Verdana" w:cs="Calibri"/>
          <w:color w:val="000000"/>
          <w:sz w:val="17"/>
          <w:szCs w:val="17"/>
        </w:rPr>
      </w:pPr>
    </w:p>
    <w:p w14:paraId="3F2E13F6" w14:textId="53BF66C2" w:rsidR="00044A5A" w:rsidRPr="00BC4CA4" w:rsidRDefault="006436E8" w:rsidP="004166E4">
      <w:pPr>
        <w:pStyle w:val="Odsekzoznamu"/>
        <w:numPr>
          <w:ilvl w:val="1"/>
          <w:numId w:val="10"/>
        </w:numPr>
        <w:autoSpaceDE w:val="0"/>
        <w:autoSpaceDN w:val="0"/>
        <w:adjustRightInd w:val="0"/>
        <w:spacing w:after="0" w:line="288" w:lineRule="auto"/>
        <w:rPr>
          <w:rFonts w:ascii="Verdana" w:hAnsi="Verdana" w:cs="Calibri"/>
          <w:b/>
          <w:bCs/>
          <w:color w:val="000000"/>
          <w:sz w:val="17"/>
          <w:szCs w:val="17"/>
        </w:rPr>
      </w:pPr>
      <w:r w:rsidRPr="00BC4CA4">
        <w:rPr>
          <w:rFonts w:ascii="Verdana" w:hAnsi="Verdana" w:cs="Calibri"/>
          <w:b/>
          <w:bCs/>
          <w:color w:val="000000"/>
          <w:sz w:val="17"/>
          <w:szCs w:val="17"/>
        </w:rPr>
        <w:t xml:space="preserve">Update of the UFR </w:t>
      </w:r>
    </w:p>
    <w:p w14:paraId="6CF3D9F2" w14:textId="77777777" w:rsidR="002D46D2" w:rsidRPr="00BC4CA4" w:rsidRDefault="006436E8" w:rsidP="00317CEA">
      <w:pPr>
        <w:pStyle w:val="CEABullet-Level1"/>
        <w:rPr>
          <w:szCs w:val="17"/>
        </w:rPr>
      </w:pPr>
      <w:r w:rsidRPr="00BC4CA4">
        <w:rPr>
          <w:szCs w:val="17"/>
        </w:rPr>
        <w:lastRenderedPageBreak/>
        <w:t>The secretariat investigated the opportunity of asking for a delay in the updated UFR (note: EIOPA Report on UFR 2020 proposes a UFR of 3.75% for 2020</w:t>
      </w:r>
      <w:r w:rsidR="002D46D2" w:rsidRPr="00BC4CA4">
        <w:rPr>
          <w:szCs w:val="17"/>
        </w:rPr>
        <w:t>; the EC has the power to reject this change)</w:t>
      </w:r>
    </w:p>
    <w:p w14:paraId="0AE7B741" w14:textId="631C9354" w:rsidR="002D46D2" w:rsidRPr="00D2292B" w:rsidRDefault="002D46D2" w:rsidP="008E1253">
      <w:pPr>
        <w:pStyle w:val="CEABullet-Level1"/>
        <w:rPr>
          <w:szCs w:val="17"/>
        </w:rPr>
      </w:pPr>
      <w:r w:rsidRPr="00D2292B">
        <w:rPr>
          <w:szCs w:val="17"/>
        </w:rPr>
        <w:t>Feedback so far indicates that</w:t>
      </w:r>
      <w:r w:rsidR="00D2292B">
        <w:rPr>
          <w:szCs w:val="17"/>
        </w:rPr>
        <w:t xml:space="preserve"> a</w:t>
      </w:r>
      <w:r w:rsidRPr="00D2292B">
        <w:rPr>
          <w:szCs w:val="17"/>
        </w:rPr>
        <w:t xml:space="preserve"> delay in the UFR change would have a marginal impact, yet it would require using significant leverage with the EC to get this delayed</w:t>
      </w:r>
      <w:r w:rsidR="00597517">
        <w:rPr>
          <w:szCs w:val="17"/>
        </w:rPr>
        <w:t>.</w:t>
      </w:r>
    </w:p>
    <w:p w14:paraId="17E0F659" w14:textId="77777777" w:rsidR="008D0E59" w:rsidRPr="00BC4CA4" w:rsidRDefault="008D0E59" w:rsidP="00317CEA">
      <w:pPr>
        <w:rPr>
          <w:szCs w:val="17"/>
        </w:rPr>
      </w:pPr>
    </w:p>
    <w:p w14:paraId="78C3B677" w14:textId="77777777" w:rsidR="00E8540D" w:rsidRPr="00BC4CA4" w:rsidRDefault="00E8540D">
      <w:pPr>
        <w:pStyle w:val="CEABullet-Level2"/>
        <w:numPr>
          <w:ilvl w:val="0"/>
          <w:numId w:val="0"/>
        </w:numPr>
        <w:ind w:firstLine="360"/>
        <w:rPr>
          <w:b/>
          <w:bCs/>
          <w:szCs w:val="17"/>
          <w:u w:val="single"/>
        </w:rPr>
      </w:pPr>
      <w:r w:rsidRPr="00BC4CA4">
        <w:rPr>
          <w:b/>
          <w:bCs/>
          <w:szCs w:val="17"/>
          <w:highlight w:val="lightGray"/>
          <w:u w:val="single"/>
        </w:rPr>
        <w:t>Secretariat recommendation:</w:t>
      </w:r>
    </w:p>
    <w:p w14:paraId="0D61584B" w14:textId="550C393F" w:rsidR="006436E8" w:rsidRPr="00BC4CA4" w:rsidRDefault="002D46D2" w:rsidP="00317CEA">
      <w:pPr>
        <w:pStyle w:val="CEABullet-Level1"/>
        <w:rPr>
          <w:szCs w:val="17"/>
        </w:rPr>
      </w:pPr>
      <w:r w:rsidRPr="00BC4CA4">
        <w:rPr>
          <w:szCs w:val="17"/>
        </w:rPr>
        <w:t>The secretariat will not take any action in this area</w:t>
      </w:r>
      <w:r w:rsidR="00597517">
        <w:rPr>
          <w:szCs w:val="17"/>
        </w:rPr>
        <w:t>.</w:t>
      </w:r>
    </w:p>
    <w:p w14:paraId="7B4387C2" w14:textId="77777777" w:rsidR="006436E8" w:rsidRPr="00BC4CA4" w:rsidRDefault="006436E8" w:rsidP="00317CEA">
      <w:pPr>
        <w:pStyle w:val="Odsekzoznamu"/>
        <w:autoSpaceDE w:val="0"/>
        <w:autoSpaceDN w:val="0"/>
        <w:adjustRightInd w:val="0"/>
        <w:spacing w:after="0" w:line="288" w:lineRule="auto"/>
        <w:rPr>
          <w:rFonts w:ascii="Verdana" w:hAnsi="Verdana" w:cs="Calibri"/>
          <w:color w:val="000000"/>
          <w:sz w:val="17"/>
          <w:szCs w:val="17"/>
        </w:rPr>
      </w:pPr>
    </w:p>
    <w:p w14:paraId="106D840A" w14:textId="5A905A15" w:rsidR="000D41A6" w:rsidRDefault="000D41A6" w:rsidP="002B1358">
      <w:pPr>
        <w:autoSpaceDE w:val="0"/>
        <w:autoSpaceDN w:val="0"/>
        <w:adjustRightInd w:val="0"/>
        <w:rPr>
          <w:rFonts w:cs="Calibri"/>
          <w:b/>
          <w:bCs/>
          <w:color w:val="000000"/>
          <w:szCs w:val="17"/>
        </w:rPr>
      </w:pPr>
    </w:p>
    <w:p w14:paraId="47AF29AC" w14:textId="77777777" w:rsidR="000D41A6" w:rsidRDefault="000D41A6">
      <w:pPr>
        <w:spacing w:after="200" w:line="276" w:lineRule="auto"/>
        <w:jc w:val="left"/>
        <w:rPr>
          <w:rFonts w:cs="Calibri"/>
          <w:b/>
          <w:bCs/>
          <w:color w:val="000000"/>
          <w:szCs w:val="17"/>
        </w:rPr>
      </w:pPr>
      <w:r>
        <w:rPr>
          <w:rFonts w:cs="Calibri"/>
          <w:b/>
          <w:bCs/>
          <w:color w:val="000000"/>
          <w:szCs w:val="17"/>
        </w:rPr>
        <w:br w:type="page"/>
      </w:r>
    </w:p>
    <w:p w14:paraId="7D6029D3" w14:textId="6EDCAC25" w:rsidR="00044A5A" w:rsidRPr="004A2BB2" w:rsidRDefault="008D0E59" w:rsidP="004A2BB2">
      <w:pPr>
        <w:pStyle w:val="Odsekzoznamu"/>
        <w:numPr>
          <w:ilvl w:val="0"/>
          <w:numId w:val="19"/>
        </w:numPr>
        <w:autoSpaceDE w:val="0"/>
        <w:autoSpaceDN w:val="0"/>
        <w:adjustRightInd w:val="0"/>
        <w:rPr>
          <w:rFonts w:cs="Calibri"/>
          <w:b/>
          <w:bCs/>
          <w:color w:val="000000"/>
          <w:szCs w:val="17"/>
        </w:rPr>
      </w:pPr>
      <w:r w:rsidRPr="004A2BB2">
        <w:rPr>
          <w:rFonts w:cs="Calibri"/>
          <w:b/>
          <w:bCs/>
          <w:color w:val="000000"/>
          <w:szCs w:val="17"/>
        </w:rPr>
        <w:t xml:space="preserve">Approach </w:t>
      </w:r>
      <w:r w:rsidR="000D41A6">
        <w:rPr>
          <w:rFonts w:cs="Calibri"/>
          <w:b/>
          <w:bCs/>
          <w:color w:val="000000"/>
          <w:szCs w:val="17"/>
        </w:rPr>
        <w:t>for</w:t>
      </w:r>
      <w:r w:rsidRPr="004A2BB2">
        <w:rPr>
          <w:rFonts w:cs="Calibri"/>
          <w:b/>
          <w:bCs/>
          <w:color w:val="000000"/>
          <w:szCs w:val="17"/>
        </w:rPr>
        <w:t xml:space="preserve"> engaging on fixes of Solvency II issues</w:t>
      </w:r>
    </w:p>
    <w:p w14:paraId="6D316D13" w14:textId="6617108D" w:rsidR="00044A5A" w:rsidRPr="00BC4CA4" w:rsidRDefault="00044A5A" w:rsidP="00317CEA">
      <w:pPr>
        <w:autoSpaceDE w:val="0"/>
        <w:autoSpaceDN w:val="0"/>
        <w:adjustRightInd w:val="0"/>
        <w:rPr>
          <w:rFonts w:cs="Calibri"/>
          <w:b/>
          <w:bCs/>
          <w:color w:val="000000"/>
          <w:szCs w:val="17"/>
        </w:rPr>
      </w:pPr>
    </w:p>
    <w:p w14:paraId="15D01E62" w14:textId="7C9BB475" w:rsidR="00E8540D" w:rsidRPr="00BC4CA4" w:rsidRDefault="00992EB7" w:rsidP="00317CEA">
      <w:pPr>
        <w:autoSpaceDE w:val="0"/>
        <w:autoSpaceDN w:val="0"/>
        <w:adjustRightInd w:val="0"/>
        <w:rPr>
          <w:rFonts w:cs="Calibri"/>
          <w:color w:val="000000"/>
          <w:szCs w:val="17"/>
        </w:rPr>
      </w:pPr>
      <w:r>
        <w:rPr>
          <w:rFonts w:cs="Calibri"/>
          <w:color w:val="000000"/>
          <w:szCs w:val="17"/>
        </w:rPr>
        <w:t xml:space="preserve">Overall, members </w:t>
      </w:r>
      <w:r w:rsidR="00E8540D" w:rsidRPr="00BC4CA4">
        <w:rPr>
          <w:rFonts w:cs="Calibri"/>
          <w:color w:val="000000"/>
          <w:szCs w:val="17"/>
        </w:rPr>
        <w:t>ha</w:t>
      </w:r>
      <w:r>
        <w:rPr>
          <w:rFonts w:cs="Calibri"/>
          <w:color w:val="000000"/>
          <w:szCs w:val="17"/>
        </w:rPr>
        <w:t>ve</w:t>
      </w:r>
      <w:r w:rsidR="00E8540D" w:rsidRPr="00BC4CA4">
        <w:rPr>
          <w:rFonts w:cs="Calibri"/>
          <w:color w:val="000000"/>
          <w:szCs w:val="17"/>
        </w:rPr>
        <w:t xml:space="preserve"> so far been cautious about </w:t>
      </w:r>
      <w:r w:rsidR="008A449C">
        <w:rPr>
          <w:rFonts w:cs="Calibri"/>
          <w:color w:val="000000"/>
          <w:szCs w:val="17"/>
        </w:rPr>
        <w:t>asking</w:t>
      </w:r>
      <w:r w:rsidR="008A449C" w:rsidRPr="00BC4CA4">
        <w:rPr>
          <w:rFonts w:cs="Calibri"/>
          <w:color w:val="000000"/>
          <w:szCs w:val="17"/>
        </w:rPr>
        <w:t xml:space="preserve"> </w:t>
      </w:r>
      <w:r>
        <w:rPr>
          <w:rFonts w:cs="Calibri"/>
          <w:color w:val="000000"/>
          <w:szCs w:val="17"/>
        </w:rPr>
        <w:t>to make urgent changes to the Solvency II framework</w:t>
      </w:r>
      <w:r w:rsidR="008A449C">
        <w:rPr>
          <w:rFonts w:cs="Calibri"/>
          <w:color w:val="000000"/>
          <w:szCs w:val="17"/>
        </w:rPr>
        <w:t>, as</w:t>
      </w:r>
      <w:r w:rsidR="00E8540D" w:rsidRPr="00BC4CA4">
        <w:rPr>
          <w:rFonts w:cs="Calibri"/>
          <w:color w:val="000000"/>
          <w:szCs w:val="17"/>
        </w:rPr>
        <w:t xml:space="preserve"> this </w:t>
      </w:r>
      <w:r>
        <w:rPr>
          <w:rFonts w:cs="Calibri"/>
          <w:color w:val="000000"/>
          <w:szCs w:val="17"/>
        </w:rPr>
        <w:t>c</w:t>
      </w:r>
      <w:r w:rsidR="00E8540D" w:rsidRPr="00BC4CA4">
        <w:rPr>
          <w:rFonts w:cs="Calibri"/>
          <w:color w:val="000000"/>
          <w:szCs w:val="17"/>
        </w:rPr>
        <w:t xml:space="preserve">ould give the impression that the industry is “desperate” and that current levels of capital are </w:t>
      </w:r>
      <w:r w:rsidR="008657A0">
        <w:rPr>
          <w:rFonts w:cs="Calibri"/>
          <w:color w:val="000000"/>
          <w:szCs w:val="17"/>
        </w:rPr>
        <w:t>insufficient</w:t>
      </w:r>
      <w:r w:rsidR="00E8540D" w:rsidRPr="00BC4CA4">
        <w:rPr>
          <w:rFonts w:cs="Calibri"/>
          <w:color w:val="000000"/>
          <w:szCs w:val="17"/>
        </w:rPr>
        <w:t xml:space="preserve">. </w:t>
      </w:r>
      <w:r>
        <w:rPr>
          <w:rFonts w:cs="Calibri"/>
          <w:color w:val="000000"/>
          <w:szCs w:val="17"/>
        </w:rPr>
        <w:t xml:space="preserve">This could </w:t>
      </w:r>
      <w:r w:rsidR="00E8540D" w:rsidRPr="00BC4CA4">
        <w:rPr>
          <w:rFonts w:cs="Calibri"/>
          <w:color w:val="000000"/>
          <w:szCs w:val="17"/>
        </w:rPr>
        <w:t xml:space="preserve">hurt the Solvency II review process, as some policymakers may consider that the framework needs to be </w:t>
      </w:r>
      <w:r>
        <w:rPr>
          <w:rFonts w:cs="Calibri"/>
          <w:color w:val="000000"/>
          <w:szCs w:val="17"/>
        </w:rPr>
        <w:t>more</w:t>
      </w:r>
      <w:r w:rsidR="00630D99">
        <w:rPr>
          <w:rFonts w:cs="Calibri"/>
          <w:color w:val="000000"/>
          <w:szCs w:val="17"/>
        </w:rPr>
        <w:t>,</w:t>
      </w:r>
      <w:r>
        <w:rPr>
          <w:rFonts w:cs="Calibri"/>
          <w:color w:val="000000"/>
          <w:szCs w:val="17"/>
        </w:rPr>
        <w:t xml:space="preserve"> rather than less</w:t>
      </w:r>
      <w:r w:rsidR="00630D99">
        <w:rPr>
          <w:rFonts w:cs="Calibri"/>
          <w:color w:val="000000"/>
          <w:szCs w:val="17"/>
        </w:rPr>
        <w:t>,</w:t>
      </w:r>
      <w:r>
        <w:rPr>
          <w:rFonts w:cs="Calibri"/>
          <w:color w:val="000000"/>
          <w:szCs w:val="17"/>
        </w:rPr>
        <w:t xml:space="preserve"> conservative</w:t>
      </w:r>
      <w:r w:rsidR="00E8540D" w:rsidRPr="00BC4CA4">
        <w:rPr>
          <w:rFonts w:cs="Calibri"/>
          <w:color w:val="000000"/>
          <w:szCs w:val="17"/>
        </w:rPr>
        <w:t>.</w:t>
      </w:r>
      <w:r>
        <w:rPr>
          <w:rFonts w:cs="Calibri"/>
          <w:color w:val="000000"/>
          <w:szCs w:val="17"/>
        </w:rPr>
        <w:t xml:space="preserve"> </w:t>
      </w:r>
    </w:p>
    <w:p w14:paraId="17E93E92" w14:textId="6A12132B" w:rsidR="00E8540D" w:rsidRPr="00BC4CA4" w:rsidRDefault="00E8540D" w:rsidP="00317CEA">
      <w:pPr>
        <w:autoSpaceDE w:val="0"/>
        <w:autoSpaceDN w:val="0"/>
        <w:adjustRightInd w:val="0"/>
        <w:rPr>
          <w:rFonts w:cs="Calibri"/>
          <w:color w:val="000000"/>
          <w:szCs w:val="17"/>
        </w:rPr>
      </w:pPr>
    </w:p>
    <w:p w14:paraId="5276584C" w14:textId="0B79E3A9" w:rsidR="00E8540D" w:rsidRDefault="00992EB7" w:rsidP="00317CEA">
      <w:pPr>
        <w:autoSpaceDE w:val="0"/>
        <w:autoSpaceDN w:val="0"/>
        <w:adjustRightInd w:val="0"/>
        <w:rPr>
          <w:rFonts w:cs="Calibri"/>
          <w:color w:val="000000"/>
          <w:szCs w:val="17"/>
        </w:rPr>
      </w:pPr>
      <w:r>
        <w:rPr>
          <w:rFonts w:cs="Calibri"/>
          <w:color w:val="000000"/>
          <w:szCs w:val="17"/>
        </w:rPr>
        <w:t>However, the industry has warned for many years that the current LTG package is not good enough, does not reflect our long-term business and risks correctly and will not work as needed in a crisis. We are seeing evidence of that now</w:t>
      </w:r>
      <w:r w:rsidR="00630D99">
        <w:rPr>
          <w:rFonts w:cs="Calibri"/>
          <w:color w:val="000000"/>
          <w:szCs w:val="17"/>
        </w:rPr>
        <w:t>, when</w:t>
      </w:r>
      <w:r>
        <w:rPr>
          <w:rFonts w:cs="Calibri"/>
          <w:color w:val="000000"/>
          <w:szCs w:val="17"/>
        </w:rPr>
        <w:t xml:space="preserve"> the conservativeness and significant volatility in solvency ratios add to already very challenging times. This can lead to companies being pushed into unnecessary pro</w:t>
      </w:r>
      <w:r w:rsidR="00630D99">
        <w:rPr>
          <w:rFonts w:cs="Calibri"/>
          <w:color w:val="000000"/>
          <w:szCs w:val="17"/>
        </w:rPr>
        <w:t>-</w:t>
      </w:r>
      <w:r>
        <w:rPr>
          <w:rFonts w:cs="Calibri"/>
          <w:color w:val="000000"/>
          <w:szCs w:val="17"/>
        </w:rPr>
        <w:t xml:space="preserve">cyclical behaviour.  </w:t>
      </w:r>
    </w:p>
    <w:p w14:paraId="68EC6C07" w14:textId="50F92993" w:rsidR="00992EB7" w:rsidRDefault="00992EB7" w:rsidP="00317CEA">
      <w:pPr>
        <w:autoSpaceDE w:val="0"/>
        <w:autoSpaceDN w:val="0"/>
        <w:adjustRightInd w:val="0"/>
        <w:rPr>
          <w:rFonts w:cs="Calibri"/>
          <w:color w:val="000000"/>
          <w:szCs w:val="17"/>
        </w:rPr>
      </w:pPr>
    </w:p>
    <w:p w14:paraId="2E25EC5A" w14:textId="7C48E1DB" w:rsidR="002C4CD8" w:rsidRDefault="002C4CD8" w:rsidP="002C4CD8">
      <w:pPr>
        <w:autoSpaceDE w:val="0"/>
        <w:autoSpaceDN w:val="0"/>
        <w:adjustRightInd w:val="0"/>
        <w:rPr>
          <w:rFonts w:cs="Calibri"/>
          <w:color w:val="000000"/>
          <w:szCs w:val="17"/>
        </w:rPr>
      </w:pPr>
      <w:r>
        <w:rPr>
          <w:rFonts w:cs="Calibri"/>
          <w:color w:val="000000"/>
          <w:szCs w:val="17"/>
        </w:rPr>
        <w:t xml:space="preserve">There are reports that EIOPA has a workstream to consider what changes to the framework could be justified if that is considered necessary at some point. </w:t>
      </w:r>
      <w:r w:rsidR="00992EB7">
        <w:rPr>
          <w:rFonts w:cs="Calibri"/>
          <w:color w:val="000000"/>
          <w:szCs w:val="17"/>
        </w:rPr>
        <w:t>There is therefore an appetite from members to</w:t>
      </w:r>
      <w:r>
        <w:rPr>
          <w:rFonts w:cs="Calibri"/>
          <w:color w:val="000000"/>
          <w:szCs w:val="17"/>
        </w:rPr>
        <w:t xml:space="preserve"> be prepared </w:t>
      </w:r>
      <w:proofErr w:type="gramStart"/>
      <w:r>
        <w:rPr>
          <w:rFonts w:cs="Calibri"/>
          <w:color w:val="000000"/>
          <w:szCs w:val="17"/>
        </w:rPr>
        <w:t xml:space="preserve">and </w:t>
      </w:r>
      <w:r w:rsidR="00992EB7">
        <w:rPr>
          <w:rFonts w:cs="Calibri"/>
          <w:color w:val="000000"/>
          <w:szCs w:val="17"/>
        </w:rPr>
        <w:t xml:space="preserve"> </w:t>
      </w:r>
      <w:r>
        <w:rPr>
          <w:rFonts w:cs="Calibri"/>
          <w:color w:val="000000"/>
          <w:szCs w:val="17"/>
        </w:rPr>
        <w:t>consider</w:t>
      </w:r>
      <w:proofErr w:type="gramEnd"/>
      <w:r w:rsidR="008C244D">
        <w:rPr>
          <w:rFonts w:cs="Calibri"/>
          <w:color w:val="000000"/>
          <w:szCs w:val="17"/>
        </w:rPr>
        <w:t>:</w:t>
      </w:r>
    </w:p>
    <w:p w14:paraId="01BCCEDD" w14:textId="00B87953" w:rsidR="00992EB7" w:rsidRPr="00C4399D" w:rsidRDefault="00DC536C" w:rsidP="002C4CD8">
      <w:pPr>
        <w:pStyle w:val="Odsekzoznamu"/>
        <w:numPr>
          <w:ilvl w:val="0"/>
          <w:numId w:val="20"/>
        </w:numPr>
        <w:autoSpaceDE w:val="0"/>
        <w:autoSpaceDN w:val="0"/>
        <w:adjustRightInd w:val="0"/>
        <w:rPr>
          <w:rFonts w:ascii="Verdana" w:hAnsi="Verdana" w:cs="Calibri"/>
          <w:color w:val="000000"/>
          <w:sz w:val="17"/>
          <w:szCs w:val="17"/>
        </w:rPr>
      </w:pPr>
      <w:r w:rsidRPr="00C4399D">
        <w:rPr>
          <w:rFonts w:ascii="Verdana" w:hAnsi="Verdana" w:cs="Calibri"/>
          <w:color w:val="000000"/>
          <w:sz w:val="17"/>
          <w:szCs w:val="17"/>
        </w:rPr>
        <w:t>W</w:t>
      </w:r>
      <w:r w:rsidR="002C4CD8" w:rsidRPr="00C4399D">
        <w:rPr>
          <w:rFonts w:ascii="Verdana" w:hAnsi="Verdana" w:cs="Calibri"/>
          <w:color w:val="000000"/>
          <w:sz w:val="17"/>
          <w:szCs w:val="17"/>
        </w:rPr>
        <w:t>hat types of improvements, based on those we have already been seeking, could be brought forward</w:t>
      </w:r>
      <w:r w:rsidR="00055781" w:rsidRPr="00C4399D">
        <w:rPr>
          <w:rFonts w:ascii="Verdana" w:hAnsi="Verdana" w:cs="Calibri"/>
          <w:color w:val="000000"/>
          <w:sz w:val="17"/>
          <w:szCs w:val="17"/>
        </w:rPr>
        <w:t>? Discussions have included:</w:t>
      </w:r>
    </w:p>
    <w:p w14:paraId="6488272C" w14:textId="40130E37" w:rsidR="00055781" w:rsidRPr="00C4399D" w:rsidRDefault="008C244D" w:rsidP="0077022B">
      <w:pPr>
        <w:pStyle w:val="Odsekzoznamu"/>
        <w:numPr>
          <w:ilvl w:val="1"/>
          <w:numId w:val="22"/>
        </w:numPr>
        <w:autoSpaceDE w:val="0"/>
        <w:autoSpaceDN w:val="0"/>
        <w:adjustRightInd w:val="0"/>
        <w:rPr>
          <w:rFonts w:ascii="Verdana" w:hAnsi="Verdana" w:cs="Calibri"/>
          <w:color w:val="000000"/>
          <w:sz w:val="17"/>
          <w:szCs w:val="17"/>
        </w:rPr>
      </w:pPr>
      <w:r w:rsidRPr="00C4399D">
        <w:rPr>
          <w:rFonts w:ascii="Verdana" w:hAnsi="Verdana" w:cs="Calibri"/>
          <w:color w:val="000000"/>
          <w:sz w:val="17"/>
          <w:szCs w:val="17"/>
        </w:rPr>
        <w:t xml:space="preserve">The Risk Margin </w:t>
      </w:r>
      <w:r w:rsidR="00055781" w:rsidRPr="00C4399D">
        <w:rPr>
          <w:rFonts w:ascii="Verdana" w:hAnsi="Verdana" w:cs="Calibri"/>
          <w:color w:val="000000"/>
          <w:sz w:val="17"/>
          <w:szCs w:val="17"/>
        </w:rPr>
        <w:t xml:space="preserve">(eg call for 3% cost of capital? other?) </w:t>
      </w:r>
    </w:p>
    <w:p w14:paraId="77678001" w14:textId="36151C23" w:rsidR="008C244D" w:rsidRPr="00C4399D" w:rsidRDefault="008C244D" w:rsidP="0077022B">
      <w:pPr>
        <w:pStyle w:val="Odsekzoznamu"/>
        <w:numPr>
          <w:ilvl w:val="1"/>
          <w:numId w:val="22"/>
        </w:numPr>
        <w:autoSpaceDE w:val="0"/>
        <w:autoSpaceDN w:val="0"/>
        <w:adjustRightInd w:val="0"/>
        <w:rPr>
          <w:rFonts w:ascii="Verdana" w:hAnsi="Verdana" w:cs="Calibri"/>
          <w:color w:val="000000"/>
          <w:sz w:val="17"/>
          <w:szCs w:val="17"/>
        </w:rPr>
      </w:pPr>
      <w:r w:rsidRPr="00C4399D">
        <w:rPr>
          <w:rFonts w:ascii="Verdana" w:hAnsi="Verdana" w:cs="Calibri"/>
          <w:color w:val="000000"/>
          <w:sz w:val="17"/>
          <w:szCs w:val="17"/>
        </w:rPr>
        <w:t xml:space="preserve">VA </w:t>
      </w:r>
      <w:r w:rsidR="00055781" w:rsidRPr="00C4399D">
        <w:rPr>
          <w:rFonts w:ascii="Verdana" w:hAnsi="Verdana" w:cs="Calibri"/>
          <w:color w:val="000000"/>
          <w:sz w:val="17"/>
          <w:szCs w:val="17"/>
        </w:rPr>
        <w:t>(</w:t>
      </w:r>
      <w:r w:rsidR="00055781" w:rsidRPr="00C4399D">
        <w:rPr>
          <w:rFonts w:ascii="Verdana" w:hAnsi="Verdana"/>
          <w:sz w:val="17"/>
          <w:szCs w:val="17"/>
        </w:rPr>
        <w:t>eg immediate introduction of EIOPA’s option 7 to improve the effectiveness of the country adjustment? seek to increase the level of the VA through an increased General Application Ratio?)</w:t>
      </w:r>
    </w:p>
    <w:p w14:paraId="0EDA0B8A" w14:textId="11C5BEC7" w:rsidR="008C244D" w:rsidRPr="00C4399D" w:rsidRDefault="008C244D" w:rsidP="0077022B">
      <w:pPr>
        <w:pStyle w:val="Odsekzoznamu"/>
        <w:numPr>
          <w:ilvl w:val="1"/>
          <w:numId w:val="22"/>
        </w:numPr>
        <w:autoSpaceDE w:val="0"/>
        <w:autoSpaceDN w:val="0"/>
        <w:adjustRightInd w:val="0"/>
        <w:rPr>
          <w:rFonts w:ascii="Verdana" w:hAnsi="Verdana" w:cs="Calibri"/>
          <w:color w:val="000000"/>
          <w:sz w:val="17"/>
          <w:szCs w:val="17"/>
        </w:rPr>
      </w:pPr>
      <w:r w:rsidRPr="00C4399D">
        <w:rPr>
          <w:rFonts w:ascii="Verdana" w:hAnsi="Verdana"/>
          <w:sz w:val="17"/>
          <w:szCs w:val="17"/>
        </w:rPr>
        <w:t>The removal of the floor for the equity symmetric adjustment has been mentioned</w:t>
      </w:r>
      <w:r w:rsidR="00972450">
        <w:rPr>
          <w:rFonts w:ascii="Verdana" w:hAnsi="Verdana"/>
          <w:sz w:val="17"/>
          <w:szCs w:val="17"/>
        </w:rPr>
        <w:t>. W</w:t>
      </w:r>
      <w:r w:rsidR="00055781" w:rsidRPr="00C4399D">
        <w:rPr>
          <w:rFonts w:ascii="Verdana" w:hAnsi="Verdana"/>
          <w:sz w:val="17"/>
          <w:szCs w:val="17"/>
        </w:rPr>
        <w:t>hile logical and justifiable</w:t>
      </w:r>
      <w:r w:rsidR="00972450">
        <w:rPr>
          <w:rFonts w:ascii="Verdana" w:hAnsi="Verdana"/>
          <w:sz w:val="17"/>
          <w:szCs w:val="17"/>
        </w:rPr>
        <w:t>,</w:t>
      </w:r>
      <w:r w:rsidR="00055781" w:rsidRPr="00C4399D">
        <w:rPr>
          <w:rFonts w:ascii="Verdana" w:hAnsi="Verdana"/>
          <w:sz w:val="17"/>
          <w:szCs w:val="17"/>
        </w:rPr>
        <w:t xml:space="preserve"> </w:t>
      </w:r>
      <w:r w:rsidRPr="00C4399D">
        <w:rPr>
          <w:rFonts w:ascii="Verdana" w:hAnsi="Verdana"/>
          <w:sz w:val="17"/>
          <w:szCs w:val="17"/>
        </w:rPr>
        <w:t>our analysis indicates that this would have very limited beneficial impact and risks undermining the focus on the need for meaningful improvements to the 22% long-term equity category</w:t>
      </w:r>
      <w:r w:rsidR="000C4F76">
        <w:rPr>
          <w:rFonts w:ascii="Verdana" w:hAnsi="Verdana"/>
          <w:sz w:val="17"/>
          <w:szCs w:val="17"/>
        </w:rPr>
        <w:t>.</w:t>
      </w:r>
    </w:p>
    <w:p w14:paraId="7EEDD2D2" w14:textId="6A348A1E" w:rsidR="002C4CD8" w:rsidRPr="00C4399D" w:rsidRDefault="00134595" w:rsidP="008C244D">
      <w:pPr>
        <w:pStyle w:val="Odsekzoznamu"/>
        <w:numPr>
          <w:ilvl w:val="0"/>
          <w:numId w:val="20"/>
        </w:numPr>
        <w:autoSpaceDE w:val="0"/>
        <w:autoSpaceDN w:val="0"/>
        <w:adjustRightInd w:val="0"/>
        <w:rPr>
          <w:rFonts w:ascii="Verdana" w:hAnsi="Verdana" w:cs="Calibri"/>
          <w:color w:val="000000"/>
          <w:sz w:val="17"/>
          <w:szCs w:val="17"/>
        </w:rPr>
      </w:pPr>
      <w:r>
        <w:rPr>
          <w:rFonts w:ascii="Verdana" w:hAnsi="Verdana" w:cs="Calibri"/>
          <w:color w:val="000000"/>
          <w:sz w:val="17"/>
          <w:szCs w:val="17"/>
        </w:rPr>
        <w:t xml:space="preserve">Are </w:t>
      </w:r>
      <w:r w:rsidR="002C4CD8" w:rsidRPr="00C4399D">
        <w:rPr>
          <w:rFonts w:ascii="Verdana" w:hAnsi="Verdana" w:cs="Calibri"/>
          <w:color w:val="000000"/>
          <w:sz w:val="17"/>
          <w:szCs w:val="17"/>
        </w:rPr>
        <w:t>there are any other changes that could be justified</w:t>
      </w:r>
      <w:r>
        <w:rPr>
          <w:rFonts w:ascii="Verdana" w:hAnsi="Verdana" w:cs="Calibri"/>
          <w:color w:val="000000"/>
          <w:sz w:val="17"/>
          <w:szCs w:val="17"/>
        </w:rPr>
        <w:t>?</w:t>
      </w:r>
    </w:p>
    <w:p w14:paraId="19E05ED7" w14:textId="4A296AA1" w:rsidR="00DE2CDC" w:rsidRPr="00C4399D" w:rsidRDefault="00134595" w:rsidP="0077022B">
      <w:pPr>
        <w:pStyle w:val="Odsekzoznamu"/>
        <w:numPr>
          <w:ilvl w:val="1"/>
          <w:numId w:val="22"/>
        </w:numPr>
        <w:autoSpaceDE w:val="0"/>
        <w:autoSpaceDN w:val="0"/>
        <w:adjustRightInd w:val="0"/>
        <w:rPr>
          <w:rFonts w:ascii="Verdana" w:hAnsi="Verdana" w:cs="Calibri"/>
          <w:sz w:val="17"/>
          <w:szCs w:val="17"/>
        </w:rPr>
      </w:pPr>
      <w:r>
        <w:rPr>
          <w:rFonts w:ascii="Verdana" w:hAnsi="Verdana" w:cs="Calibri"/>
          <w:color w:val="000000"/>
          <w:sz w:val="17"/>
          <w:szCs w:val="17"/>
        </w:rPr>
        <w:t xml:space="preserve">One </w:t>
      </w:r>
      <w:r w:rsidR="008C244D" w:rsidRPr="00C4399D">
        <w:rPr>
          <w:rFonts w:ascii="Verdana" w:hAnsi="Verdana" w:cs="Calibri"/>
          <w:color w:val="000000"/>
          <w:sz w:val="17"/>
          <w:szCs w:val="17"/>
        </w:rPr>
        <w:t xml:space="preserve">suggestion that emerged (from the ES market) is to </w:t>
      </w:r>
      <w:r w:rsidR="00DC536C" w:rsidRPr="00C4399D">
        <w:rPr>
          <w:rFonts w:ascii="Verdana" w:hAnsi="Verdana" w:cs="Calibri"/>
          <w:color w:val="000000"/>
          <w:sz w:val="17"/>
          <w:szCs w:val="17"/>
        </w:rPr>
        <w:t>seek</w:t>
      </w:r>
      <w:r w:rsidR="008C244D" w:rsidRPr="00C4399D">
        <w:rPr>
          <w:rFonts w:ascii="Verdana" w:hAnsi="Verdana" w:cs="Calibri"/>
          <w:color w:val="000000"/>
          <w:sz w:val="17"/>
          <w:szCs w:val="17"/>
        </w:rPr>
        <w:t xml:space="preserve"> a </w:t>
      </w:r>
      <w:r w:rsidR="00DC536C" w:rsidRPr="00C4399D">
        <w:rPr>
          <w:rFonts w:ascii="Verdana" w:hAnsi="Verdana" w:cs="Calibri"/>
          <w:color w:val="000000"/>
          <w:sz w:val="17"/>
          <w:szCs w:val="17"/>
        </w:rPr>
        <w:t xml:space="preserve">change to the regulations to allow </w:t>
      </w:r>
      <w:r w:rsidR="008C244D" w:rsidRPr="00C4399D">
        <w:rPr>
          <w:rFonts w:ascii="Verdana" w:hAnsi="Verdana" w:cs="Calibri"/>
          <w:color w:val="000000"/>
          <w:sz w:val="17"/>
          <w:szCs w:val="17"/>
        </w:rPr>
        <w:t>non-application of LAC DT rules that</w:t>
      </w:r>
      <w:r w:rsidR="00DF50CF" w:rsidRPr="00C4399D">
        <w:rPr>
          <w:rFonts w:ascii="Verdana" w:hAnsi="Verdana" w:cs="Calibri"/>
          <w:color w:val="000000"/>
          <w:sz w:val="17"/>
          <w:szCs w:val="17"/>
        </w:rPr>
        <w:t xml:space="preserve"> already</w:t>
      </w:r>
      <w:r w:rsidR="008C244D" w:rsidRPr="00C4399D">
        <w:rPr>
          <w:rFonts w:ascii="Verdana" w:hAnsi="Verdana" w:cs="Calibri"/>
          <w:color w:val="000000"/>
          <w:sz w:val="17"/>
          <w:szCs w:val="17"/>
        </w:rPr>
        <w:t xml:space="preserve"> entered into force on 1 January 2020.  </w:t>
      </w:r>
      <w:r w:rsidR="00DE2CDC" w:rsidRPr="00C4399D">
        <w:rPr>
          <w:rFonts w:ascii="Verdana" w:hAnsi="Verdana" w:cs="Calibri"/>
          <w:color w:val="000000"/>
          <w:sz w:val="17"/>
          <w:szCs w:val="17"/>
        </w:rPr>
        <w:t>(</w:t>
      </w:r>
      <w:r w:rsidR="006F01CC">
        <w:rPr>
          <w:rFonts w:ascii="Verdana" w:hAnsi="Verdana" w:cs="Calibri"/>
          <w:color w:val="000000"/>
          <w:sz w:val="17"/>
          <w:szCs w:val="17"/>
        </w:rPr>
        <w:t xml:space="preserve">The secretariat </w:t>
      </w:r>
      <w:r w:rsidR="006F01CC" w:rsidRPr="00C4399D">
        <w:rPr>
          <w:rFonts w:ascii="Verdana" w:hAnsi="Verdana" w:cs="Calibri"/>
          <w:color w:val="000000"/>
          <w:sz w:val="17"/>
          <w:szCs w:val="17"/>
        </w:rPr>
        <w:t>not</w:t>
      </w:r>
      <w:r w:rsidR="006F01CC">
        <w:rPr>
          <w:rFonts w:ascii="Verdana" w:hAnsi="Verdana" w:cs="Calibri"/>
          <w:color w:val="000000"/>
          <w:sz w:val="17"/>
          <w:szCs w:val="17"/>
        </w:rPr>
        <w:t>es</w:t>
      </w:r>
      <w:r w:rsidR="006F01CC" w:rsidRPr="00C4399D">
        <w:rPr>
          <w:rFonts w:ascii="Verdana" w:hAnsi="Verdana" w:cs="Calibri"/>
          <w:color w:val="000000"/>
          <w:sz w:val="17"/>
          <w:szCs w:val="17"/>
        </w:rPr>
        <w:t xml:space="preserve"> </w:t>
      </w:r>
      <w:r w:rsidR="00DE2CDC" w:rsidRPr="00C4399D">
        <w:rPr>
          <w:rFonts w:ascii="Verdana" w:hAnsi="Verdana" w:cs="Calibri"/>
          <w:color w:val="000000"/>
          <w:sz w:val="17"/>
          <w:szCs w:val="17"/>
        </w:rPr>
        <w:t>that legally it is not clear how this could be achieved – apart from having new legal text from the EC, with involvement by EP and Council, changing their decision from the Solvency II 2018 review).</w:t>
      </w:r>
    </w:p>
    <w:p w14:paraId="4B7A5013" w14:textId="10D09459" w:rsidR="00D2292B" w:rsidRDefault="00D2292B" w:rsidP="00317CEA">
      <w:pPr>
        <w:autoSpaceDE w:val="0"/>
        <w:autoSpaceDN w:val="0"/>
        <w:adjustRightInd w:val="0"/>
        <w:rPr>
          <w:rFonts w:cs="Calibri"/>
          <w:color w:val="000000"/>
          <w:szCs w:val="17"/>
        </w:rPr>
      </w:pPr>
      <w:r>
        <w:rPr>
          <w:rFonts w:cs="Calibri"/>
          <w:color w:val="000000"/>
          <w:szCs w:val="17"/>
        </w:rPr>
        <w:t xml:space="preserve">In addition, </w:t>
      </w:r>
      <w:r w:rsidR="008C244D">
        <w:rPr>
          <w:rFonts w:cs="Calibri"/>
          <w:color w:val="000000"/>
          <w:szCs w:val="17"/>
        </w:rPr>
        <w:t xml:space="preserve">it has been noted that </w:t>
      </w:r>
      <w:r w:rsidR="002C4CD8">
        <w:rPr>
          <w:rFonts w:cs="Calibri"/>
          <w:color w:val="000000"/>
          <w:szCs w:val="17"/>
        </w:rPr>
        <w:t xml:space="preserve">the current situation can provide additional evidence of the parts of the existing framework </w:t>
      </w:r>
      <w:r>
        <w:rPr>
          <w:rFonts w:cs="Calibri"/>
          <w:color w:val="000000"/>
          <w:szCs w:val="17"/>
        </w:rPr>
        <w:t>that are proving to be very valuable and should therefore be preserved in the Solvency II 2020 review</w:t>
      </w:r>
      <w:r w:rsidR="006F01CC">
        <w:rPr>
          <w:rFonts w:cs="Calibri"/>
          <w:color w:val="000000"/>
          <w:szCs w:val="17"/>
        </w:rPr>
        <w:t xml:space="preserve"> (eg extrapolation)</w:t>
      </w:r>
      <w:r>
        <w:rPr>
          <w:rFonts w:cs="Calibri"/>
          <w:color w:val="000000"/>
          <w:szCs w:val="17"/>
        </w:rPr>
        <w:t>.</w:t>
      </w:r>
    </w:p>
    <w:p w14:paraId="6DA061CB" w14:textId="20CC8ABE" w:rsidR="002C4CD8" w:rsidRDefault="002C4CD8" w:rsidP="00317CEA">
      <w:pPr>
        <w:autoSpaceDE w:val="0"/>
        <w:autoSpaceDN w:val="0"/>
        <w:adjustRightInd w:val="0"/>
        <w:rPr>
          <w:rFonts w:cs="Calibri"/>
          <w:color w:val="000000"/>
          <w:szCs w:val="17"/>
        </w:rPr>
      </w:pPr>
    </w:p>
    <w:p w14:paraId="61F366C7" w14:textId="51BAC346" w:rsidR="00DE2CDC" w:rsidRDefault="00DE2CDC" w:rsidP="00317CEA">
      <w:pPr>
        <w:autoSpaceDE w:val="0"/>
        <w:autoSpaceDN w:val="0"/>
        <w:adjustRightInd w:val="0"/>
        <w:rPr>
          <w:rFonts w:cs="Calibri"/>
          <w:color w:val="000000"/>
          <w:szCs w:val="17"/>
        </w:rPr>
      </w:pPr>
    </w:p>
    <w:p w14:paraId="511BA55F" w14:textId="6F243AB2" w:rsidR="00E8540D" w:rsidRPr="00BC4CA4" w:rsidRDefault="00E8540D" w:rsidP="00317CEA">
      <w:pPr>
        <w:autoSpaceDE w:val="0"/>
        <w:autoSpaceDN w:val="0"/>
        <w:adjustRightInd w:val="0"/>
        <w:rPr>
          <w:rFonts w:cs="Calibri"/>
          <w:b/>
          <w:bCs/>
          <w:color w:val="000000"/>
          <w:szCs w:val="17"/>
          <w:u w:val="single"/>
        </w:rPr>
      </w:pPr>
      <w:r w:rsidRPr="00BC4CA4">
        <w:rPr>
          <w:rFonts w:cs="Calibri"/>
          <w:b/>
          <w:bCs/>
          <w:color w:val="000000"/>
          <w:szCs w:val="17"/>
          <w:highlight w:val="lightGray"/>
          <w:u w:val="single"/>
        </w:rPr>
        <w:t>Secretariat recommendation</w:t>
      </w:r>
      <w:r w:rsidR="000E1085">
        <w:rPr>
          <w:rFonts w:cs="Calibri"/>
          <w:b/>
          <w:bCs/>
          <w:color w:val="000000"/>
          <w:szCs w:val="17"/>
          <w:highlight w:val="lightGray"/>
          <w:u w:val="single"/>
        </w:rPr>
        <w:t>s</w:t>
      </w:r>
      <w:r w:rsidRPr="00BC4CA4">
        <w:rPr>
          <w:rFonts w:cs="Calibri"/>
          <w:b/>
          <w:bCs/>
          <w:color w:val="000000"/>
          <w:szCs w:val="17"/>
          <w:highlight w:val="lightGray"/>
          <w:u w:val="single"/>
        </w:rPr>
        <w:t>:</w:t>
      </w:r>
    </w:p>
    <w:p w14:paraId="0F1FCD3F" w14:textId="0B95DD26" w:rsidR="008D0E59" w:rsidRPr="00BC4CA4" w:rsidRDefault="008D0E59" w:rsidP="00317CEA">
      <w:pPr>
        <w:pStyle w:val="CEABullet-Level1"/>
        <w:numPr>
          <w:ilvl w:val="0"/>
          <w:numId w:val="0"/>
        </w:numPr>
        <w:rPr>
          <w:szCs w:val="17"/>
        </w:rPr>
      </w:pPr>
      <w:r w:rsidRPr="00BC4CA4">
        <w:rPr>
          <w:szCs w:val="17"/>
        </w:rPr>
        <w:t>The secretariat is proposing the f</w:t>
      </w:r>
      <w:r w:rsidR="00E8540D" w:rsidRPr="00BC4CA4">
        <w:rPr>
          <w:szCs w:val="17"/>
        </w:rPr>
        <w:t xml:space="preserve">ollowing </w:t>
      </w:r>
      <w:r w:rsidRPr="00BC4CA4">
        <w:rPr>
          <w:szCs w:val="17"/>
        </w:rPr>
        <w:t>strategy for the Solvency II review in relation to COVID-19:</w:t>
      </w:r>
    </w:p>
    <w:p w14:paraId="1B5F8EC4" w14:textId="55388263" w:rsidR="00044A5A" w:rsidRPr="00BC4CA4" w:rsidRDefault="00DF50CF" w:rsidP="00317CEA">
      <w:pPr>
        <w:pStyle w:val="CEABullet-Level1"/>
        <w:rPr>
          <w:b/>
          <w:bCs/>
          <w:szCs w:val="17"/>
        </w:rPr>
      </w:pPr>
      <w:r>
        <w:rPr>
          <w:b/>
          <w:bCs/>
          <w:szCs w:val="17"/>
        </w:rPr>
        <w:t xml:space="preserve">1.1 </w:t>
      </w:r>
      <w:r w:rsidR="00055781">
        <w:rPr>
          <w:b/>
          <w:bCs/>
          <w:szCs w:val="17"/>
        </w:rPr>
        <w:t>Be prepared</w:t>
      </w:r>
      <w:r w:rsidR="008D0E59" w:rsidRPr="00BC4CA4">
        <w:rPr>
          <w:b/>
          <w:bCs/>
          <w:szCs w:val="17"/>
        </w:rPr>
        <w:t>:</w:t>
      </w:r>
      <w:r w:rsidR="00044A5A" w:rsidRPr="00BC4CA4">
        <w:rPr>
          <w:b/>
          <w:bCs/>
          <w:szCs w:val="17"/>
        </w:rPr>
        <w:t xml:space="preserve"> </w:t>
      </w:r>
    </w:p>
    <w:p w14:paraId="0DB857C7" w14:textId="63CC2BCF" w:rsidR="00C40285" w:rsidRPr="005F7A50" w:rsidRDefault="00356B38" w:rsidP="005F7A50">
      <w:pPr>
        <w:pStyle w:val="CEABullet-Level2"/>
        <w:ind w:left="1134"/>
        <w:rPr>
          <w:szCs w:val="17"/>
        </w:rPr>
      </w:pPr>
      <w:r>
        <w:rPr>
          <w:szCs w:val="17"/>
        </w:rPr>
        <w:t>Continue to h</w:t>
      </w:r>
      <w:r w:rsidR="008D0E59" w:rsidRPr="00BC4CA4">
        <w:rPr>
          <w:szCs w:val="17"/>
        </w:rPr>
        <w:t xml:space="preserve">ighlight the fact that the current crisis is a proof of flaws </w:t>
      </w:r>
      <w:r w:rsidR="000E1085">
        <w:rPr>
          <w:szCs w:val="17"/>
        </w:rPr>
        <w:t>i</w:t>
      </w:r>
      <w:r w:rsidR="008D0E59" w:rsidRPr="00BC4CA4">
        <w:rPr>
          <w:szCs w:val="17"/>
        </w:rPr>
        <w:t xml:space="preserve">n the areas that the industry always highlighted (eg VA, RM) </w:t>
      </w:r>
      <w:r>
        <w:rPr>
          <w:szCs w:val="17"/>
        </w:rPr>
        <w:t>and educate on the reasons why changes are both needed and economically justified</w:t>
      </w:r>
    </w:p>
    <w:p w14:paraId="619C00E8" w14:textId="2AB98323" w:rsidR="00DC536C" w:rsidRDefault="00356B38" w:rsidP="0077022B">
      <w:pPr>
        <w:pStyle w:val="CEABullet-Level2"/>
        <w:ind w:left="1134"/>
        <w:rPr>
          <w:szCs w:val="17"/>
        </w:rPr>
      </w:pPr>
      <w:r>
        <w:rPr>
          <w:szCs w:val="17"/>
        </w:rPr>
        <w:t>Monitor closely EIOPA</w:t>
      </w:r>
      <w:r w:rsidR="00E37CD9">
        <w:rPr>
          <w:szCs w:val="17"/>
        </w:rPr>
        <w:t>’s</w:t>
      </w:r>
      <w:r>
        <w:rPr>
          <w:szCs w:val="17"/>
        </w:rPr>
        <w:t xml:space="preserve"> work on this and any political discussions</w:t>
      </w:r>
      <w:r w:rsidR="00DC536C">
        <w:rPr>
          <w:szCs w:val="17"/>
        </w:rPr>
        <w:t xml:space="preserve"> </w:t>
      </w:r>
    </w:p>
    <w:p w14:paraId="0278855F" w14:textId="0BAA6A46" w:rsidR="008D0E59" w:rsidRPr="00BC4CA4" w:rsidRDefault="000E1085" w:rsidP="0077022B">
      <w:pPr>
        <w:pStyle w:val="CEABullet-Level2"/>
        <w:ind w:left="1134"/>
        <w:rPr>
          <w:szCs w:val="17"/>
        </w:rPr>
      </w:pPr>
      <w:r>
        <w:rPr>
          <w:szCs w:val="17"/>
        </w:rPr>
        <w:t>Develop</w:t>
      </w:r>
      <w:r w:rsidR="009748FA">
        <w:rPr>
          <w:szCs w:val="17"/>
        </w:rPr>
        <w:t xml:space="preserve"> additional </w:t>
      </w:r>
      <w:r>
        <w:rPr>
          <w:szCs w:val="17"/>
        </w:rPr>
        <w:t>evidence on flaws</w:t>
      </w:r>
      <w:r w:rsidR="009748FA">
        <w:rPr>
          <w:szCs w:val="17"/>
        </w:rPr>
        <w:t xml:space="preserve"> related to COVID-19</w:t>
      </w:r>
      <w:r>
        <w:rPr>
          <w:szCs w:val="17"/>
        </w:rPr>
        <w:t xml:space="preserve"> and</w:t>
      </w:r>
      <w:r w:rsidR="00DC536C" w:rsidRPr="00DC536C">
        <w:rPr>
          <w:szCs w:val="17"/>
        </w:rPr>
        <w:t xml:space="preserve"> concrete proposals</w:t>
      </w:r>
      <w:r>
        <w:rPr>
          <w:szCs w:val="17"/>
        </w:rPr>
        <w:t>.</w:t>
      </w:r>
      <w:r w:rsidR="00DC536C">
        <w:rPr>
          <w:szCs w:val="17"/>
        </w:rPr>
        <w:t xml:space="preserve"> </w:t>
      </w:r>
    </w:p>
    <w:p w14:paraId="03184AD0" w14:textId="77777777" w:rsidR="00DC536C" w:rsidRDefault="00DC536C" w:rsidP="0077022B">
      <w:pPr>
        <w:pStyle w:val="CEABullet-Level1"/>
        <w:numPr>
          <w:ilvl w:val="0"/>
          <w:numId w:val="0"/>
        </w:numPr>
        <w:ind w:left="720"/>
        <w:rPr>
          <w:b/>
          <w:bCs/>
          <w:szCs w:val="17"/>
        </w:rPr>
      </w:pPr>
    </w:p>
    <w:p w14:paraId="00D6A948" w14:textId="23BBC6D7" w:rsidR="008D0E59" w:rsidRPr="00BC4CA4" w:rsidRDefault="00DC536C" w:rsidP="00317CEA">
      <w:pPr>
        <w:pStyle w:val="CEABullet-Level1"/>
        <w:rPr>
          <w:b/>
          <w:bCs/>
          <w:szCs w:val="17"/>
        </w:rPr>
      </w:pPr>
      <w:r>
        <w:rPr>
          <w:b/>
          <w:bCs/>
          <w:szCs w:val="17"/>
        </w:rPr>
        <w:t>Seek agreement on w</w:t>
      </w:r>
      <w:r w:rsidR="008D0E59" w:rsidRPr="00BC4CA4">
        <w:rPr>
          <w:b/>
          <w:bCs/>
          <w:szCs w:val="17"/>
        </w:rPr>
        <w:t xml:space="preserve">hat </w:t>
      </w:r>
      <w:r>
        <w:rPr>
          <w:b/>
          <w:bCs/>
          <w:szCs w:val="17"/>
        </w:rPr>
        <w:t>improvements could be brought forward</w:t>
      </w:r>
      <w:r w:rsidR="00E8540D" w:rsidRPr="00BC4CA4">
        <w:rPr>
          <w:b/>
          <w:bCs/>
          <w:szCs w:val="17"/>
        </w:rPr>
        <w:t>:</w:t>
      </w:r>
    </w:p>
    <w:p w14:paraId="6DC98045" w14:textId="75C7DD8D" w:rsidR="008D0E59" w:rsidRPr="00BC4CA4" w:rsidRDefault="00055781" w:rsidP="0077022B">
      <w:pPr>
        <w:pStyle w:val="CEABullet-Level2"/>
        <w:ind w:left="1134"/>
        <w:rPr>
          <w:szCs w:val="17"/>
        </w:rPr>
      </w:pPr>
      <w:r>
        <w:rPr>
          <w:szCs w:val="17"/>
        </w:rPr>
        <w:t xml:space="preserve">Seek agreement on concreate proposal for </w:t>
      </w:r>
      <w:r w:rsidR="008D0E59" w:rsidRPr="00BC4CA4">
        <w:rPr>
          <w:szCs w:val="17"/>
        </w:rPr>
        <w:t>Risk margin</w:t>
      </w:r>
    </w:p>
    <w:p w14:paraId="2C624112" w14:textId="0E4B18B3" w:rsidR="00044A5A" w:rsidRDefault="00055781" w:rsidP="0077022B">
      <w:pPr>
        <w:pStyle w:val="CEABullet-Level2"/>
        <w:ind w:left="1134"/>
        <w:rPr>
          <w:szCs w:val="17"/>
        </w:rPr>
      </w:pPr>
      <w:r>
        <w:rPr>
          <w:szCs w:val="17"/>
        </w:rPr>
        <w:t xml:space="preserve">Seek agreement on a concreate proposal for the </w:t>
      </w:r>
      <w:r w:rsidR="008D0E59" w:rsidRPr="00BC4CA4">
        <w:rPr>
          <w:szCs w:val="17"/>
        </w:rPr>
        <w:t>VA</w:t>
      </w:r>
      <w:r>
        <w:rPr>
          <w:szCs w:val="17"/>
        </w:rPr>
        <w:t xml:space="preserve">.  Note given the short time </w:t>
      </w:r>
      <w:r w:rsidRPr="008B6F1F">
        <w:rPr>
          <w:szCs w:val="17"/>
          <w:u w:val="single"/>
        </w:rPr>
        <w:t>this would not be the full industry VA solution but a “quick fix” interim improvement</w:t>
      </w:r>
      <w:r>
        <w:rPr>
          <w:szCs w:val="17"/>
        </w:rPr>
        <w:t xml:space="preserve"> </w:t>
      </w:r>
    </w:p>
    <w:p w14:paraId="087FD67C" w14:textId="272EF40F" w:rsidR="00DE2CDC" w:rsidRDefault="00DE2CDC" w:rsidP="00DC536C">
      <w:pPr>
        <w:pStyle w:val="CEABullet-Level2"/>
        <w:ind w:left="1134"/>
      </w:pPr>
      <w:r w:rsidRPr="00BC4CA4">
        <w:rPr>
          <w:szCs w:val="17"/>
        </w:rPr>
        <w:t>Cease discussions about the removal of the floor for the equity symmetric adjustment</w:t>
      </w:r>
      <w:r>
        <w:rPr>
          <w:szCs w:val="17"/>
        </w:rPr>
        <w:t xml:space="preserve"> </w:t>
      </w:r>
    </w:p>
    <w:p w14:paraId="15556A95" w14:textId="194BB588" w:rsidR="00DC536C" w:rsidRDefault="00DC536C" w:rsidP="0077022B">
      <w:pPr>
        <w:pStyle w:val="CEABullet-Level2"/>
        <w:ind w:left="1134"/>
      </w:pPr>
      <w:r>
        <w:t>Other?</w:t>
      </w:r>
    </w:p>
    <w:p w14:paraId="29CEB95E" w14:textId="6680FE61" w:rsidR="008E1253" w:rsidRDefault="008E1253" w:rsidP="008B6F1F">
      <w:pPr>
        <w:pStyle w:val="CEABullet-Level3"/>
      </w:pPr>
      <w:r>
        <w:t>MA: the issue of diversification</w:t>
      </w:r>
      <w:r w:rsidR="00DC536C">
        <w:t xml:space="preserve"> has been suggested by the Spanish market for further consideration</w:t>
      </w:r>
    </w:p>
    <w:p w14:paraId="0FAB0787" w14:textId="77777777" w:rsidR="00DC536C" w:rsidRPr="0077022B" w:rsidRDefault="00DC536C" w:rsidP="0077022B"/>
    <w:p w14:paraId="5C3E0047" w14:textId="5E253BF8" w:rsidR="00DC536C" w:rsidRPr="0077022B" w:rsidRDefault="00DC536C" w:rsidP="0077022B">
      <w:pPr>
        <w:pStyle w:val="CEABullet-Level1"/>
        <w:rPr>
          <w:b/>
          <w:bCs/>
          <w:szCs w:val="17"/>
        </w:rPr>
      </w:pPr>
      <w:r>
        <w:rPr>
          <w:b/>
          <w:bCs/>
          <w:szCs w:val="17"/>
        </w:rPr>
        <w:t xml:space="preserve">Seek agreement if there are any other action that should be </w:t>
      </w:r>
      <w:r w:rsidR="00DE2CDC">
        <w:rPr>
          <w:b/>
          <w:bCs/>
          <w:szCs w:val="17"/>
        </w:rPr>
        <w:t>considered</w:t>
      </w:r>
      <w:r w:rsidRPr="0077022B">
        <w:rPr>
          <w:b/>
          <w:bCs/>
          <w:szCs w:val="17"/>
        </w:rPr>
        <w:t>:</w:t>
      </w:r>
    </w:p>
    <w:p w14:paraId="432AA901" w14:textId="232D1D08" w:rsidR="00DE2CDC" w:rsidRDefault="00DE2CDC" w:rsidP="00DE2CDC">
      <w:pPr>
        <w:pStyle w:val="CEABullet-Level2"/>
        <w:ind w:left="1134"/>
        <w:rPr>
          <w:rFonts w:cs="Calibri"/>
          <w:szCs w:val="17"/>
        </w:rPr>
      </w:pPr>
      <w:r>
        <w:rPr>
          <w:rFonts w:cs="Calibri"/>
          <w:szCs w:val="17"/>
        </w:rPr>
        <w:t>E.g. N</w:t>
      </w:r>
      <w:r w:rsidRPr="00700F8B">
        <w:rPr>
          <w:rFonts w:cs="Calibri"/>
          <w:szCs w:val="17"/>
        </w:rPr>
        <w:t>on-application of LAC DT rules that entered into force on 1 January 2020</w:t>
      </w:r>
      <w:r>
        <w:rPr>
          <w:rFonts w:cs="Calibri"/>
          <w:szCs w:val="17"/>
        </w:rPr>
        <w:t xml:space="preserve"> </w:t>
      </w:r>
    </w:p>
    <w:p w14:paraId="14BF7C33" w14:textId="110C5E29" w:rsidR="00DE2CDC" w:rsidRDefault="00DE2CDC" w:rsidP="00DE2CDC"/>
    <w:p w14:paraId="24551C2A" w14:textId="08F21379" w:rsidR="00187F28" w:rsidRPr="008B6F1F" w:rsidRDefault="00E8540D" w:rsidP="00317CEA">
      <w:pPr>
        <w:pStyle w:val="CEABullet-Level1"/>
        <w:numPr>
          <w:ilvl w:val="0"/>
          <w:numId w:val="0"/>
        </w:numPr>
        <w:rPr>
          <w:i/>
          <w:iCs/>
          <w:szCs w:val="17"/>
        </w:rPr>
      </w:pPr>
      <w:r w:rsidRPr="008B6F1F">
        <w:rPr>
          <w:i/>
          <w:iCs/>
          <w:szCs w:val="17"/>
          <w:highlight w:val="lightGray"/>
        </w:rPr>
        <w:t>Questions for members:</w:t>
      </w:r>
    </w:p>
    <w:p w14:paraId="75EFA4E7" w14:textId="7F639110" w:rsidR="00E8540D" w:rsidRPr="00BC4CA4" w:rsidRDefault="00E8540D" w:rsidP="00317CEA">
      <w:pPr>
        <w:pStyle w:val="CEABullet-Level1"/>
        <w:rPr>
          <w:szCs w:val="17"/>
        </w:rPr>
      </w:pPr>
      <w:r w:rsidRPr="00BC4CA4">
        <w:rPr>
          <w:szCs w:val="17"/>
        </w:rPr>
        <w:t>Do you agree with the proposed actions?</w:t>
      </w:r>
    </w:p>
    <w:p w14:paraId="2026CDEC" w14:textId="1C6FE5F1" w:rsidR="00A40F1D" w:rsidRPr="00A40F1D" w:rsidRDefault="00044A5A" w:rsidP="004B6C59">
      <w:pPr>
        <w:pStyle w:val="CEABullet-Level1"/>
        <w:rPr>
          <w:rFonts w:cs="Calibri"/>
        </w:rPr>
      </w:pPr>
      <w:r w:rsidRPr="001520D0">
        <w:t>Is there anything else that we can credibly ask for that would justify the work involved</w:t>
      </w:r>
      <w:r w:rsidR="00DF50CF">
        <w:t xml:space="preserve"> and do members have views on potentially seeking that the review improvements in the MA diversifications be brought forward and for seeking a change to allow non-application of LAC DT rules</w:t>
      </w:r>
      <w:r w:rsidRPr="001520D0">
        <w:t xml:space="preserve">? </w:t>
      </w:r>
    </w:p>
    <w:p w14:paraId="797016C8" w14:textId="77777777" w:rsidR="00A40F1D" w:rsidRDefault="00A40F1D" w:rsidP="00A40F1D">
      <w:pPr>
        <w:pStyle w:val="CEABullet-Level1"/>
        <w:numPr>
          <w:ilvl w:val="0"/>
          <w:numId w:val="0"/>
        </w:numPr>
        <w:ind w:left="720" w:hanging="360"/>
      </w:pPr>
    </w:p>
    <w:p w14:paraId="5A41510D" w14:textId="77777777" w:rsidR="00A40F1D" w:rsidRDefault="00A40F1D" w:rsidP="00A40F1D">
      <w:pPr>
        <w:pStyle w:val="CEABullet-Level1"/>
        <w:numPr>
          <w:ilvl w:val="0"/>
          <w:numId w:val="0"/>
        </w:numPr>
        <w:ind w:left="720" w:hanging="360"/>
      </w:pPr>
    </w:p>
    <w:p w14:paraId="2A0216E7" w14:textId="77777777" w:rsidR="00A40F1D" w:rsidRDefault="00A40F1D" w:rsidP="00A40F1D">
      <w:pPr>
        <w:pStyle w:val="CEABullet-Level1"/>
        <w:numPr>
          <w:ilvl w:val="0"/>
          <w:numId w:val="0"/>
        </w:numPr>
        <w:ind w:left="720" w:hanging="360"/>
      </w:pPr>
    </w:p>
    <w:p w14:paraId="770D43FB" w14:textId="77777777" w:rsidR="00A40F1D" w:rsidRDefault="00A40F1D" w:rsidP="00A40F1D">
      <w:pPr>
        <w:pStyle w:val="CEABullet-Level1"/>
        <w:numPr>
          <w:ilvl w:val="0"/>
          <w:numId w:val="0"/>
        </w:numPr>
        <w:ind w:left="720" w:hanging="360"/>
      </w:pPr>
    </w:p>
    <w:p w14:paraId="3132EC76" w14:textId="77777777" w:rsidR="00A40F1D" w:rsidRPr="00A40F1D" w:rsidRDefault="00A40F1D" w:rsidP="0077022B"/>
    <w:p w14:paraId="359ECBD9" w14:textId="77777777" w:rsidR="009176FF" w:rsidRPr="00BC4CA4" w:rsidRDefault="009176FF" w:rsidP="00317CEA">
      <w:pPr>
        <w:jc w:val="left"/>
        <w:rPr>
          <w:rStyle w:val="CEAGraphTitle"/>
          <w:szCs w:val="17"/>
        </w:rPr>
      </w:pPr>
    </w:p>
    <w:p w14:paraId="359ECBDA" w14:textId="4FCE2110" w:rsidR="00440FEE" w:rsidRPr="00BC4CA4" w:rsidRDefault="00440FEE" w:rsidP="00317CEA">
      <w:pPr>
        <w:rPr>
          <w:szCs w:val="17"/>
        </w:rPr>
      </w:pPr>
    </w:p>
    <w:sectPr w:rsidR="00440FEE" w:rsidRPr="00BC4CA4" w:rsidSect="009176FF">
      <w:headerReference w:type="even" r:id="rId10"/>
      <w:headerReference w:type="default" r:id="rId11"/>
      <w:footerReference w:type="even" r:id="rId12"/>
      <w:footerReference w:type="default" r:id="rId13"/>
      <w:headerReference w:type="first" r:id="rId14"/>
      <w:footerReference w:type="first" r:id="rId15"/>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0D624" w14:textId="77777777" w:rsidR="00AC5097" w:rsidRDefault="00AC5097">
      <w:pPr>
        <w:spacing w:line="240" w:lineRule="auto"/>
      </w:pPr>
      <w:r>
        <w:separator/>
      </w:r>
    </w:p>
  </w:endnote>
  <w:endnote w:type="continuationSeparator" w:id="0">
    <w:p w14:paraId="1F4EFA9B" w14:textId="77777777" w:rsidR="00AC5097" w:rsidRDefault="00AC5097">
      <w:pPr>
        <w:spacing w:line="240" w:lineRule="auto"/>
      </w:pPr>
      <w:r>
        <w:continuationSeparator/>
      </w:r>
    </w:p>
  </w:endnote>
  <w:endnote w:type="continuationNotice" w:id="1">
    <w:p w14:paraId="39784B79" w14:textId="77777777" w:rsidR="00AC5097" w:rsidRDefault="00AC50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5493" w14:textId="77777777" w:rsidR="00AC5097" w:rsidRDefault="00AC509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8545489"/>
      <w:docPartObj>
        <w:docPartGallery w:val="Page Numbers (Bottom of Page)"/>
        <w:docPartUnique/>
      </w:docPartObj>
    </w:sdtPr>
    <w:sdtEndPr>
      <w:rPr>
        <w:noProof/>
      </w:rPr>
    </w:sdtEndPr>
    <w:sdtContent>
      <w:p w14:paraId="34A92B7C" w14:textId="6E917C66" w:rsidR="00AC5097" w:rsidRDefault="00AC5097">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359ECBE2" w14:textId="77777777" w:rsidR="00AC5097" w:rsidRPr="00CD51F6" w:rsidRDefault="00AC5097" w:rsidP="00476EA7">
    <w:pPr>
      <w:pStyle w:val="Pta"/>
      <w:ind w:left="546"/>
      <w:rPr>
        <w:rFonts w:cs="Arial"/>
        <w:b/>
        <w:color w:val="0032FF"/>
        <w:sz w:val="16"/>
        <w:szCs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45BE8" w14:textId="77777777" w:rsidR="00AC5097" w:rsidRDefault="00AC50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7EB4C" w14:textId="77777777" w:rsidR="00AC5097" w:rsidRDefault="00AC5097">
      <w:pPr>
        <w:spacing w:line="240" w:lineRule="auto"/>
      </w:pPr>
      <w:r>
        <w:separator/>
      </w:r>
    </w:p>
  </w:footnote>
  <w:footnote w:type="continuationSeparator" w:id="0">
    <w:p w14:paraId="5D801BF6" w14:textId="77777777" w:rsidR="00AC5097" w:rsidRDefault="00AC5097">
      <w:pPr>
        <w:spacing w:line="240" w:lineRule="auto"/>
      </w:pPr>
      <w:r>
        <w:continuationSeparator/>
      </w:r>
    </w:p>
  </w:footnote>
  <w:footnote w:type="continuationNotice" w:id="1">
    <w:p w14:paraId="02AC9015" w14:textId="77777777" w:rsidR="00AC5097" w:rsidRDefault="00AC50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084E1" w14:textId="77777777" w:rsidR="00AC5097" w:rsidRDefault="00AC509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713567873"/>
      <w:docPartObj>
        <w:docPartGallery w:val="Watermarks"/>
        <w:docPartUnique/>
      </w:docPartObj>
    </w:sdtPr>
    <w:sdtEndPr/>
    <w:sdtContent>
      <w:p w14:paraId="359ECBDF" w14:textId="41549EE2" w:rsidR="00AC5097" w:rsidRPr="000846C0" w:rsidRDefault="00B3090E" w:rsidP="00476EA7">
        <w:pPr>
          <w:pStyle w:val="Noparagraphstyle"/>
          <w:jc w:val="right"/>
          <w:rPr>
            <w:sz w:val="18"/>
            <w:szCs w:val="18"/>
          </w:rPr>
        </w:pPr>
        <w:r>
          <w:rPr>
            <w:noProof/>
            <w:sz w:val="18"/>
            <w:szCs w:val="18"/>
          </w:rPr>
          <w:pict w14:anchorId="19569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59ECBE0" w14:textId="77777777" w:rsidR="00AC5097" w:rsidRPr="00CD51F6" w:rsidRDefault="00AC5097" w:rsidP="00476EA7">
    <w:pPr>
      <w:pStyle w:val="Noparagraphstyle"/>
      <w:jc w:val="right"/>
      <w:rPr>
        <w:rFonts w:ascii="Arial" w:hAnsi="Arial" w:cs="Arial"/>
        <w:i/>
        <w:iCs/>
        <w:color w:val="034EA2"/>
      </w:rPr>
    </w:pPr>
    <w:r>
      <w:tab/>
    </w:r>
  </w:p>
  <w:p w14:paraId="359ECBE1" w14:textId="77777777" w:rsidR="00AC5097" w:rsidRPr="007349E1" w:rsidRDefault="00AC5097" w:rsidP="00476EA7">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7216" behindDoc="0" locked="0" layoutInCell="1" allowOverlap="1" wp14:anchorId="359ECBE3" wp14:editId="7578BDDB">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B7113" w14:textId="77777777" w:rsidR="00AC5097" w:rsidRDefault="00AC50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4pt;height:14pt" o:bullet="t">
        <v:imagedata r:id="rId1" o:title="CEA - Bullets Rounded Squares_BulletLevel1_forMS"/>
      </v:shape>
    </w:pict>
  </w:numPicBullet>
  <w:numPicBullet w:numPicBulletId="1">
    <w:pict>
      <v:shape id="_x0000_i1096" type="#_x0000_t75" style="width:7.5pt;height:7.5pt" o:bullet="t">
        <v:imagedata r:id="rId2" o:title="CEA - Bullets Rounded Squares_BulletLevel2_forMS"/>
      </v:shape>
    </w:pict>
  </w:numPicBullet>
  <w:numPicBullet w:numPicBulletId="2">
    <w:pict>
      <v:shape id="_x0000_i1097" type="#_x0000_t75" style="width:7.5pt;height:7.5pt" o:bullet="t">
        <v:imagedata r:id="rId3" o:title="CEA - Bullets Rounded Squares_BulletLevel3_forMS"/>
      </v:shape>
    </w:pict>
  </w:numPicBullet>
  <w:abstractNum w:abstractNumId="0" w15:restartNumberingAfterBreak="0">
    <w:nsid w:val="052638C4"/>
    <w:multiLevelType w:val="hybridMultilevel"/>
    <w:tmpl w:val="94E6C87A"/>
    <w:lvl w:ilvl="0" w:tplc="08090001">
      <w:start w:val="1"/>
      <w:numFmt w:val="bullet"/>
      <w:lvlText w:val=""/>
      <w:lvlJc w:val="left"/>
      <w:pPr>
        <w:ind w:left="720" w:hanging="360"/>
      </w:pPr>
      <w:rPr>
        <w:rFonts w:ascii="Symbol" w:hAnsi="Symbol" w:hint="default"/>
      </w:rPr>
    </w:lvl>
    <w:lvl w:ilvl="1" w:tplc="73DC1CAC">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571B92"/>
    <w:multiLevelType w:val="hybridMultilevel"/>
    <w:tmpl w:val="BA749AB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362A5"/>
    <w:multiLevelType w:val="hybridMultilevel"/>
    <w:tmpl w:val="BB8EBF9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C251618"/>
    <w:multiLevelType w:val="hybridMultilevel"/>
    <w:tmpl w:val="EFCCE562"/>
    <w:lvl w:ilvl="0" w:tplc="08090019">
      <w:start w:val="1"/>
      <w:numFmt w:val="low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AE32A8"/>
    <w:multiLevelType w:val="multilevel"/>
    <w:tmpl w:val="04F68F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B87B4D"/>
    <w:multiLevelType w:val="hybridMultilevel"/>
    <w:tmpl w:val="922AD71E"/>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7" w15:restartNumberingAfterBreak="0">
    <w:nsid w:val="1ED34453"/>
    <w:multiLevelType w:val="multilevel"/>
    <w:tmpl w:val="F2BC9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6E7602"/>
    <w:multiLevelType w:val="hybridMultilevel"/>
    <w:tmpl w:val="A02E91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B7B47"/>
    <w:multiLevelType w:val="hybridMultilevel"/>
    <w:tmpl w:val="247AB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9">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7E4D85"/>
    <w:multiLevelType w:val="hybridMultilevel"/>
    <w:tmpl w:val="36024468"/>
    <w:lvl w:ilvl="0" w:tplc="37180294">
      <w:start w:val="165"/>
      <w:numFmt w:val="bullet"/>
      <w:pStyle w:val="CEABullet-Level3"/>
      <w:lvlText w:val=""/>
      <w:lvlPicBulletId w:val="2"/>
      <w:lvlJc w:val="left"/>
      <w:pPr>
        <w:ind w:left="1776" w:hanging="360"/>
      </w:pPr>
      <w:rPr>
        <w:rFonts w:ascii="Symbol" w:hAnsi="Symbol" w:hint="default"/>
        <w:color w:val="auto"/>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57C27BA8"/>
    <w:multiLevelType w:val="hybridMultilevel"/>
    <w:tmpl w:val="52F87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DF840F6"/>
    <w:multiLevelType w:val="hybridMultilevel"/>
    <w:tmpl w:val="A3AA3CE2"/>
    <w:lvl w:ilvl="0" w:tplc="08090019">
      <w:start w:val="1"/>
      <w:numFmt w:val="low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1E67783"/>
    <w:multiLevelType w:val="hybridMultilevel"/>
    <w:tmpl w:val="EBC22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9E2B88"/>
    <w:multiLevelType w:val="hybridMultilevel"/>
    <w:tmpl w:val="5134B64C"/>
    <w:lvl w:ilvl="0" w:tplc="081C9A7E">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A223DC"/>
    <w:multiLevelType w:val="hybridMultilevel"/>
    <w:tmpl w:val="B1B288FE"/>
    <w:lvl w:ilvl="0" w:tplc="75CC7466">
      <w:start w:val="1"/>
      <w:numFmt w:val="decimal"/>
      <w:lvlText w:val="%1."/>
      <w:lvlJc w:val="left"/>
      <w:pPr>
        <w:ind w:left="720" w:hanging="360"/>
      </w:pPr>
      <w:rPr>
        <w:rFonts w:hint="default"/>
        <w:b/>
      </w:rPr>
    </w:lvl>
    <w:lvl w:ilvl="1" w:tplc="1CE84F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lvlOverride w:ilvl="4"/>
    <w:lvlOverride w:ilvl="5"/>
    <w:lvlOverride w:ilvl="6"/>
    <w:lvlOverride w:ilvl="7"/>
    <w:lvlOverride w:ilv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14"/>
  </w:num>
  <w:num w:numId="12">
    <w:abstractNumId w:val="8"/>
  </w:num>
  <w:num w:numId="13">
    <w:abstractNumId w:val="0"/>
  </w:num>
  <w:num w:numId="14">
    <w:abstractNumId w:val="2"/>
  </w:num>
  <w:num w:numId="15">
    <w:abstractNumId w:val="1"/>
  </w:num>
  <w:num w:numId="16">
    <w:abstractNumId w:val="7"/>
  </w:num>
  <w:num w:numId="17">
    <w:abstractNumId w:val="9"/>
    <w:lvlOverride w:ilvl="0"/>
    <w:lvlOverride w:ilvl="1"/>
    <w:lvlOverride w:ilvl="2">
      <w:startOverride w:val="1"/>
    </w:lvlOverride>
    <w:lvlOverride w:ilvl="3"/>
    <w:lvlOverride w:ilvl="4"/>
    <w:lvlOverride w:ilvl="5"/>
    <w:lvlOverride w:ilvl="6"/>
    <w:lvlOverride w:ilvl="7"/>
    <w:lvlOverride w:ilvl="8"/>
  </w:num>
  <w:num w:numId="18">
    <w:abstractNumId w:val="13"/>
  </w:num>
  <w:num w:numId="19">
    <w:abstractNumId w:val="15"/>
  </w:num>
  <w:num w:numId="20">
    <w:abstractNumId w:val="3"/>
  </w:num>
  <w:num w:numId="21">
    <w:abstractNumId w:val="14"/>
  </w:num>
  <w:num w:numId="22">
    <w:abstractNumId w:val="12"/>
  </w:num>
  <w:num w:numId="23">
    <w:abstractNumId w:val="14"/>
  </w:num>
  <w:num w:numId="24">
    <w:abstractNumId w:val="6"/>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5885"/>
    <w:rsid w:val="00027541"/>
    <w:rsid w:val="00034256"/>
    <w:rsid w:val="000403EB"/>
    <w:rsid w:val="000423D8"/>
    <w:rsid w:val="00044A5A"/>
    <w:rsid w:val="00055781"/>
    <w:rsid w:val="00057345"/>
    <w:rsid w:val="000608B8"/>
    <w:rsid w:val="00074403"/>
    <w:rsid w:val="000768A6"/>
    <w:rsid w:val="0009728F"/>
    <w:rsid w:val="000A2A4E"/>
    <w:rsid w:val="000C4F76"/>
    <w:rsid w:val="000D41A6"/>
    <w:rsid w:val="000E1085"/>
    <w:rsid w:val="0010402E"/>
    <w:rsid w:val="001126A0"/>
    <w:rsid w:val="0011465E"/>
    <w:rsid w:val="001275A3"/>
    <w:rsid w:val="00130DAE"/>
    <w:rsid w:val="00134595"/>
    <w:rsid w:val="001520D0"/>
    <w:rsid w:val="00153138"/>
    <w:rsid w:val="00156838"/>
    <w:rsid w:val="00156EA9"/>
    <w:rsid w:val="001679BF"/>
    <w:rsid w:val="00173BAA"/>
    <w:rsid w:val="00176BD9"/>
    <w:rsid w:val="00187F28"/>
    <w:rsid w:val="001C3E8F"/>
    <w:rsid w:val="001F3E50"/>
    <w:rsid w:val="001F6947"/>
    <w:rsid w:val="001F7F99"/>
    <w:rsid w:val="00203D71"/>
    <w:rsid w:val="00214764"/>
    <w:rsid w:val="00216800"/>
    <w:rsid w:val="00250E33"/>
    <w:rsid w:val="002534CD"/>
    <w:rsid w:val="00254117"/>
    <w:rsid w:val="00254FC0"/>
    <w:rsid w:val="00262582"/>
    <w:rsid w:val="002660B3"/>
    <w:rsid w:val="0027058A"/>
    <w:rsid w:val="00281593"/>
    <w:rsid w:val="00296186"/>
    <w:rsid w:val="002A0BC0"/>
    <w:rsid w:val="002A0FC3"/>
    <w:rsid w:val="002B1358"/>
    <w:rsid w:val="002C30B3"/>
    <w:rsid w:val="002C4CD8"/>
    <w:rsid w:val="002C6A6D"/>
    <w:rsid w:val="002D0178"/>
    <w:rsid w:val="002D392A"/>
    <w:rsid w:val="002D46D2"/>
    <w:rsid w:val="002E3C18"/>
    <w:rsid w:val="002E4FD2"/>
    <w:rsid w:val="002E60CF"/>
    <w:rsid w:val="002F081E"/>
    <w:rsid w:val="002F636F"/>
    <w:rsid w:val="00300F48"/>
    <w:rsid w:val="003170A2"/>
    <w:rsid w:val="00317CEA"/>
    <w:rsid w:val="00324C34"/>
    <w:rsid w:val="00330ACF"/>
    <w:rsid w:val="003338E3"/>
    <w:rsid w:val="00334F30"/>
    <w:rsid w:val="00356B38"/>
    <w:rsid w:val="00373EFF"/>
    <w:rsid w:val="00385E95"/>
    <w:rsid w:val="003D1FB1"/>
    <w:rsid w:val="003F051E"/>
    <w:rsid w:val="003F4350"/>
    <w:rsid w:val="003F4844"/>
    <w:rsid w:val="00400336"/>
    <w:rsid w:val="00412D4A"/>
    <w:rsid w:val="004166E4"/>
    <w:rsid w:val="00423421"/>
    <w:rsid w:val="004337F4"/>
    <w:rsid w:val="00440FEE"/>
    <w:rsid w:val="004531F5"/>
    <w:rsid w:val="00467CA5"/>
    <w:rsid w:val="00472806"/>
    <w:rsid w:val="00476E08"/>
    <w:rsid w:val="00476EA7"/>
    <w:rsid w:val="0047794A"/>
    <w:rsid w:val="004954D4"/>
    <w:rsid w:val="004A2BB2"/>
    <w:rsid w:val="004B0EA3"/>
    <w:rsid w:val="004B59EF"/>
    <w:rsid w:val="004B6C59"/>
    <w:rsid w:val="004B7947"/>
    <w:rsid w:val="004C0D62"/>
    <w:rsid w:val="004D544A"/>
    <w:rsid w:val="004F0C55"/>
    <w:rsid w:val="004F0EB3"/>
    <w:rsid w:val="00524C62"/>
    <w:rsid w:val="00533288"/>
    <w:rsid w:val="005478E0"/>
    <w:rsid w:val="005516B4"/>
    <w:rsid w:val="005667EE"/>
    <w:rsid w:val="00574C3D"/>
    <w:rsid w:val="005869B2"/>
    <w:rsid w:val="00597517"/>
    <w:rsid w:val="005A7A8C"/>
    <w:rsid w:val="005C0E3E"/>
    <w:rsid w:val="005D7D4D"/>
    <w:rsid w:val="005F6E46"/>
    <w:rsid w:val="005F7A50"/>
    <w:rsid w:val="006162B7"/>
    <w:rsid w:val="00621694"/>
    <w:rsid w:val="00630D99"/>
    <w:rsid w:val="006422A9"/>
    <w:rsid w:val="00642551"/>
    <w:rsid w:val="006436E8"/>
    <w:rsid w:val="00644330"/>
    <w:rsid w:val="00650711"/>
    <w:rsid w:val="00660B67"/>
    <w:rsid w:val="006833CB"/>
    <w:rsid w:val="00690F8E"/>
    <w:rsid w:val="006A128F"/>
    <w:rsid w:val="006D18F3"/>
    <w:rsid w:val="006D37B7"/>
    <w:rsid w:val="006D3A27"/>
    <w:rsid w:val="006E6FAA"/>
    <w:rsid w:val="006F01CC"/>
    <w:rsid w:val="006F7412"/>
    <w:rsid w:val="00720997"/>
    <w:rsid w:val="007226FF"/>
    <w:rsid w:val="00731B1C"/>
    <w:rsid w:val="00751051"/>
    <w:rsid w:val="00757929"/>
    <w:rsid w:val="0076773B"/>
    <w:rsid w:val="0077022B"/>
    <w:rsid w:val="00792FF9"/>
    <w:rsid w:val="00795EF6"/>
    <w:rsid w:val="007A00BA"/>
    <w:rsid w:val="007A50DC"/>
    <w:rsid w:val="007E175B"/>
    <w:rsid w:val="0080008B"/>
    <w:rsid w:val="008001ED"/>
    <w:rsid w:val="00805A9D"/>
    <w:rsid w:val="0083520E"/>
    <w:rsid w:val="008548FC"/>
    <w:rsid w:val="008626B1"/>
    <w:rsid w:val="008657A0"/>
    <w:rsid w:val="0087220A"/>
    <w:rsid w:val="00874EB4"/>
    <w:rsid w:val="008A449C"/>
    <w:rsid w:val="008A5D19"/>
    <w:rsid w:val="008B6F1F"/>
    <w:rsid w:val="008C244D"/>
    <w:rsid w:val="008C28C0"/>
    <w:rsid w:val="008D0E59"/>
    <w:rsid w:val="008D36CF"/>
    <w:rsid w:val="008E1253"/>
    <w:rsid w:val="008F51AA"/>
    <w:rsid w:val="00907F6E"/>
    <w:rsid w:val="009176FF"/>
    <w:rsid w:val="009279A6"/>
    <w:rsid w:val="009317E8"/>
    <w:rsid w:val="00950490"/>
    <w:rsid w:val="00971B8E"/>
    <w:rsid w:val="00971E34"/>
    <w:rsid w:val="00972450"/>
    <w:rsid w:val="00973216"/>
    <w:rsid w:val="009748FA"/>
    <w:rsid w:val="009830FC"/>
    <w:rsid w:val="00992BCC"/>
    <w:rsid w:val="00992EB7"/>
    <w:rsid w:val="009A0B82"/>
    <w:rsid w:val="009A63B7"/>
    <w:rsid w:val="009B7095"/>
    <w:rsid w:val="009E471A"/>
    <w:rsid w:val="009F37A4"/>
    <w:rsid w:val="009F7AF3"/>
    <w:rsid w:val="00A0316B"/>
    <w:rsid w:val="00A10975"/>
    <w:rsid w:val="00A23645"/>
    <w:rsid w:val="00A2384D"/>
    <w:rsid w:val="00A40F1D"/>
    <w:rsid w:val="00A56C52"/>
    <w:rsid w:val="00A81765"/>
    <w:rsid w:val="00A8560A"/>
    <w:rsid w:val="00AB0B20"/>
    <w:rsid w:val="00AC5097"/>
    <w:rsid w:val="00AD29A4"/>
    <w:rsid w:val="00AD3AAF"/>
    <w:rsid w:val="00AE4C49"/>
    <w:rsid w:val="00AE7914"/>
    <w:rsid w:val="00AF1CD2"/>
    <w:rsid w:val="00AF7046"/>
    <w:rsid w:val="00B02487"/>
    <w:rsid w:val="00B150B6"/>
    <w:rsid w:val="00B3090E"/>
    <w:rsid w:val="00B30E0B"/>
    <w:rsid w:val="00B4206F"/>
    <w:rsid w:val="00B46F5E"/>
    <w:rsid w:val="00B47F50"/>
    <w:rsid w:val="00B60FC7"/>
    <w:rsid w:val="00BB0CDC"/>
    <w:rsid w:val="00BC4CA4"/>
    <w:rsid w:val="00BC53E2"/>
    <w:rsid w:val="00BD48D2"/>
    <w:rsid w:val="00BE3461"/>
    <w:rsid w:val="00C002F2"/>
    <w:rsid w:val="00C01FE2"/>
    <w:rsid w:val="00C14B8C"/>
    <w:rsid w:val="00C14E87"/>
    <w:rsid w:val="00C16D93"/>
    <w:rsid w:val="00C40285"/>
    <w:rsid w:val="00C4399D"/>
    <w:rsid w:val="00C43A2D"/>
    <w:rsid w:val="00C6569B"/>
    <w:rsid w:val="00C65822"/>
    <w:rsid w:val="00C66900"/>
    <w:rsid w:val="00CD70F8"/>
    <w:rsid w:val="00D13D34"/>
    <w:rsid w:val="00D2292B"/>
    <w:rsid w:val="00D304AD"/>
    <w:rsid w:val="00D354C2"/>
    <w:rsid w:val="00D54BA8"/>
    <w:rsid w:val="00D94A3A"/>
    <w:rsid w:val="00DA35D1"/>
    <w:rsid w:val="00DB05A4"/>
    <w:rsid w:val="00DB4782"/>
    <w:rsid w:val="00DC536C"/>
    <w:rsid w:val="00DD3F65"/>
    <w:rsid w:val="00DE2CDC"/>
    <w:rsid w:val="00DF50CF"/>
    <w:rsid w:val="00DF6284"/>
    <w:rsid w:val="00E03AAA"/>
    <w:rsid w:val="00E06BDE"/>
    <w:rsid w:val="00E20381"/>
    <w:rsid w:val="00E37CD9"/>
    <w:rsid w:val="00E4277F"/>
    <w:rsid w:val="00E440DA"/>
    <w:rsid w:val="00E50DB9"/>
    <w:rsid w:val="00E52004"/>
    <w:rsid w:val="00E57004"/>
    <w:rsid w:val="00E66ACF"/>
    <w:rsid w:val="00E802B8"/>
    <w:rsid w:val="00E852B7"/>
    <w:rsid w:val="00E8540D"/>
    <w:rsid w:val="00E94AB7"/>
    <w:rsid w:val="00EA000C"/>
    <w:rsid w:val="00EB54F1"/>
    <w:rsid w:val="00ED49EC"/>
    <w:rsid w:val="00EE3302"/>
    <w:rsid w:val="00EE7272"/>
    <w:rsid w:val="00F01401"/>
    <w:rsid w:val="00F53701"/>
    <w:rsid w:val="00F64018"/>
    <w:rsid w:val="00F74231"/>
    <w:rsid w:val="00F77994"/>
    <w:rsid w:val="00F832D2"/>
    <w:rsid w:val="00F85DEC"/>
    <w:rsid w:val="00F8705B"/>
    <w:rsid w:val="00F87656"/>
    <w:rsid w:val="00FA45B3"/>
    <w:rsid w:val="00FA4DAB"/>
    <w:rsid w:val="00FA5584"/>
    <w:rsid w:val="00FC5A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9ECBD9"/>
  <w15:docId w15:val="{D56A8EF2-1C4F-4916-8534-146CECFE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link w:val="CEABullet-Level1Char"/>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character" w:styleId="Hypertextovprepojenie">
    <w:name w:val="Hyperlink"/>
    <w:basedOn w:val="Predvolenpsmoodseku"/>
    <w:uiPriority w:val="99"/>
    <w:unhideWhenUsed/>
    <w:rsid w:val="00044A5A"/>
    <w:rPr>
      <w:color w:val="0563C1"/>
      <w:u w:val="single"/>
    </w:rPr>
  </w:style>
  <w:style w:type="paragraph" w:styleId="Textkomentra">
    <w:name w:val="annotation text"/>
    <w:basedOn w:val="Normlny"/>
    <w:link w:val="TextkomentraChar"/>
    <w:uiPriority w:val="99"/>
    <w:semiHidden/>
    <w:unhideWhenUsed/>
    <w:rsid w:val="00044A5A"/>
    <w:pPr>
      <w:spacing w:after="160" w:line="240" w:lineRule="auto"/>
      <w:jc w:val="left"/>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044A5A"/>
    <w:rPr>
      <w:sz w:val="20"/>
      <w:szCs w:val="20"/>
      <w:lang w:val="en-GB"/>
    </w:rPr>
  </w:style>
  <w:style w:type="paragraph" w:styleId="Odsekzoznamu">
    <w:name w:val="List Paragraph"/>
    <w:basedOn w:val="Normlny"/>
    <w:uiPriority w:val="34"/>
    <w:qFormat/>
    <w:rsid w:val="00044A5A"/>
    <w:pPr>
      <w:spacing w:after="160" w:line="256" w:lineRule="auto"/>
      <w:ind w:left="720"/>
      <w:contextualSpacing/>
      <w:jc w:val="left"/>
    </w:pPr>
    <w:rPr>
      <w:rFonts w:asciiTheme="minorHAnsi" w:eastAsiaTheme="minorHAnsi" w:hAnsiTheme="minorHAnsi" w:cstheme="minorBidi"/>
      <w:sz w:val="22"/>
      <w:szCs w:val="22"/>
    </w:rPr>
  </w:style>
  <w:style w:type="character" w:styleId="Odkaznakomentr">
    <w:name w:val="annotation reference"/>
    <w:basedOn w:val="Predvolenpsmoodseku"/>
    <w:uiPriority w:val="99"/>
    <w:semiHidden/>
    <w:unhideWhenUsed/>
    <w:rsid w:val="00044A5A"/>
    <w:rPr>
      <w:sz w:val="16"/>
      <w:szCs w:val="16"/>
    </w:rPr>
  </w:style>
  <w:style w:type="paragraph" w:styleId="Textbubliny">
    <w:name w:val="Balloon Text"/>
    <w:basedOn w:val="Normlny"/>
    <w:link w:val="TextbublinyChar"/>
    <w:uiPriority w:val="99"/>
    <w:semiHidden/>
    <w:unhideWhenUsed/>
    <w:rsid w:val="00044A5A"/>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4A5A"/>
    <w:rPr>
      <w:rFonts w:ascii="Segoe UI" w:eastAsia="Times New Roman" w:hAnsi="Segoe UI" w:cs="Segoe UI"/>
      <w:sz w:val="18"/>
      <w:szCs w:val="18"/>
      <w:lang w:val="en-GB"/>
    </w:rPr>
  </w:style>
  <w:style w:type="character" w:customStyle="1" w:styleId="CEABullet-Level1Char">
    <w:name w:val="CEA Bullet - Level 1 Char"/>
    <w:link w:val="CEABullet-Level1"/>
    <w:locked/>
    <w:rsid w:val="00074403"/>
    <w:rPr>
      <w:rFonts w:ascii="Verdana" w:eastAsia="Times New Roman" w:hAnsi="Verdana" w:cs="Frutiger LT Std 45 Light"/>
      <w:color w:val="000000"/>
      <w:sz w:val="17"/>
      <w:szCs w:val="20"/>
      <w:lang w:val="en-GB"/>
    </w:rPr>
  </w:style>
  <w:style w:type="paragraph" w:customStyle="1" w:styleId="Default">
    <w:name w:val="Default"/>
    <w:rsid w:val="006436E8"/>
    <w:pPr>
      <w:autoSpaceDE w:val="0"/>
      <w:autoSpaceDN w:val="0"/>
      <w:adjustRightInd w:val="0"/>
      <w:spacing w:after="0" w:line="240" w:lineRule="auto"/>
    </w:pPr>
    <w:rPr>
      <w:rFonts w:ascii="Verdana" w:hAnsi="Verdana" w:cs="Verdana"/>
      <w:color w:val="000000"/>
      <w:sz w:val="24"/>
      <w:szCs w:val="24"/>
      <w:lang w:val="en-GB"/>
    </w:rPr>
  </w:style>
  <w:style w:type="paragraph" w:styleId="Predmetkomentra">
    <w:name w:val="annotation subject"/>
    <w:basedOn w:val="Textkomentra"/>
    <w:next w:val="Textkomentra"/>
    <w:link w:val="PredmetkomentraChar"/>
    <w:uiPriority w:val="99"/>
    <w:semiHidden/>
    <w:unhideWhenUsed/>
    <w:rsid w:val="00E8540D"/>
    <w:pPr>
      <w:spacing w:after="0"/>
      <w:jc w:val="both"/>
    </w:pPr>
    <w:rPr>
      <w:rFonts w:ascii="Verdana" w:eastAsia="Times New Roman" w:hAnsi="Verdana" w:cs="Times New Roman"/>
      <w:b/>
      <w:bCs/>
    </w:rPr>
  </w:style>
  <w:style w:type="character" w:customStyle="1" w:styleId="PredmetkomentraChar">
    <w:name w:val="Predmet komentára Char"/>
    <w:basedOn w:val="TextkomentraChar"/>
    <w:link w:val="Predmetkomentra"/>
    <w:uiPriority w:val="99"/>
    <w:semiHidden/>
    <w:rsid w:val="00E8540D"/>
    <w:rPr>
      <w:rFonts w:ascii="Verdana" w:eastAsia="Times New Roman" w:hAnsi="Verdana" w:cs="Times New Roman"/>
      <w:b/>
      <w:bCs/>
      <w:sz w:val="20"/>
      <w:szCs w:val="20"/>
      <w:lang w:val="en-GB"/>
    </w:rPr>
  </w:style>
  <w:style w:type="character" w:styleId="Nevyrieenzmienka">
    <w:name w:val="Unresolved Mention"/>
    <w:basedOn w:val="Predvolenpsmoodseku"/>
    <w:uiPriority w:val="99"/>
    <w:semiHidden/>
    <w:unhideWhenUsed/>
    <w:rsid w:val="001275A3"/>
    <w:rPr>
      <w:color w:val="605E5C"/>
      <w:shd w:val="clear" w:color="auto" w:fill="E1DFDD"/>
    </w:rPr>
  </w:style>
  <w:style w:type="character" w:styleId="PouitHypertextovPrepojenie">
    <w:name w:val="FollowedHyperlink"/>
    <w:basedOn w:val="Predvolenpsmoodseku"/>
    <w:uiPriority w:val="99"/>
    <w:semiHidden/>
    <w:unhideWhenUsed/>
    <w:rsid w:val="001275A3"/>
    <w:rPr>
      <w:color w:val="800080" w:themeColor="followedHyperlink"/>
      <w:u w:val="single"/>
    </w:rPr>
  </w:style>
  <w:style w:type="paragraph" w:styleId="Revzia">
    <w:name w:val="Revision"/>
    <w:hidden/>
    <w:uiPriority w:val="99"/>
    <w:semiHidden/>
    <w:rsid w:val="001275A3"/>
    <w:pPr>
      <w:spacing w:after="0" w:line="240" w:lineRule="auto"/>
    </w:pPr>
    <w:rPr>
      <w:rFonts w:ascii="Verdana" w:eastAsia="Times New Roman" w:hAnsi="Verdana" w:cs="Times New Roman"/>
      <w:sz w:val="17"/>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3714">
      <w:bodyDiv w:val="1"/>
      <w:marLeft w:val="0"/>
      <w:marRight w:val="0"/>
      <w:marTop w:val="0"/>
      <w:marBottom w:val="0"/>
      <w:divBdr>
        <w:top w:val="none" w:sz="0" w:space="0" w:color="auto"/>
        <w:left w:val="none" w:sz="0" w:space="0" w:color="auto"/>
        <w:bottom w:val="none" w:sz="0" w:space="0" w:color="auto"/>
        <w:right w:val="none" w:sz="0" w:space="0" w:color="auto"/>
      </w:divBdr>
      <w:divsChild>
        <w:div w:id="1692535609">
          <w:marLeft w:val="0"/>
          <w:marRight w:val="0"/>
          <w:marTop w:val="0"/>
          <w:marBottom w:val="0"/>
          <w:divBdr>
            <w:top w:val="none" w:sz="0" w:space="0" w:color="auto"/>
            <w:left w:val="none" w:sz="0" w:space="0" w:color="auto"/>
            <w:bottom w:val="none" w:sz="0" w:space="0" w:color="auto"/>
            <w:right w:val="none" w:sz="0" w:space="0" w:color="auto"/>
          </w:divBdr>
        </w:div>
      </w:divsChild>
    </w:div>
    <w:div w:id="885264247">
      <w:bodyDiv w:val="1"/>
      <w:marLeft w:val="0"/>
      <w:marRight w:val="0"/>
      <w:marTop w:val="0"/>
      <w:marBottom w:val="0"/>
      <w:divBdr>
        <w:top w:val="none" w:sz="0" w:space="0" w:color="auto"/>
        <w:left w:val="none" w:sz="0" w:space="0" w:color="auto"/>
        <w:bottom w:val="none" w:sz="0" w:space="0" w:color="auto"/>
        <w:right w:val="none" w:sz="0" w:space="0" w:color="auto"/>
      </w:divBdr>
    </w:div>
    <w:div w:id="10094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 xsi:nil="true"/>
    <Linked_x0020_files xmlns="$ListId:PublishedDocuments;" xsi:nil="true"/>
    <Type_x0020_of_x0020_document xmlns="34d7415f-f1a4-44df-8e35-2ceaafd480dc">Blank document</Type_x0020_of_x0020_document>
    <ValidationComment xmlns="e092deee-a6f6-4f89-8a6c-e2a43e9fb5cf" xsi:nil="true"/>
    <isAnnex xmlns="0db322c1-ecdf-4c8f-bade-e13d7e7097d4">False</isAnnex>
    <Can_x0020_be_x0020_edited xmlns="$ListId:PublishedDocuments;">false</Can_x0020_be_x0020_edited>
    <AllowComments xmlns="e092deee-a6f6-4f89-8a6c-e2a43e9fb5cf">false</AllowComments>
    <Validated xmlns="e092deee-a6f6-4f89-8a6c-e2a43e9fb5cf">false</Validated>
    <Deadline xmlns="0db322c1-ecdf-4c8f-bade-e13d7e7097d4" xsi:nil="true"/>
    <Uploads xmlns="0db322c1-ecdf-4c8f-bade-e13d7e7097d4">false</Uploads>
    <Display_x0020_validated_x0020_documents_x0020_library_x0020_button xmlns="70f7eb82-310d-4963-bf1e-a4c2a37fd81c">false</Display_x0020_validated_x0020_documents_x0020_library_x0020_button>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0FCF08F96A5A2F428D34FBFBBCC0A573" ma:contentTypeVersion="0" ma:contentTypeDescription="Published Documents Content types for Insurance Europe" ma:contentTypeScope="" ma:versionID="5e78fb665628ea15f5ff0aab78559a20">
  <xsd:schema xmlns:xsd="http://www.w3.org/2001/XMLSchema" xmlns:xs="http://www.w3.org/2001/XMLSchema" xmlns:p="http://schemas.microsoft.com/office/2006/metadata/properties" xmlns:ns2="e092deee-a6f6-4f89-8a6c-e2a43e9fb5cf" xmlns:ns3="$ListId:PublishedDocuments;" xmlns:ns4="34d7415f-f1a4-44df-8e35-2ceaafd480dc" xmlns:ns5="0db322c1-ecdf-4c8f-bade-e13d7e7097d4" xmlns:ns6="70f7eb82-310d-4963-bf1e-a4c2a37fd81c" targetNamespace="http://schemas.microsoft.com/office/2006/metadata/properties" ma:root="true" ma:fieldsID="b1f8455f3cc5d4230a6a0b3884076d77" ns2:_="" ns3:_="" ns4:_="" ns5:_="" ns6:_="">
    <xsd:import namespace="e092deee-a6f6-4f89-8a6c-e2a43e9fb5cf"/>
    <xsd:import namespace="$ListId:PublishedDocuments;"/>
    <xsd:import namespace="34d7415f-f1a4-44df-8e35-2ceaafd480dc"/>
    <xsd:import namespace="0db322c1-ecdf-4c8f-bade-e13d7e7097d4"/>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0db322c1-ecdf-4c8f-bade-e13d7e7097d4"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2.xml><?xml version="1.0" encoding="utf-8"?>
<ds:datastoreItem xmlns:ds="http://schemas.openxmlformats.org/officeDocument/2006/customXml" ds:itemID="{71D7A0EA-14CF-4487-AFCD-561CDD8E319F}">
  <ds:schemaRefs>
    <ds:schemaRef ds:uri="70f7eb82-310d-4963-bf1e-a4c2a37fd81c"/>
    <ds:schemaRef ds:uri="0db322c1-ecdf-4c8f-bade-e13d7e7097d4"/>
    <ds:schemaRef ds:uri="e092deee-a6f6-4f89-8a6c-e2a43e9fb5cf"/>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34d7415f-f1a4-44df-8e35-2ceaafd480dc"/>
    <ds:schemaRef ds:uri="$ListId:PublishedDocuments;"/>
    <ds:schemaRef ds:uri="http://www.w3.org/XML/1998/namespace"/>
  </ds:schemaRefs>
</ds:datastoreItem>
</file>

<file path=customXml/itemProps3.xml><?xml version="1.0" encoding="utf-8"?>
<ds:datastoreItem xmlns:ds="http://schemas.openxmlformats.org/officeDocument/2006/customXml" ds:itemID="{A1C03BC7-01D6-4844-AA25-64347C1E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0db322c1-ecdf-4c8f-bade-e13d7e7097d4"/>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Discussion note on SII and COVID-19</vt:lpstr>
    </vt:vector>
  </TitlesOfParts>
  <Company>Insurance Europe</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note on SII and COVID-19</dc:title>
  <dc:subject/>
  <dc:creator>Insurance Europe</dc:creator>
  <cp:keywords/>
  <cp:lastModifiedBy>Bachníček Jozef</cp:lastModifiedBy>
  <cp:revision>2</cp:revision>
  <dcterms:created xsi:type="dcterms:W3CDTF">2020-04-14T11:51:00Z</dcterms:created>
  <dcterms:modified xsi:type="dcterms:W3CDTF">2020-04-14T11:51:00Z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0x0101000FCF08F96A5A2F428D34FBFBBCC0A573</vt:lpwstr>
  </property>
</Properties>
</file>