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9A66" w14:textId="77777777" w:rsidR="007D5982" w:rsidRDefault="007D5982" w:rsidP="007D5982">
      <w:pPr>
        <w:ind w:left="426"/>
        <w:rPr>
          <w:w w:val="90"/>
        </w:rPr>
        <w:sectPr w:rsidR="007D5982" w:rsidSect="00661BD6">
          <w:headerReference w:type="default" r:id="rId10"/>
          <w:footerReference w:type="even" r:id="rId11"/>
          <w:headerReference w:type="first" r:id="rId12"/>
          <w:footerReference w:type="first" r:id="rId13"/>
          <w:pgSz w:w="11907" w:h="16839" w:code="9"/>
          <w:pgMar w:top="2342" w:right="902" w:bottom="1259" w:left="902" w:header="709" w:footer="1278" w:gutter="0"/>
          <w:cols w:space="708"/>
          <w:titlePg/>
          <w:docGrid w:linePitch="360"/>
        </w:sectPr>
      </w:pPr>
    </w:p>
    <w:p w14:paraId="12B91426" w14:textId="77777777" w:rsidR="007D5982" w:rsidRPr="008F5FE0" w:rsidRDefault="007D5982" w:rsidP="007D5982">
      <w:pPr>
        <w:spacing w:line="20" w:lineRule="exact"/>
        <w:rPr>
          <w:rFonts w:cs="Arial"/>
          <w:szCs w:val="22"/>
        </w:rPr>
      </w:pPr>
    </w:p>
    <w:p w14:paraId="1FE16A0C" w14:textId="77777777" w:rsidR="008C447C" w:rsidRPr="00482BCE" w:rsidRDefault="008C447C" w:rsidP="008C447C">
      <w:pPr>
        <w:pStyle w:val="CEAStandardHeadingbluebackground"/>
        <w:shd w:val="clear" w:color="auto" w:fill="auto"/>
        <w:rPr>
          <w:b w:val="0"/>
          <w:color w:val="002957"/>
          <w:sz w:val="19"/>
          <w:szCs w:val="19"/>
        </w:rPr>
      </w:pPr>
      <w:bookmarkStart w:id="2" w:name="Blocks"/>
      <w:bookmarkEnd w:id="2"/>
      <w:r w:rsidRPr="00482BCE">
        <w:rPr>
          <w:b w:val="0"/>
          <w:color w:val="002957"/>
          <w:sz w:val="19"/>
          <w:szCs w:val="19"/>
        </w:rPr>
        <w:t>Latest developments</w:t>
      </w:r>
    </w:p>
    <w:p w14:paraId="7CB96E9B" w14:textId="15401E5F" w:rsidR="26E1C300" w:rsidRDefault="74811803" w:rsidP="26E1C300">
      <w:r>
        <w:t xml:space="preserve">On </w:t>
      </w:r>
      <w:r w:rsidRPr="000864F6">
        <w:rPr>
          <w:b/>
          <w:bCs/>
        </w:rPr>
        <w:t>20 February 2024</w:t>
      </w:r>
      <w:r>
        <w:t xml:space="preserve"> the Council removed </w:t>
      </w:r>
      <w:r w:rsidRPr="000864F6">
        <w:rPr>
          <w:b/>
          <w:bCs/>
        </w:rPr>
        <w:t>Bahamas</w:t>
      </w:r>
      <w:r>
        <w:t>,</w:t>
      </w:r>
      <w:r w:rsidR="10383339">
        <w:t xml:space="preserve"> </w:t>
      </w:r>
      <w:r w:rsidRPr="000864F6">
        <w:rPr>
          <w:b/>
          <w:bCs/>
        </w:rPr>
        <w:t>Belize</w:t>
      </w:r>
      <w:r>
        <w:t xml:space="preserve">, </w:t>
      </w:r>
      <w:r w:rsidRPr="000864F6">
        <w:rPr>
          <w:b/>
          <w:bCs/>
        </w:rPr>
        <w:t>Seychelles</w:t>
      </w:r>
      <w:r>
        <w:t xml:space="preserve">, </w:t>
      </w:r>
      <w:r w:rsidR="00B9716C">
        <w:t xml:space="preserve">and </w:t>
      </w:r>
      <w:r w:rsidR="5A3A2100" w:rsidRPr="000864F6">
        <w:rPr>
          <w:b/>
          <w:bCs/>
        </w:rPr>
        <w:t>Turks</w:t>
      </w:r>
      <w:r w:rsidR="00B9716C" w:rsidRPr="000864F6">
        <w:rPr>
          <w:b/>
          <w:bCs/>
        </w:rPr>
        <w:t xml:space="preserve"> and</w:t>
      </w:r>
      <w:r w:rsidR="5A3A2100" w:rsidRPr="000864F6">
        <w:rPr>
          <w:b/>
          <w:bCs/>
        </w:rPr>
        <w:t xml:space="preserve"> Caicos Islands</w:t>
      </w:r>
      <w:r w:rsidR="5A3A2100">
        <w:t xml:space="preserve"> </w:t>
      </w:r>
      <w:r w:rsidR="047A7371">
        <w:t xml:space="preserve">from the </w:t>
      </w:r>
      <w:hyperlink r:id="rId14" w:history="1">
        <w:r w:rsidR="006A54F8">
          <w:rPr>
            <w:rStyle w:val="Hypertextovprepojenie"/>
          </w:rPr>
          <w:t>EU list of non-cooperative jurisdictions for tax purposes</w:t>
        </w:r>
      </w:hyperlink>
      <w:r w:rsidR="047A7371">
        <w:t>.</w:t>
      </w:r>
      <w:r w:rsidR="259DF9E0">
        <w:t xml:space="preserve"> This list includes countries that either have not engaged in a constructive dialogue with the EU on tax governance or have failed to deliver on their commitments to implement the necessary reforms</w:t>
      </w:r>
      <w:r w:rsidR="51934E07">
        <w:t>.</w:t>
      </w:r>
      <w:r w:rsidR="047A7371">
        <w:t xml:space="preserve"> </w:t>
      </w:r>
      <w:r w:rsidR="007B6B89" w:rsidRPr="007B6B89">
        <w:t>The list is updated twice a year (usually in February and October) to keep track of the developments, under the supervision of the EU finance ministers</w:t>
      </w:r>
      <w:r w:rsidR="6442DF11">
        <w:t xml:space="preserve">. </w:t>
      </w:r>
      <w:r w:rsidR="00500E38">
        <w:t>After the decision</w:t>
      </w:r>
      <w:r w:rsidR="047A7371">
        <w:t>, the</w:t>
      </w:r>
      <w:r w:rsidR="28981B8A">
        <w:t xml:space="preserve"> </w:t>
      </w:r>
      <w:r w:rsidR="047A7371">
        <w:t>EU list consists of the fol</w:t>
      </w:r>
      <w:r w:rsidR="0FC23A31">
        <w:t>lowing 12 jurisdictions:</w:t>
      </w:r>
    </w:p>
    <w:p w14:paraId="6A836B86" w14:textId="318321E7" w:rsidR="0FC23A31" w:rsidRDefault="0FC23A31" w:rsidP="000864F6">
      <w:pPr>
        <w:pStyle w:val="CEABullet-Level1"/>
      </w:pPr>
      <w:r w:rsidRPr="26E1C300">
        <w:t>American Samoa</w:t>
      </w:r>
    </w:p>
    <w:p w14:paraId="1F12D832" w14:textId="20A88448" w:rsidR="0FC23A31" w:rsidRDefault="0FC23A31" w:rsidP="000864F6">
      <w:pPr>
        <w:pStyle w:val="CEABullet-Level1"/>
      </w:pPr>
      <w:r w:rsidRPr="26E1C300">
        <w:t>Anguilla</w:t>
      </w:r>
    </w:p>
    <w:p w14:paraId="559928A0" w14:textId="1D7E2207" w:rsidR="0FC23A31" w:rsidRDefault="0FC23A31" w:rsidP="000864F6">
      <w:pPr>
        <w:pStyle w:val="CEABullet-Level1"/>
      </w:pPr>
      <w:r w:rsidRPr="26E1C300">
        <w:t>Antigua and Barbuda</w:t>
      </w:r>
    </w:p>
    <w:p w14:paraId="5C70937E" w14:textId="428FAAF9" w:rsidR="0FC23A31" w:rsidRDefault="0FC23A31" w:rsidP="000864F6">
      <w:pPr>
        <w:pStyle w:val="CEABullet-Level1"/>
      </w:pPr>
      <w:r w:rsidRPr="26E1C300">
        <w:t>Fiji</w:t>
      </w:r>
    </w:p>
    <w:p w14:paraId="510F929B" w14:textId="372E6A6D" w:rsidR="0FC23A31" w:rsidRDefault="0FC23A31" w:rsidP="000864F6">
      <w:pPr>
        <w:pStyle w:val="CEABullet-Level1"/>
      </w:pPr>
      <w:r w:rsidRPr="26E1C300">
        <w:t>Guam</w:t>
      </w:r>
    </w:p>
    <w:p w14:paraId="33034D5C" w14:textId="7C2678FA" w:rsidR="0FC23A31" w:rsidRDefault="0FC23A31" w:rsidP="000864F6">
      <w:pPr>
        <w:pStyle w:val="CEABullet-Level1"/>
      </w:pPr>
      <w:r w:rsidRPr="26E1C300">
        <w:t>Palau</w:t>
      </w:r>
    </w:p>
    <w:p w14:paraId="2FAF5B03" w14:textId="48ECBD04" w:rsidR="0FC23A31" w:rsidRDefault="0FC23A31" w:rsidP="000864F6">
      <w:pPr>
        <w:pStyle w:val="CEABullet-Level1"/>
      </w:pPr>
      <w:r w:rsidRPr="26E1C300">
        <w:t>Panama</w:t>
      </w:r>
    </w:p>
    <w:p w14:paraId="67238AC1" w14:textId="26B83ADA" w:rsidR="0FC23A31" w:rsidRDefault="0FC23A31" w:rsidP="000864F6">
      <w:pPr>
        <w:pStyle w:val="CEABullet-Level1"/>
      </w:pPr>
      <w:r w:rsidRPr="26E1C300">
        <w:t>Russia</w:t>
      </w:r>
    </w:p>
    <w:p w14:paraId="5A92434C" w14:textId="23281F0E" w:rsidR="0FC23A31" w:rsidRDefault="0FC23A31" w:rsidP="000864F6">
      <w:pPr>
        <w:pStyle w:val="CEABullet-Level1"/>
      </w:pPr>
      <w:r w:rsidRPr="26E1C300">
        <w:t>Samoa</w:t>
      </w:r>
    </w:p>
    <w:p w14:paraId="134C4EFC" w14:textId="2BA149C6" w:rsidR="0FC23A31" w:rsidRDefault="0FC23A31" w:rsidP="000864F6">
      <w:pPr>
        <w:pStyle w:val="CEABullet-Level1"/>
      </w:pPr>
      <w:r w:rsidRPr="26E1C300">
        <w:t>Trinidad and Tobago</w:t>
      </w:r>
    </w:p>
    <w:p w14:paraId="48E7706F" w14:textId="66346F8E" w:rsidR="0FC23A31" w:rsidRDefault="0FC23A31" w:rsidP="000864F6">
      <w:pPr>
        <w:pStyle w:val="CEABullet-Level1"/>
      </w:pPr>
      <w:r w:rsidRPr="26E1C300">
        <w:t>US Virgin Islands</w:t>
      </w:r>
    </w:p>
    <w:p w14:paraId="00F0C275" w14:textId="32B4B6B4" w:rsidR="0FC23A31" w:rsidRDefault="0FC23A31" w:rsidP="000864F6">
      <w:pPr>
        <w:pStyle w:val="CEABullet-Level1"/>
      </w:pPr>
      <w:r w:rsidRPr="26E1C300">
        <w:t>Vanuatu</w:t>
      </w:r>
    </w:p>
    <w:p w14:paraId="19093870" w14:textId="1654801B" w:rsidR="26E1C300" w:rsidRDefault="26E1C300" w:rsidP="26E1C300">
      <w:pPr>
        <w:rPr>
          <w:szCs w:val="17"/>
        </w:rPr>
      </w:pPr>
    </w:p>
    <w:p w14:paraId="47F90841" w14:textId="3804F180" w:rsidR="0FC23A31" w:rsidRDefault="0FC23A31" w:rsidP="26E1C300">
      <w:pPr>
        <w:rPr>
          <w:szCs w:val="17"/>
        </w:rPr>
      </w:pPr>
      <w:r w:rsidRPr="26E1C300">
        <w:rPr>
          <w:szCs w:val="17"/>
        </w:rPr>
        <w:t xml:space="preserve">The Council </w:t>
      </w:r>
      <w:r w:rsidR="00003FB3">
        <w:rPr>
          <w:szCs w:val="17"/>
        </w:rPr>
        <w:t xml:space="preserve">repeated the invitation to </w:t>
      </w:r>
      <w:r w:rsidRPr="26E1C300">
        <w:rPr>
          <w:szCs w:val="17"/>
        </w:rPr>
        <w:t xml:space="preserve">these jurisdictions to improve the legal framework to resolve the identified issues. </w:t>
      </w:r>
    </w:p>
    <w:p w14:paraId="19C6A752" w14:textId="6793C5BB" w:rsidR="26E1C300" w:rsidRDefault="26E1C300" w:rsidP="26E1C300">
      <w:pPr>
        <w:rPr>
          <w:szCs w:val="17"/>
        </w:rPr>
      </w:pPr>
    </w:p>
    <w:p w14:paraId="48212C2B" w14:textId="0099CB84" w:rsidR="2D9DDD79" w:rsidRDefault="00073350" w:rsidP="26E1C300">
      <w:pPr>
        <w:rPr>
          <w:szCs w:val="17"/>
        </w:rPr>
      </w:pPr>
      <w:r>
        <w:rPr>
          <w:szCs w:val="17"/>
        </w:rPr>
        <w:t xml:space="preserve">More information can be found </w:t>
      </w:r>
      <w:hyperlink r:id="rId15" w:history="1">
        <w:r>
          <w:rPr>
            <w:rStyle w:val="Hypertextovprepojenie"/>
          </w:rPr>
          <w:t>here</w:t>
        </w:r>
      </w:hyperlink>
      <w:r w:rsidRPr="00EF45D1">
        <w:t xml:space="preserve">. </w:t>
      </w:r>
      <w:r w:rsidR="2D9DDD79" w:rsidRPr="26E1C300">
        <w:rPr>
          <w:szCs w:val="17"/>
        </w:rPr>
        <w:t>In addition to the list of non-cooperatives tax jurisdictions, the Council approved the usual state of play document (</w:t>
      </w:r>
      <w:hyperlink r:id="rId16" w:history="1">
        <w:r w:rsidR="00A632BB">
          <w:rPr>
            <w:rStyle w:val="Hypertextovprepojenie"/>
          </w:rPr>
          <w:t>Annex II</w:t>
        </w:r>
      </w:hyperlink>
      <w:r w:rsidR="2D9DDD79" w:rsidRPr="26E1C300">
        <w:rPr>
          <w:szCs w:val="17"/>
        </w:rPr>
        <w:t xml:space="preserve">) which reflects the ongoing EU cooperation with its international partners and the commitments of these countries to reform their </w:t>
      </w:r>
      <w:r w:rsidR="00EF45D1" w:rsidRPr="26E1C300">
        <w:rPr>
          <w:szCs w:val="17"/>
        </w:rPr>
        <w:t>legislation</w:t>
      </w:r>
      <w:r w:rsidR="4EDD186A" w:rsidRPr="26E1C300">
        <w:rPr>
          <w:szCs w:val="17"/>
        </w:rPr>
        <w:t xml:space="preserve"> to adhere to agreed tax good governance standards.</w:t>
      </w:r>
      <w:r w:rsidR="00EF45D1">
        <w:rPr>
          <w:szCs w:val="17"/>
        </w:rPr>
        <w:t xml:space="preserve"> </w:t>
      </w:r>
    </w:p>
    <w:p w14:paraId="22B99BB0" w14:textId="77777777" w:rsidR="008C447C" w:rsidRPr="008F3B25" w:rsidRDefault="008C447C" w:rsidP="008C447C">
      <w:pPr>
        <w:rPr>
          <w:szCs w:val="17"/>
        </w:rPr>
      </w:pPr>
    </w:p>
    <w:p w14:paraId="459674D8" w14:textId="77777777" w:rsidR="008C447C" w:rsidRPr="00482BCE" w:rsidRDefault="008C447C" w:rsidP="008C447C">
      <w:pPr>
        <w:pStyle w:val="CEAStandardHeading"/>
        <w:rPr>
          <w:b w:val="0"/>
          <w:color w:val="002957"/>
          <w:sz w:val="19"/>
          <w:szCs w:val="19"/>
        </w:rPr>
      </w:pPr>
      <w:r w:rsidRPr="00482BCE">
        <w:rPr>
          <w:b w:val="0"/>
          <w:color w:val="002957"/>
          <w:sz w:val="19"/>
          <w:szCs w:val="19"/>
        </w:rPr>
        <w:t>Next steps</w:t>
      </w:r>
    </w:p>
    <w:p w14:paraId="74D19EAD" w14:textId="73021705" w:rsidR="00C15234" w:rsidRDefault="00C15234" w:rsidP="000864F6">
      <w:pPr>
        <w:pStyle w:val="CEABullet-Level1"/>
      </w:pPr>
      <w:r w:rsidRPr="000864F6">
        <w:rPr>
          <w:b/>
          <w:bCs/>
        </w:rPr>
        <w:t>October 2024</w:t>
      </w:r>
      <w:r>
        <w:rPr>
          <w:b/>
          <w:bCs/>
        </w:rPr>
        <w:t xml:space="preserve"> (tbc)</w:t>
      </w:r>
      <w:r>
        <w:t xml:space="preserve">, </w:t>
      </w:r>
      <w:r w:rsidR="005C7507" w:rsidRPr="005C7507">
        <w:t>next revision of the list</w:t>
      </w:r>
      <w:r w:rsidR="005C7507">
        <w:t>.</w:t>
      </w:r>
    </w:p>
    <w:p w14:paraId="2B21800B" w14:textId="77777777" w:rsidR="00B9716C" w:rsidRDefault="00B9716C" w:rsidP="008C447C">
      <w:pPr>
        <w:pStyle w:val="CEAStandardHeading"/>
        <w:rPr>
          <w:b w:val="0"/>
          <w:color w:val="002957"/>
          <w:sz w:val="19"/>
          <w:szCs w:val="19"/>
        </w:rPr>
      </w:pPr>
    </w:p>
    <w:p w14:paraId="6FB3098C" w14:textId="40417B3C" w:rsidR="008C447C" w:rsidRPr="00482BCE" w:rsidRDefault="008C447C" w:rsidP="008C447C">
      <w:pPr>
        <w:pStyle w:val="CEAStandardHeading"/>
        <w:rPr>
          <w:b w:val="0"/>
          <w:color w:val="002957"/>
          <w:sz w:val="19"/>
          <w:szCs w:val="19"/>
        </w:rPr>
      </w:pPr>
      <w:r w:rsidRPr="00482BCE">
        <w:rPr>
          <w:b w:val="0"/>
          <w:color w:val="002957"/>
          <w:sz w:val="19"/>
          <w:szCs w:val="19"/>
        </w:rPr>
        <w:t xml:space="preserve">For more info </w:t>
      </w:r>
    </w:p>
    <w:p w14:paraId="135D4CD2" w14:textId="7280BE02" w:rsidR="00D858FD" w:rsidRDefault="009973B8" w:rsidP="008C447C">
      <w:pPr>
        <w:rPr>
          <w:szCs w:val="17"/>
        </w:rPr>
      </w:pPr>
      <w:r>
        <w:t xml:space="preserve">Fabrizio Franco, Policy advisor, Personal and General Insurance, </w:t>
      </w:r>
      <w:hyperlink r:id="rId17" w:history="1">
        <w:r w:rsidRPr="00DA07C7">
          <w:rPr>
            <w:rStyle w:val="Hypertextovprepojenie"/>
          </w:rPr>
          <w:t>franco@insuranceeurope.eu</w:t>
        </w:r>
      </w:hyperlink>
      <w:r>
        <w:t xml:space="preserve">, +32 2 894 30 14  Fabienne </w:t>
      </w:r>
      <w:proofErr w:type="spellStart"/>
      <w:r>
        <w:t>Zwagemakers</w:t>
      </w:r>
      <w:proofErr w:type="spellEnd"/>
      <w:r>
        <w:t xml:space="preserve">, Senior policy advisor, Public Affairs, </w:t>
      </w:r>
      <w:hyperlink r:id="rId18" w:history="1">
        <w:r w:rsidRPr="00DA07C7">
          <w:rPr>
            <w:rStyle w:val="Hypertextovprepojenie"/>
          </w:rPr>
          <w:t>Zwagemakers@insuranceeurope.eu</w:t>
        </w:r>
      </w:hyperlink>
      <w:r>
        <w:t>, +32 2 896 48 30</w:t>
      </w:r>
      <w:r w:rsidRPr="008F3B25" w:rsidDel="009973B8">
        <w:rPr>
          <w:szCs w:val="17"/>
        </w:rPr>
        <w:t xml:space="preserve"> </w:t>
      </w:r>
    </w:p>
    <w:sectPr w:rsidR="00D858FD" w:rsidSect="00661BD6">
      <w:headerReference w:type="default" r:id="rId19"/>
      <w:type w:val="continuous"/>
      <w:pgSz w:w="11907" w:h="16839" w:code="9"/>
      <w:pgMar w:top="2347" w:right="907" w:bottom="1560" w:left="1411" w:header="706" w:footer="1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41E2" w14:textId="77777777" w:rsidR="00661BD6" w:rsidRDefault="00661BD6" w:rsidP="007D5982">
      <w:pPr>
        <w:spacing w:line="240" w:lineRule="auto"/>
      </w:pPr>
      <w:r>
        <w:separator/>
      </w:r>
    </w:p>
  </w:endnote>
  <w:endnote w:type="continuationSeparator" w:id="0">
    <w:p w14:paraId="51E90239" w14:textId="77777777" w:rsidR="00661BD6" w:rsidRDefault="00661BD6" w:rsidP="007D5982">
      <w:pPr>
        <w:spacing w:line="240" w:lineRule="auto"/>
      </w:pPr>
      <w:r>
        <w:continuationSeparator/>
      </w:r>
    </w:p>
  </w:endnote>
  <w:endnote w:type="continuationNotice" w:id="1">
    <w:p w14:paraId="75C0D4C9" w14:textId="77777777" w:rsidR="00661BD6" w:rsidRDefault="00661B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EEBD" w14:textId="77777777" w:rsidR="003129F4" w:rsidRDefault="00672EC3" w:rsidP="000846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E1C530" w14:textId="77777777" w:rsidR="003129F4" w:rsidRDefault="003129F4" w:rsidP="000846C0">
    <w:pPr>
      <w:pStyle w:val="Pta"/>
      <w:ind w:right="360"/>
    </w:pPr>
  </w:p>
  <w:p w14:paraId="2156BE72" w14:textId="77777777" w:rsidR="003129F4" w:rsidRDefault="003129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05D7" w14:textId="77777777" w:rsidR="003129F4" w:rsidRDefault="003129F4" w:rsidP="00D74E03">
    <w:pPr>
      <w:pStyle w:val="Pta"/>
      <w:framePr w:wrap="around" w:vAnchor="text" w:hAnchor="margin" w:xAlign="right" w:y="1"/>
      <w:rPr>
        <w:rStyle w:val="slostrany"/>
      </w:rPr>
    </w:pPr>
  </w:p>
  <w:p w14:paraId="16FE0C4F" w14:textId="05CCE177" w:rsidR="003129F4" w:rsidRPr="00A16D6F" w:rsidRDefault="00EC3CAD" w:rsidP="00491B57">
    <w:pPr>
      <w:framePr w:w="3969" w:h="1021" w:hRule="exact" w:hSpace="181" w:wrap="around" w:vAnchor="page" w:hAnchor="page" w:x="1419" w:y="15423" w:anchorLock="1"/>
      <w:rPr>
        <w:rFonts w:cs="Tahoma"/>
        <w:color w:val="002957"/>
        <w:sz w:val="14"/>
        <w:szCs w:val="14"/>
      </w:rPr>
    </w:pPr>
    <w:r w:rsidRPr="00EC3CAD">
      <w:rPr>
        <w:rFonts w:cs="Tahoma"/>
        <w:color w:val="002957"/>
        <w:sz w:val="14"/>
        <w:szCs w:val="14"/>
      </w:rPr>
      <w:t xml:space="preserve">© Insurance Europe. Confidential, internal document. Not for distribution, all rights reserved. </w:t>
    </w:r>
  </w:p>
  <w:p w14:paraId="2B2AE846" w14:textId="77777777" w:rsidR="003129F4" w:rsidRPr="00BB581B" w:rsidRDefault="003129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08CA" w14:textId="77777777" w:rsidR="00661BD6" w:rsidRDefault="00661BD6" w:rsidP="007D5982">
      <w:pPr>
        <w:spacing w:line="240" w:lineRule="auto"/>
      </w:pPr>
      <w:r>
        <w:separator/>
      </w:r>
    </w:p>
  </w:footnote>
  <w:footnote w:type="continuationSeparator" w:id="0">
    <w:p w14:paraId="20B65D70" w14:textId="77777777" w:rsidR="00661BD6" w:rsidRDefault="00661BD6" w:rsidP="007D5982">
      <w:pPr>
        <w:spacing w:line="240" w:lineRule="auto"/>
      </w:pPr>
      <w:r>
        <w:continuationSeparator/>
      </w:r>
    </w:p>
  </w:footnote>
  <w:footnote w:type="continuationNotice" w:id="1">
    <w:p w14:paraId="0F27F2F6" w14:textId="77777777" w:rsidR="00661BD6" w:rsidRDefault="00661B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7CE2" w14:textId="77777777" w:rsidR="008E70E5" w:rsidRDefault="007D4C4C">
    <w:pPr>
      <w:pStyle w:val="Hlavika"/>
    </w:pPr>
    <w:r w:rsidRPr="00482BCE">
      <w:rPr>
        <w:b/>
        <w:noProof/>
        <w:color w:val="002957"/>
        <w:sz w:val="36"/>
        <w:szCs w:val="36"/>
        <w:lang w:eastAsia="en-GB"/>
      </w:rPr>
      <w:drawing>
        <wp:anchor distT="0" distB="0" distL="114300" distR="114300" simplePos="0" relativeHeight="251658243" behindDoc="0" locked="0" layoutInCell="1" allowOverlap="1" wp14:anchorId="00F267B5" wp14:editId="6E81456C">
          <wp:simplePos x="0" y="0"/>
          <wp:positionH relativeFrom="page">
            <wp:posOffset>476250</wp:posOffset>
          </wp:positionH>
          <wp:positionV relativeFrom="page">
            <wp:posOffset>361950</wp:posOffset>
          </wp:positionV>
          <wp:extent cx="1457325" cy="895350"/>
          <wp:effectExtent l="0" t="0" r="9525" b="0"/>
          <wp:wrapSquare wrapText="bothSides"/>
          <wp:docPr id="5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49C3" w14:textId="77777777" w:rsidR="003129F4" w:rsidRPr="000846C0" w:rsidRDefault="003129F4" w:rsidP="00D759C1">
    <w:pPr>
      <w:pStyle w:val="Noparagraphstyle"/>
      <w:jc w:val="right"/>
      <w:rPr>
        <w:sz w:val="18"/>
        <w:szCs w:val="18"/>
      </w:rPr>
    </w:pPr>
  </w:p>
  <w:p w14:paraId="29699D73" w14:textId="77777777" w:rsidR="003129F4" w:rsidRDefault="00672EC3" w:rsidP="00D759C1">
    <w:pPr>
      <w:pStyle w:val="Noparagraphstyle"/>
      <w:jc w:val="right"/>
    </w:pPr>
    <w:r>
      <w:tab/>
    </w:r>
  </w:p>
  <w:p w14:paraId="53CA15EC" w14:textId="77777777" w:rsidR="003129F4" w:rsidRPr="00482BCE" w:rsidRDefault="003129F4" w:rsidP="00D759C1">
    <w:pPr>
      <w:pStyle w:val="Noparagraphstyle"/>
      <w:jc w:val="right"/>
      <w:rPr>
        <w:rFonts w:ascii="Arial" w:hAnsi="Arial" w:cs="Arial"/>
        <w:i/>
        <w:iCs/>
        <w:color w:val="034EA2"/>
        <w:sz w:val="36"/>
        <w:szCs w:val="36"/>
      </w:rPr>
    </w:pPr>
  </w:p>
  <w:p w14:paraId="0AB7F413" w14:textId="189B8F6A" w:rsidR="003129F4" w:rsidRPr="008E70E5" w:rsidRDefault="00672EC3" w:rsidP="00D81344">
    <w:pPr>
      <w:pStyle w:val="CEADocumentType"/>
      <w:rPr>
        <w:b w:val="0"/>
        <w:color w:val="002957"/>
        <w:sz w:val="18"/>
        <w:szCs w:val="18"/>
      </w:rPr>
    </w:pPr>
    <w:r w:rsidRPr="00482BCE">
      <w:rPr>
        <w:b w:val="0"/>
        <w:noProof/>
        <w:color w:val="002957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0DECCB8F" wp14:editId="5049E658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6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2BCE">
      <w:rPr>
        <w:b w:val="0"/>
        <w:color w:val="002957"/>
        <w:sz w:val="36"/>
        <w:szCs w:val="36"/>
      </w:rPr>
      <w:t xml:space="preserve"> News Flash</w:t>
    </w:r>
    <w:r w:rsidRPr="00482BCE">
      <w:rPr>
        <w:b w:val="0"/>
        <w:color w:val="002957"/>
        <w:sz w:val="36"/>
        <w:szCs w:val="36"/>
      </w:rPr>
      <w:br/>
    </w:r>
    <w:r w:rsidRPr="00482BCE">
      <w:rPr>
        <w:b w:val="0"/>
        <w:color w:val="002957"/>
        <w:spacing w:val="-4"/>
        <w:w w:val="90"/>
        <w:sz w:val="16"/>
        <w:szCs w:val="16"/>
      </w:rPr>
      <w:t>Nº:</w:t>
    </w:r>
    <w:r w:rsidRPr="00482BCE">
      <w:rPr>
        <w:color w:val="002957"/>
        <w:spacing w:val="-4"/>
        <w:w w:val="90"/>
        <w:sz w:val="16"/>
        <w:szCs w:val="16"/>
      </w:rPr>
      <w:t xml:space="preserve"> </w:t>
    </w:r>
    <w:sdt>
      <w:sdtPr>
        <w:rPr>
          <w:color w:val="002957"/>
          <w:spacing w:val="-4"/>
          <w:w w:val="90"/>
          <w:sz w:val="16"/>
          <w:szCs w:val="16"/>
        </w:rPr>
        <w:id w:val="1768582974"/>
        <w:placeholder>
          <w:docPart w:val="DefaultPlaceholder_-1854013440"/>
        </w:placeholder>
        <w:showingPlcHdr/>
        <w15:dataBinding w:prefixMappings="xmlns:ns0='http://schemas.microsoft.com/office/2006/metadata/properties' xmlns:ns1='http://www.w3.org/2001/XMLSchema-instance' xmlns:ns2='http://schemas.microsoft.com/office/infopath/2007/PartnerControls' xmlns:ns3='bf2322bd-6ea8-47f2-a340-10b5092f2000' xmlns:ns4='ba225275-dfdd-4507-9cb6-b247f9a8bd33' " w:xpath="/ns0:properties[1]/documentManagement[1]/*[local-name() = 'Reference'][1]" w:storeItemID="{12DC853D-DB2C-4BEA-8BE0-2B3CC4493405}"/>
      </w:sdtPr>
      <w:sdtEndPr/>
      <w:sdtContent>
        <w:r w:rsidR="00F00C5E" w:rsidRPr="003B71C7">
          <w:rPr>
            <w:rStyle w:val="Zstupntext"/>
          </w:rPr>
          <w:t>Click or tap here to enter text.</w:t>
        </w:r>
      </w:sdtContent>
    </w:sdt>
    <w:r w:rsidRPr="00482BCE">
      <w:rPr>
        <w:b w:val="0"/>
        <w:color w:val="002957"/>
        <w:sz w:val="22"/>
        <w:szCs w:val="22"/>
      </w:rPr>
      <w:t xml:space="preserve"> </w:t>
    </w:r>
    <w:r w:rsidRPr="00482BCE">
      <w:rPr>
        <w:b w:val="0"/>
        <w:color w:val="002957"/>
        <w:spacing w:val="-4"/>
        <w:w w:val="90"/>
        <w:sz w:val="16"/>
        <w:szCs w:val="16"/>
      </w:rPr>
      <w:t>Date:</w:t>
    </w:r>
    <w:r w:rsidR="005371B0">
      <w:rPr>
        <w:color w:val="002957"/>
        <w:spacing w:val="-4"/>
        <w:w w:val="90"/>
        <w:sz w:val="16"/>
        <w:szCs w:val="16"/>
      </w:rPr>
      <w:t xml:space="preserve"> </w:t>
    </w:r>
    <w:r w:rsidR="00A2703B">
      <w:rPr>
        <w:color w:val="002957"/>
        <w:spacing w:val="-4"/>
        <w:w w:val="90"/>
        <w:sz w:val="16"/>
        <w:szCs w:val="16"/>
      </w:rPr>
      <w:t>20-02-2024</w:t>
    </w:r>
  </w:p>
  <w:p w14:paraId="4E1B419C" w14:textId="62808936" w:rsidR="003129F4" w:rsidRPr="00482BCE" w:rsidRDefault="003129F4" w:rsidP="00227F7B">
    <w:pPr>
      <w:pStyle w:val="CEADraft"/>
      <w:rPr>
        <w:color w:val="002957"/>
      </w:rPr>
    </w:pPr>
    <w:bookmarkStart w:id="0" w:name="Draft1st"/>
    <w:bookmarkEnd w:id="0"/>
  </w:p>
  <w:p w14:paraId="06B0ED2B" w14:textId="77777777" w:rsidR="003129F4" w:rsidRDefault="00672EC3" w:rsidP="00D759C1">
    <w:r>
      <w:tab/>
    </w:r>
  </w:p>
  <w:tbl>
    <w:tblPr>
      <w:tblW w:w="0" w:type="auto"/>
      <w:tblInd w:w="-675" w:type="dxa"/>
      <w:tblLayout w:type="fixed"/>
      <w:tblLook w:val="04A0" w:firstRow="1" w:lastRow="0" w:firstColumn="1" w:lastColumn="0" w:noHBand="0" w:noVBand="1"/>
    </w:tblPr>
    <w:tblGrid>
      <w:gridCol w:w="1188"/>
      <w:gridCol w:w="9806"/>
    </w:tblGrid>
    <w:tr w:rsidR="00D759C1" w14:paraId="1E1F53C3" w14:textId="77777777" w:rsidTr="0058052F">
      <w:trPr>
        <w:trHeight w:val="289"/>
      </w:trPr>
      <w:tc>
        <w:tcPr>
          <w:tcW w:w="1188" w:type="dxa"/>
        </w:tcPr>
        <w:p w14:paraId="4C8748E3" w14:textId="77777777" w:rsidR="003129F4" w:rsidRPr="00482BCE" w:rsidRDefault="00672EC3" w:rsidP="0058052F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482BCE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806" w:type="dxa"/>
        </w:tcPr>
        <w:p w14:paraId="7D040421" w14:textId="0EDE804E" w:rsidR="003129F4" w:rsidRPr="00463AF0" w:rsidRDefault="00A2703B" w:rsidP="00D576CD">
          <w:pPr>
            <w:pStyle w:val="Noparagraphstyle"/>
            <w:rPr>
              <w:rFonts w:ascii="Verdana" w:hAnsi="Verdana"/>
              <w:color w:val="002957"/>
              <w:sz w:val="20"/>
              <w:szCs w:val="20"/>
            </w:rPr>
          </w:pPr>
          <w:bookmarkStart w:id="1" w:name="ToLine"/>
          <w:bookmarkEnd w:id="1"/>
          <w:r>
            <w:rPr>
              <w:rFonts w:ascii="Verdana" w:hAnsi="Verdana"/>
              <w:color w:val="002957"/>
              <w:sz w:val="20"/>
              <w:szCs w:val="20"/>
            </w:rPr>
            <w:t>Public Affairs &amp; Communications Committee, Taxation WG, International Affairs &amp; Reinsurance WG</w:t>
          </w:r>
        </w:p>
      </w:tc>
    </w:tr>
    <w:tr w:rsidR="00ED3A0B" w14:paraId="3DF4DA91" w14:textId="77777777" w:rsidTr="003246C1">
      <w:trPr>
        <w:trHeight w:hRule="exact" w:val="288"/>
      </w:trPr>
      <w:tc>
        <w:tcPr>
          <w:tcW w:w="1188" w:type="dxa"/>
          <w:vAlign w:val="center"/>
        </w:tcPr>
        <w:p w14:paraId="32DD175D" w14:textId="77777777" w:rsidR="003129F4" w:rsidRPr="00482BCE" w:rsidRDefault="003129F4" w:rsidP="00D81344">
          <w:pPr>
            <w:pStyle w:val="CEALabel"/>
            <w:rPr>
              <w:color w:val="auto"/>
            </w:rPr>
          </w:pPr>
        </w:p>
      </w:tc>
      <w:tc>
        <w:tcPr>
          <w:tcW w:w="9806" w:type="dxa"/>
        </w:tcPr>
        <w:p w14:paraId="66D6151D" w14:textId="77777777" w:rsidR="003129F4" w:rsidRPr="00625DE9" w:rsidRDefault="003129F4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</w:p>
      </w:tc>
    </w:tr>
    <w:tr w:rsidR="00ED3A0B" w14:paraId="768DC459" w14:textId="77777777" w:rsidTr="00336711">
      <w:trPr>
        <w:trHeight w:hRule="exact" w:val="1418"/>
      </w:trPr>
      <w:tc>
        <w:tcPr>
          <w:tcW w:w="1188" w:type="dxa"/>
          <w:vAlign w:val="center"/>
        </w:tcPr>
        <w:p w14:paraId="7571CF21" w14:textId="77777777" w:rsidR="003129F4" w:rsidRPr="00482BCE" w:rsidRDefault="003129F4" w:rsidP="00ED3A0B">
          <w:pPr>
            <w:pStyle w:val="CEALabel"/>
            <w:jc w:val="left"/>
            <w:rPr>
              <w:color w:val="auto"/>
            </w:rPr>
          </w:pPr>
        </w:p>
      </w:tc>
      <w:tc>
        <w:tcPr>
          <w:tcW w:w="9806" w:type="dxa"/>
        </w:tcPr>
        <w:p w14:paraId="2A2418C1" w14:textId="77777777" w:rsidR="003129F4" w:rsidRPr="00625DE9" w:rsidRDefault="00672EC3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  <w:r>
            <w:rPr>
              <w:rFonts w:cs="Arial"/>
              <w:noProof/>
              <w:szCs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1" locked="0" layoutInCell="1" allowOverlap="1" wp14:anchorId="6E30CEC4" wp14:editId="61792764">
                    <wp:simplePos x="0" y="0"/>
                    <wp:positionH relativeFrom="page">
                      <wp:posOffset>3810</wp:posOffset>
                    </wp:positionH>
                    <wp:positionV relativeFrom="page">
                      <wp:posOffset>71755</wp:posOffset>
                    </wp:positionV>
                    <wp:extent cx="6370320" cy="756920"/>
                    <wp:effectExtent l="13335" t="5080" r="7620" b="9525"/>
                    <wp:wrapNone/>
                    <wp:docPr id="2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70320" cy="756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82C5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06E0BA7" w14:textId="77777777" w:rsidR="003129F4" w:rsidRPr="00ED3A0B" w:rsidRDefault="003129F4" w:rsidP="00ED3A0B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E30CEC4" id="AutoShape 5" o:spid="_x0000_s1026" style="position:absolute;margin-left:.3pt;margin-top:5.65pt;width:501.6pt;height:59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" filled="f" strokecolor="#82c55b">
                    <v:textbox inset=",1mm,,0">
                      <w:txbxContent>
                        <w:p w14:paraId="206E0BA7" w14:textId="77777777" w:rsidR="003129F4" w:rsidRPr="00ED3A0B" w:rsidRDefault="003129F4" w:rsidP="00ED3A0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roundrect>
                </w:pict>
              </mc:Fallback>
            </mc:AlternateContent>
          </w:r>
        </w:p>
        <w:sdt>
          <w:sdtPr>
            <w:rPr>
              <w:b w:val="0"/>
              <w:color w:val="002957"/>
            </w:rPr>
            <w:id w:val="-1004731707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CBF858" w14:textId="32280B01" w:rsidR="003129F4" w:rsidRPr="00E92B60" w:rsidRDefault="00F00C5E" w:rsidP="00E92B60">
              <w:pPr>
                <w:pStyle w:val="CEANewsUpdateTitle"/>
                <w:jc w:val="center"/>
                <w:rPr>
                  <w:b w:val="0"/>
                  <w:color w:val="002957"/>
                </w:rPr>
              </w:pPr>
              <w:r>
                <w:rPr>
                  <w:b w:val="0"/>
                  <w:color w:val="002957"/>
                </w:rPr>
                <w:t>Council removed Bahamas, Belize, Seychelles, and Turks and Caicos from EU list of non-cooperative jurisdictions</w:t>
              </w:r>
            </w:p>
          </w:sdtContent>
        </w:sdt>
        <w:p w14:paraId="4A032ACD" w14:textId="77777777" w:rsidR="003129F4" w:rsidRPr="00625DE9" w:rsidRDefault="003129F4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</w:p>
      </w:tc>
    </w:tr>
  </w:tbl>
  <w:p w14:paraId="37B28E48" w14:textId="027DCB6A" w:rsidR="003129F4" w:rsidRPr="00482BCE" w:rsidRDefault="003129F4" w:rsidP="00B53165">
    <w:pPr>
      <w:autoSpaceDE w:val="0"/>
      <w:autoSpaceDN w:val="0"/>
      <w:adjustRightInd w:val="0"/>
      <w:spacing w:line="240" w:lineRule="auto"/>
      <w:textAlignment w:val="center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C92" w14:textId="77777777" w:rsidR="003129F4" w:rsidRPr="00723412" w:rsidRDefault="00672EC3" w:rsidP="00DE4219">
    <w:pPr>
      <w:pStyle w:val="Pta"/>
      <w:framePr w:wrap="around" w:vAnchor="page" w:hAnchor="margin" w:xAlign="right" w:y="16161"/>
      <w:rPr>
        <w:rStyle w:val="slostrany"/>
        <w:color w:val="002957"/>
      </w:rPr>
    </w:pPr>
    <w:r>
      <w:rPr>
        <w:rStyle w:val="slostrany"/>
        <w:color w:val="002957"/>
        <w:szCs w:val="17"/>
      </w:rPr>
      <w:fldChar w:fldCharType="begin"/>
    </w:r>
    <w:r>
      <w:rPr>
        <w:rStyle w:val="slostrany"/>
        <w:color w:val="002957"/>
        <w:szCs w:val="17"/>
      </w:rPr>
      <w:instrText xml:space="preserve"> PAGE   \* MERGEFORMAT </w:instrText>
    </w:r>
    <w:r>
      <w:rPr>
        <w:rStyle w:val="slostrany"/>
        <w:color w:val="002957"/>
        <w:szCs w:val="17"/>
      </w:rPr>
      <w:fldChar w:fldCharType="separate"/>
    </w:r>
    <w:r>
      <w:rPr>
        <w:rStyle w:val="slostrany"/>
        <w:noProof/>
        <w:color w:val="002957"/>
        <w:szCs w:val="17"/>
      </w:rPr>
      <w:t>2</w:t>
    </w:r>
    <w:r>
      <w:rPr>
        <w:rStyle w:val="slostrany"/>
        <w:color w:val="002957"/>
        <w:szCs w:val="17"/>
      </w:rPr>
      <w:fldChar w:fldCharType="end"/>
    </w:r>
  </w:p>
  <w:p w14:paraId="4593910A" w14:textId="77777777" w:rsidR="003129F4" w:rsidRDefault="00672EC3" w:rsidP="00D759C1">
    <w:pPr>
      <w:ind w:left="-851"/>
    </w:pPr>
    <w:r w:rsidRPr="00935789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7DA6B10" wp14:editId="414A216D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2" w15:restartNumberingAfterBreak="0">
    <w:nsid w:val="4590B752"/>
    <w:multiLevelType w:val="hybridMultilevel"/>
    <w:tmpl w:val="AEB858E8"/>
    <w:lvl w:ilvl="0" w:tplc="40D6A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86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0A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CB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A6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0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6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E8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29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17459">
    <w:abstractNumId w:val="3"/>
  </w:num>
  <w:num w:numId="2" w16cid:durableId="880824123">
    <w:abstractNumId w:val="0"/>
  </w:num>
  <w:num w:numId="3" w16cid:durableId="1873807384">
    <w:abstractNumId w:val="1"/>
  </w:num>
  <w:num w:numId="4" w16cid:durableId="82320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2"/>
    <w:rsid w:val="00003FB3"/>
    <w:rsid w:val="00073350"/>
    <w:rsid w:val="000864F6"/>
    <w:rsid w:val="0013379D"/>
    <w:rsid w:val="00145AF8"/>
    <w:rsid w:val="0014787C"/>
    <w:rsid w:val="0019775A"/>
    <w:rsid w:val="001F48E9"/>
    <w:rsid w:val="00252489"/>
    <w:rsid w:val="002C01AD"/>
    <w:rsid w:val="003129F4"/>
    <w:rsid w:val="00316E3E"/>
    <w:rsid w:val="00375739"/>
    <w:rsid w:val="00440FEE"/>
    <w:rsid w:val="004E7629"/>
    <w:rsid w:val="00500E38"/>
    <w:rsid w:val="005371B0"/>
    <w:rsid w:val="005B76FC"/>
    <w:rsid w:val="005C7507"/>
    <w:rsid w:val="005E0310"/>
    <w:rsid w:val="0062468F"/>
    <w:rsid w:val="006312A1"/>
    <w:rsid w:val="00661BD6"/>
    <w:rsid w:val="00672EC3"/>
    <w:rsid w:val="006A1BD5"/>
    <w:rsid w:val="006A54F8"/>
    <w:rsid w:val="0071127D"/>
    <w:rsid w:val="00730E9F"/>
    <w:rsid w:val="00794750"/>
    <w:rsid w:val="007B6B89"/>
    <w:rsid w:val="007D4C4C"/>
    <w:rsid w:val="007D5982"/>
    <w:rsid w:val="008C447C"/>
    <w:rsid w:val="008E70E5"/>
    <w:rsid w:val="0095267C"/>
    <w:rsid w:val="00971B31"/>
    <w:rsid w:val="00991F39"/>
    <w:rsid w:val="00996793"/>
    <w:rsid w:val="009973B8"/>
    <w:rsid w:val="009B3CC3"/>
    <w:rsid w:val="00A24238"/>
    <w:rsid w:val="00A2703B"/>
    <w:rsid w:val="00A632BB"/>
    <w:rsid w:val="00B52096"/>
    <w:rsid w:val="00B53165"/>
    <w:rsid w:val="00B66332"/>
    <w:rsid w:val="00B71ACD"/>
    <w:rsid w:val="00B7700E"/>
    <w:rsid w:val="00B9716C"/>
    <w:rsid w:val="00BC7C13"/>
    <w:rsid w:val="00BE3EDC"/>
    <w:rsid w:val="00C100B1"/>
    <w:rsid w:val="00C15234"/>
    <w:rsid w:val="00CA7B60"/>
    <w:rsid w:val="00CC60B1"/>
    <w:rsid w:val="00D858FD"/>
    <w:rsid w:val="00E84DF6"/>
    <w:rsid w:val="00E92B60"/>
    <w:rsid w:val="00EC3CAD"/>
    <w:rsid w:val="00EC54AC"/>
    <w:rsid w:val="00EC738F"/>
    <w:rsid w:val="00ED2BE7"/>
    <w:rsid w:val="00EF45D1"/>
    <w:rsid w:val="00F00C5E"/>
    <w:rsid w:val="00F13DDE"/>
    <w:rsid w:val="00F8705B"/>
    <w:rsid w:val="047A7371"/>
    <w:rsid w:val="0FC23A31"/>
    <w:rsid w:val="10383339"/>
    <w:rsid w:val="13695ED2"/>
    <w:rsid w:val="136E242F"/>
    <w:rsid w:val="1B793614"/>
    <w:rsid w:val="1EB0D6D6"/>
    <w:rsid w:val="238C357F"/>
    <w:rsid w:val="259DF9E0"/>
    <w:rsid w:val="2652DDEF"/>
    <w:rsid w:val="26E1C300"/>
    <w:rsid w:val="28981B8A"/>
    <w:rsid w:val="2B974764"/>
    <w:rsid w:val="2D19EF68"/>
    <w:rsid w:val="2D9DDD79"/>
    <w:rsid w:val="2ECEE826"/>
    <w:rsid w:val="320688E8"/>
    <w:rsid w:val="353E29AA"/>
    <w:rsid w:val="3875CA6C"/>
    <w:rsid w:val="4479EF4C"/>
    <w:rsid w:val="494D606F"/>
    <w:rsid w:val="4AE930D0"/>
    <w:rsid w:val="4EDD186A"/>
    <w:rsid w:val="51587254"/>
    <w:rsid w:val="51934E07"/>
    <w:rsid w:val="569227A6"/>
    <w:rsid w:val="57CFA15E"/>
    <w:rsid w:val="59472634"/>
    <w:rsid w:val="5A3A2100"/>
    <w:rsid w:val="63125405"/>
    <w:rsid w:val="6442DF11"/>
    <w:rsid w:val="687C97BF"/>
    <w:rsid w:val="6FF0D70D"/>
    <w:rsid w:val="7481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586419B"/>
  <w15:docId w15:val="{4EB6309E-768B-4462-B3EB-298D895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982"/>
    <w:pPr>
      <w:spacing w:after="0" w:line="288" w:lineRule="auto"/>
      <w:jc w:val="both"/>
    </w:pPr>
    <w:rPr>
      <w:rFonts w:ascii="Verdana" w:eastAsia="Times New Roman" w:hAnsi="Verdana" w:cs="Times New Roman"/>
      <w:sz w:val="17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semiHidden/>
    <w:rsid w:val="007D59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7D5982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Noparagraphstyle">
    <w:name w:val="[No paragraph style]"/>
    <w:semiHidden/>
    <w:rsid w:val="007D59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7D5982"/>
  </w:style>
  <w:style w:type="paragraph" w:customStyle="1" w:styleId="CEADocumentType">
    <w:name w:val="CEA Document Type"/>
    <w:basedOn w:val="Normlny"/>
    <w:semiHidden/>
    <w:qFormat/>
    <w:rsid w:val="007D5982"/>
    <w:pPr>
      <w:jc w:val="right"/>
    </w:pPr>
    <w:rPr>
      <w:rFonts w:cs="Arial"/>
      <w:b/>
      <w:color w:val="034EA2"/>
      <w:sz w:val="40"/>
      <w:szCs w:val="40"/>
    </w:rPr>
  </w:style>
  <w:style w:type="paragraph" w:customStyle="1" w:styleId="CEADraft">
    <w:name w:val="CEA Draft"/>
    <w:basedOn w:val="CEADocumentType"/>
    <w:semiHidden/>
    <w:qFormat/>
    <w:rsid w:val="007D5982"/>
    <w:rPr>
      <w:i/>
      <w:sz w:val="32"/>
    </w:rPr>
  </w:style>
  <w:style w:type="table" w:styleId="Mriekatabuky">
    <w:name w:val="Table Grid"/>
    <w:basedOn w:val="Normlnatabuka"/>
    <w:rsid w:val="007D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AStandardHeading">
    <w:name w:val="CEA Standard Heading"/>
    <w:basedOn w:val="Normlny"/>
    <w:qFormat/>
    <w:rsid w:val="007D5982"/>
    <w:pPr>
      <w:autoSpaceDE w:val="0"/>
      <w:autoSpaceDN w:val="0"/>
      <w:adjustRightInd w:val="0"/>
      <w:textAlignment w:val="center"/>
    </w:pPr>
    <w:rPr>
      <w:rFonts w:cs="Arial"/>
      <w:b/>
      <w:color w:val="034EA2"/>
      <w:szCs w:val="22"/>
    </w:rPr>
  </w:style>
  <w:style w:type="paragraph" w:customStyle="1" w:styleId="CEALabel">
    <w:name w:val="CEA Label"/>
    <w:basedOn w:val="Normlny"/>
    <w:semiHidden/>
    <w:qFormat/>
    <w:rsid w:val="007D5982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tandardHeadingbluebackground">
    <w:name w:val="CEA Standard Heading (blue background)"/>
    <w:basedOn w:val="Normlny"/>
    <w:qFormat/>
    <w:rsid w:val="007D5982"/>
    <w:pPr>
      <w:shd w:val="clear" w:color="auto" w:fill="DBE5F1"/>
      <w:autoSpaceDE w:val="0"/>
      <w:autoSpaceDN w:val="0"/>
      <w:adjustRightInd w:val="0"/>
      <w:textAlignment w:val="center"/>
    </w:pPr>
    <w:rPr>
      <w:rFonts w:cs="Arial"/>
      <w:b/>
      <w:color w:val="034EA2"/>
      <w:szCs w:val="22"/>
    </w:rPr>
  </w:style>
  <w:style w:type="paragraph" w:customStyle="1" w:styleId="CEANewsUpdateTitle">
    <w:name w:val="CEA News Update Title"/>
    <w:basedOn w:val="Normlny"/>
    <w:semiHidden/>
    <w:qFormat/>
    <w:rsid w:val="007D5982"/>
    <w:pPr>
      <w:autoSpaceDE w:val="0"/>
      <w:autoSpaceDN w:val="0"/>
      <w:adjustRightInd w:val="0"/>
      <w:textAlignment w:val="center"/>
    </w:pPr>
    <w:rPr>
      <w:rFonts w:cs="Arial"/>
      <w:b/>
      <w:bCs/>
      <w:sz w:val="32"/>
      <w:szCs w:val="32"/>
    </w:rPr>
  </w:style>
  <w:style w:type="paragraph" w:customStyle="1" w:styleId="CEANewsUpdateSummary">
    <w:name w:val="CEA News Update Summary"/>
    <w:basedOn w:val="Normlny"/>
    <w:semiHidden/>
    <w:qFormat/>
    <w:rsid w:val="007D5982"/>
    <w:pPr>
      <w:autoSpaceDE w:val="0"/>
      <w:autoSpaceDN w:val="0"/>
      <w:adjustRightInd w:val="0"/>
      <w:spacing w:after="200"/>
      <w:textAlignment w:val="center"/>
    </w:pPr>
    <w:rPr>
      <w:b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982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7D5982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982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CEABullet-Level1">
    <w:name w:val="CEA Bullet - Level 1"/>
    <w:basedOn w:val="Normlny"/>
    <w:qFormat/>
    <w:rsid w:val="00B7700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B7700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B7700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DirectorGeneral">
    <w:name w:val="CEA Director General"/>
    <w:basedOn w:val="Normlny"/>
    <w:semiHidden/>
    <w:qFormat/>
    <w:rsid w:val="00B7700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Footerauthorinfo">
    <w:name w:val="CEA Footer (author info)"/>
    <w:basedOn w:val="Normlny"/>
    <w:semiHidden/>
    <w:qFormat/>
    <w:rsid w:val="00B7700E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Footnote">
    <w:name w:val="CEA Footnote"/>
    <w:basedOn w:val="Normlny"/>
    <w:semiHidden/>
    <w:qFormat/>
    <w:rsid w:val="00B7700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B7700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B7700E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B7700E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B7700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B7700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B7700E"/>
    <w:rPr>
      <w:rFonts w:cs="Frutiger LT Std 55 Roman"/>
      <w:b/>
      <w:szCs w:val="20"/>
    </w:rPr>
  </w:style>
  <w:style w:type="character" w:styleId="Zstupntext">
    <w:name w:val="Placeholder Text"/>
    <w:basedOn w:val="Predvolenpsmoodseku"/>
    <w:uiPriority w:val="99"/>
    <w:semiHidden/>
    <w:rsid w:val="00EC738F"/>
    <w:rPr>
      <w:color w:val="808080"/>
    </w:rPr>
  </w:style>
  <w:style w:type="paragraph" w:styleId="Odsekzoznamu">
    <w:name w:val="List Paragraph"/>
    <w:basedOn w:val="Normlny"/>
    <w:uiPriority w:val="34"/>
    <w:qFormat/>
    <w:rsid w:val="00F00C5E"/>
    <w:pPr>
      <w:ind w:left="720"/>
      <w:contextualSpacing/>
    </w:pPr>
  </w:style>
  <w:style w:type="paragraph" w:styleId="Revzia">
    <w:name w:val="Revision"/>
    <w:hidden/>
    <w:uiPriority w:val="99"/>
    <w:semiHidden/>
    <w:rsid w:val="00B9716C"/>
    <w:pPr>
      <w:spacing w:after="0" w:line="240" w:lineRule="auto"/>
    </w:pPr>
    <w:rPr>
      <w:rFonts w:ascii="Verdana" w:eastAsia="Times New Roman" w:hAnsi="Verdana" w:cs="Times New Roman"/>
      <w:sz w:val="17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EF45D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9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Zwagemakers@insuranceeurope.eu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franco@insuranceeurope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silium.europa.eu/media/70365/st06776-en2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consilium.europa.eu/en/press/press-releases/2024/02/20/taxation-bahamas-belize-seychelles-and-turks-and-caicos-islands-removed-from-the-eu-list-of-non-cooperative-jurisdictions-for-tax-purposes/?utm_source=dsms-auto&amp;utm_medium=email&amp;utm_campaign=Taxation%3a+Bahamas%2c+Belize%2c+Seychelles+and+Turks+and+Caicos+Islands+removed+from+the+EU+list+of+non-cooperative+jurisdictions+for+tax+purposes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nsilium.europa.eu/en/policies/eu-list-of-non-cooperative-jurisdiction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911D-22CE-4124-82A4-1A3D3D3BEDC5}"/>
      </w:docPartPr>
      <w:docPartBody>
        <w:p w:rsidR="00402D99" w:rsidRDefault="00F41034">
          <w:r w:rsidRPr="003B71C7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34"/>
    <w:rsid w:val="00402D99"/>
    <w:rsid w:val="00725EAF"/>
    <w:rsid w:val="00F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410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E756CBAF10E21A4CAD31D20A5B3F0406" ma:contentTypeVersion="26" ma:contentTypeDescription="Published Documents Content types for Insurance Europe" ma:contentTypeScope="" ma:versionID="e8ed263f5bcbabca9988c68abc887d6c">
  <xsd:schema xmlns:xsd="http://www.w3.org/2001/XMLSchema" xmlns:xs="http://www.w3.org/2001/XMLSchema" xmlns:p="http://schemas.microsoft.com/office/2006/metadata/properties" xmlns:ns2="85aa765a-1fd1-4bd0-ae2e-6866ee3065fb" xmlns:ns3="efa07f0a-2279-4397-9381-96c735bff43a" targetNamespace="http://schemas.microsoft.com/office/2006/metadata/properties" ma:root="true" ma:fieldsID="bca7debb6e1d0581e3bd3b889c8d46f1" ns2:_="" ns3:_="">
    <xsd:import namespace="85aa765a-1fd1-4bd0-ae2e-6866ee3065fb"/>
    <xsd:import namespace="efa07f0a-2279-4397-9381-96c735bff43a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765a-1fd1-4bd0-ae2e-6866ee3065fb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07f0a-2279-4397-9381-96c735bf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07f0a-2279-4397-9381-96c735bff43a">
      <UserInfo>
        <DisplayName>Fabiola Bertolani</DisplayName>
        <AccountId>10543</AccountId>
        <AccountType/>
      </UserInfo>
      <UserInfo>
        <DisplayName>Fabrizio Franco</DisplayName>
        <AccountId>94</AccountId>
        <AccountType/>
      </UserInfo>
    </SharedWithUsers>
    <Deadline xmlns="85aa765a-1fd1-4bd0-ae2e-6866ee3065fb" xsi:nil="true"/>
    <Type_x0020_of_x0020_document xmlns="85aa765a-1fd1-4bd0-ae2e-6866ee3065fb" xsi:nil="true"/>
    <Type_x0020_of_x0020_memo xmlns="85aa765a-1fd1-4bd0-ae2e-6866ee3065fb" xsi:nil="true"/>
    <Leading_x0020_document xmlns="85aa765a-1fd1-4bd0-ae2e-6866ee3065fb" xsi:nil="true"/>
    <ValidationComment xmlns="85aa765a-1fd1-4bd0-ae2e-6866ee3065fb" xsi:nil="true"/>
    <AllowComments xmlns="85aa765a-1fd1-4bd0-ae2e-6866ee3065fb">true</AllowComments>
    <Uploads xmlns="85aa765a-1fd1-4bd0-ae2e-6866ee3065fb" xsi:nil="true"/>
    <isAnnex xmlns="85aa765a-1fd1-4bd0-ae2e-6866ee3065fb" xsi:nil="true"/>
    <Validated xmlns="85aa765a-1fd1-4bd0-ae2e-6866ee3065fb">false</Validated>
    <Can_x0020_be_x0020_edited xmlns="85aa765a-1fd1-4bd0-ae2e-6866ee3065fb">false</Can_x0020_be_x0020_edited>
    <Allow_x0020_uploads xmlns="85aa765a-1fd1-4bd0-ae2e-6866ee3065fb" xsi:nil="true"/>
    <Feedback_x0020_type xmlns="85aa765a-1fd1-4bd0-ae2e-6866ee3065fb" xsi:nil="true"/>
    <Display_x0020_validated_x0020_documents_x0020_library_x0020_button xmlns="85aa765a-1fd1-4bd0-ae2e-6866ee3065fb">false</Display_x0020_validated_x0020_documents_x0020_library_x0020_button>
    <Allow_x0020_comments xmlns="85aa765a-1fd1-4bd0-ae2e-6866ee3065fb" xsi:nil="true"/>
  </documentManagement>
</p:properties>
</file>

<file path=customXml/itemProps1.xml><?xml version="1.0" encoding="utf-8"?>
<ds:datastoreItem xmlns:ds="http://schemas.openxmlformats.org/officeDocument/2006/customXml" ds:itemID="{97E7C2EF-E229-4344-ADEA-4D0F300C2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a765a-1fd1-4bd0-ae2e-6866ee3065fb"/>
    <ds:schemaRef ds:uri="efa07f0a-2279-4397-9381-96c735bf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231E3-50A3-4E0F-906A-4A7610F08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C853D-DB2C-4BEA-8BE0-2B3CC4493405}">
  <ds:schemaRefs>
    <ds:schemaRef ds:uri="http://schemas.microsoft.com/office/2006/documentManagement/types"/>
    <ds:schemaRef ds:uri="http://schemas.microsoft.com/office/2006/metadata/properties"/>
    <ds:schemaRef ds:uri="efa07f0a-2279-4397-9381-96c735bff43a"/>
    <ds:schemaRef ds:uri="http://purl.org/dc/terms/"/>
    <ds:schemaRef ds:uri="http://www.w3.org/XML/1998/namespace"/>
    <ds:schemaRef ds:uri="85aa765a-1fd1-4bd0-ae2e-6866ee3065f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Company>Insurance Europe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removed Bahamas, Belize, Seychelles, and Turks and Caicos from EU list of non-cooperative jurisdictions</dc:title>
  <dc:creator>Insurance Europe</dc:creator>
  <cp:lastModifiedBy>jozef.bachnicek</cp:lastModifiedBy>
  <cp:revision>2</cp:revision>
  <dcterms:created xsi:type="dcterms:W3CDTF">2024-02-22T10:37:00Z</dcterms:created>
  <dcterms:modified xsi:type="dcterms:W3CDTF">2024-02-22T10:37:00Z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0x010100E756CBAF10E21A4CAD31D20A5B3F0406</vt:lpwstr>
  </property>
  <property fmtid="{D5CDD505-2E9C-101B-9397-08002B2CF9AE}" pid="3" name="_dlc_DocIdItemGuid">
    <vt:lpwstr>114f252d-e5eb-410a-9e9c-a52994e89045</vt:lpwstr>
  </property>
</Properties>
</file>