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14951" w:type="dxa"/>
        <w:tblInd w:w="-318" w:type="dxa"/>
        <w:tblLook w:val="04A0" w:firstRow="1" w:lastRow="0" w:firstColumn="1" w:lastColumn="0" w:noHBand="0" w:noVBand="1"/>
      </w:tblPr>
      <w:tblGrid>
        <w:gridCol w:w="4112"/>
        <w:gridCol w:w="3969"/>
        <w:gridCol w:w="3187"/>
        <w:gridCol w:w="3683"/>
      </w:tblGrid>
      <w:tr w:rsidR="004C5FA6" w:rsidRPr="0047053C" w14:paraId="05B2C4FA" w14:textId="77777777" w:rsidTr="00285883">
        <w:trPr>
          <w:trHeight w:val="416"/>
        </w:trPr>
        <w:tc>
          <w:tcPr>
            <w:tcW w:w="4112" w:type="dxa"/>
          </w:tcPr>
          <w:p w14:paraId="164C011E" w14:textId="728D6181" w:rsidR="00F544CB" w:rsidRPr="0047053C" w:rsidRDefault="00F544CB" w:rsidP="0047053C">
            <w:pPr>
              <w:jc w:val="center"/>
              <w:rPr>
                <w:rStyle w:val="CEAGraphTitle"/>
                <w:b/>
                <w:bCs/>
              </w:rPr>
            </w:pPr>
            <w:bookmarkStart w:id="0" w:name="_Hlk111064426"/>
            <w:r w:rsidRPr="0047053C">
              <w:rPr>
                <w:rStyle w:val="CEAGraphTitle"/>
                <w:b/>
                <w:bCs/>
              </w:rPr>
              <w:t>Industry</w:t>
            </w:r>
          </w:p>
        </w:tc>
        <w:tc>
          <w:tcPr>
            <w:tcW w:w="3969" w:type="dxa"/>
          </w:tcPr>
          <w:p w14:paraId="7CD38E2C" w14:textId="2BEEFE5E" w:rsidR="00F544CB" w:rsidRPr="0047053C" w:rsidRDefault="00F544CB" w:rsidP="0047053C">
            <w:pPr>
              <w:jc w:val="center"/>
              <w:rPr>
                <w:rStyle w:val="CEAGraphTitle"/>
                <w:b/>
                <w:bCs/>
              </w:rPr>
            </w:pPr>
            <w:r w:rsidRPr="0047053C">
              <w:rPr>
                <w:rStyle w:val="CEAGraphTitle"/>
                <w:b/>
                <w:bCs/>
              </w:rPr>
              <w:t>Council</w:t>
            </w:r>
          </w:p>
        </w:tc>
        <w:tc>
          <w:tcPr>
            <w:tcW w:w="3187" w:type="dxa"/>
          </w:tcPr>
          <w:p w14:paraId="5B02299D" w14:textId="7BDC30D7" w:rsidR="00F544CB" w:rsidRPr="0047053C" w:rsidRDefault="00F544CB" w:rsidP="0047053C">
            <w:pPr>
              <w:jc w:val="center"/>
              <w:rPr>
                <w:rStyle w:val="CEAGraphTitle"/>
                <w:b/>
                <w:bCs/>
              </w:rPr>
            </w:pPr>
            <w:r w:rsidRPr="0047053C">
              <w:rPr>
                <w:rStyle w:val="CEAGraphTitle"/>
                <w:b/>
                <w:bCs/>
              </w:rPr>
              <w:t>EP draft report</w:t>
            </w:r>
          </w:p>
        </w:tc>
        <w:tc>
          <w:tcPr>
            <w:tcW w:w="3683" w:type="dxa"/>
          </w:tcPr>
          <w:p w14:paraId="0DF5506E" w14:textId="2AF6DD90" w:rsidR="00F544CB" w:rsidRPr="0047053C" w:rsidRDefault="00F544CB" w:rsidP="0047053C">
            <w:pPr>
              <w:jc w:val="center"/>
              <w:rPr>
                <w:rStyle w:val="CEAGraphTitle"/>
                <w:b/>
                <w:bCs/>
              </w:rPr>
            </w:pPr>
            <w:r>
              <w:rPr>
                <w:rStyle w:val="CEAGraphTitle"/>
                <w:b/>
                <w:bCs/>
              </w:rPr>
              <w:t>MEPs AMs</w:t>
            </w:r>
          </w:p>
        </w:tc>
      </w:tr>
      <w:tr w:rsidR="000115A2" w14:paraId="4D41D53E" w14:textId="77777777" w:rsidTr="00285883">
        <w:trPr>
          <w:trHeight w:val="1820"/>
        </w:trPr>
        <w:tc>
          <w:tcPr>
            <w:tcW w:w="4112" w:type="dxa"/>
            <w:vMerge w:val="restart"/>
          </w:tcPr>
          <w:p w14:paraId="6CB069E4" w14:textId="6A727807" w:rsidR="00BC41FA" w:rsidRDefault="00BC41FA" w:rsidP="00D04A50">
            <w:pPr>
              <w:pStyle w:val="Odsekzoznamu"/>
              <w:numPr>
                <w:ilvl w:val="0"/>
                <w:numId w:val="6"/>
              </w:numPr>
              <w:rPr>
                <w:rStyle w:val="CEAGraphTitle"/>
              </w:rPr>
            </w:pPr>
            <w:r w:rsidRPr="005A64D1">
              <w:rPr>
                <w:rStyle w:val="CEAGraphTitle"/>
                <w:szCs w:val="17"/>
              </w:rPr>
              <w:t>For the purpose of this Regulation, a sub-set of equity investments may be treated as long-term equity investments if the insurance or reinsurance undertaking demonstrates, to the satisfaction of the supervisory authority, that all of the following conditions are met:</w:t>
            </w:r>
          </w:p>
        </w:tc>
        <w:tc>
          <w:tcPr>
            <w:tcW w:w="3969" w:type="dxa"/>
            <w:vMerge w:val="restart"/>
          </w:tcPr>
          <w:p w14:paraId="46DB4FE1" w14:textId="52B63B8A" w:rsidR="00BC41FA" w:rsidRDefault="00BC41FA" w:rsidP="00D04A50">
            <w:pPr>
              <w:pStyle w:val="Odsekzoznamu"/>
              <w:numPr>
                <w:ilvl w:val="0"/>
                <w:numId w:val="8"/>
              </w:numPr>
              <w:rPr>
                <w:rStyle w:val="CEAGraphTitle"/>
              </w:rPr>
            </w:pPr>
            <w:r w:rsidRPr="005A64D1">
              <w:rPr>
                <w:rStyle w:val="CEAGraphTitle"/>
                <w:szCs w:val="17"/>
              </w:rPr>
              <w:t>For the purpose of this Regulation, a sub-set of equity investments may be treated as long-term equity investments if the insurance or reinsurance undertaking demonstrates, to the satisfaction of the supervisory authority, that all of the following conditions are met:</w:t>
            </w:r>
          </w:p>
        </w:tc>
        <w:tc>
          <w:tcPr>
            <w:tcW w:w="3187" w:type="dxa"/>
            <w:vMerge w:val="restart"/>
          </w:tcPr>
          <w:p w14:paraId="669454E9" w14:textId="744F3710" w:rsidR="00BC41FA" w:rsidRDefault="00BC41FA" w:rsidP="00D04A50">
            <w:pPr>
              <w:pStyle w:val="Odsekzoznamu"/>
              <w:numPr>
                <w:ilvl w:val="0"/>
                <w:numId w:val="9"/>
              </w:numPr>
              <w:rPr>
                <w:rStyle w:val="CEAGraphTitle"/>
              </w:rPr>
            </w:pPr>
            <w:r w:rsidRPr="005A64D1">
              <w:rPr>
                <w:rStyle w:val="CEAGraphTitle"/>
                <w:szCs w:val="17"/>
              </w:rPr>
              <w:t>A sub-set of equity investments may be treated as long-term equity investments if the insurance or reinsurance</w:t>
            </w:r>
            <w:r>
              <w:rPr>
                <w:rStyle w:val="CEAGraphTitle"/>
                <w:szCs w:val="17"/>
              </w:rPr>
              <w:t xml:space="preserve"> </w:t>
            </w:r>
            <w:r w:rsidRPr="005A64D1">
              <w:rPr>
                <w:rStyle w:val="CEAGraphTitle"/>
                <w:szCs w:val="17"/>
              </w:rPr>
              <w:t>undertaking</w:t>
            </w:r>
            <w:r>
              <w:rPr>
                <w:rStyle w:val="CEAGraphTitle"/>
                <w:szCs w:val="17"/>
              </w:rPr>
              <w:t xml:space="preserve"> </w:t>
            </w:r>
            <w:r w:rsidRPr="005A64D1">
              <w:rPr>
                <w:rStyle w:val="CEAGraphTitle"/>
                <w:szCs w:val="17"/>
              </w:rPr>
              <w:t>demonstrates, to the satisfaction of the supervisory authority, that all of the following conditions are met:</w:t>
            </w:r>
          </w:p>
        </w:tc>
        <w:tc>
          <w:tcPr>
            <w:tcW w:w="3683" w:type="dxa"/>
          </w:tcPr>
          <w:p w14:paraId="4FD96470" w14:textId="0C1E8E91" w:rsidR="00BC41FA" w:rsidRPr="00044F92" w:rsidRDefault="00BC41FA" w:rsidP="00C409D0">
            <w:pPr>
              <w:pStyle w:val="Odsekzoznamu"/>
              <w:numPr>
                <w:ilvl w:val="0"/>
                <w:numId w:val="32"/>
              </w:numPr>
              <w:rPr>
                <w:rStyle w:val="CEAGraphTitle"/>
                <w:u w:val="single"/>
                <w:lang w:val="it-IT"/>
              </w:rPr>
            </w:pPr>
            <w:r w:rsidRPr="00044F92">
              <w:rPr>
                <w:rStyle w:val="CEAGraphTitle"/>
                <w:u w:val="single"/>
                <w:lang w:val="it-IT"/>
              </w:rPr>
              <w:t>A 624 (</w:t>
            </w:r>
            <w:r w:rsidRPr="00044F92">
              <w:rPr>
                <w:u w:val="single"/>
                <w:lang w:val="it-IT"/>
              </w:rPr>
              <w:t>Raffaele Fitto)</w:t>
            </w:r>
            <w:r w:rsidRPr="00044F92">
              <w:rPr>
                <w:rStyle w:val="CEAGraphTitle"/>
                <w:u w:val="single"/>
                <w:lang w:val="it-IT"/>
              </w:rPr>
              <w:t>/A 625 (</w:t>
            </w:r>
            <w:r w:rsidRPr="00044F92">
              <w:rPr>
                <w:u w:val="single"/>
                <w:lang w:val="it-IT"/>
              </w:rPr>
              <w:t>Fabio Massimo Castaldo)</w:t>
            </w:r>
            <w:r w:rsidRPr="00044F92">
              <w:rPr>
                <w:rStyle w:val="CEAGraphTitle"/>
                <w:u w:val="single"/>
                <w:lang w:val="it-IT"/>
              </w:rPr>
              <w:t>/A 626 (</w:t>
            </w:r>
            <w:r w:rsidRPr="00044F92">
              <w:rPr>
                <w:u w:val="single"/>
                <w:lang w:val="it-IT"/>
              </w:rPr>
              <w:t>Marco Zanni, Valentino Grant, Antonio Maria Rinaldi)</w:t>
            </w:r>
          </w:p>
          <w:p w14:paraId="459463B3" w14:textId="0DDA0446" w:rsidR="00BC41FA" w:rsidRDefault="00BC41FA" w:rsidP="00435BD3">
            <w:pPr>
              <w:rPr>
                <w:rStyle w:val="CEAGraphTitle"/>
              </w:rPr>
            </w:pPr>
            <w:r>
              <w:rPr>
                <w:rStyle w:val="CEAGraphTitle"/>
                <w:szCs w:val="17"/>
              </w:rPr>
              <w:t xml:space="preserve">1. </w:t>
            </w:r>
            <w:r w:rsidRPr="005704E4">
              <w:rPr>
                <w:rStyle w:val="CEAGraphTitle"/>
                <w:szCs w:val="17"/>
              </w:rPr>
              <w:t>A sub-set of equity investments may be treated as long-term equity investments if the insurance or reinsurance undertaking demonstrates, to the satisfaction of the supervisory authority, that all of the following conditions are met:</w:t>
            </w:r>
          </w:p>
        </w:tc>
      </w:tr>
      <w:tr w:rsidR="000115A2" w14:paraId="012A82F7" w14:textId="77777777" w:rsidTr="00285883">
        <w:trPr>
          <w:trHeight w:val="1820"/>
        </w:trPr>
        <w:tc>
          <w:tcPr>
            <w:tcW w:w="4112" w:type="dxa"/>
            <w:vMerge/>
          </w:tcPr>
          <w:p w14:paraId="6939B6FC" w14:textId="77777777" w:rsidR="00BC41FA" w:rsidRPr="005A64D1" w:rsidRDefault="00BC41FA" w:rsidP="00D04A50">
            <w:pPr>
              <w:pStyle w:val="Odsekzoznamu"/>
              <w:numPr>
                <w:ilvl w:val="0"/>
                <w:numId w:val="6"/>
              </w:numPr>
              <w:rPr>
                <w:rStyle w:val="CEAGraphTitle"/>
                <w:szCs w:val="17"/>
              </w:rPr>
            </w:pPr>
          </w:p>
        </w:tc>
        <w:tc>
          <w:tcPr>
            <w:tcW w:w="3969" w:type="dxa"/>
            <w:vMerge/>
          </w:tcPr>
          <w:p w14:paraId="662DE006" w14:textId="77777777" w:rsidR="00BC41FA" w:rsidRPr="005A64D1" w:rsidRDefault="00BC41FA" w:rsidP="00D04A50">
            <w:pPr>
              <w:pStyle w:val="Odsekzoznamu"/>
              <w:numPr>
                <w:ilvl w:val="0"/>
                <w:numId w:val="8"/>
              </w:numPr>
              <w:rPr>
                <w:rStyle w:val="CEAGraphTitle"/>
                <w:szCs w:val="17"/>
              </w:rPr>
            </w:pPr>
          </w:p>
        </w:tc>
        <w:tc>
          <w:tcPr>
            <w:tcW w:w="3187" w:type="dxa"/>
            <w:vMerge/>
          </w:tcPr>
          <w:p w14:paraId="08F83766" w14:textId="77777777" w:rsidR="00BC41FA" w:rsidRPr="005A64D1" w:rsidRDefault="00BC41FA" w:rsidP="00BC41FA">
            <w:pPr>
              <w:pStyle w:val="Odsekzoznamu"/>
              <w:ind w:left="360"/>
              <w:rPr>
                <w:rStyle w:val="CEAGraphTitle"/>
                <w:szCs w:val="17"/>
              </w:rPr>
            </w:pPr>
          </w:p>
        </w:tc>
        <w:tc>
          <w:tcPr>
            <w:tcW w:w="3683" w:type="dxa"/>
          </w:tcPr>
          <w:p w14:paraId="78BC0FB2" w14:textId="3C535479" w:rsidR="00BC41FA" w:rsidRPr="00044F92" w:rsidRDefault="00BC41FA" w:rsidP="00C409D0">
            <w:pPr>
              <w:pStyle w:val="Odsekzoznamu"/>
              <w:numPr>
                <w:ilvl w:val="0"/>
                <w:numId w:val="32"/>
              </w:numPr>
              <w:rPr>
                <w:rStyle w:val="CEAGraphTitle"/>
                <w:u w:val="single"/>
              </w:rPr>
            </w:pPr>
            <w:r w:rsidRPr="00044F92">
              <w:rPr>
                <w:rStyle w:val="CEAGraphTitle"/>
                <w:u w:val="single"/>
              </w:rPr>
              <w:t>A 627 (</w:t>
            </w:r>
            <w:r w:rsidRPr="00044F92">
              <w:rPr>
                <w:u w:val="single"/>
              </w:rPr>
              <w:t xml:space="preserve">Johan Van </w:t>
            </w:r>
            <w:proofErr w:type="spellStart"/>
            <w:r w:rsidRPr="00044F92">
              <w:rPr>
                <w:u w:val="single"/>
              </w:rPr>
              <w:t>Overtveldt</w:t>
            </w:r>
            <w:proofErr w:type="spellEnd"/>
            <w:r w:rsidRPr="00044F92">
              <w:rPr>
                <w:u w:val="single"/>
              </w:rPr>
              <w:t>)</w:t>
            </w:r>
          </w:p>
          <w:p w14:paraId="35720924" w14:textId="21622BD3" w:rsidR="00BC41FA" w:rsidRDefault="00BC41FA" w:rsidP="00B967EE">
            <w:pPr>
              <w:rPr>
                <w:rStyle w:val="CEAGraphTitle"/>
              </w:rPr>
            </w:pPr>
            <w:r>
              <w:rPr>
                <w:rStyle w:val="CEAGraphTitle"/>
                <w:szCs w:val="17"/>
              </w:rPr>
              <w:t xml:space="preserve">1. </w:t>
            </w:r>
            <w:r w:rsidRPr="00F21F26">
              <w:rPr>
                <w:rStyle w:val="CEAGraphTitle"/>
                <w:szCs w:val="17"/>
              </w:rPr>
              <w:t>A sub-set of equity investments may be treated as long-term equity investments if the insurance or reinsurance undertaking demonstrates, to the satisfaction of the supervisory authority, that all of the following conditions are met:</w:t>
            </w:r>
          </w:p>
        </w:tc>
      </w:tr>
      <w:tr w:rsidR="000115A2" w14:paraId="0FBD1279" w14:textId="77777777" w:rsidTr="00285883">
        <w:trPr>
          <w:trHeight w:val="1820"/>
        </w:trPr>
        <w:tc>
          <w:tcPr>
            <w:tcW w:w="4112" w:type="dxa"/>
            <w:vMerge/>
          </w:tcPr>
          <w:p w14:paraId="56EEF0E8" w14:textId="77777777" w:rsidR="00BC41FA" w:rsidRPr="005A64D1" w:rsidRDefault="00BC41FA" w:rsidP="00D04A50">
            <w:pPr>
              <w:pStyle w:val="Odsekzoznamu"/>
              <w:numPr>
                <w:ilvl w:val="0"/>
                <w:numId w:val="6"/>
              </w:numPr>
              <w:rPr>
                <w:rStyle w:val="CEAGraphTitle"/>
                <w:szCs w:val="17"/>
              </w:rPr>
            </w:pPr>
          </w:p>
        </w:tc>
        <w:tc>
          <w:tcPr>
            <w:tcW w:w="3969" w:type="dxa"/>
            <w:vMerge/>
          </w:tcPr>
          <w:p w14:paraId="279CD072" w14:textId="77777777" w:rsidR="00BC41FA" w:rsidRPr="005A64D1" w:rsidRDefault="00BC41FA" w:rsidP="00D04A50">
            <w:pPr>
              <w:pStyle w:val="Odsekzoznamu"/>
              <w:numPr>
                <w:ilvl w:val="0"/>
                <w:numId w:val="8"/>
              </w:numPr>
              <w:rPr>
                <w:rStyle w:val="CEAGraphTitle"/>
                <w:szCs w:val="17"/>
              </w:rPr>
            </w:pPr>
          </w:p>
        </w:tc>
        <w:tc>
          <w:tcPr>
            <w:tcW w:w="3187" w:type="dxa"/>
            <w:vMerge/>
          </w:tcPr>
          <w:p w14:paraId="45F57463" w14:textId="77777777" w:rsidR="00BC41FA" w:rsidRPr="005A64D1" w:rsidRDefault="00BC41FA" w:rsidP="00BC41FA">
            <w:pPr>
              <w:pStyle w:val="Odsekzoznamu"/>
              <w:ind w:left="360"/>
              <w:rPr>
                <w:rStyle w:val="CEAGraphTitle"/>
                <w:szCs w:val="17"/>
              </w:rPr>
            </w:pPr>
          </w:p>
        </w:tc>
        <w:tc>
          <w:tcPr>
            <w:tcW w:w="3683" w:type="dxa"/>
          </w:tcPr>
          <w:p w14:paraId="69B5808B" w14:textId="31A61E30" w:rsidR="00BC41FA" w:rsidRPr="00044F92" w:rsidRDefault="00BC41FA" w:rsidP="00C409D0">
            <w:pPr>
              <w:pStyle w:val="Odsekzoznamu"/>
              <w:numPr>
                <w:ilvl w:val="0"/>
                <w:numId w:val="32"/>
              </w:numPr>
              <w:rPr>
                <w:rStyle w:val="CEAGraphTitle"/>
                <w:u w:val="single"/>
              </w:rPr>
            </w:pPr>
            <w:r w:rsidRPr="00044F92">
              <w:rPr>
                <w:rStyle w:val="CEAGraphTitle"/>
                <w:u w:val="single"/>
              </w:rPr>
              <w:t>A 628 (</w:t>
            </w:r>
            <w:proofErr w:type="spellStart"/>
            <w:r w:rsidRPr="00044F92">
              <w:rPr>
                <w:u w:val="single"/>
              </w:rPr>
              <w:t>Stéphanie</w:t>
            </w:r>
            <w:proofErr w:type="spellEnd"/>
            <w:r w:rsidRPr="00044F92">
              <w:rPr>
                <w:u w:val="single"/>
              </w:rPr>
              <w:t xml:space="preserve"> Yon-Courtin, Gilles Boyer)</w:t>
            </w:r>
          </w:p>
          <w:p w14:paraId="747EE509" w14:textId="5CC2B593" w:rsidR="00BC41FA" w:rsidRDefault="00BC41FA" w:rsidP="00454335">
            <w:pPr>
              <w:rPr>
                <w:rStyle w:val="CEAGraphTitle"/>
              </w:rPr>
            </w:pPr>
            <w:r>
              <w:t>1. A sub-set of equity investments may be treated as long-term equity investments if the insurance or reinsurance undertaking demonstrates, to the satisfaction of the supervisory authority, that all of the following conditions are met:</w:t>
            </w:r>
          </w:p>
        </w:tc>
      </w:tr>
      <w:tr w:rsidR="000115A2" w14:paraId="329941D4" w14:textId="77777777" w:rsidTr="00285883">
        <w:trPr>
          <w:trHeight w:val="828"/>
        </w:trPr>
        <w:tc>
          <w:tcPr>
            <w:tcW w:w="4112" w:type="dxa"/>
            <w:vMerge w:val="restart"/>
          </w:tcPr>
          <w:p w14:paraId="37E1C621" w14:textId="0698262E" w:rsidR="00C7447E" w:rsidRPr="005A64D1" w:rsidRDefault="00C7447E" w:rsidP="00D04A50">
            <w:pPr>
              <w:pStyle w:val="Odsekzoznamu"/>
              <w:numPr>
                <w:ilvl w:val="0"/>
                <w:numId w:val="7"/>
              </w:numPr>
              <w:rPr>
                <w:rStyle w:val="CEAGraphTitle"/>
                <w:szCs w:val="17"/>
              </w:rPr>
            </w:pPr>
            <w:r w:rsidRPr="005A64D1">
              <w:rPr>
                <w:rStyle w:val="CEAGraphTitle"/>
                <w:szCs w:val="17"/>
              </w:rPr>
              <w:lastRenderedPageBreak/>
              <w:t>The sub-set of equity investments is clearly identified.</w:t>
            </w:r>
          </w:p>
        </w:tc>
        <w:tc>
          <w:tcPr>
            <w:tcW w:w="3969" w:type="dxa"/>
            <w:vMerge w:val="restart"/>
          </w:tcPr>
          <w:p w14:paraId="6B7AAA04" w14:textId="46BD7F9A" w:rsidR="00C7447E" w:rsidRDefault="00C7447E" w:rsidP="00D04A50">
            <w:pPr>
              <w:pStyle w:val="Odsekzoznamu"/>
              <w:numPr>
                <w:ilvl w:val="0"/>
                <w:numId w:val="10"/>
              </w:numPr>
              <w:rPr>
                <w:rStyle w:val="CEAGraphTitle"/>
              </w:rPr>
            </w:pPr>
            <w:r w:rsidRPr="0051559F">
              <w:rPr>
                <w:rStyle w:val="CEAGraphTitle"/>
                <w:szCs w:val="17"/>
              </w:rPr>
              <w:t>the sub-set of equity investments is clearly identified;</w:t>
            </w:r>
          </w:p>
        </w:tc>
        <w:tc>
          <w:tcPr>
            <w:tcW w:w="3187" w:type="dxa"/>
            <w:vMerge w:val="restart"/>
          </w:tcPr>
          <w:p w14:paraId="5BD946F9" w14:textId="7CA0F94E" w:rsidR="00C7447E" w:rsidRDefault="00C7447E" w:rsidP="00D04A50">
            <w:pPr>
              <w:pStyle w:val="Odsekzoznamu"/>
              <w:numPr>
                <w:ilvl w:val="0"/>
                <w:numId w:val="11"/>
              </w:numPr>
              <w:rPr>
                <w:rStyle w:val="CEAGraphTitle"/>
              </w:rPr>
            </w:pPr>
            <w:r w:rsidRPr="005A64D1">
              <w:rPr>
                <w:rStyle w:val="CEAGraphTitle"/>
                <w:szCs w:val="17"/>
              </w:rPr>
              <w:t xml:space="preserve">the sub-set of equity investments </w:t>
            </w:r>
            <w:r w:rsidRPr="005A64D1">
              <w:rPr>
                <w:rStyle w:val="CEAGraphTitle"/>
                <w:color w:val="FF0000"/>
                <w:szCs w:val="17"/>
              </w:rPr>
              <w:t xml:space="preserve">as well as the holding period of each equity investment within the sub-set are </w:t>
            </w:r>
            <w:r w:rsidRPr="005A64D1">
              <w:rPr>
                <w:rStyle w:val="CEAGraphTitle"/>
                <w:strike/>
                <w:color w:val="FF0000"/>
                <w:szCs w:val="17"/>
              </w:rPr>
              <w:t>is</w:t>
            </w:r>
            <w:r w:rsidRPr="005A64D1">
              <w:rPr>
                <w:rStyle w:val="CEAGraphTitle"/>
                <w:szCs w:val="17"/>
              </w:rPr>
              <w:t xml:space="preserve"> clearly identified;</w:t>
            </w:r>
          </w:p>
        </w:tc>
        <w:tc>
          <w:tcPr>
            <w:tcW w:w="3683" w:type="dxa"/>
          </w:tcPr>
          <w:p w14:paraId="3B8F3644" w14:textId="77777777" w:rsidR="00C7447E" w:rsidRPr="00044F92" w:rsidRDefault="00C7447E" w:rsidP="00C409D0">
            <w:pPr>
              <w:pStyle w:val="Odsekzoznamu"/>
              <w:numPr>
                <w:ilvl w:val="0"/>
                <w:numId w:val="32"/>
              </w:numPr>
              <w:rPr>
                <w:rStyle w:val="CEAGraphTitle"/>
                <w:u w:val="single"/>
                <w:lang w:val="it-IT"/>
              </w:rPr>
            </w:pPr>
            <w:r w:rsidRPr="00044F92">
              <w:rPr>
                <w:rStyle w:val="CEAGraphTitle"/>
                <w:u w:val="single"/>
                <w:lang w:val="it-IT"/>
              </w:rPr>
              <w:t>A 624 (</w:t>
            </w:r>
            <w:r w:rsidRPr="00044F92">
              <w:rPr>
                <w:u w:val="single"/>
                <w:lang w:val="it-IT"/>
              </w:rPr>
              <w:t>Raffaele Fitto)</w:t>
            </w:r>
            <w:r w:rsidRPr="00044F92">
              <w:rPr>
                <w:rStyle w:val="CEAGraphTitle"/>
                <w:u w:val="single"/>
                <w:lang w:val="it-IT"/>
              </w:rPr>
              <w:t>/A 625 (</w:t>
            </w:r>
            <w:r w:rsidRPr="00044F92">
              <w:rPr>
                <w:u w:val="single"/>
                <w:lang w:val="it-IT"/>
              </w:rPr>
              <w:t>Fabio Massimo Castaldo)</w:t>
            </w:r>
            <w:r w:rsidRPr="00044F92">
              <w:rPr>
                <w:rStyle w:val="CEAGraphTitle"/>
                <w:u w:val="single"/>
                <w:lang w:val="it-IT"/>
              </w:rPr>
              <w:t>/A 626 (</w:t>
            </w:r>
            <w:r w:rsidRPr="00044F92">
              <w:rPr>
                <w:u w:val="single"/>
                <w:lang w:val="it-IT"/>
              </w:rPr>
              <w:t>Marco Zanni, Valentino Grant, Antonio Maria Rinaldi)</w:t>
            </w:r>
          </w:p>
          <w:p w14:paraId="5161B197" w14:textId="1864A8F4" w:rsidR="00C7447E" w:rsidRDefault="00C7447E" w:rsidP="006864D4">
            <w:pPr>
              <w:rPr>
                <w:rStyle w:val="CEAGraphTitle"/>
              </w:rPr>
            </w:pPr>
            <w:r>
              <w:rPr>
                <w:rStyle w:val="CEAGraphTitle"/>
              </w:rPr>
              <w:t>a) the sub-set of equity investments is clearly identified;</w:t>
            </w:r>
          </w:p>
        </w:tc>
      </w:tr>
      <w:tr w:rsidR="000115A2" w14:paraId="10567758" w14:textId="77777777" w:rsidTr="00285883">
        <w:trPr>
          <w:trHeight w:val="826"/>
        </w:trPr>
        <w:tc>
          <w:tcPr>
            <w:tcW w:w="4112" w:type="dxa"/>
            <w:vMerge/>
          </w:tcPr>
          <w:p w14:paraId="07353C0A" w14:textId="77777777" w:rsidR="00C7447E" w:rsidRPr="005A64D1" w:rsidRDefault="00C7447E" w:rsidP="00D04A50">
            <w:pPr>
              <w:pStyle w:val="Odsekzoznamu"/>
              <w:numPr>
                <w:ilvl w:val="0"/>
                <w:numId w:val="7"/>
              </w:numPr>
              <w:rPr>
                <w:rStyle w:val="CEAGraphTitle"/>
                <w:szCs w:val="17"/>
              </w:rPr>
            </w:pPr>
          </w:p>
        </w:tc>
        <w:tc>
          <w:tcPr>
            <w:tcW w:w="3969" w:type="dxa"/>
            <w:vMerge/>
          </w:tcPr>
          <w:p w14:paraId="204D04F5" w14:textId="77777777" w:rsidR="00C7447E" w:rsidRPr="0051559F" w:rsidRDefault="00C7447E" w:rsidP="00D04A50">
            <w:pPr>
              <w:pStyle w:val="Odsekzoznamu"/>
              <w:numPr>
                <w:ilvl w:val="0"/>
                <w:numId w:val="10"/>
              </w:numPr>
              <w:rPr>
                <w:rStyle w:val="CEAGraphTitle"/>
                <w:szCs w:val="17"/>
              </w:rPr>
            </w:pPr>
          </w:p>
        </w:tc>
        <w:tc>
          <w:tcPr>
            <w:tcW w:w="3187" w:type="dxa"/>
            <w:vMerge/>
          </w:tcPr>
          <w:p w14:paraId="45C3DCC2" w14:textId="77777777" w:rsidR="00C7447E" w:rsidRPr="005A64D1" w:rsidRDefault="00C7447E" w:rsidP="00D04A50">
            <w:pPr>
              <w:pStyle w:val="Odsekzoznamu"/>
              <w:numPr>
                <w:ilvl w:val="0"/>
                <w:numId w:val="11"/>
              </w:numPr>
              <w:rPr>
                <w:rStyle w:val="CEAGraphTitle"/>
                <w:szCs w:val="17"/>
              </w:rPr>
            </w:pPr>
          </w:p>
        </w:tc>
        <w:tc>
          <w:tcPr>
            <w:tcW w:w="3683" w:type="dxa"/>
          </w:tcPr>
          <w:p w14:paraId="0B988BEA" w14:textId="438A5765" w:rsidR="00C7447E" w:rsidRPr="00044F92" w:rsidRDefault="003B5C7A" w:rsidP="00C409D0">
            <w:pPr>
              <w:pStyle w:val="Odsekzoznamu"/>
              <w:numPr>
                <w:ilvl w:val="0"/>
                <w:numId w:val="32"/>
              </w:numPr>
              <w:rPr>
                <w:rStyle w:val="CEAGraphTitle"/>
                <w:u w:val="single"/>
              </w:rPr>
            </w:pPr>
            <w:r w:rsidRPr="00044F92">
              <w:rPr>
                <w:rStyle w:val="CEAGraphTitle"/>
                <w:u w:val="single"/>
              </w:rPr>
              <w:t>A 627 (</w:t>
            </w:r>
            <w:r w:rsidRPr="00044F92">
              <w:rPr>
                <w:u w:val="single"/>
              </w:rPr>
              <w:t xml:space="preserve">Johan Van </w:t>
            </w:r>
            <w:proofErr w:type="spellStart"/>
            <w:r w:rsidRPr="00044F92">
              <w:rPr>
                <w:u w:val="single"/>
              </w:rPr>
              <w:t>Overtveldt</w:t>
            </w:r>
            <w:proofErr w:type="spellEnd"/>
            <w:r w:rsidRPr="00044F92">
              <w:rPr>
                <w:u w:val="single"/>
              </w:rPr>
              <w:t>)</w:t>
            </w:r>
          </w:p>
          <w:p w14:paraId="05F8C955" w14:textId="1ACA840C" w:rsidR="00C7447E" w:rsidRDefault="00C7447E" w:rsidP="00B967EE">
            <w:pPr>
              <w:rPr>
                <w:rStyle w:val="CEAGraphTitle"/>
              </w:rPr>
            </w:pPr>
            <w:r>
              <w:rPr>
                <w:rStyle w:val="CEAGraphTitle"/>
              </w:rPr>
              <w:t>a) t</w:t>
            </w:r>
            <w:r>
              <w:t>he sub-set of equity investments is clearly identified;</w:t>
            </w:r>
          </w:p>
        </w:tc>
      </w:tr>
      <w:tr w:rsidR="000115A2" w14:paraId="20A49FCD" w14:textId="77777777" w:rsidTr="00285883">
        <w:trPr>
          <w:trHeight w:val="826"/>
        </w:trPr>
        <w:tc>
          <w:tcPr>
            <w:tcW w:w="4112" w:type="dxa"/>
            <w:vMerge/>
          </w:tcPr>
          <w:p w14:paraId="602D14A1" w14:textId="77777777" w:rsidR="00C7447E" w:rsidRPr="005A64D1" w:rsidRDefault="00C7447E" w:rsidP="00D04A50">
            <w:pPr>
              <w:pStyle w:val="Odsekzoznamu"/>
              <w:numPr>
                <w:ilvl w:val="0"/>
                <w:numId w:val="7"/>
              </w:numPr>
              <w:rPr>
                <w:rStyle w:val="CEAGraphTitle"/>
                <w:szCs w:val="17"/>
              </w:rPr>
            </w:pPr>
          </w:p>
        </w:tc>
        <w:tc>
          <w:tcPr>
            <w:tcW w:w="3969" w:type="dxa"/>
            <w:vMerge/>
          </w:tcPr>
          <w:p w14:paraId="3C7D3E07" w14:textId="77777777" w:rsidR="00C7447E" w:rsidRPr="0051559F" w:rsidRDefault="00C7447E" w:rsidP="00D04A50">
            <w:pPr>
              <w:pStyle w:val="Odsekzoznamu"/>
              <w:numPr>
                <w:ilvl w:val="0"/>
                <w:numId w:val="10"/>
              </w:numPr>
              <w:rPr>
                <w:rStyle w:val="CEAGraphTitle"/>
                <w:szCs w:val="17"/>
              </w:rPr>
            </w:pPr>
          </w:p>
        </w:tc>
        <w:tc>
          <w:tcPr>
            <w:tcW w:w="3187" w:type="dxa"/>
            <w:vMerge/>
          </w:tcPr>
          <w:p w14:paraId="2BC16EB5" w14:textId="77777777" w:rsidR="00C7447E" w:rsidRPr="005A64D1" w:rsidRDefault="00C7447E" w:rsidP="00D04A50">
            <w:pPr>
              <w:pStyle w:val="Odsekzoznamu"/>
              <w:numPr>
                <w:ilvl w:val="0"/>
                <w:numId w:val="11"/>
              </w:numPr>
              <w:rPr>
                <w:rStyle w:val="CEAGraphTitle"/>
                <w:szCs w:val="17"/>
              </w:rPr>
            </w:pPr>
          </w:p>
        </w:tc>
        <w:tc>
          <w:tcPr>
            <w:tcW w:w="3683" w:type="dxa"/>
          </w:tcPr>
          <w:p w14:paraId="464C77CE" w14:textId="1308FD6A" w:rsidR="00C7447E" w:rsidRPr="002629C7" w:rsidRDefault="00F544CB" w:rsidP="00C409D0">
            <w:pPr>
              <w:pStyle w:val="Odsekzoznamu"/>
              <w:numPr>
                <w:ilvl w:val="0"/>
                <w:numId w:val="32"/>
              </w:numPr>
              <w:rPr>
                <w:rStyle w:val="CEAGraphTitle"/>
                <w:u w:val="single"/>
              </w:rPr>
            </w:pPr>
            <w:r w:rsidRPr="002629C7">
              <w:rPr>
                <w:rStyle w:val="CEAGraphTitle"/>
                <w:u w:val="single"/>
              </w:rPr>
              <w:t>A 628</w:t>
            </w:r>
            <w:r w:rsidR="003179EA" w:rsidRPr="002629C7">
              <w:rPr>
                <w:rStyle w:val="CEAGraphTitle"/>
                <w:u w:val="single"/>
              </w:rPr>
              <w:t xml:space="preserve"> (</w:t>
            </w:r>
            <w:proofErr w:type="spellStart"/>
            <w:r w:rsidR="003179EA" w:rsidRPr="002629C7">
              <w:rPr>
                <w:u w:val="single"/>
              </w:rPr>
              <w:t>Stéphanie</w:t>
            </w:r>
            <w:proofErr w:type="spellEnd"/>
            <w:r w:rsidR="003179EA" w:rsidRPr="002629C7">
              <w:rPr>
                <w:u w:val="single"/>
              </w:rPr>
              <w:t xml:space="preserve"> Yon-Courtin, Gilles Boyer)</w:t>
            </w:r>
          </w:p>
          <w:p w14:paraId="36C0D944" w14:textId="0005C9C5" w:rsidR="00C7447E" w:rsidRDefault="00C7447E" w:rsidP="00454335">
            <w:pPr>
              <w:rPr>
                <w:rStyle w:val="CEAGraphTitle"/>
              </w:rPr>
            </w:pPr>
            <w:r>
              <w:rPr>
                <w:rStyle w:val="CEAGraphTitle"/>
              </w:rPr>
              <w:t xml:space="preserve">a) </w:t>
            </w:r>
            <w:r>
              <w:t>the sub-set of equity investments is clearly identified;</w:t>
            </w:r>
          </w:p>
        </w:tc>
      </w:tr>
      <w:tr w:rsidR="000115A2" w14:paraId="464B3561" w14:textId="77777777" w:rsidTr="00285883">
        <w:trPr>
          <w:trHeight w:val="1344"/>
        </w:trPr>
        <w:tc>
          <w:tcPr>
            <w:tcW w:w="4112" w:type="dxa"/>
            <w:vMerge w:val="restart"/>
          </w:tcPr>
          <w:p w14:paraId="1AA769CD" w14:textId="577E563A" w:rsidR="00C7447E" w:rsidRPr="005A64D1" w:rsidRDefault="00C7447E" w:rsidP="00D04A50">
            <w:pPr>
              <w:pStyle w:val="Odsekzoznamu"/>
              <w:numPr>
                <w:ilvl w:val="0"/>
                <w:numId w:val="7"/>
              </w:numPr>
              <w:rPr>
                <w:rStyle w:val="CEAGraphTitle"/>
                <w:szCs w:val="17"/>
              </w:rPr>
            </w:pPr>
            <w:r w:rsidRPr="009350CE">
              <w:rPr>
                <w:rStyle w:val="CEAGraphTitle"/>
                <w:szCs w:val="17"/>
              </w:rPr>
              <w:t>The sub-set of equity investment is included within a portfolio of assets which is assigned to cover the best</w:t>
            </w:r>
            <w:r>
              <w:rPr>
                <w:rStyle w:val="CEAGraphTitle"/>
                <w:szCs w:val="17"/>
              </w:rPr>
              <w:t xml:space="preserve"> </w:t>
            </w:r>
            <w:r w:rsidRPr="009350CE">
              <w:rPr>
                <w:rStyle w:val="CEAGraphTitle"/>
                <w:szCs w:val="17"/>
              </w:rPr>
              <w:t>estimate,</w:t>
            </w:r>
            <w:r>
              <w:rPr>
                <w:rStyle w:val="CEAGraphTitle"/>
                <w:szCs w:val="17"/>
              </w:rPr>
              <w:t xml:space="preserve"> </w:t>
            </w:r>
            <w:r w:rsidRPr="009350CE">
              <w:rPr>
                <w:rStyle w:val="CEAGraphTitle"/>
                <w:szCs w:val="17"/>
              </w:rPr>
              <w:t>its</w:t>
            </w:r>
            <w:r>
              <w:rPr>
                <w:rStyle w:val="CEAGraphTitle"/>
                <w:szCs w:val="17"/>
              </w:rPr>
              <w:t xml:space="preserve"> </w:t>
            </w:r>
            <w:r w:rsidRPr="009350CE">
              <w:rPr>
                <w:rStyle w:val="CEAGraphTitle"/>
                <w:szCs w:val="17"/>
              </w:rPr>
              <w:t>risk</w:t>
            </w:r>
            <w:r>
              <w:rPr>
                <w:rStyle w:val="CEAGraphTitle"/>
                <w:szCs w:val="17"/>
              </w:rPr>
              <w:t xml:space="preserve"> </w:t>
            </w:r>
            <w:r w:rsidRPr="009350CE">
              <w:rPr>
                <w:rStyle w:val="CEAGraphTitle"/>
                <w:szCs w:val="17"/>
              </w:rPr>
              <w:t>margin</w:t>
            </w:r>
            <w:r>
              <w:rPr>
                <w:rStyle w:val="CEAGraphTitle"/>
                <w:szCs w:val="17"/>
              </w:rPr>
              <w:t xml:space="preserve"> </w:t>
            </w:r>
            <w:r w:rsidRPr="009350CE">
              <w:rPr>
                <w:rStyle w:val="CEAGraphTitle"/>
                <w:szCs w:val="17"/>
              </w:rPr>
              <w:t>and</w:t>
            </w:r>
            <w:r>
              <w:rPr>
                <w:rStyle w:val="CEAGraphTitle"/>
                <w:szCs w:val="17"/>
              </w:rPr>
              <w:t xml:space="preserve"> </w:t>
            </w:r>
            <w:r w:rsidRPr="009350CE">
              <w:rPr>
                <w:rStyle w:val="CEAGraphTitle"/>
                <w:szCs w:val="17"/>
              </w:rPr>
              <w:t>share</w:t>
            </w:r>
            <w:r>
              <w:rPr>
                <w:rStyle w:val="CEAGraphTitle"/>
                <w:szCs w:val="17"/>
              </w:rPr>
              <w:t xml:space="preserve"> </w:t>
            </w:r>
            <w:r w:rsidRPr="009350CE">
              <w:rPr>
                <w:rStyle w:val="CEAGraphTitle"/>
                <w:szCs w:val="17"/>
              </w:rPr>
              <w:t>of</w:t>
            </w:r>
            <w:r>
              <w:rPr>
                <w:rStyle w:val="CEAGraphTitle"/>
                <w:szCs w:val="17"/>
              </w:rPr>
              <w:t xml:space="preserve"> </w:t>
            </w:r>
            <w:r w:rsidRPr="009350CE">
              <w:rPr>
                <w:rStyle w:val="CEAGraphTitle"/>
                <w:szCs w:val="17"/>
              </w:rPr>
              <w:t>the</w:t>
            </w:r>
            <w:r>
              <w:rPr>
                <w:rStyle w:val="CEAGraphTitle"/>
                <w:szCs w:val="17"/>
              </w:rPr>
              <w:t xml:space="preserve"> </w:t>
            </w:r>
            <w:r w:rsidRPr="009350CE">
              <w:rPr>
                <w:rStyle w:val="CEAGraphTitle"/>
                <w:szCs w:val="17"/>
              </w:rPr>
              <w:t>own</w:t>
            </w:r>
            <w:r>
              <w:rPr>
                <w:rStyle w:val="CEAGraphTitle"/>
                <w:szCs w:val="17"/>
              </w:rPr>
              <w:t xml:space="preserve"> </w:t>
            </w:r>
            <w:r w:rsidRPr="009350CE">
              <w:rPr>
                <w:rStyle w:val="CEAGraphTitle"/>
                <w:szCs w:val="17"/>
              </w:rPr>
              <w:t>funds</w:t>
            </w:r>
            <w:r>
              <w:rPr>
                <w:rStyle w:val="CEAGraphTitle"/>
                <w:szCs w:val="17"/>
              </w:rPr>
              <w:t xml:space="preserve"> </w:t>
            </w:r>
            <w:r w:rsidRPr="009350CE">
              <w:rPr>
                <w:rStyle w:val="CEAGraphTitle"/>
                <w:szCs w:val="17"/>
              </w:rPr>
              <w:t>of</w:t>
            </w:r>
            <w:r>
              <w:rPr>
                <w:rStyle w:val="CEAGraphTitle"/>
                <w:szCs w:val="17"/>
              </w:rPr>
              <w:t xml:space="preserve"> </w:t>
            </w:r>
            <w:r w:rsidRPr="009350CE">
              <w:rPr>
                <w:rStyle w:val="CEAGraphTitle"/>
                <w:szCs w:val="17"/>
              </w:rPr>
              <w:t>a</w:t>
            </w:r>
            <w:r>
              <w:rPr>
                <w:rStyle w:val="CEAGraphTitle"/>
                <w:szCs w:val="17"/>
              </w:rPr>
              <w:t xml:space="preserve"> </w:t>
            </w:r>
            <w:r w:rsidRPr="009350CE">
              <w:rPr>
                <w:rStyle w:val="CEAGraphTitle"/>
                <w:szCs w:val="17"/>
              </w:rPr>
              <w:t>portfolio</w:t>
            </w:r>
            <w:r>
              <w:rPr>
                <w:rStyle w:val="CEAGraphTitle"/>
                <w:szCs w:val="17"/>
              </w:rPr>
              <w:t xml:space="preserve"> </w:t>
            </w:r>
            <w:r w:rsidRPr="009350CE">
              <w:rPr>
                <w:rStyle w:val="CEAGraphTitle"/>
                <w:szCs w:val="17"/>
              </w:rPr>
              <w:t>of</w:t>
            </w:r>
            <w:r>
              <w:rPr>
                <w:rStyle w:val="CEAGraphTitle"/>
                <w:szCs w:val="17"/>
              </w:rPr>
              <w:t xml:space="preserve"> </w:t>
            </w:r>
            <w:r w:rsidRPr="009350CE">
              <w:rPr>
                <w:rStyle w:val="CEAGraphTitle"/>
                <w:szCs w:val="17"/>
              </w:rPr>
              <w:t>insurance</w:t>
            </w:r>
            <w:r>
              <w:rPr>
                <w:rStyle w:val="CEAGraphTitle"/>
                <w:szCs w:val="17"/>
              </w:rPr>
              <w:t xml:space="preserve"> </w:t>
            </w:r>
            <w:r w:rsidRPr="009350CE">
              <w:rPr>
                <w:rStyle w:val="CEAGraphTitle"/>
                <w:szCs w:val="17"/>
              </w:rPr>
              <w:t>or</w:t>
            </w:r>
            <w:r>
              <w:rPr>
                <w:rStyle w:val="CEAGraphTitle"/>
                <w:szCs w:val="17"/>
              </w:rPr>
              <w:t xml:space="preserve"> </w:t>
            </w:r>
            <w:r w:rsidRPr="009350CE">
              <w:rPr>
                <w:rStyle w:val="CEAGraphTitle"/>
                <w:szCs w:val="17"/>
              </w:rPr>
              <w:t>reinsurance obligations corresponding to one or several clearly identified businesses.</w:t>
            </w:r>
          </w:p>
        </w:tc>
        <w:tc>
          <w:tcPr>
            <w:tcW w:w="3969" w:type="dxa"/>
            <w:vMerge w:val="restart"/>
          </w:tcPr>
          <w:p w14:paraId="2392A781" w14:textId="4ED38A4C" w:rsidR="00C7447E" w:rsidRPr="0051559F" w:rsidRDefault="00C7447E" w:rsidP="00D04A50">
            <w:pPr>
              <w:pStyle w:val="Odsekzoznamu"/>
              <w:numPr>
                <w:ilvl w:val="0"/>
                <w:numId w:val="10"/>
              </w:numPr>
              <w:rPr>
                <w:rStyle w:val="CEAGraphTitle"/>
                <w:szCs w:val="17"/>
              </w:rPr>
            </w:pPr>
            <w:r w:rsidRPr="00705BD9">
              <w:rPr>
                <w:rStyle w:val="CEAGraphTitle"/>
                <w:szCs w:val="17"/>
              </w:rPr>
              <w:t>the sub-set of equity investment is included within a portfolio of assets which is assigned to cover the best</w:t>
            </w:r>
            <w:r>
              <w:rPr>
                <w:rStyle w:val="CEAGraphTitle"/>
                <w:szCs w:val="17"/>
              </w:rPr>
              <w:t xml:space="preserve"> </w:t>
            </w:r>
            <w:r w:rsidRPr="00705BD9">
              <w:rPr>
                <w:rStyle w:val="CEAGraphTitle"/>
                <w:szCs w:val="17"/>
              </w:rPr>
              <w:t>estimate</w:t>
            </w:r>
            <w:r w:rsidRPr="00AC4373">
              <w:rPr>
                <w:rStyle w:val="CEAGraphTitle"/>
                <w:strike/>
                <w:color w:val="FF0000"/>
                <w:szCs w:val="17"/>
              </w:rPr>
              <w:t>, its risk margin and share of the own funds</w:t>
            </w:r>
            <w:r w:rsidRPr="00705BD9">
              <w:rPr>
                <w:rStyle w:val="CEAGraphTitle"/>
                <w:szCs w:val="17"/>
              </w:rPr>
              <w:t xml:space="preserve"> of a portfolio of insurance or reinsurance obligations corresponding to one or several clearly identified businesses</w:t>
            </w:r>
            <w:r w:rsidRPr="00705BD9">
              <w:rPr>
                <w:rStyle w:val="CEAGraphTitle"/>
                <w:color w:val="FF0000"/>
                <w:szCs w:val="17"/>
              </w:rPr>
              <w:t>, and the undertaking maintains that assignment</w:t>
            </w:r>
            <w:r>
              <w:rPr>
                <w:rStyle w:val="CEAGraphTitle"/>
                <w:color w:val="FF0000"/>
                <w:szCs w:val="17"/>
              </w:rPr>
              <w:t>.</w:t>
            </w:r>
          </w:p>
        </w:tc>
        <w:tc>
          <w:tcPr>
            <w:tcW w:w="3187" w:type="dxa"/>
            <w:vMerge w:val="restart"/>
          </w:tcPr>
          <w:p w14:paraId="4C30C506" w14:textId="6619CFFA" w:rsidR="00C7447E" w:rsidRPr="00AC4373" w:rsidRDefault="00C7447E" w:rsidP="00D04A50">
            <w:pPr>
              <w:pStyle w:val="Odsekzoznamu"/>
              <w:numPr>
                <w:ilvl w:val="0"/>
                <w:numId w:val="13"/>
              </w:numPr>
              <w:spacing w:line="240" w:lineRule="auto"/>
              <w:rPr>
                <w:rStyle w:val="CEAGraphTitle"/>
                <w:szCs w:val="17"/>
              </w:rPr>
            </w:pPr>
            <w:r w:rsidRPr="00AC4373">
              <w:rPr>
                <w:rStyle w:val="CEAGraphTitle"/>
                <w:szCs w:val="17"/>
              </w:rPr>
              <w:t>the sub-set of equity investments is included within a portfolio of assets which is assigned to cover the best estimate</w:t>
            </w:r>
            <w:r w:rsidRPr="00AC4373">
              <w:rPr>
                <w:rStyle w:val="CEAGraphTitle"/>
                <w:strike/>
                <w:color w:val="FF0000"/>
                <w:szCs w:val="17"/>
              </w:rPr>
              <w:t>, its risk margin and share of the own funds</w:t>
            </w:r>
            <w:r w:rsidRPr="00AC4373">
              <w:rPr>
                <w:rStyle w:val="CEAGraphTitle"/>
                <w:color w:val="FF0000"/>
                <w:szCs w:val="17"/>
              </w:rPr>
              <w:t xml:space="preserve"> </w:t>
            </w:r>
            <w:r w:rsidRPr="00AC4373">
              <w:rPr>
                <w:rStyle w:val="CEAGraphTitle"/>
                <w:szCs w:val="17"/>
              </w:rPr>
              <w:t>of a portfolio of insurance or reinsurance obligations corresponding to one or several clearly identified businesses</w:t>
            </w:r>
            <w:r w:rsidRPr="00AC4373">
              <w:rPr>
                <w:rStyle w:val="CEAGraphTitle"/>
                <w:color w:val="FF0000"/>
                <w:szCs w:val="17"/>
              </w:rPr>
              <w:t>, and the undertaking maintains that assignment over the lifetime of the obligations;</w:t>
            </w:r>
          </w:p>
        </w:tc>
        <w:tc>
          <w:tcPr>
            <w:tcW w:w="3683" w:type="dxa"/>
          </w:tcPr>
          <w:p w14:paraId="2D07CA87" w14:textId="77777777" w:rsidR="00C7447E" w:rsidRPr="00044F92" w:rsidRDefault="00C7447E" w:rsidP="00C409D0">
            <w:pPr>
              <w:pStyle w:val="Odsekzoznamu"/>
              <w:numPr>
                <w:ilvl w:val="0"/>
                <w:numId w:val="32"/>
              </w:numPr>
              <w:rPr>
                <w:rStyle w:val="CEAGraphTitle"/>
                <w:u w:val="single"/>
                <w:lang w:val="it-IT"/>
              </w:rPr>
            </w:pPr>
            <w:r w:rsidRPr="00044F92">
              <w:rPr>
                <w:rStyle w:val="CEAGraphTitle"/>
                <w:u w:val="single"/>
                <w:lang w:val="it-IT"/>
              </w:rPr>
              <w:t>A 624 (</w:t>
            </w:r>
            <w:r w:rsidRPr="00044F92">
              <w:rPr>
                <w:u w:val="single"/>
                <w:lang w:val="it-IT"/>
              </w:rPr>
              <w:t>Raffaele Fitto)</w:t>
            </w:r>
            <w:r w:rsidRPr="00044F92">
              <w:rPr>
                <w:rStyle w:val="CEAGraphTitle"/>
                <w:u w:val="single"/>
                <w:lang w:val="it-IT"/>
              </w:rPr>
              <w:t>/A 625 (</w:t>
            </w:r>
            <w:r w:rsidRPr="00044F92">
              <w:rPr>
                <w:u w:val="single"/>
                <w:lang w:val="it-IT"/>
              </w:rPr>
              <w:t>Fabio Massimo Castaldo)</w:t>
            </w:r>
            <w:r w:rsidRPr="00044F92">
              <w:rPr>
                <w:rStyle w:val="CEAGraphTitle"/>
                <w:u w:val="single"/>
                <w:lang w:val="it-IT"/>
              </w:rPr>
              <w:t>/A 626 (</w:t>
            </w:r>
            <w:r w:rsidRPr="00044F92">
              <w:rPr>
                <w:u w:val="single"/>
                <w:lang w:val="it-IT"/>
              </w:rPr>
              <w:t>Marco Zanni, Valentino Grant, Antonio Maria Rinaldi)</w:t>
            </w:r>
          </w:p>
          <w:p w14:paraId="2A06458B" w14:textId="27749F46" w:rsidR="00C7447E" w:rsidRDefault="00C7447E" w:rsidP="00B92729">
            <w:pPr>
              <w:rPr>
                <w:rStyle w:val="CEAGraphTitle"/>
              </w:rPr>
            </w:pPr>
            <w:r>
              <w:rPr>
                <w:rStyle w:val="CEAGraphTitle"/>
              </w:rPr>
              <w:t>b) the sub-set of equity investment is included within a portfolio of assets which is assigned to cover the best estimate</w:t>
            </w:r>
            <w:r w:rsidRPr="00B2546E">
              <w:rPr>
                <w:rStyle w:val="CEAGraphTitle"/>
                <w:strike/>
                <w:color w:val="FF0000"/>
              </w:rPr>
              <w:t>, its risk margin and share of the own funds</w:t>
            </w:r>
            <w:r>
              <w:t xml:space="preserve"> of a portfolio of insurance or reinsurance obligations corresponding to one or several clearly identified businesses</w:t>
            </w:r>
            <w:r w:rsidRPr="00B2546E">
              <w:rPr>
                <w:color w:val="FF0000"/>
              </w:rPr>
              <w:t>, and the undertaking maintains that assignment;</w:t>
            </w:r>
          </w:p>
        </w:tc>
      </w:tr>
      <w:tr w:rsidR="000115A2" w14:paraId="3FF27405" w14:textId="77777777" w:rsidTr="00285883">
        <w:trPr>
          <w:trHeight w:val="1344"/>
        </w:trPr>
        <w:tc>
          <w:tcPr>
            <w:tcW w:w="4112" w:type="dxa"/>
            <w:vMerge/>
          </w:tcPr>
          <w:p w14:paraId="114E46A7" w14:textId="77777777" w:rsidR="00C7447E" w:rsidRPr="009350CE" w:rsidRDefault="00C7447E" w:rsidP="00D04A50">
            <w:pPr>
              <w:pStyle w:val="Odsekzoznamu"/>
              <w:numPr>
                <w:ilvl w:val="0"/>
                <w:numId w:val="7"/>
              </w:numPr>
              <w:rPr>
                <w:rStyle w:val="CEAGraphTitle"/>
                <w:szCs w:val="17"/>
              </w:rPr>
            </w:pPr>
          </w:p>
        </w:tc>
        <w:tc>
          <w:tcPr>
            <w:tcW w:w="3969" w:type="dxa"/>
            <w:vMerge/>
          </w:tcPr>
          <w:p w14:paraId="02F92201" w14:textId="77777777" w:rsidR="00C7447E" w:rsidRPr="00705BD9" w:rsidRDefault="00C7447E" w:rsidP="00D04A50">
            <w:pPr>
              <w:pStyle w:val="Odsekzoznamu"/>
              <w:numPr>
                <w:ilvl w:val="0"/>
                <w:numId w:val="10"/>
              </w:numPr>
              <w:rPr>
                <w:rStyle w:val="CEAGraphTitle"/>
                <w:szCs w:val="17"/>
              </w:rPr>
            </w:pPr>
          </w:p>
        </w:tc>
        <w:tc>
          <w:tcPr>
            <w:tcW w:w="3187" w:type="dxa"/>
            <w:vMerge/>
          </w:tcPr>
          <w:p w14:paraId="2A9A2FB8" w14:textId="77777777" w:rsidR="00C7447E" w:rsidRPr="00AC4373" w:rsidRDefault="00C7447E" w:rsidP="00C7447E">
            <w:pPr>
              <w:pStyle w:val="Odsekzoznamu"/>
              <w:spacing w:line="240" w:lineRule="auto"/>
              <w:ind w:left="360"/>
              <w:rPr>
                <w:rStyle w:val="CEAGraphTitle"/>
                <w:szCs w:val="17"/>
              </w:rPr>
            </w:pPr>
          </w:p>
        </w:tc>
        <w:tc>
          <w:tcPr>
            <w:tcW w:w="3683" w:type="dxa"/>
          </w:tcPr>
          <w:p w14:paraId="345F9711" w14:textId="24A67180" w:rsidR="00C7447E" w:rsidRPr="00044F92" w:rsidRDefault="003B5C7A" w:rsidP="00C409D0">
            <w:pPr>
              <w:pStyle w:val="Odsekzoznamu"/>
              <w:numPr>
                <w:ilvl w:val="0"/>
                <w:numId w:val="32"/>
              </w:numPr>
              <w:rPr>
                <w:rStyle w:val="CEAGraphTitle"/>
                <w:u w:val="single"/>
              </w:rPr>
            </w:pPr>
            <w:r w:rsidRPr="00044F92">
              <w:rPr>
                <w:rStyle w:val="CEAGraphTitle"/>
                <w:u w:val="single"/>
              </w:rPr>
              <w:t>A 627 (</w:t>
            </w:r>
            <w:r w:rsidRPr="00044F92">
              <w:rPr>
                <w:u w:val="single"/>
              </w:rPr>
              <w:t xml:space="preserve">Johan Van </w:t>
            </w:r>
            <w:proofErr w:type="spellStart"/>
            <w:r w:rsidRPr="00044F92">
              <w:rPr>
                <w:u w:val="single"/>
              </w:rPr>
              <w:t>Overtveldt</w:t>
            </w:r>
            <w:proofErr w:type="spellEnd"/>
            <w:r w:rsidRPr="00044F92">
              <w:rPr>
                <w:u w:val="single"/>
              </w:rPr>
              <w:t>)</w:t>
            </w:r>
          </w:p>
          <w:p w14:paraId="782577E4" w14:textId="0DEF676E" w:rsidR="00C7447E" w:rsidRDefault="00C7447E" w:rsidP="00AC4373">
            <w:pPr>
              <w:rPr>
                <w:rStyle w:val="CEAGraphTitle"/>
              </w:rPr>
            </w:pPr>
            <w:r>
              <w:rPr>
                <w:rStyle w:val="CEAGraphTitle"/>
              </w:rPr>
              <w:t xml:space="preserve">b) </w:t>
            </w:r>
            <w:r>
              <w:t xml:space="preserve">the sub-set of equity investments is included within a portfolio of assets which is assigned to cover the best estimate, its risk margin and share of the own funds of a portfolio of </w:t>
            </w:r>
            <w:r>
              <w:lastRenderedPageBreak/>
              <w:t>insurance or reinsurance obligations corresponding to one or several clearly identified businesses;</w:t>
            </w:r>
          </w:p>
        </w:tc>
      </w:tr>
      <w:tr w:rsidR="000115A2" w14:paraId="4F567E0F" w14:textId="77777777" w:rsidTr="00285883">
        <w:trPr>
          <w:trHeight w:val="1344"/>
        </w:trPr>
        <w:tc>
          <w:tcPr>
            <w:tcW w:w="4112" w:type="dxa"/>
            <w:vMerge/>
          </w:tcPr>
          <w:p w14:paraId="5359B93C" w14:textId="77777777" w:rsidR="00C7447E" w:rsidRPr="009350CE" w:rsidRDefault="00C7447E" w:rsidP="00D04A50">
            <w:pPr>
              <w:pStyle w:val="Odsekzoznamu"/>
              <w:numPr>
                <w:ilvl w:val="0"/>
                <w:numId w:val="7"/>
              </w:numPr>
              <w:rPr>
                <w:rStyle w:val="CEAGraphTitle"/>
                <w:szCs w:val="17"/>
              </w:rPr>
            </w:pPr>
          </w:p>
        </w:tc>
        <w:tc>
          <w:tcPr>
            <w:tcW w:w="3969" w:type="dxa"/>
            <w:vMerge/>
          </w:tcPr>
          <w:p w14:paraId="34240F56" w14:textId="77777777" w:rsidR="00C7447E" w:rsidRPr="00705BD9" w:rsidRDefault="00C7447E" w:rsidP="00D04A50">
            <w:pPr>
              <w:pStyle w:val="Odsekzoznamu"/>
              <w:numPr>
                <w:ilvl w:val="0"/>
                <w:numId w:val="10"/>
              </w:numPr>
              <w:rPr>
                <w:rStyle w:val="CEAGraphTitle"/>
                <w:szCs w:val="17"/>
              </w:rPr>
            </w:pPr>
          </w:p>
        </w:tc>
        <w:tc>
          <w:tcPr>
            <w:tcW w:w="3187" w:type="dxa"/>
            <w:vMerge/>
          </w:tcPr>
          <w:p w14:paraId="666D163B" w14:textId="77777777" w:rsidR="00C7447E" w:rsidRPr="00C7447E" w:rsidRDefault="00C7447E" w:rsidP="00C7447E">
            <w:pPr>
              <w:spacing w:line="240" w:lineRule="auto"/>
              <w:rPr>
                <w:rStyle w:val="CEAGraphTitle"/>
                <w:szCs w:val="17"/>
              </w:rPr>
            </w:pPr>
          </w:p>
        </w:tc>
        <w:tc>
          <w:tcPr>
            <w:tcW w:w="3683" w:type="dxa"/>
          </w:tcPr>
          <w:p w14:paraId="6C6E8E3F" w14:textId="26E8FC29" w:rsidR="00C7447E" w:rsidRPr="00044F92" w:rsidRDefault="00F544CB" w:rsidP="00C409D0">
            <w:pPr>
              <w:pStyle w:val="Odsekzoznamu"/>
              <w:numPr>
                <w:ilvl w:val="0"/>
                <w:numId w:val="32"/>
              </w:numPr>
              <w:rPr>
                <w:rStyle w:val="CEAGraphTitle"/>
                <w:u w:val="single"/>
              </w:rPr>
            </w:pPr>
            <w:r w:rsidRPr="00044F92">
              <w:rPr>
                <w:rStyle w:val="CEAGraphTitle"/>
                <w:u w:val="single"/>
              </w:rPr>
              <w:t>A 628</w:t>
            </w:r>
            <w:r w:rsidR="003179EA" w:rsidRPr="00044F92">
              <w:rPr>
                <w:rStyle w:val="CEAGraphTitle"/>
                <w:u w:val="single"/>
              </w:rPr>
              <w:t xml:space="preserve"> (</w:t>
            </w:r>
            <w:proofErr w:type="spellStart"/>
            <w:r w:rsidR="003179EA" w:rsidRPr="00044F92">
              <w:rPr>
                <w:u w:val="single"/>
              </w:rPr>
              <w:t>Stéphanie</w:t>
            </w:r>
            <w:proofErr w:type="spellEnd"/>
            <w:r w:rsidR="003179EA" w:rsidRPr="00044F92">
              <w:rPr>
                <w:u w:val="single"/>
              </w:rPr>
              <w:t xml:space="preserve"> Yon-Courtin, Gilles Boyer)</w:t>
            </w:r>
          </w:p>
          <w:p w14:paraId="01FAB3EC" w14:textId="0C0D11BF" w:rsidR="00C7447E" w:rsidRDefault="00C7447E" w:rsidP="00AC4373">
            <w:pPr>
              <w:rPr>
                <w:rStyle w:val="CEAGraphTitle"/>
              </w:rPr>
            </w:pPr>
            <w:r>
              <w:rPr>
                <w:rStyle w:val="CEAGraphTitle"/>
              </w:rPr>
              <w:t xml:space="preserve">b) </w:t>
            </w:r>
            <w:r>
              <w:t>the sub-set of equity investments is included within a portfolio of assets which is assigned to cover the best estimate</w:t>
            </w:r>
            <w:r w:rsidRPr="00D335E1">
              <w:rPr>
                <w:strike/>
                <w:color w:val="FF0000"/>
              </w:rPr>
              <w:t>, its risk margin and share of the own funds</w:t>
            </w:r>
            <w:r w:rsidRPr="00D335E1">
              <w:rPr>
                <w:color w:val="FF0000"/>
              </w:rPr>
              <w:t xml:space="preserve"> </w:t>
            </w:r>
            <w:r>
              <w:t xml:space="preserve">of a portfolio of insurance or reinsurance obligations corresponding to one or several clearly identified businesses </w:t>
            </w:r>
            <w:r w:rsidRPr="00D335E1">
              <w:rPr>
                <w:color w:val="FF0000"/>
              </w:rPr>
              <w:t>including own funds and the risk margin, and the undertaking maintains that assignment</w:t>
            </w:r>
            <w:r>
              <w:t>;</w:t>
            </w:r>
          </w:p>
        </w:tc>
      </w:tr>
      <w:tr w:rsidR="000115A2" w14:paraId="08AC0A9B" w14:textId="77777777" w:rsidTr="00285883">
        <w:trPr>
          <w:trHeight w:val="1035"/>
        </w:trPr>
        <w:tc>
          <w:tcPr>
            <w:tcW w:w="4112" w:type="dxa"/>
            <w:vMerge w:val="restart"/>
          </w:tcPr>
          <w:p w14:paraId="38A85CAB" w14:textId="1FA9222B" w:rsidR="00C7447E" w:rsidRPr="009350CE" w:rsidRDefault="00C7447E" w:rsidP="00D04A50">
            <w:pPr>
              <w:pStyle w:val="Odsekzoznamu"/>
              <w:numPr>
                <w:ilvl w:val="0"/>
                <w:numId w:val="7"/>
              </w:numPr>
              <w:rPr>
                <w:rStyle w:val="CEAGraphTitle"/>
                <w:szCs w:val="17"/>
              </w:rPr>
            </w:pPr>
            <w:r w:rsidRPr="009350CE">
              <w:rPr>
                <w:rStyle w:val="CEAGraphTitle"/>
                <w:szCs w:val="17"/>
              </w:rPr>
              <w:t>The assigned portfolio of assets referred to in point (b) are identified separately from the other activities of the undertaking.</w:t>
            </w:r>
          </w:p>
        </w:tc>
        <w:tc>
          <w:tcPr>
            <w:tcW w:w="3969" w:type="dxa"/>
            <w:vMerge w:val="restart"/>
          </w:tcPr>
          <w:p w14:paraId="2DF7E07E" w14:textId="605DD820" w:rsidR="00C7447E" w:rsidRPr="0047053C" w:rsidRDefault="00C7447E" w:rsidP="00D04A50">
            <w:pPr>
              <w:pStyle w:val="Odsekzoznamu"/>
              <w:numPr>
                <w:ilvl w:val="0"/>
                <w:numId w:val="12"/>
              </w:numPr>
              <w:spacing w:line="240" w:lineRule="auto"/>
              <w:rPr>
                <w:rStyle w:val="CEAGraphTitle"/>
                <w:szCs w:val="17"/>
              </w:rPr>
            </w:pPr>
            <w:r w:rsidRPr="0047053C">
              <w:rPr>
                <w:rStyle w:val="CEAGraphTitle"/>
                <w:szCs w:val="17"/>
              </w:rPr>
              <w:t>the assigned portfolio of assets referred to in point (b) are identified and</w:t>
            </w:r>
            <w:r w:rsidRPr="0047053C">
              <w:rPr>
                <w:rStyle w:val="CEAGraphTitle"/>
                <w:color w:val="FF0000"/>
                <w:szCs w:val="17"/>
              </w:rPr>
              <w:t xml:space="preserve"> managed </w:t>
            </w:r>
            <w:r w:rsidRPr="0047053C">
              <w:rPr>
                <w:rStyle w:val="CEAGraphTitle"/>
                <w:szCs w:val="17"/>
              </w:rPr>
              <w:t>separately from the other activities of the undertaking.</w:t>
            </w:r>
          </w:p>
        </w:tc>
        <w:tc>
          <w:tcPr>
            <w:tcW w:w="3187" w:type="dxa"/>
            <w:vMerge w:val="restart"/>
          </w:tcPr>
          <w:p w14:paraId="196C097C" w14:textId="45CCAF5A" w:rsidR="00C7447E" w:rsidRPr="0047053C" w:rsidRDefault="00C7447E" w:rsidP="00D04A50">
            <w:pPr>
              <w:pStyle w:val="Odsekzoznamu"/>
              <w:numPr>
                <w:ilvl w:val="0"/>
                <w:numId w:val="14"/>
              </w:numPr>
              <w:spacing w:line="240" w:lineRule="auto"/>
              <w:rPr>
                <w:rStyle w:val="CEAGraphTitle"/>
                <w:color w:val="FF0000"/>
                <w:szCs w:val="17"/>
              </w:rPr>
            </w:pPr>
            <w:r w:rsidRPr="0047053C">
              <w:rPr>
                <w:rStyle w:val="CEAGraphTitle"/>
                <w:color w:val="FF0000"/>
                <w:szCs w:val="17"/>
              </w:rPr>
              <w:t xml:space="preserve">the portfolio of insurance or reinsurance obligations, and </w:t>
            </w:r>
            <w:r w:rsidRPr="0047053C">
              <w:rPr>
                <w:rStyle w:val="CEAGraphTitle"/>
                <w:szCs w:val="17"/>
              </w:rPr>
              <w:t xml:space="preserve">the assigned portfolio of assets referred to in point (b) are identified, </w:t>
            </w:r>
            <w:r w:rsidRPr="0047053C">
              <w:rPr>
                <w:rStyle w:val="CEAGraphTitle"/>
                <w:color w:val="FF0000"/>
                <w:szCs w:val="17"/>
              </w:rPr>
              <w:t>managed and organised</w:t>
            </w:r>
            <w:r w:rsidRPr="0047053C">
              <w:rPr>
                <w:rStyle w:val="CEAGraphTitle"/>
                <w:szCs w:val="17"/>
              </w:rPr>
              <w:t xml:space="preserve"> separately from the other activities of the undertaking, </w:t>
            </w:r>
            <w:r w:rsidRPr="0047053C">
              <w:rPr>
                <w:rStyle w:val="CEAGraphTitle"/>
                <w:color w:val="FF0000"/>
                <w:szCs w:val="17"/>
              </w:rPr>
              <w:t>and the assigned portfolio of assets is not used to cover losses arising from other activities of the undertaking;</w:t>
            </w:r>
          </w:p>
        </w:tc>
        <w:tc>
          <w:tcPr>
            <w:tcW w:w="3683" w:type="dxa"/>
          </w:tcPr>
          <w:p w14:paraId="31DEBDDB" w14:textId="77777777" w:rsidR="00C7447E" w:rsidRPr="00044F92" w:rsidRDefault="00C7447E" w:rsidP="00C409D0">
            <w:pPr>
              <w:pStyle w:val="Odsekzoznamu"/>
              <w:numPr>
                <w:ilvl w:val="0"/>
                <w:numId w:val="32"/>
              </w:numPr>
              <w:rPr>
                <w:rStyle w:val="CEAGraphTitle"/>
                <w:u w:val="single"/>
                <w:lang w:val="it-IT"/>
              </w:rPr>
            </w:pPr>
            <w:r w:rsidRPr="00044F92">
              <w:rPr>
                <w:rStyle w:val="CEAGraphTitle"/>
                <w:u w:val="single"/>
                <w:lang w:val="it-IT"/>
              </w:rPr>
              <w:t>A 624 (</w:t>
            </w:r>
            <w:r w:rsidRPr="00044F92">
              <w:rPr>
                <w:u w:val="single"/>
                <w:lang w:val="it-IT"/>
              </w:rPr>
              <w:t>Raffaele Fitto)</w:t>
            </w:r>
            <w:r w:rsidRPr="00044F92">
              <w:rPr>
                <w:rStyle w:val="CEAGraphTitle"/>
                <w:u w:val="single"/>
                <w:lang w:val="it-IT"/>
              </w:rPr>
              <w:t>/A 625 (</w:t>
            </w:r>
            <w:r w:rsidRPr="00044F92">
              <w:rPr>
                <w:u w:val="single"/>
                <w:lang w:val="it-IT"/>
              </w:rPr>
              <w:t>Fabio Massimo Castaldo)</w:t>
            </w:r>
            <w:r w:rsidRPr="00044F92">
              <w:rPr>
                <w:rStyle w:val="CEAGraphTitle"/>
                <w:u w:val="single"/>
                <w:lang w:val="it-IT"/>
              </w:rPr>
              <w:t>/A 626 (</w:t>
            </w:r>
            <w:r w:rsidRPr="00044F92">
              <w:rPr>
                <w:u w:val="single"/>
                <w:lang w:val="it-IT"/>
              </w:rPr>
              <w:t>Marco Zanni, Valentino Grant, Antonio Maria Rinaldi)</w:t>
            </w:r>
          </w:p>
          <w:p w14:paraId="6AD0520E" w14:textId="5B56FFC7" w:rsidR="00C7447E" w:rsidRDefault="00C7447E" w:rsidP="006864D4">
            <w:pPr>
              <w:rPr>
                <w:rStyle w:val="CEAGraphTitle"/>
              </w:rPr>
            </w:pPr>
            <w:r>
              <w:rPr>
                <w:rStyle w:val="CEAGraphTitle"/>
              </w:rPr>
              <w:t xml:space="preserve">c) </w:t>
            </w:r>
            <w:r w:rsidRPr="009350CE">
              <w:rPr>
                <w:rStyle w:val="CEAGraphTitle"/>
                <w:szCs w:val="17"/>
              </w:rPr>
              <w:t xml:space="preserve">The assigned portfolio of assets referred to in point (b) are identified </w:t>
            </w:r>
            <w:r w:rsidRPr="005A7EB3">
              <w:rPr>
                <w:rStyle w:val="CEAGraphTitle"/>
                <w:color w:val="FF0000"/>
                <w:szCs w:val="17"/>
              </w:rPr>
              <w:t xml:space="preserve">and managed </w:t>
            </w:r>
            <w:r w:rsidRPr="009350CE">
              <w:rPr>
                <w:rStyle w:val="CEAGraphTitle"/>
                <w:szCs w:val="17"/>
              </w:rPr>
              <w:t>separately from the other activities of the undertaking</w:t>
            </w:r>
            <w:r>
              <w:rPr>
                <w:rStyle w:val="CEAGraphTitle"/>
                <w:szCs w:val="17"/>
              </w:rPr>
              <w:t>;</w:t>
            </w:r>
          </w:p>
        </w:tc>
      </w:tr>
      <w:tr w:rsidR="000115A2" w14:paraId="71C63281" w14:textId="77777777" w:rsidTr="00285883">
        <w:trPr>
          <w:trHeight w:val="1035"/>
        </w:trPr>
        <w:tc>
          <w:tcPr>
            <w:tcW w:w="4112" w:type="dxa"/>
            <w:vMerge/>
          </w:tcPr>
          <w:p w14:paraId="670C3DC9" w14:textId="77777777" w:rsidR="00C7447E" w:rsidRPr="009350CE" w:rsidRDefault="00C7447E" w:rsidP="00D04A50">
            <w:pPr>
              <w:pStyle w:val="Odsekzoznamu"/>
              <w:numPr>
                <w:ilvl w:val="0"/>
                <w:numId w:val="7"/>
              </w:numPr>
              <w:rPr>
                <w:rStyle w:val="CEAGraphTitle"/>
                <w:szCs w:val="17"/>
              </w:rPr>
            </w:pPr>
          </w:p>
        </w:tc>
        <w:tc>
          <w:tcPr>
            <w:tcW w:w="3969" w:type="dxa"/>
            <w:vMerge/>
          </w:tcPr>
          <w:p w14:paraId="5BAB272D" w14:textId="77777777" w:rsidR="00C7447E" w:rsidRPr="0047053C" w:rsidRDefault="00C7447E" w:rsidP="00D04A50">
            <w:pPr>
              <w:pStyle w:val="Odsekzoznamu"/>
              <w:numPr>
                <w:ilvl w:val="0"/>
                <w:numId w:val="12"/>
              </w:numPr>
              <w:spacing w:line="240" w:lineRule="auto"/>
              <w:rPr>
                <w:rStyle w:val="CEAGraphTitle"/>
                <w:szCs w:val="17"/>
              </w:rPr>
            </w:pPr>
          </w:p>
        </w:tc>
        <w:tc>
          <w:tcPr>
            <w:tcW w:w="3187" w:type="dxa"/>
            <w:vMerge/>
          </w:tcPr>
          <w:p w14:paraId="500ADD69" w14:textId="77777777" w:rsidR="00C7447E" w:rsidRPr="0047053C" w:rsidRDefault="00C7447E" w:rsidP="00C7447E">
            <w:pPr>
              <w:pStyle w:val="Odsekzoznamu"/>
              <w:spacing w:line="240" w:lineRule="auto"/>
              <w:ind w:left="360"/>
              <w:rPr>
                <w:rStyle w:val="CEAGraphTitle"/>
                <w:color w:val="FF0000"/>
                <w:szCs w:val="17"/>
              </w:rPr>
            </w:pPr>
          </w:p>
        </w:tc>
        <w:tc>
          <w:tcPr>
            <w:tcW w:w="3683" w:type="dxa"/>
          </w:tcPr>
          <w:p w14:paraId="6A927A15" w14:textId="6703CF6C" w:rsidR="00C7447E" w:rsidRPr="00044F92" w:rsidRDefault="00F544CB" w:rsidP="00C409D0">
            <w:pPr>
              <w:pStyle w:val="Odsekzoznamu"/>
              <w:numPr>
                <w:ilvl w:val="0"/>
                <w:numId w:val="32"/>
              </w:numPr>
              <w:rPr>
                <w:rStyle w:val="CEAGraphTitle"/>
                <w:u w:val="single"/>
              </w:rPr>
            </w:pPr>
            <w:r w:rsidRPr="00044F92">
              <w:rPr>
                <w:rStyle w:val="CEAGraphTitle"/>
                <w:u w:val="single"/>
              </w:rPr>
              <w:t>A 627</w:t>
            </w:r>
            <w:r w:rsidR="003B5C7A" w:rsidRPr="00044F92">
              <w:rPr>
                <w:rStyle w:val="CEAGraphTitle"/>
                <w:u w:val="single"/>
              </w:rPr>
              <w:t xml:space="preserve"> (</w:t>
            </w:r>
            <w:r w:rsidR="003B5C7A" w:rsidRPr="00044F92">
              <w:rPr>
                <w:u w:val="single"/>
              </w:rPr>
              <w:t xml:space="preserve">Johan Van </w:t>
            </w:r>
            <w:proofErr w:type="spellStart"/>
            <w:r w:rsidR="003B5C7A" w:rsidRPr="00044F92">
              <w:rPr>
                <w:u w:val="single"/>
              </w:rPr>
              <w:t>Overtveldt</w:t>
            </w:r>
            <w:proofErr w:type="spellEnd"/>
            <w:r w:rsidR="003B5C7A" w:rsidRPr="00044F92">
              <w:rPr>
                <w:u w:val="single"/>
              </w:rPr>
              <w:t>)</w:t>
            </w:r>
          </w:p>
          <w:p w14:paraId="4BDCECD8" w14:textId="3D7C749D" w:rsidR="00C7447E" w:rsidRDefault="00C7447E" w:rsidP="0047053C">
            <w:pPr>
              <w:rPr>
                <w:rStyle w:val="CEAGraphTitle"/>
              </w:rPr>
            </w:pPr>
            <w:r>
              <w:rPr>
                <w:rStyle w:val="CEAGraphTitle"/>
              </w:rPr>
              <w:t xml:space="preserve">c) </w:t>
            </w:r>
            <w:r>
              <w:t xml:space="preserve">the assigned portfolio of assets referred to in point (b) </w:t>
            </w:r>
            <w:r w:rsidRPr="00B967EE">
              <w:rPr>
                <w:color w:val="FF0000"/>
              </w:rPr>
              <w:t xml:space="preserve">is </w:t>
            </w:r>
            <w:r w:rsidRPr="00B967EE">
              <w:rPr>
                <w:strike/>
                <w:color w:val="FF0000"/>
              </w:rPr>
              <w:t>are</w:t>
            </w:r>
            <w:r w:rsidRPr="00B967EE">
              <w:rPr>
                <w:color w:val="FF0000"/>
              </w:rPr>
              <w:t xml:space="preserve"> </w:t>
            </w:r>
            <w:r>
              <w:t xml:space="preserve">identified </w:t>
            </w:r>
            <w:r w:rsidRPr="00B967EE">
              <w:rPr>
                <w:rStyle w:val="CEAGraphTitle"/>
                <w:strike/>
                <w:color w:val="FF0000"/>
                <w:szCs w:val="17"/>
              </w:rPr>
              <w:t>separately from the other activities of the undertaking.</w:t>
            </w:r>
          </w:p>
        </w:tc>
      </w:tr>
      <w:tr w:rsidR="000115A2" w14:paraId="3C430EB0" w14:textId="77777777" w:rsidTr="00285883">
        <w:trPr>
          <w:trHeight w:val="1035"/>
        </w:trPr>
        <w:tc>
          <w:tcPr>
            <w:tcW w:w="4112" w:type="dxa"/>
            <w:vMerge/>
          </w:tcPr>
          <w:p w14:paraId="5B8C6C2F" w14:textId="77777777" w:rsidR="00C7447E" w:rsidRPr="009350CE" w:rsidRDefault="00C7447E" w:rsidP="00D04A50">
            <w:pPr>
              <w:pStyle w:val="Odsekzoznamu"/>
              <w:numPr>
                <w:ilvl w:val="0"/>
                <w:numId w:val="7"/>
              </w:numPr>
              <w:rPr>
                <w:rStyle w:val="CEAGraphTitle"/>
                <w:szCs w:val="17"/>
              </w:rPr>
            </w:pPr>
          </w:p>
        </w:tc>
        <w:tc>
          <w:tcPr>
            <w:tcW w:w="3969" w:type="dxa"/>
            <w:vMerge/>
          </w:tcPr>
          <w:p w14:paraId="351F2183" w14:textId="77777777" w:rsidR="00C7447E" w:rsidRPr="0047053C" w:rsidRDefault="00C7447E" w:rsidP="00D04A50">
            <w:pPr>
              <w:pStyle w:val="Odsekzoznamu"/>
              <w:numPr>
                <w:ilvl w:val="0"/>
                <w:numId w:val="12"/>
              </w:numPr>
              <w:spacing w:line="240" w:lineRule="auto"/>
              <w:rPr>
                <w:rStyle w:val="CEAGraphTitle"/>
                <w:szCs w:val="17"/>
              </w:rPr>
            </w:pPr>
          </w:p>
        </w:tc>
        <w:tc>
          <w:tcPr>
            <w:tcW w:w="3187" w:type="dxa"/>
            <w:vMerge/>
          </w:tcPr>
          <w:p w14:paraId="065581A6" w14:textId="77777777" w:rsidR="00C7447E" w:rsidRPr="0047053C" w:rsidRDefault="00C7447E" w:rsidP="00C7447E">
            <w:pPr>
              <w:pStyle w:val="Odsekzoznamu"/>
              <w:spacing w:line="240" w:lineRule="auto"/>
              <w:ind w:left="360"/>
              <w:rPr>
                <w:rStyle w:val="CEAGraphTitle"/>
                <w:color w:val="FF0000"/>
                <w:szCs w:val="17"/>
              </w:rPr>
            </w:pPr>
          </w:p>
        </w:tc>
        <w:tc>
          <w:tcPr>
            <w:tcW w:w="3683" w:type="dxa"/>
          </w:tcPr>
          <w:p w14:paraId="0F9A9503" w14:textId="755511A4" w:rsidR="00C7447E" w:rsidRPr="00044F92" w:rsidRDefault="00F544CB" w:rsidP="00C409D0">
            <w:pPr>
              <w:pStyle w:val="Odsekzoznamu"/>
              <w:numPr>
                <w:ilvl w:val="0"/>
                <w:numId w:val="32"/>
              </w:numPr>
              <w:rPr>
                <w:rStyle w:val="CEAGraphTitle"/>
                <w:u w:val="single"/>
              </w:rPr>
            </w:pPr>
            <w:r w:rsidRPr="00044F92">
              <w:rPr>
                <w:rStyle w:val="CEAGraphTitle"/>
                <w:u w:val="single"/>
              </w:rPr>
              <w:t>A 628</w:t>
            </w:r>
            <w:r w:rsidR="003179EA" w:rsidRPr="00044F92">
              <w:rPr>
                <w:rStyle w:val="CEAGraphTitle"/>
                <w:u w:val="single"/>
              </w:rPr>
              <w:t xml:space="preserve"> (</w:t>
            </w:r>
            <w:proofErr w:type="spellStart"/>
            <w:r w:rsidR="003179EA" w:rsidRPr="00044F92">
              <w:rPr>
                <w:u w:val="single"/>
              </w:rPr>
              <w:t>Stéphanie</w:t>
            </w:r>
            <w:proofErr w:type="spellEnd"/>
            <w:r w:rsidR="003179EA" w:rsidRPr="00044F92">
              <w:rPr>
                <w:u w:val="single"/>
              </w:rPr>
              <w:t xml:space="preserve"> Yon-Courtin, Gilles Boyer)</w:t>
            </w:r>
          </w:p>
          <w:p w14:paraId="195B75BA" w14:textId="25643038" w:rsidR="00C7447E" w:rsidRDefault="00C7447E" w:rsidP="00EC01D6">
            <w:pPr>
              <w:spacing w:before="240"/>
              <w:jc w:val="left"/>
              <w:rPr>
                <w:rStyle w:val="CEAGraphTitle"/>
              </w:rPr>
            </w:pPr>
            <w:r>
              <w:rPr>
                <w:rStyle w:val="CEAGraphTitle"/>
              </w:rPr>
              <w:t xml:space="preserve">c) </w:t>
            </w:r>
            <w:r>
              <w:t xml:space="preserve">the assigned portfolios of assets </w:t>
            </w:r>
            <w:r w:rsidRPr="00742705">
              <w:rPr>
                <w:color w:val="FF0000"/>
              </w:rPr>
              <w:t xml:space="preserve">and liabilities </w:t>
            </w:r>
            <w:r>
              <w:t>referred to in point (b) are identified</w:t>
            </w:r>
            <w:r w:rsidRPr="009B3236">
              <w:rPr>
                <w:strike/>
                <w:color w:val="FF0000"/>
              </w:rPr>
              <w:t xml:space="preserve"> </w:t>
            </w:r>
            <w:r w:rsidRPr="009B3236">
              <w:rPr>
                <w:rStyle w:val="CEAGraphTitle"/>
                <w:strike/>
                <w:color w:val="FF0000"/>
                <w:szCs w:val="17"/>
              </w:rPr>
              <w:t>separately from the other activities of the undertaking.</w:t>
            </w:r>
            <w:r>
              <w:t>;</w:t>
            </w:r>
          </w:p>
        </w:tc>
      </w:tr>
      <w:tr w:rsidR="004C5FA6" w:rsidRPr="0047053C" w14:paraId="5543CD54" w14:textId="77777777" w:rsidTr="00285883">
        <w:trPr>
          <w:trHeight w:val="1836"/>
        </w:trPr>
        <w:tc>
          <w:tcPr>
            <w:tcW w:w="4112" w:type="dxa"/>
          </w:tcPr>
          <w:p w14:paraId="05309D28" w14:textId="5CB7BB47" w:rsidR="00F544CB" w:rsidRPr="0047053C" w:rsidRDefault="00F544CB" w:rsidP="00D04A50">
            <w:pPr>
              <w:pStyle w:val="Odsekzoznamu"/>
              <w:numPr>
                <w:ilvl w:val="0"/>
                <w:numId w:val="7"/>
              </w:numPr>
              <w:rPr>
                <w:rStyle w:val="CEAGraphTitle"/>
                <w:szCs w:val="17"/>
              </w:rPr>
            </w:pPr>
            <w:r w:rsidRPr="0047053C">
              <w:rPr>
                <w:rStyle w:val="CEAGraphTitle"/>
                <w:szCs w:val="17"/>
              </w:rPr>
              <w:t>[Replaced by new number (2)]</w:t>
            </w:r>
          </w:p>
        </w:tc>
        <w:tc>
          <w:tcPr>
            <w:tcW w:w="3969" w:type="dxa"/>
          </w:tcPr>
          <w:p w14:paraId="3509AD39" w14:textId="77777777" w:rsidR="00F544CB" w:rsidRPr="0047053C" w:rsidRDefault="00F544CB" w:rsidP="009A161C">
            <w:pPr>
              <w:pStyle w:val="Odsekzoznamu"/>
              <w:spacing w:line="240" w:lineRule="auto"/>
              <w:ind w:left="360"/>
              <w:rPr>
                <w:rStyle w:val="CEAGraphTitle"/>
                <w:szCs w:val="17"/>
              </w:rPr>
            </w:pPr>
          </w:p>
        </w:tc>
        <w:tc>
          <w:tcPr>
            <w:tcW w:w="3187" w:type="dxa"/>
          </w:tcPr>
          <w:p w14:paraId="4F472532" w14:textId="5B29DFAE" w:rsidR="00F544CB" w:rsidRPr="0047053C" w:rsidRDefault="00F544CB" w:rsidP="00D04A50">
            <w:pPr>
              <w:pStyle w:val="Odsekzoznamu"/>
              <w:numPr>
                <w:ilvl w:val="0"/>
                <w:numId w:val="14"/>
              </w:numPr>
              <w:spacing w:line="240" w:lineRule="auto"/>
              <w:rPr>
                <w:rStyle w:val="CEAGraphTitle"/>
                <w:color w:val="FF0000"/>
                <w:szCs w:val="17"/>
              </w:rPr>
            </w:pPr>
            <w:r w:rsidRPr="0047053C">
              <w:rPr>
                <w:rStyle w:val="CEAGraphTitle"/>
                <w:color w:val="FF0000"/>
                <w:szCs w:val="17"/>
              </w:rPr>
              <w:t>the technical provisions within the portfolio of insurance or reinsurance obligations referred to in point (b) only represent a part of the total technical provisions of the insurance or reinsurance undertaking;</w:t>
            </w:r>
          </w:p>
        </w:tc>
        <w:tc>
          <w:tcPr>
            <w:tcW w:w="3683" w:type="dxa"/>
          </w:tcPr>
          <w:p w14:paraId="1B7687BD" w14:textId="3BAB14F5" w:rsidR="00F544CB" w:rsidRDefault="00F544CB" w:rsidP="0047053C">
            <w:pPr>
              <w:rPr>
                <w:rStyle w:val="CEAGraphTitle"/>
              </w:rPr>
            </w:pPr>
          </w:p>
        </w:tc>
      </w:tr>
      <w:tr w:rsidR="000115A2" w:rsidRPr="0047053C" w14:paraId="492E0E1F" w14:textId="77777777" w:rsidTr="00285883">
        <w:trPr>
          <w:trHeight w:val="1966"/>
        </w:trPr>
        <w:tc>
          <w:tcPr>
            <w:tcW w:w="4112" w:type="dxa"/>
            <w:vMerge w:val="restart"/>
          </w:tcPr>
          <w:p w14:paraId="6409653B" w14:textId="786DC853" w:rsidR="00327082" w:rsidRPr="0047053C" w:rsidRDefault="00327082" w:rsidP="00D04A50">
            <w:pPr>
              <w:pStyle w:val="Odsekzoznamu"/>
              <w:numPr>
                <w:ilvl w:val="0"/>
                <w:numId w:val="7"/>
              </w:numPr>
              <w:rPr>
                <w:rStyle w:val="CEAGraphTitle"/>
                <w:szCs w:val="17"/>
              </w:rPr>
            </w:pPr>
            <w:r w:rsidRPr="0047053C">
              <w:rPr>
                <w:rStyle w:val="CEAGraphTitle"/>
                <w:szCs w:val="17"/>
              </w:rPr>
              <w:t>A policy for long-term investment management is set up for each long-term equity portfolio and reflects undertaking’s strategic asset allocation to hold the global exposure to equity in the sub-set of equity investment for a period that exceeds 5 years on average. The AMSB of the undertaking has signed off this strategic allocation in the investment management policies and these policies are frequently reviewed against the actual management of the portfolios.</w:t>
            </w:r>
          </w:p>
        </w:tc>
        <w:tc>
          <w:tcPr>
            <w:tcW w:w="3969" w:type="dxa"/>
            <w:vMerge w:val="restart"/>
          </w:tcPr>
          <w:p w14:paraId="577D76A7" w14:textId="687EB5C4" w:rsidR="00327082" w:rsidRPr="0047053C" w:rsidRDefault="00327082" w:rsidP="00D04A50">
            <w:pPr>
              <w:pStyle w:val="Odsekzoznamu"/>
              <w:numPr>
                <w:ilvl w:val="0"/>
                <w:numId w:val="16"/>
              </w:numPr>
              <w:spacing w:line="240" w:lineRule="auto"/>
              <w:rPr>
                <w:rStyle w:val="CEAGraphTitle"/>
                <w:szCs w:val="17"/>
              </w:rPr>
            </w:pPr>
            <w:r w:rsidRPr="0047053C">
              <w:rPr>
                <w:rStyle w:val="CEAGraphTitle"/>
                <w:szCs w:val="17"/>
              </w:rPr>
              <w:t xml:space="preserve">a policy for long-term investment management is set up for each long-term equity portfolio and reflects undertaking’s </w:t>
            </w:r>
            <w:r w:rsidRPr="0047053C">
              <w:rPr>
                <w:rStyle w:val="CEAGraphTitle"/>
                <w:strike/>
                <w:color w:val="FF0000"/>
                <w:szCs w:val="17"/>
              </w:rPr>
              <w:t>strategic asset allocation</w:t>
            </w:r>
            <w:r w:rsidRPr="0047053C">
              <w:rPr>
                <w:rStyle w:val="CEAGraphTitle"/>
                <w:color w:val="FF0000"/>
                <w:szCs w:val="17"/>
              </w:rPr>
              <w:t xml:space="preserve"> commitment </w:t>
            </w:r>
            <w:r w:rsidRPr="0047053C">
              <w:rPr>
                <w:rStyle w:val="CEAGraphTitle"/>
                <w:szCs w:val="17"/>
              </w:rPr>
              <w:t xml:space="preserve">to hold the global exposure to equity in the sub-set of equity investment for a period that exceeds 5 years on average. The AMSB of the undertaking has signed off </w:t>
            </w:r>
            <w:r w:rsidRPr="0047053C">
              <w:rPr>
                <w:rStyle w:val="CEAGraphTitle"/>
                <w:color w:val="FF0000"/>
                <w:szCs w:val="17"/>
              </w:rPr>
              <w:t xml:space="preserve">these </w:t>
            </w:r>
            <w:r w:rsidRPr="0047053C">
              <w:rPr>
                <w:rStyle w:val="CEAGraphTitle"/>
                <w:strike/>
                <w:color w:val="FF0000"/>
                <w:szCs w:val="17"/>
              </w:rPr>
              <w:t>this strategic allocation in the</w:t>
            </w:r>
            <w:r w:rsidRPr="0047053C">
              <w:rPr>
                <w:rStyle w:val="CEAGraphTitle"/>
                <w:szCs w:val="17"/>
              </w:rPr>
              <w:t xml:space="preserve"> investment management policies and these policies are frequently reviewed against the actual management of the portfolios</w:t>
            </w:r>
          </w:p>
        </w:tc>
        <w:tc>
          <w:tcPr>
            <w:tcW w:w="3187" w:type="dxa"/>
            <w:vMerge w:val="restart"/>
          </w:tcPr>
          <w:p w14:paraId="033DC5EE" w14:textId="0149B34C" w:rsidR="00327082" w:rsidRPr="0047053C" w:rsidRDefault="00327082" w:rsidP="00D04A50">
            <w:pPr>
              <w:pStyle w:val="Odsekzoznamu"/>
              <w:numPr>
                <w:ilvl w:val="0"/>
                <w:numId w:val="14"/>
              </w:numPr>
              <w:spacing w:line="240" w:lineRule="auto"/>
              <w:rPr>
                <w:rStyle w:val="CEAGraphTitle"/>
                <w:color w:val="FF0000"/>
                <w:szCs w:val="17"/>
              </w:rPr>
            </w:pPr>
            <w:r w:rsidRPr="0047053C">
              <w:rPr>
                <w:rStyle w:val="CEAGraphTitle"/>
                <w:color w:val="FF0000"/>
                <w:szCs w:val="17"/>
              </w:rPr>
              <w:t>the average holding period of equity investments in the sub-set exceeds five years, or where the average holding period of the sub-set is lower than five years, the insurance or reinsurance undertaking does not sell any equity investments within the sub-set until the average holding period exceeds five years;</w:t>
            </w:r>
          </w:p>
        </w:tc>
        <w:tc>
          <w:tcPr>
            <w:tcW w:w="3683" w:type="dxa"/>
          </w:tcPr>
          <w:p w14:paraId="7C56AA76" w14:textId="77777777" w:rsidR="00327082" w:rsidRPr="00044F92" w:rsidRDefault="00327082" w:rsidP="00C409D0">
            <w:pPr>
              <w:pStyle w:val="Odsekzoznamu"/>
              <w:numPr>
                <w:ilvl w:val="0"/>
                <w:numId w:val="32"/>
              </w:numPr>
              <w:rPr>
                <w:rStyle w:val="CEAGraphTitle"/>
                <w:u w:val="single"/>
                <w:lang w:val="it-IT"/>
              </w:rPr>
            </w:pPr>
            <w:r w:rsidRPr="00044F92">
              <w:rPr>
                <w:rStyle w:val="CEAGraphTitle"/>
                <w:u w:val="single"/>
                <w:lang w:val="it-IT"/>
              </w:rPr>
              <w:t>A 624 (</w:t>
            </w:r>
            <w:r w:rsidRPr="00044F92">
              <w:rPr>
                <w:u w:val="single"/>
                <w:lang w:val="it-IT"/>
              </w:rPr>
              <w:t>Raffaele Fitto)</w:t>
            </w:r>
            <w:r w:rsidRPr="00044F92">
              <w:rPr>
                <w:rStyle w:val="CEAGraphTitle"/>
                <w:u w:val="single"/>
                <w:lang w:val="it-IT"/>
              </w:rPr>
              <w:t>/A 625 (</w:t>
            </w:r>
            <w:r w:rsidRPr="00044F92">
              <w:rPr>
                <w:u w:val="single"/>
                <w:lang w:val="it-IT"/>
              </w:rPr>
              <w:t>Fabio Massimo Castaldo)</w:t>
            </w:r>
            <w:r w:rsidRPr="00044F92">
              <w:rPr>
                <w:rStyle w:val="CEAGraphTitle"/>
                <w:u w:val="single"/>
                <w:lang w:val="it-IT"/>
              </w:rPr>
              <w:t>/A 626 (</w:t>
            </w:r>
            <w:r w:rsidRPr="00044F92">
              <w:rPr>
                <w:u w:val="single"/>
                <w:lang w:val="it-IT"/>
              </w:rPr>
              <w:t>Marco Zanni, Valentino Grant, Antonio Maria Rinaldi)</w:t>
            </w:r>
          </w:p>
          <w:p w14:paraId="13BB80CA" w14:textId="2F32B384" w:rsidR="00327082" w:rsidRDefault="00327082" w:rsidP="006864D4">
            <w:pPr>
              <w:rPr>
                <w:rStyle w:val="CEAGraphTitle"/>
              </w:rPr>
            </w:pPr>
            <w:r>
              <w:rPr>
                <w:rStyle w:val="CEAGraphTitle"/>
              </w:rPr>
              <w:t xml:space="preserve">d/e) </w:t>
            </w:r>
            <w:r w:rsidRPr="0047053C">
              <w:rPr>
                <w:rStyle w:val="CEAGraphTitle"/>
                <w:szCs w:val="17"/>
              </w:rPr>
              <w:t xml:space="preserve">A policy for long-term investment management is set up for each long-term equity portfolio and reflects undertaking’s </w:t>
            </w:r>
            <w:r w:rsidRPr="005A7EB3">
              <w:rPr>
                <w:rStyle w:val="CEAGraphTitle"/>
                <w:strike/>
                <w:color w:val="FF0000"/>
                <w:szCs w:val="17"/>
              </w:rPr>
              <w:t>strategic asset allocation</w:t>
            </w:r>
            <w:r>
              <w:rPr>
                <w:rStyle w:val="CEAGraphTitle"/>
                <w:szCs w:val="17"/>
              </w:rPr>
              <w:t xml:space="preserve"> </w:t>
            </w:r>
            <w:r w:rsidRPr="005A7EB3">
              <w:rPr>
                <w:rStyle w:val="CEAGraphTitle"/>
                <w:color w:val="FF0000"/>
                <w:szCs w:val="17"/>
              </w:rPr>
              <w:t>commitment</w:t>
            </w:r>
            <w:r w:rsidRPr="0047053C">
              <w:rPr>
                <w:rStyle w:val="CEAGraphTitle"/>
                <w:szCs w:val="17"/>
              </w:rPr>
              <w:t xml:space="preserve"> to hold the global exposure to equity in the sub-set of equity investment for a period that exceeds 5 years on average. The AMSB of the undertaking has signed </w:t>
            </w:r>
            <w:r w:rsidRPr="0047053C">
              <w:rPr>
                <w:rStyle w:val="CEAGraphTitle"/>
                <w:color w:val="FF0000"/>
                <w:szCs w:val="17"/>
              </w:rPr>
              <w:t xml:space="preserve">these </w:t>
            </w:r>
            <w:r w:rsidRPr="0047053C">
              <w:rPr>
                <w:rStyle w:val="CEAGraphTitle"/>
                <w:strike/>
                <w:color w:val="FF0000"/>
                <w:szCs w:val="17"/>
              </w:rPr>
              <w:t>this strategic allocation in the</w:t>
            </w:r>
            <w:r w:rsidRPr="0047053C">
              <w:rPr>
                <w:rStyle w:val="CEAGraphTitle"/>
                <w:szCs w:val="17"/>
              </w:rPr>
              <w:t xml:space="preserve"> investment management policies and these policies are frequently reviewed against the actual management of the portfolios.</w:t>
            </w:r>
          </w:p>
        </w:tc>
      </w:tr>
      <w:tr w:rsidR="000115A2" w:rsidRPr="0047053C" w14:paraId="7FB816FA" w14:textId="77777777" w:rsidTr="00285883">
        <w:trPr>
          <w:trHeight w:val="1966"/>
        </w:trPr>
        <w:tc>
          <w:tcPr>
            <w:tcW w:w="4112" w:type="dxa"/>
            <w:vMerge/>
          </w:tcPr>
          <w:p w14:paraId="602589E8" w14:textId="77777777" w:rsidR="00327082" w:rsidRPr="0047053C" w:rsidRDefault="00327082" w:rsidP="00D04A50">
            <w:pPr>
              <w:pStyle w:val="Odsekzoznamu"/>
              <w:numPr>
                <w:ilvl w:val="0"/>
                <w:numId w:val="7"/>
              </w:numPr>
              <w:rPr>
                <w:rStyle w:val="CEAGraphTitle"/>
                <w:szCs w:val="17"/>
              </w:rPr>
            </w:pPr>
          </w:p>
        </w:tc>
        <w:tc>
          <w:tcPr>
            <w:tcW w:w="3969" w:type="dxa"/>
            <w:vMerge/>
          </w:tcPr>
          <w:p w14:paraId="1B2877A7" w14:textId="77777777" w:rsidR="00327082" w:rsidRPr="0047053C" w:rsidRDefault="00327082" w:rsidP="00D04A50">
            <w:pPr>
              <w:pStyle w:val="Odsekzoznamu"/>
              <w:numPr>
                <w:ilvl w:val="0"/>
                <w:numId w:val="16"/>
              </w:numPr>
              <w:spacing w:line="240" w:lineRule="auto"/>
              <w:rPr>
                <w:rStyle w:val="CEAGraphTitle"/>
                <w:szCs w:val="17"/>
              </w:rPr>
            </w:pPr>
          </w:p>
        </w:tc>
        <w:tc>
          <w:tcPr>
            <w:tcW w:w="3187" w:type="dxa"/>
            <w:vMerge/>
          </w:tcPr>
          <w:p w14:paraId="7A830A7F" w14:textId="77777777" w:rsidR="00327082" w:rsidRPr="00327082" w:rsidRDefault="00327082" w:rsidP="00327082">
            <w:pPr>
              <w:spacing w:line="240" w:lineRule="auto"/>
              <w:rPr>
                <w:rStyle w:val="CEAGraphTitle"/>
                <w:color w:val="FF0000"/>
                <w:szCs w:val="17"/>
              </w:rPr>
            </w:pPr>
          </w:p>
        </w:tc>
        <w:tc>
          <w:tcPr>
            <w:tcW w:w="3683" w:type="dxa"/>
          </w:tcPr>
          <w:p w14:paraId="6DF62905" w14:textId="3AB4FBBD" w:rsidR="00327082" w:rsidRPr="00044F92" w:rsidRDefault="00F544CB" w:rsidP="00C409D0">
            <w:pPr>
              <w:pStyle w:val="Odsekzoznamu"/>
              <w:numPr>
                <w:ilvl w:val="0"/>
                <w:numId w:val="32"/>
              </w:numPr>
              <w:rPr>
                <w:rStyle w:val="CEAGraphTitle"/>
                <w:u w:val="single"/>
              </w:rPr>
            </w:pPr>
            <w:r w:rsidRPr="00044F92">
              <w:rPr>
                <w:rStyle w:val="CEAGraphTitle"/>
                <w:u w:val="single"/>
              </w:rPr>
              <w:t>A 627</w:t>
            </w:r>
            <w:r w:rsidR="003B5C7A" w:rsidRPr="00044F92">
              <w:rPr>
                <w:rStyle w:val="CEAGraphTitle"/>
                <w:u w:val="single"/>
              </w:rPr>
              <w:t xml:space="preserve"> (</w:t>
            </w:r>
            <w:r w:rsidR="003B5C7A" w:rsidRPr="00044F92">
              <w:rPr>
                <w:u w:val="single"/>
              </w:rPr>
              <w:t xml:space="preserve">Johan Van </w:t>
            </w:r>
            <w:proofErr w:type="spellStart"/>
            <w:r w:rsidR="003B5C7A" w:rsidRPr="00044F92">
              <w:rPr>
                <w:u w:val="single"/>
              </w:rPr>
              <w:t>Overtveldt</w:t>
            </w:r>
            <w:proofErr w:type="spellEnd"/>
            <w:r w:rsidR="003B5C7A" w:rsidRPr="00044F92">
              <w:rPr>
                <w:u w:val="single"/>
              </w:rPr>
              <w:t>)</w:t>
            </w:r>
          </w:p>
          <w:p w14:paraId="10369942" w14:textId="4A6A0A38" w:rsidR="00327082" w:rsidRPr="003B5C7A" w:rsidRDefault="00327082" w:rsidP="0047053C">
            <w:pPr>
              <w:rPr>
                <w:rStyle w:val="CEAGraphTitle"/>
                <w:strike/>
                <w:color w:val="FF0000"/>
                <w:szCs w:val="17"/>
              </w:rPr>
            </w:pPr>
            <w:r>
              <w:rPr>
                <w:rStyle w:val="CEAGraphTitle"/>
              </w:rPr>
              <w:t xml:space="preserve">d) </w:t>
            </w:r>
            <w:r w:rsidRPr="007D158C">
              <w:rPr>
                <w:color w:val="FF0000"/>
              </w:rPr>
              <w:t xml:space="preserve">the average holding period of equity investments in the sub-set exceeds five years, or where the average holding period of the sub-set is lower than five years, the insurance or reinsurance undertaking does not sell any equity investments within the sub-set until the average holding period exceeds </w:t>
            </w:r>
            <w:r w:rsidRPr="007D158C">
              <w:rPr>
                <w:b/>
                <w:bCs/>
                <w:color w:val="FF0000"/>
              </w:rPr>
              <w:t>five</w:t>
            </w:r>
            <w:r w:rsidRPr="007D158C">
              <w:rPr>
                <w:color w:val="FF0000"/>
              </w:rPr>
              <w:t xml:space="preserve"> years;</w:t>
            </w:r>
          </w:p>
        </w:tc>
      </w:tr>
      <w:tr w:rsidR="000115A2" w:rsidRPr="0047053C" w14:paraId="205B0766" w14:textId="77777777" w:rsidTr="00285883">
        <w:trPr>
          <w:trHeight w:val="1966"/>
        </w:trPr>
        <w:tc>
          <w:tcPr>
            <w:tcW w:w="4112" w:type="dxa"/>
            <w:vMerge/>
          </w:tcPr>
          <w:p w14:paraId="545682F5" w14:textId="77777777" w:rsidR="00327082" w:rsidRPr="0047053C" w:rsidRDefault="00327082" w:rsidP="00D04A50">
            <w:pPr>
              <w:pStyle w:val="Odsekzoznamu"/>
              <w:numPr>
                <w:ilvl w:val="0"/>
                <w:numId w:val="7"/>
              </w:numPr>
              <w:rPr>
                <w:rStyle w:val="CEAGraphTitle"/>
                <w:szCs w:val="17"/>
              </w:rPr>
            </w:pPr>
          </w:p>
        </w:tc>
        <w:tc>
          <w:tcPr>
            <w:tcW w:w="3969" w:type="dxa"/>
            <w:vMerge/>
          </w:tcPr>
          <w:p w14:paraId="15EAE0E0" w14:textId="77777777" w:rsidR="00327082" w:rsidRPr="0047053C" w:rsidRDefault="00327082" w:rsidP="00D04A50">
            <w:pPr>
              <w:pStyle w:val="Odsekzoznamu"/>
              <w:numPr>
                <w:ilvl w:val="0"/>
                <w:numId w:val="16"/>
              </w:numPr>
              <w:spacing w:line="240" w:lineRule="auto"/>
              <w:rPr>
                <w:rStyle w:val="CEAGraphTitle"/>
                <w:szCs w:val="17"/>
              </w:rPr>
            </w:pPr>
          </w:p>
        </w:tc>
        <w:tc>
          <w:tcPr>
            <w:tcW w:w="3187" w:type="dxa"/>
            <w:vMerge/>
          </w:tcPr>
          <w:p w14:paraId="6EC1AC1E" w14:textId="77777777" w:rsidR="00327082" w:rsidRPr="0047053C" w:rsidRDefault="00327082" w:rsidP="00327082">
            <w:pPr>
              <w:pStyle w:val="Odsekzoznamu"/>
              <w:spacing w:line="240" w:lineRule="auto"/>
              <w:ind w:left="360"/>
              <w:rPr>
                <w:rStyle w:val="CEAGraphTitle"/>
                <w:color w:val="FF0000"/>
                <w:szCs w:val="17"/>
              </w:rPr>
            </w:pPr>
          </w:p>
        </w:tc>
        <w:tc>
          <w:tcPr>
            <w:tcW w:w="3683" w:type="dxa"/>
          </w:tcPr>
          <w:p w14:paraId="675FF144" w14:textId="0A9227A6" w:rsidR="00327082" w:rsidRPr="00044F92" w:rsidRDefault="00F544CB" w:rsidP="00C409D0">
            <w:pPr>
              <w:pStyle w:val="Odsekzoznamu"/>
              <w:numPr>
                <w:ilvl w:val="0"/>
                <w:numId w:val="32"/>
              </w:numPr>
              <w:rPr>
                <w:rStyle w:val="CEAGraphTitle"/>
                <w:u w:val="single"/>
              </w:rPr>
            </w:pPr>
            <w:r w:rsidRPr="00044F92">
              <w:rPr>
                <w:rStyle w:val="CEAGraphTitle"/>
                <w:u w:val="single"/>
              </w:rPr>
              <w:t>A 628</w:t>
            </w:r>
            <w:r w:rsidR="003179EA" w:rsidRPr="00044F92">
              <w:rPr>
                <w:rStyle w:val="CEAGraphTitle"/>
                <w:u w:val="single"/>
              </w:rPr>
              <w:t xml:space="preserve"> (</w:t>
            </w:r>
            <w:proofErr w:type="spellStart"/>
            <w:r w:rsidR="003179EA" w:rsidRPr="00044F92">
              <w:rPr>
                <w:u w:val="single"/>
              </w:rPr>
              <w:t>Stéphanie</w:t>
            </w:r>
            <w:proofErr w:type="spellEnd"/>
            <w:r w:rsidR="003179EA" w:rsidRPr="00044F92">
              <w:rPr>
                <w:u w:val="single"/>
              </w:rPr>
              <w:t xml:space="preserve"> Yon-Courtin, Gilles Boyer)</w:t>
            </w:r>
          </w:p>
          <w:p w14:paraId="2ACB5DF8" w14:textId="35B7CDD3" w:rsidR="00327082" w:rsidRDefault="00327082" w:rsidP="0047053C">
            <w:pPr>
              <w:rPr>
                <w:rStyle w:val="CEAGraphTitle"/>
                <w:szCs w:val="17"/>
              </w:rPr>
            </w:pPr>
            <w:r>
              <w:rPr>
                <w:rStyle w:val="CEAGraphTitle"/>
              </w:rPr>
              <w:t>d) a</w:t>
            </w:r>
            <w:r w:rsidRPr="0047053C">
              <w:rPr>
                <w:rStyle w:val="CEAGraphTitle"/>
                <w:szCs w:val="17"/>
              </w:rPr>
              <w:t xml:space="preserve"> policy for long-term investment management is set up for each long-term equity portfolio and reflects undertaking’s</w:t>
            </w:r>
            <w:r>
              <w:rPr>
                <w:rStyle w:val="CEAGraphTitle"/>
                <w:szCs w:val="17"/>
              </w:rPr>
              <w:t xml:space="preserve"> </w:t>
            </w:r>
            <w:r w:rsidRPr="00C57D40">
              <w:rPr>
                <w:rStyle w:val="CEAGraphTitle"/>
                <w:color w:val="FF0000"/>
                <w:szCs w:val="17"/>
              </w:rPr>
              <w:t>commitment</w:t>
            </w:r>
            <w:r w:rsidRPr="0047053C">
              <w:rPr>
                <w:rStyle w:val="CEAGraphTitle"/>
                <w:szCs w:val="17"/>
              </w:rPr>
              <w:t xml:space="preserve"> </w:t>
            </w:r>
            <w:r w:rsidRPr="003F1EFB">
              <w:rPr>
                <w:rStyle w:val="CEAGraphTitle"/>
                <w:strike/>
                <w:color w:val="FF0000"/>
                <w:szCs w:val="17"/>
              </w:rPr>
              <w:t>strategic asset allocation</w:t>
            </w:r>
            <w:r w:rsidRPr="003F1EFB">
              <w:rPr>
                <w:rStyle w:val="CEAGraphTitle"/>
                <w:color w:val="FF0000"/>
                <w:szCs w:val="17"/>
              </w:rPr>
              <w:t xml:space="preserve"> </w:t>
            </w:r>
            <w:r w:rsidRPr="0047053C">
              <w:rPr>
                <w:rStyle w:val="CEAGraphTitle"/>
                <w:szCs w:val="17"/>
              </w:rPr>
              <w:t xml:space="preserve">to hold the global exposure to equity in the sub-set of equity investment for a period that exceeds 5 years on average. The AMSB of the undertaking has signed off </w:t>
            </w:r>
            <w:r w:rsidRPr="00C57D40">
              <w:rPr>
                <w:rStyle w:val="CEAGraphTitle"/>
                <w:strike/>
                <w:color w:val="FF0000"/>
                <w:szCs w:val="17"/>
              </w:rPr>
              <w:t xml:space="preserve">this strategic allocation in </w:t>
            </w:r>
            <w:proofErr w:type="gramStart"/>
            <w:r w:rsidRPr="00C57D40">
              <w:rPr>
                <w:rStyle w:val="CEAGraphTitle"/>
                <w:strike/>
                <w:color w:val="FF0000"/>
                <w:szCs w:val="17"/>
              </w:rPr>
              <w:t>the</w:t>
            </w:r>
            <w:r>
              <w:rPr>
                <w:rStyle w:val="CEAGraphTitle"/>
                <w:strike/>
                <w:color w:val="FF0000"/>
                <w:szCs w:val="17"/>
              </w:rPr>
              <w:t xml:space="preserve"> </w:t>
            </w:r>
            <w:r w:rsidRPr="00C57D40">
              <w:rPr>
                <w:rStyle w:val="CEAGraphTitle"/>
                <w:color w:val="FF0000"/>
                <w:szCs w:val="17"/>
              </w:rPr>
              <w:t>these</w:t>
            </w:r>
            <w:proofErr w:type="gramEnd"/>
            <w:r w:rsidRPr="00C57D40">
              <w:rPr>
                <w:rStyle w:val="CEAGraphTitle"/>
                <w:color w:val="FF0000"/>
                <w:szCs w:val="17"/>
              </w:rPr>
              <w:t xml:space="preserve"> </w:t>
            </w:r>
            <w:r w:rsidRPr="0047053C">
              <w:rPr>
                <w:rStyle w:val="CEAGraphTitle"/>
                <w:szCs w:val="17"/>
              </w:rPr>
              <w:t>investment management policies and these policies are frequently reviewed against the actual management of the portfolios.</w:t>
            </w:r>
          </w:p>
          <w:p w14:paraId="16F4E453" w14:textId="63B6D79D" w:rsidR="00327082" w:rsidRDefault="00327082" w:rsidP="0047053C">
            <w:pPr>
              <w:rPr>
                <w:rStyle w:val="CEAGraphTitle"/>
              </w:rPr>
            </w:pPr>
            <w:r w:rsidRPr="005E1530">
              <w:rPr>
                <w:color w:val="FF0000"/>
              </w:rPr>
              <w:t>Those elements are reported in the own-risk assessment of the undertakings pursuant to article 45;</w:t>
            </w:r>
          </w:p>
        </w:tc>
      </w:tr>
      <w:tr w:rsidR="000115A2" w:rsidRPr="0047053C" w14:paraId="6CE08C87" w14:textId="77777777" w:rsidTr="00285883">
        <w:trPr>
          <w:trHeight w:val="932"/>
        </w:trPr>
        <w:tc>
          <w:tcPr>
            <w:tcW w:w="4112" w:type="dxa"/>
            <w:vMerge w:val="restart"/>
          </w:tcPr>
          <w:p w14:paraId="08D4BC5A" w14:textId="554A1247" w:rsidR="00327082" w:rsidRPr="0047053C" w:rsidRDefault="00327082" w:rsidP="00D04A50">
            <w:pPr>
              <w:pStyle w:val="Odsekzoznamu"/>
              <w:numPr>
                <w:ilvl w:val="0"/>
                <w:numId w:val="7"/>
              </w:numPr>
              <w:rPr>
                <w:rStyle w:val="CEAGraphTitle"/>
                <w:szCs w:val="17"/>
              </w:rPr>
            </w:pPr>
            <w:r w:rsidRPr="0047053C">
              <w:rPr>
                <w:rStyle w:val="CEAGraphTitle"/>
                <w:szCs w:val="17"/>
              </w:rPr>
              <w:t xml:space="preserve">The sub-set of equity investments consists only of equities that are listed in the EEA or in the OECD or of unlisted equities of companies that have their </w:t>
            </w:r>
            <w:r w:rsidRPr="0047053C">
              <w:rPr>
                <w:rStyle w:val="CEAGraphTitle"/>
                <w:szCs w:val="17"/>
              </w:rPr>
              <w:lastRenderedPageBreak/>
              <w:t>head offices in countries that are members of the EEA or of the OECD.</w:t>
            </w:r>
          </w:p>
        </w:tc>
        <w:tc>
          <w:tcPr>
            <w:tcW w:w="3969" w:type="dxa"/>
            <w:vMerge w:val="restart"/>
          </w:tcPr>
          <w:p w14:paraId="644A8A2F" w14:textId="54165C91" w:rsidR="00327082" w:rsidRPr="0047053C" w:rsidRDefault="00327082" w:rsidP="00D04A50">
            <w:pPr>
              <w:pStyle w:val="Odsekzoznamu"/>
              <w:numPr>
                <w:ilvl w:val="0"/>
                <w:numId w:val="16"/>
              </w:numPr>
              <w:spacing w:line="240" w:lineRule="auto"/>
              <w:rPr>
                <w:rStyle w:val="CEAGraphTitle"/>
                <w:szCs w:val="17"/>
              </w:rPr>
            </w:pPr>
            <w:r w:rsidRPr="0047053C">
              <w:rPr>
                <w:rStyle w:val="CEAGraphTitle"/>
                <w:szCs w:val="17"/>
              </w:rPr>
              <w:lastRenderedPageBreak/>
              <w:t xml:space="preserve">the sub-set of equity investments consists only of equities that are listed in the EEA </w:t>
            </w:r>
            <w:r w:rsidRPr="0047053C">
              <w:rPr>
                <w:rStyle w:val="CEAGraphTitle"/>
                <w:strike/>
                <w:color w:val="FF0000"/>
                <w:szCs w:val="17"/>
              </w:rPr>
              <w:t>or in the OECD</w:t>
            </w:r>
            <w:r w:rsidRPr="0047053C">
              <w:rPr>
                <w:rStyle w:val="CEAGraphTitle"/>
                <w:szCs w:val="17"/>
              </w:rPr>
              <w:t xml:space="preserve"> or of unlisted equities of companies that </w:t>
            </w:r>
            <w:r w:rsidRPr="0047053C">
              <w:rPr>
                <w:rStyle w:val="CEAGraphTitle"/>
                <w:szCs w:val="17"/>
              </w:rPr>
              <w:lastRenderedPageBreak/>
              <w:t xml:space="preserve">have their head offices in countries that are members of the EEA </w:t>
            </w:r>
            <w:r w:rsidRPr="0047053C">
              <w:rPr>
                <w:rStyle w:val="CEAGraphTitle"/>
                <w:strike/>
                <w:color w:val="FF0000"/>
                <w:szCs w:val="17"/>
              </w:rPr>
              <w:t>or of the OECD;</w:t>
            </w:r>
          </w:p>
        </w:tc>
        <w:tc>
          <w:tcPr>
            <w:tcW w:w="3187" w:type="dxa"/>
            <w:vMerge w:val="restart"/>
          </w:tcPr>
          <w:p w14:paraId="1AA408FA" w14:textId="6D3749E9" w:rsidR="00327082" w:rsidRPr="009A161C" w:rsidRDefault="00327082" w:rsidP="00D04A50">
            <w:pPr>
              <w:pStyle w:val="Odsekzoznamu"/>
              <w:numPr>
                <w:ilvl w:val="0"/>
                <w:numId w:val="15"/>
              </w:numPr>
              <w:spacing w:line="240" w:lineRule="auto"/>
              <w:rPr>
                <w:rStyle w:val="CEAGraphTitle"/>
                <w:color w:val="FF0000"/>
                <w:szCs w:val="17"/>
              </w:rPr>
            </w:pPr>
            <w:r w:rsidRPr="009A161C">
              <w:rPr>
                <w:rStyle w:val="CEAGraphTitle"/>
                <w:szCs w:val="17"/>
              </w:rPr>
              <w:lastRenderedPageBreak/>
              <w:t xml:space="preserve">the sub-set of equity investments consists only of equities that are </w:t>
            </w:r>
            <w:r w:rsidRPr="009A161C">
              <w:rPr>
                <w:rStyle w:val="CEAGraphTitle"/>
                <w:strike/>
                <w:color w:val="FF0000"/>
                <w:szCs w:val="17"/>
              </w:rPr>
              <w:t>listed in the EEA or in</w:t>
            </w:r>
            <w:r w:rsidRPr="009A161C">
              <w:rPr>
                <w:rStyle w:val="CEAGraphTitle"/>
                <w:szCs w:val="17"/>
              </w:rPr>
              <w:t xml:space="preserve"> countries that are </w:t>
            </w:r>
            <w:r w:rsidRPr="009A161C">
              <w:rPr>
                <w:rStyle w:val="CEAGraphTitle"/>
                <w:szCs w:val="17"/>
              </w:rPr>
              <w:lastRenderedPageBreak/>
              <w:t>member of the OECD or of unlisted equities of companies that have their head offices in countries that are member</w:t>
            </w:r>
            <w:r>
              <w:rPr>
                <w:rStyle w:val="CEAGraphTitle"/>
                <w:szCs w:val="17"/>
              </w:rPr>
              <w:t xml:space="preserve"> </w:t>
            </w:r>
            <w:r w:rsidRPr="00EE1C1F">
              <w:rPr>
                <w:rStyle w:val="CEAGraphTitle"/>
                <w:strike/>
                <w:color w:val="FF0000"/>
                <w:szCs w:val="17"/>
              </w:rPr>
              <w:t>of the EEA</w:t>
            </w:r>
            <w:r w:rsidRPr="00EE1C1F">
              <w:rPr>
                <w:rStyle w:val="CEAGraphTitle"/>
                <w:color w:val="FF0000"/>
                <w:szCs w:val="17"/>
              </w:rPr>
              <w:t xml:space="preserve"> </w:t>
            </w:r>
            <w:r w:rsidRPr="009A161C">
              <w:rPr>
                <w:rStyle w:val="CEAGraphTitle"/>
                <w:szCs w:val="17"/>
              </w:rPr>
              <w:t>of the OECD;</w:t>
            </w:r>
          </w:p>
        </w:tc>
        <w:tc>
          <w:tcPr>
            <w:tcW w:w="3683" w:type="dxa"/>
          </w:tcPr>
          <w:p w14:paraId="1C6CD412" w14:textId="17B33211" w:rsidR="00327082" w:rsidRPr="00044F92" w:rsidRDefault="004907F0" w:rsidP="00C409D0">
            <w:pPr>
              <w:pStyle w:val="Odsekzoznamu"/>
              <w:numPr>
                <w:ilvl w:val="0"/>
                <w:numId w:val="32"/>
              </w:numPr>
              <w:rPr>
                <w:rStyle w:val="CEAGraphTitle"/>
                <w:u w:val="single"/>
                <w:lang w:val="it-IT"/>
              </w:rPr>
            </w:pPr>
            <w:r w:rsidRPr="00044F92">
              <w:rPr>
                <w:rStyle w:val="CEAGraphTitle"/>
                <w:u w:val="single"/>
                <w:lang w:val="it-IT"/>
              </w:rPr>
              <w:lastRenderedPageBreak/>
              <w:t>A 624 (</w:t>
            </w:r>
            <w:r w:rsidRPr="00044F92">
              <w:rPr>
                <w:u w:val="single"/>
                <w:lang w:val="it-IT"/>
              </w:rPr>
              <w:t>Raffaele Fitto)</w:t>
            </w:r>
            <w:r w:rsidRPr="00044F92">
              <w:rPr>
                <w:rStyle w:val="CEAGraphTitle"/>
                <w:u w:val="single"/>
                <w:lang w:val="it-IT"/>
              </w:rPr>
              <w:t>/A 625 (</w:t>
            </w:r>
            <w:r w:rsidRPr="00044F92">
              <w:rPr>
                <w:u w:val="single"/>
                <w:lang w:val="it-IT"/>
              </w:rPr>
              <w:t>Fabio Massimo Castaldo)</w:t>
            </w:r>
            <w:r w:rsidRPr="00044F92">
              <w:rPr>
                <w:rStyle w:val="CEAGraphTitle"/>
                <w:u w:val="single"/>
                <w:lang w:val="it-IT"/>
              </w:rPr>
              <w:t>/A 626 (</w:t>
            </w:r>
            <w:r w:rsidRPr="00044F92">
              <w:rPr>
                <w:u w:val="single"/>
                <w:lang w:val="it-IT"/>
              </w:rPr>
              <w:t>Marco Zanni, Valentino Grant, Antonio Maria Rinaldi)</w:t>
            </w:r>
          </w:p>
          <w:p w14:paraId="7969606E" w14:textId="32525AA9" w:rsidR="00327082" w:rsidRDefault="00327082" w:rsidP="003179EA">
            <w:pPr>
              <w:rPr>
                <w:rStyle w:val="CEAGraphTitle"/>
              </w:rPr>
            </w:pPr>
            <w:r>
              <w:rPr>
                <w:rStyle w:val="CEAGraphTitle"/>
              </w:rPr>
              <w:lastRenderedPageBreak/>
              <w:t xml:space="preserve">e/f) </w:t>
            </w:r>
            <w:r w:rsidRPr="0047053C">
              <w:rPr>
                <w:rStyle w:val="CEAGraphTitle"/>
                <w:szCs w:val="17"/>
              </w:rPr>
              <w:t xml:space="preserve">The sub-set of equity investments consists only of equities that are listed </w:t>
            </w:r>
            <w:r w:rsidRPr="00F36046">
              <w:rPr>
                <w:rStyle w:val="CEAGraphTitle"/>
                <w:color w:val="FF0000"/>
                <w:szCs w:val="17"/>
              </w:rPr>
              <w:t xml:space="preserve">in countries that are member of </w:t>
            </w:r>
            <w:r w:rsidRPr="00F36046">
              <w:rPr>
                <w:rStyle w:val="CEAGraphTitle"/>
                <w:strike/>
                <w:color w:val="FF0000"/>
                <w:szCs w:val="17"/>
              </w:rPr>
              <w:t>the EEA or in</w:t>
            </w:r>
            <w:r w:rsidRPr="0047053C">
              <w:rPr>
                <w:rStyle w:val="CEAGraphTitle"/>
                <w:szCs w:val="17"/>
              </w:rPr>
              <w:t xml:space="preserve"> the OECD or of unlisted equities of companies that have their head offices in countries that are member of the </w:t>
            </w:r>
            <w:r w:rsidRPr="00F36046">
              <w:rPr>
                <w:rStyle w:val="CEAGraphTitle"/>
                <w:strike/>
                <w:color w:val="FF0000"/>
                <w:szCs w:val="17"/>
              </w:rPr>
              <w:t>EEA or of the</w:t>
            </w:r>
            <w:r w:rsidRPr="00F36046">
              <w:rPr>
                <w:rStyle w:val="CEAGraphTitle"/>
                <w:color w:val="FF0000"/>
                <w:szCs w:val="17"/>
              </w:rPr>
              <w:t xml:space="preserve"> </w:t>
            </w:r>
            <w:r w:rsidRPr="0047053C">
              <w:rPr>
                <w:rStyle w:val="CEAGraphTitle"/>
                <w:szCs w:val="17"/>
              </w:rPr>
              <w:t>OECD.</w:t>
            </w:r>
          </w:p>
        </w:tc>
      </w:tr>
      <w:tr w:rsidR="000115A2" w:rsidRPr="0047053C" w14:paraId="2444E202" w14:textId="77777777" w:rsidTr="00285883">
        <w:trPr>
          <w:trHeight w:val="930"/>
        </w:trPr>
        <w:tc>
          <w:tcPr>
            <w:tcW w:w="4112" w:type="dxa"/>
            <w:vMerge/>
          </w:tcPr>
          <w:p w14:paraId="509A60D7" w14:textId="77777777" w:rsidR="00327082" w:rsidRPr="0047053C" w:rsidRDefault="00327082" w:rsidP="00D04A50">
            <w:pPr>
              <w:pStyle w:val="Odsekzoznamu"/>
              <w:numPr>
                <w:ilvl w:val="0"/>
                <w:numId w:val="7"/>
              </w:numPr>
              <w:rPr>
                <w:rStyle w:val="CEAGraphTitle"/>
                <w:szCs w:val="17"/>
              </w:rPr>
            </w:pPr>
          </w:p>
        </w:tc>
        <w:tc>
          <w:tcPr>
            <w:tcW w:w="3969" w:type="dxa"/>
            <w:vMerge/>
          </w:tcPr>
          <w:p w14:paraId="4D81F218" w14:textId="77777777" w:rsidR="00327082" w:rsidRPr="0047053C" w:rsidRDefault="00327082" w:rsidP="00D04A50">
            <w:pPr>
              <w:pStyle w:val="Odsekzoznamu"/>
              <w:numPr>
                <w:ilvl w:val="0"/>
                <w:numId w:val="16"/>
              </w:numPr>
              <w:spacing w:line="240" w:lineRule="auto"/>
              <w:rPr>
                <w:rStyle w:val="CEAGraphTitle"/>
                <w:szCs w:val="17"/>
              </w:rPr>
            </w:pPr>
          </w:p>
        </w:tc>
        <w:tc>
          <w:tcPr>
            <w:tcW w:w="3187" w:type="dxa"/>
            <w:vMerge/>
          </w:tcPr>
          <w:p w14:paraId="0D316255" w14:textId="77777777" w:rsidR="00327082" w:rsidRPr="009A161C" w:rsidRDefault="00327082" w:rsidP="00D04A50">
            <w:pPr>
              <w:pStyle w:val="Odsekzoznamu"/>
              <w:numPr>
                <w:ilvl w:val="0"/>
                <w:numId w:val="15"/>
              </w:numPr>
              <w:spacing w:line="240" w:lineRule="auto"/>
              <w:rPr>
                <w:rStyle w:val="CEAGraphTitle"/>
                <w:szCs w:val="17"/>
              </w:rPr>
            </w:pPr>
          </w:p>
        </w:tc>
        <w:tc>
          <w:tcPr>
            <w:tcW w:w="3683" w:type="dxa"/>
          </w:tcPr>
          <w:p w14:paraId="2BE450E4" w14:textId="1E4FB95B" w:rsidR="00327082" w:rsidRPr="00044F92" w:rsidRDefault="00F544CB" w:rsidP="00C409D0">
            <w:pPr>
              <w:pStyle w:val="Odsekzoznamu"/>
              <w:numPr>
                <w:ilvl w:val="0"/>
                <w:numId w:val="32"/>
              </w:numPr>
              <w:rPr>
                <w:rStyle w:val="CEAGraphTitle"/>
                <w:u w:val="single"/>
              </w:rPr>
            </w:pPr>
            <w:r w:rsidRPr="00044F92">
              <w:rPr>
                <w:rStyle w:val="CEAGraphTitle"/>
                <w:u w:val="single"/>
              </w:rPr>
              <w:t>A 627</w:t>
            </w:r>
            <w:r w:rsidR="003179EA" w:rsidRPr="00044F92">
              <w:rPr>
                <w:rStyle w:val="CEAGraphTitle"/>
                <w:u w:val="single"/>
              </w:rPr>
              <w:t xml:space="preserve"> (</w:t>
            </w:r>
            <w:r w:rsidR="003179EA" w:rsidRPr="00044F92">
              <w:rPr>
                <w:u w:val="single"/>
              </w:rPr>
              <w:t xml:space="preserve">Johan Van </w:t>
            </w:r>
            <w:proofErr w:type="spellStart"/>
            <w:r w:rsidR="003179EA" w:rsidRPr="00044F92">
              <w:rPr>
                <w:u w:val="single"/>
              </w:rPr>
              <w:t>Overtveldt</w:t>
            </w:r>
            <w:proofErr w:type="spellEnd"/>
            <w:r w:rsidR="003179EA" w:rsidRPr="00044F92">
              <w:rPr>
                <w:u w:val="single"/>
              </w:rPr>
              <w:t>)</w:t>
            </w:r>
          </w:p>
          <w:p w14:paraId="3A9601AA" w14:textId="0BAAA0B7" w:rsidR="00327082" w:rsidRDefault="00327082" w:rsidP="009A161C">
            <w:pPr>
              <w:rPr>
                <w:rStyle w:val="CEAGraphTitle"/>
              </w:rPr>
            </w:pPr>
            <w:r>
              <w:rPr>
                <w:rStyle w:val="CEAGraphTitle"/>
              </w:rPr>
              <w:t xml:space="preserve">e) </w:t>
            </w:r>
            <w:r w:rsidRPr="0047053C">
              <w:rPr>
                <w:rStyle w:val="CEAGraphTitle"/>
                <w:szCs w:val="17"/>
              </w:rPr>
              <w:t xml:space="preserve">The sub-set of equity investments consists only of equities that are listed </w:t>
            </w:r>
            <w:r w:rsidRPr="00F36046">
              <w:rPr>
                <w:rStyle w:val="CEAGraphTitle"/>
                <w:color w:val="FF0000"/>
                <w:szCs w:val="17"/>
              </w:rPr>
              <w:t>in countries that are member</w:t>
            </w:r>
            <w:r>
              <w:rPr>
                <w:rStyle w:val="CEAGraphTitle"/>
                <w:color w:val="FF0000"/>
                <w:szCs w:val="17"/>
              </w:rPr>
              <w:t>s</w:t>
            </w:r>
            <w:r w:rsidRPr="00F36046">
              <w:rPr>
                <w:rStyle w:val="CEAGraphTitle"/>
                <w:color w:val="FF0000"/>
                <w:szCs w:val="17"/>
              </w:rPr>
              <w:t xml:space="preserve"> of</w:t>
            </w:r>
            <w:r>
              <w:rPr>
                <w:rStyle w:val="CEAGraphTitle"/>
                <w:color w:val="FF0000"/>
                <w:szCs w:val="17"/>
              </w:rPr>
              <w:t xml:space="preserve"> the EU and/or </w:t>
            </w:r>
            <w:r w:rsidRPr="007D158C">
              <w:rPr>
                <w:rStyle w:val="CEAGraphTitle"/>
                <w:strike/>
                <w:color w:val="FF0000"/>
                <w:szCs w:val="17"/>
              </w:rPr>
              <w:t xml:space="preserve">in the EEA or in </w:t>
            </w:r>
            <w:r w:rsidRPr="0047053C">
              <w:rPr>
                <w:rStyle w:val="CEAGraphTitle"/>
                <w:szCs w:val="17"/>
              </w:rPr>
              <w:t>the OECD or of unlisted equities of companies that have their head offices in countries that are members of the EEA or of the OECD.</w:t>
            </w:r>
          </w:p>
        </w:tc>
      </w:tr>
      <w:tr w:rsidR="000115A2" w:rsidRPr="0047053C" w14:paraId="5BC43874" w14:textId="77777777" w:rsidTr="00285883">
        <w:trPr>
          <w:trHeight w:val="930"/>
        </w:trPr>
        <w:tc>
          <w:tcPr>
            <w:tcW w:w="4112" w:type="dxa"/>
            <w:vMerge/>
          </w:tcPr>
          <w:p w14:paraId="019F2FDC" w14:textId="77777777" w:rsidR="00327082" w:rsidRPr="0047053C" w:rsidRDefault="00327082" w:rsidP="00D04A50">
            <w:pPr>
              <w:pStyle w:val="Odsekzoznamu"/>
              <w:numPr>
                <w:ilvl w:val="0"/>
                <w:numId w:val="7"/>
              </w:numPr>
              <w:rPr>
                <w:rStyle w:val="CEAGraphTitle"/>
                <w:szCs w:val="17"/>
              </w:rPr>
            </w:pPr>
          </w:p>
        </w:tc>
        <w:tc>
          <w:tcPr>
            <w:tcW w:w="3969" w:type="dxa"/>
            <w:vMerge/>
          </w:tcPr>
          <w:p w14:paraId="52FBC930" w14:textId="77777777" w:rsidR="00327082" w:rsidRPr="0047053C" w:rsidRDefault="00327082" w:rsidP="00D04A50">
            <w:pPr>
              <w:pStyle w:val="Odsekzoznamu"/>
              <w:numPr>
                <w:ilvl w:val="0"/>
                <w:numId w:val="16"/>
              </w:numPr>
              <w:spacing w:line="240" w:lineRule="auto"/>
              <w:rPr>
                <w:rStyle w:val="CEAGraphTitle"/>
                <w:szCs w:val="17"/>
              </w:rPr>
            </w:pPr>
          </w:p>
        </w:tc>
        <w:tc>
          <w:tcPr>
            <w:tcW w:w="3187" w:type="dxa"/>
            <w:vMerge/>
          </w:tcPr>
          <w:p w14:paraId="20620E1B" w14:textId="77777777" w:rsidR="00327082" w:rsidRPr="009A161C" w:rsidRDefault="00327082" w:rsidP="00D04A50">
            <w:pPr>
              <w:pStyle w:val="Odsekzoznamu"/>
              <w:numPr>
                <w:ilvl w:val="0"/>
                <w:numId w:val="15"/>
              </w:numPr>
              <w:spacing w:line="240" w:lineRule="auto"/>
              <w:rPr>
                <w:rStyle w:val="CEAGraphTitle"/>
                <w:szCs w:val="17"/>
              </w:rPr>
            </w:pPr>
          </w:p>
        </w:tc>
        <w:tc>
          <w:tcPr>
            <w:tcW w:w="3683" w:type="dxa"/>
          </w:tcPr>
          <w:p w14:paraId="186AF25B" w14:textId="7E3E5980" w:rsidR="00327082" w:rsidRPr="00044F92" w:rsidRDefault="00F544CB" w:rsidP="00C409D0">
            <w:pPr>
              <w:pStyle w:val="Odsekzoznamu"/>
              <w:numPr>
                <w:ilvl w:val="0"/>
                <w:numId w:val="32"/>
              </w:numPr>
              <w:rPr>
                <w:rStyle w:val="CEAGraphTitle"/>
                <w:u w:val="single"/>
              </w:rPr>
            </w:pPr>
            <w:r w:rsidRPr="00044F92">
              <w:rPr>
                <w:rStyle w:val="CEAGraphTitle"/>
                <w:u w:val="single"/>
              </w:rPr>
              <w:t>A 628</w:t>
            </w:r>
            <w:r w:rsidR="003179EA" w:rsidRPr="00044F92">
              <w:rPr>
                <w:rStyle w:val="CEAGraphTitle"/>
                <w:u w:val="single"/>
              </w:rPr>
              <w:t xml:space="preserve"> (</w:t>
            </w:r>
            <w:proofErr w:type="spellStart"/>
            <w:r w:rsidR="003179EA" w:rsidRPr="00044F92">
              <w:rPr>
                <w:u w:val="single"/>
              </w:rPr>
              <w:t>Stéphanie</w:t>
            </w:r>
            <w:proofErr w:type="spellEnd"/>
            <w:r w:rsidR="003179EA" w:rsidRPr="00044F92">
              <w:rPr>
                <w:u w:val="single"/>
              </w:rPr>
              <w:t xml:space="preserve"> Yon-Courtin, Gilles Boyer)</w:t>
            </w:r>
          </w:p>
          <w:p w14:paraId="6CC3F4AD" w14:textId="1B409A44" w:rsidR="00327082" w:rsidRDefault="00327082" w:rsidP="009A161C">
            <w:pPr>
              <w:rPr>
                <w:rStyle w:val="CEAGraphTitle"/>
              </w:rPr>
            </w:pPr>
            <w:r>
              <w:rPr>
                <w:rStyle w:val="CEAGraphTitle"/>
              </w:rPr>
              <w:t xml:space="preserve">e) </w:t>
            </w:r>
            <w:r w:rsidRPr="0047053C">
              <w:rPr>
                <w:rStyle w:val="CEAGraphTitle"/>
                <w:szCs w:val="17"/>
              </w:rPr>
              <w:t xml:space="preserve">The sub-set of equity investments consists only of equities that are listed in the EEA </w:t>
            </w:r>
            <w:r w:rsidRPr="00926318">
              <w:rPr>
                <w:rStyle w:val="CEAGraphTitle"/>
                <w:strike/>
                <w:color w:val="FF0000"/>
                <w:szCs w:val="17"/>
              </w:rPr>
              <w:t>or in the OECD</w:t>
            </w:r>
            <w:r w:rsidRPr="00926318">
              <w:rPr>
                <w:rStyle w:val="CEAGraphTitle"/>
                <w:color w:val="FF0000"/>
                <w:szCs w:val="17"/>
              </w:rPr>
              <w:t xml:space="preserve"> </w:t>
            </w:r>
            <w:r w:rsidRPr="0047053C">
              <w:rPr>
                <w:rStyle w:val="CEAGraphTitle"/>
                <w:szCs w:val="17"/>
              </w:rPr>
              <w:t xml:space="preserve">or of unlisted equities of companies that have their head offices in countries that are members of the EEA </w:t>
            </w:r>
            <w:r w:rsidRPr="00926318">
              <w:rPr>
                <w:rStyle w:val="CEAGraphTitle"/>
                <w:strike/>
                <w:color w:val="FF0000"/>
                <w:szCs w:val="17"/>
              </w:rPr>
              <w:t>or of the OECD</w:t>
            </w:r>
            <w:r w:rsidRPr="0047053C">
              <w:rPr>
                <w:rStyle w:val="CEAGraphTitle"/>
                <w:szCs w:val="17"/>
              </w:rPr>
              <w:t>.</w:t>
            </w:r>
          </w:p>
        </w:tc>
      </w:tr>
      <w:tr w:rsidR="004C5FA6" w:rsidRPr="0047053C" w14:paraId="1A183B9B" w14:textId="77777777" w:rsidTr="00285883">
        <w:trPr>
          <w:trHeight w:val="5381"/>
        </w:trPr>
        <w:tc>
          <w:tcPr>
            <w:tcW w:w="4112" w:type="dxa"/>
            <w:vMerge w:val="restart"/>
          </w:tcPr>
          <w:p w14:paraId="752E32E4" w14:textId="77777777" w:rsidR="00F544CB" w:rsidRPr="009A161C" w:rsidRDefault="00F544CB" w:rsidP="00D04A50">
            <w:pPr>
              <w:pStyle w:val="Odsekzoznamu"/>
              <w:numPr>
                <w:ilvl w:val="0"/>
                <w:numId w:val="7"/>
              </w:numPr>
              <w:rPr>
                <w:rStyle w:val="CEAGraphTitle"/>
                <w:szCs w:val="17"/>
              </w:rPr>
            </w:pPr>
            <w:r w:rsidRPr="009A161C">
              <w:rPr>
                <w:rStyle w:val="CEAGraphTitle"/>
                <w:szCs w:val="17"/>
              </w:rPr>
              <w:lastRenderedPageBreak/>
              <w:t>Where undertakings can demonstrate that either</w:t>
            </w:r>
          </w:p>
          <w:p w14:paraId="08635004" w14:textId="325D9151" w:rsidR="00F544CB" w:rsidRPr="009A161C" w:rsidRDefault="00F544CB" w:rsidP="00D04A50">
            <w:pPr>
              <w:pStyle w:val="Odsekzoznamu"/>
              <w:numPr>
                <w:ilvl w:val="0"/>
                <w:numId w:val="17"/>
              </w:numPr>
              <w:rPr>
                <w:rStyle w:val="CEAGraphTitle"/>
                <w:szCs w:val="17"/>
              </w:rPr>
            </w:pPr>
            <w:r w:rsidRPr="009A161C">
              <w:rPr>
                <w:rStyle w:val="CEAGraphTitle"/>
                <w:szCs w:val="17"/>
              </w:rPr>
              <w:t xml:space="preserve">particular homogeneous risk groups of the life insurance and reinsurance liabilities belongs to categories I or II as defined in paragraph 2 and the Macaulay duration of the liabilities in this HRG exceeds </w:t>
            </w:r>
            <w:r w:rsidRPr="00D658BF">
              <w:rPr>
                <w:rStyle w:val="CEAGraphTitle"/>
                <w:b/>
                <w:bCs/>
                <w:szCs w:val="17"/>
              </w:rPr>
              <w:t>6</w:t>
            </w:r>
            <w:r w:rsidRPr="009A161C">
              <w:rPr>
                <w:rStyle w:val="CEAGraphTitle"/>
                <w:szCs w:val="17"/>
              </w:rPr>
              <w:t xml:space="preserve"> years; or</w:t>
            </w:r>
          </w:p>
          <w:p w14:paraId="65014E3E" w14:textId="77777777" w:rsidR="00F544CB" w:rsidRPr="009A161C" w:rsidRDefault="00F544CB" w:rsidP="00D04A50">
            <w:pPr>
              <w:pStyle w:val="Odsekzoznamu"/>
              <w:numPr>
                <w:ilvl w:val="0"/>
                <w:numId w:val="17"/>
              </w:numPr>
              <w:rPr>
                <w:rStyle w:val="CEAGraphTitle"/>
                <w:szCs w:val="17"/>
              </w:rPr>
            </w:pPr>
            <w:r w:rsidRPr="009A161C">
              <w:rPr>
                <w:rStyle w:val="CEAGraphTitle"/>
                <w:szCs w:val="17"/>
              </w:rPr>
              <w:t>a sufficient liquidity buffer is in place for the portfolio of non-life insurance and reinsurance liabilities and the assigned portfolio of assets; or</w:t>
            </w:r>
          </w:p>
          <w:p w14:paraId="5879155C" w14:textId="412CEC42" w:rsidR="00F544CB" w:rsidRPr="0047053C" w:rsidRDefault="00F544CB" w:rsidP="00D04A50">
            <w:pPr>
              <w:pStyle w:val="Odsekzoznamu"/>
              <w:numPr>
                <w:ilvl w:val="0"/>
                <w:numId w:val="17"/>
              </w:numPr>
              <w:rPr>
                <w:rStyle w:val="CEAGraphTitle"/>
                <w:szCs w:val="17"/>
              </w:rPr>
            </w:pPr>
            <w:r w:rsidRPr="009A161C">
              <w:rPr>
                <w:rStyle w:val="CEAGraphTitle"/>
                <w:szCs w:val="17"/>
              </w:rPr>
              <w:t>the solvency and liquidity position of the insurance or reinsurance undertaking, as well as its strategies, processes and reporting procedures with respect to asset-liability management, are such as to ensure, on an ongoing basis and under stressed conditions, that it is able to avoid forced sales of the sub-set of long-term equity investments for at</w:t>
            </w:r>
            <w:r>
              <w:rPr>
                <w:rStyle w:val="CEAGraphTitle"/>
                <w:szCs w:val="17"/>
              </w:rPr>
              <w:t xml:space="preserve"> </w:t>
            </w:r>
            <w:r w:rsidRPr="009A161C">
              <w:rPr>
                <w:rStyle w:val="CEAGraphTitle"/>
                <w:szCs w:val="17"/>
              </w:rPr>
              <w:t>least 5 years by complying with the positive liquidity test, as defined in paragraph 3.</w:t>
            </w:r>
          </w:p>
        </w:tc>
        <w:tc>
          <w:tcPr>
            <w:tcW w:w="3969" w:type="dxa"/>
            <w:vMerge w:val="restart"/>
          </w:tcPr>
          <w:p w14:paraId="4FD7A513" w14:textId="56AB5C22" w:rsidR="00F544CB" w:rsidRPr="009A161C" w:rsidRDefault="00F544CB" w:rsidP="00D04A50">
            <w:pPr>
              <w:pStyle w:val="Odsekzoznamu"/>
              <w:numPr>
                <w:ilvl w:val="0"/>
                <w:numId w:val="16"/>
              </w:numPr>
              <w:spacing w:line="240" w:lineRule="auto"/>
              <w:rPr>
                <w:rStyle w:val="CEAGraphTitle"/>
                <w:color w:val="7030A0"/>
                <w:szCs w:val="17"/>
              </w:rPr>
            </w:pPr>
            <w:r>
              <w:rPr>
                <w:rStyle w:val="CEAGraphTitle"/>
                <w:b/>
                <w:bCs/>
                <w:color w:val="7030A0"/>
                <w:szCs w:val="17"/>
              </w:rPr>
              <w:t xml:space="preserve">[EIOPA APPROACH] </w:t>
            </w:r>
            <w:r w:rsidRPr="009A161C">
              <w:rPr>
                <w:rStyle w:val="CEAGraphTitle"/>
                <w:color w:val="7030A0"/>
                <w:szCs w:val="17"/>
              </w:rPr>
              <w:t>the undertaking is able to demonstrate to the satisfaction of the supervisory authority that they comply with the following criteria:</w:t>
            </w:r>
          </w:p>
          <w:p w14:paraId="1EE4A145" w14:textId="77777777" w:rsidR="00F544CB" w:rsidRPr="009A161C" w:rsidRDefault="00F544CB" w:rsidP="009A161C">
            <w:pPr>
              <w:pStyle w:val="Odsekzoznamu"/>
              <w:spacing w:line="240" w:lineRule="auto"/>
              <w:ind w:left="360"/>
              <w:rPr>
                <w:rStyle w:val="CEAGraphTitle"/>
                <w:color w:val="7030A0"/>
                <w:szCs w:val="17"/>
              </w:rPr>
            </w:pPr>
          </w:p>
          <w:p w14:paraId="0DEABCAA" w14:textId="122D679F" w:rsidR="00F544CB" w:rsidRPr="009A161C" w:rsidRDefault="00F544CB" w:rsidP="00D04A50">
            <w:pPr>
              <w:pStyle w:val="Odsekzoznamu"/>
              <w:numPr>
                <w:ilvl w:val="0"/>
                <w:numId w:val="18"/>
              </w:numPr>
              <w:spacing w:line="240" w:lineRule="auto"/>
              <w:rPr>
                <w:rStyle w:val="CEAGraphTitle"/>
                <w:color w:val="7030A0"/>
                <w:szCs w:val="17"/>
              </w:rPr>
            </w:pPr>
            <w:r w:rsidRPr="009A161C">
              <w:rPr>
                <w:rStyle w:val="CEAGraphTitle"/>
                <w:color w:val="7030A0"/>
                <w:szCs w:val="17"/>
              </w:rPr>
              <w:t xml:space="preserve">particular homogeneous risk groups of the life insurance and reinsurance liabilities whose Macaulay duration exceeds </w:t>
            </w:r>
            <w:r w:rsidRPr="00D658BF">
              <w:rPr>
                <w:rStyle w:val="CEAGraphTitle"/>
                <w:b/>
                <w:bCs/>
                <w:color w:val="7030A0"/>
                <w:szCs w:val="17"/>
              </w:rPr>
              <w:t xml:space="preserve">eight </w:t>
            </w:r>
            <w:r w:rsidRPr="009A161C">
              <w:rPr>
                <w:rStyle w:val="CEAGraphTitle"/>
                <w:color w:val="7030A0"/>
                <w:szCs w:val="17"/>
              </w:rPr>
              <w:t>years belong to categories I or II within the meaning of paragraph 5, and the value of such liabilities exceeds the amount of equity investments within the portfolio of assets which is assigned to life obligations;</w:t>
            </w:r>
          </w:p>
          <w:p w14:paraId="133C73FF" w14:textId="16703B12" w:rsidR="00F544CB" w:rsidRPr="009A161C" w:rsidRDefault="00F544CB" w:rsidP="00D04A50">
            <w:pPr>
              <w:pStyle w:val="Odsekzoznamu"/>
              <w:numPr>
                <w:ilvl w:val="0"/>
                <w:numId w:val="18"/>
              </w:numPr>
              <w:spacing w:line="240" w:lineRule="auto"/>
              <w:rPr>
                <w:rStyle w:val="CEAGraphTitle"/>
                <w:color w:val="7030A0"/>
                <w:szCs w:val="17"/>
              </w:rPr>
            </w:pPr>
            <w:r w:rsidRPr="009A161C">
              <w:rPr>
                <w:rStyle w:val="CEAGraphTitle"/>
                <w:color w:val="7030A0"/>
                <w:szCs w:val="17"/>
              </w:rPr>
              <w:t>a sufficient liquidity buffer is in place for the portfolio of non-life insurance and reinsurance obligations and the assigned portfolio of assets;</w:t>
            </w:r>
          </w:p>
          <w:p w14:paraId="113AAC35" w14:textId="77777777" w:rsidR="00F544CB" w:rsidRPr="009A161C" w:rsidRDefault="00F544CB" w:rsidP="009A161C">
            <w:pPr>
              <w:spacing w:line="240" w:lineRule="auto"/>
              <w:rPr>
                <w:rStyle w:val="CEAGraphTitle"/>
                <w:szCs w:val="17"/>
              </w:rPr>
            </w:pPr>
          </w:p>
          <w:p w14:paraId="12ED2FAE" w14:textId="77777777" w:rsidR="00F544CB" w:rsidRPr="009A161C" w:rsidRDefault="00F544CB" w:rsidP="009A161C">
            <w:pPr>
              <w:spacing w:line="240" w:lineRule="auto"/>
              <w:rPr>
                <w:rStyle w:val="CEAGraphTitle"/>
                <w:b/>
                <w:bCs/>
                <w:szCs w:val="17"/>
              </w:rPr>
            </w:pPr>
            <w:r w:rsidRPr="009A161C">
              <w:rPr>
                <w:rStyle w:val="CEAGraphTitle"/>
                <w:b/>
                <w:bCs/>
                <w:szCs w:val="17"/>
              </w:rPr>
              <w:t>OR</w:t>
            </w:r>
          </w:p>
          <w:p w14:paraId="304AEDCE" w14:textId="77777777" w:rsidR="00F544CB" w:rsidRPr="009A161C" w:rsidRDefault="00F544CB" w:rsidP="009A161C">
            <w:pPr>
              <w:pStyle w:val="Odsekzoznamu"/>
              <w:spacing w:line="240" w:lineRule="auto"/>
              <w:ind w:left="360"/>
              <w:rPr>
                <w:rStyle w:val="CEAGraphTitle"/>
                <w:szCs w:val="17"/>
              </w:rPr>
            </w:pPr>
          </w:p>
          <w:p w14:paraId="38353F51" w14:textId="18D72CB4" w:rsidR="00F544CB" w:rsidRPr="009A161C" w:rsidRDefault="00F544CB" w:rsidP="00D04A50">
            <w:pPr>
              <w:pStyle w:val="Odsekzoznamu"/>
              <w:numPr>
                <w:ilvl w:val="0"/>
                <w:numId w:val="19"/>
              </w:numPr>
              <w:spacing w:line="240" w:lineRule="auto"/>
              <w:rPr>
                <w:rStyle w:val="CEAGraphTitle"/>
                <w:szCs w:val="17"/>
              </w:rPr>
            </w:pPr>
            <w:r>
              <w:rPr>
                <w:rStyle w:val="CEAGraphTitle"/>
                <w:b/>
                <w:bCs/>
                <w:color w:val="00B050"/>
                <w:szCs w:val="17"/>
              </w:rPr>
              <w:t xml:space="preserve">[LIQUIDITY APPROACH] </w:t>
            </w:r>
            <w:r w:rsidRPr="009A161C">
              <w:rPr>
                <w:rStyle w:val="CEAGraphTitle"/>
                <w:color w:val="00B050"/>
                <w:szCs w:val="17"/>
              </w:rPr>
              <w:t>the insurance or reinsurance undertaking passes the liquidity test as defined in paragraphs X, Y and Z</w:t>
            </w:r>
          </w:p>
        </w:tc>
        <w:tc>
          <w:tcPr>
            <w:tcW w:w="3187" w:type="dxa"/>
          </w:tcPr>
          <w:p w14:paraId="6DCAD88B" w14:textId="4522B771" w:rsidR="00F544CB" w:rsidRPr="009A161C" w:rsidRDefault="00F544CB" w:rsidP="00D04A50">
            <w:pPr>
              <w:pStyle w:val="Odsekzoznamu"/>
              <w:numPr>
                <w:ilvl w:val="0"/>
                <w:numId w:val="15"/>
              </w:numPr>
              <w:spacing w:line="240" w:lineRule="auto"/>
              <w:rPr>
                <w:rStyle w:val="CEAGraphTitle"/>
                <w:szCs w:val="17"/>
              </w:rPr>
            </w:pPr>
            <w:r w:rsidRPr="009A161C">
              <w:rPr>
                <w:rStyle w:val="CEAGraphTitle"/>
                <w:color w:val="FF0000"/>
                <w:szCs w:val="17"/>
              </w:rPr>
              <w:t>the solvency and liquidity position of the insurance or reinsurance undertaking, as well as its strategies, processes and reporting procedures with respect to asset-liability management, are such as to ensure, on an ongoing basis and under stressed conditions, that it is able to avoid forced sales of each equity investments within the sub-set for at least five years;</w:t>
            </w:r>
          </w:p>
        </w:tc>
        <w:tc>
          <w:tcPr>
            <w:tcW w:w="3683" w:type="dxa"/>
          </w:tcPr>
          <w:p w14:paraId="627F5259" w14:textId="77777777" w:rsidR="006864D4" w:rsidRPr="00F6447F" w:rsidRDefault="006864D4" w:rsidP="00C409D0">
            <w:pPr>
              <w:pStyle w:val="Odsekzoznamu"/>
              <w:numPr>
                <w:ilvl w:val="0"/>
                <w:numId w:val="32"/>
              </w:numPr>
              <w:rPr>
                <w:rStyle w:val="CEAGraphTitle"/>
                <w:lang w:val="it-IT"/>
              </w:rPr>
            </w:pPr>
            <w:r w:rsidRPr="00F6447F">
              <w:rPr>
                <w:rStyle w:val="CEAGraphTitle"/>
                <w:lang w:val="it-IT"/>
              </w:rPr>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1896B727" w14:textId="021DAB06" w:rsidR="00F544CB" w:rsidRDefault="00F544CB" w:rsidP="006864D4">
            <w:pPr>
              <w:rPr>
                <w:rStyle w:val="CEAGraphTitle"/>
              </w:rPr>
            </w:pPr>
            <w:r>
              <w:rPr>
                <w:rStyle w:val="CEAGraphTitle"/>
              </w:rPr>
              <w:t xml:space="preserve">f/g) </w:t>
            </w:r>
            <w:r>
              <w:t xml:space="preserve">where undertakings can demonstrate that either </w:t>
            </w:r>
            <w:r w:rsidRPr="00F36046">
              <w:rPr>
                <w:strike/>
                <w:color w:val="FF0000"/>
              </w:rPr>
              <w:t>(</w:t>
            </w:r>
            <w:proofErr w:type="spellStart"/>
            <w:r w:rsidRPr="00F36046">
              <w:rPr>
                <w:strike/>
                <w:color w:val="FF0000"/>
              </w:rPr>
              <w:t>i</w:t>
            </w:r>
            <w:proofErr w:type="spellEnd"/>
            <w:r w:rsidRPr="00F36046">
              <w:rPr>
                <w:strike/>
                <w:color w:val="FF0000"/>
              </w:rPr>
              <w:t>)</w:t>
            </w:r>
            <w:r>
              <w:rPr>
                <w:strike/>
                <w:color w:val="FF0000"/>
              </w:rPr>
              <w:t xml:space="preserve"> </w:t>
            </w:r>
            <w:r>
              <w:t xml:space="preserve">particular homogeneous risk groups </w:t>
            </w:r>
            <w:r w:rsidRPr="00B967EE">
              <w:rPr>
                <w:color w:val="FF0000"/>
              </w:rPr>
              <w:t>(HRG)</w:t>
            </w:r>
            <w:r>
              <w:t xml:space="preserve"> of the life insurance and reinsurance liabilities belongs to categories I or II as defined </w:t>
            </w:r>
            <w:r w:rsidRPr="00615B1A">
              <w:rPr>
                <w:rStyle w:val="CEAGraphTitle"/>
                <w:strike/>
                <w:color w:val="FF0000"/>
                <w:szCs w:val="17"/>
              </w:rPr>
              <w:t xml:space="preserve">in paragraph 2 and the Macaulay duration of the liabilities in this HRG exceeds </w:t>
            </w:r>
            <w:r w:rsidRPr="00615B1A">
              <w:rPr>
                <w:rStyle w:val="CEAGraphTitle"/>
                <w:b/>
                <w:bCs/>
                <w:strike/>
                <w:color w:val="FF0000"/>
                <w:szCs w:val="17"/>
              </w:rPr>
              <w:t>6</w:t>
            </w:r>
            <w:r w:rsidRPr="00615B1A">
              <w:rPr>
                <w:rStyle w:val="CEAGraphTitle"/>
                <w:strike/>
                <w:color w:val="FF0000"/>
                <w:szCs w:val="17"/>
              </w:rPr>
              <w:t xml:space="preserve"> years; or</w:t>
            </w:r>
            <w:r>
              <w:t xml:space="preserve"> </w:t>
            </w:r>
            <w:r w:rsidRPr="00615B1A">
              <w:rPr>
                <w:color w:val="FF0000"/>
              </w:rPr>
              <w:t xml:space="preserve">for the purpose of the calculation of the VA </w:t>
            </w:r>
            <w:r>
              <w:t xml:space="preserve">and the Macaulay duration of the liabilities in this HRG exceeds </w:t>
            </w:r>
            <w:r w:rsidRPr="00615B1A">
              <w:rPr>
                <w:strike/>
                <w:color w:val="FF0000"/>
              </w:rPr>
              <w:t>6</w:t>
            </w:r>
            <w:r w:rsidRPr="00615B1A">
              <w:rPr>
                <w:color w:val="FF0000"/>
              </w:rPr>
              <w:t>5</w:t>
            </w:r>
            <w:r>
              <w:t xml:space="preserve"> years or </w:t>
            </w:r>
            <w:r w:rsidRPr="00615B1A">
              <w:rPr>
                <w:strike/>
                <w:color w:val="FF0000"/>
              </w:rPr>
              <w:t>(ii)</w:t>
            </w:r>
            <w:r>
              <w:t xml:space="preserve"> a sufficient liquidity buffer is in place for the portfolio of non-life insurance and reinsurance liabilities and the assigned portfolio of assets; </w:t>
            </w:r>
            <w:r w:rsidRPr="00615B1A">
              <w:rPr>
                <w:strike/>
                <w:color w:val="FF0000"/>
              </w:rPr>
              <w:t xml:space="preserve">or (iii) the </w:t>
            </w:r>
            <w:r w:rsidRPr="00615B1A">
              <w:rPr>
                <w:rStyle w:val="CEAGraphTitle"/>
                <w:strike/>
                <w:color w:val="FF0000"/>
                <w:szCs w:val="17"/>
              </w:rPr>
              <w:t>solvency and liquidity position of the insurance or reinsurance undertaking, as well as its strategies, processes and reporting procedures with respect to asset-liability management, are such as to ensure, on an ongoing basis and under stressed conditions, that it is able to avoid forced sales of the sub-set of long-term equity investments for at least 5 years by complying with the positive liquidity test, as defined para 3</w:t>
            </w:r>
            <w:r>
              <w:rPr>
                <w:rStyle w:val="CEAGraphTitle"/>
                <w:strike/>
                <w:color w:val="FF0000"/>
                <w:szCs w:val="17"/>
              </w:rPr>
              <w:t>.</w:t>
            </w:r>
          </w:p>
        </w:tc>
      </w:tr>
      <w:tr w:rsidR="004C5FA6" w:rsidRPr="0047053C" w14:paraId="21B443D4" w14:textId="77777777" w:rsidTr="00285883">
        <w:trPr>
          <w:trHeight w:val="5380"/>
        </w:trPr>
        <w:tc>
          <w:tcPr>
            <w:tcW w:w="4112" w:type="dxa"/>
            <w:vMerge/>
          </w:tcPr>
          <w:p w14:paraId="65CCF7AD" w14:textId="77777777" w:rsidR="00F544CB" w:rsidRPr="009A161C" w:rsidRDefault="00F544CB" w:rsidP="00A42901">
            <w:pPr>
              <w:pStyle w:val="Odsekzoznamu"/>
              <w:numPr>
                <w:ilvl w:val="0"/>
                <w:numId w:val="7"/>
              </w:numPr>
              <w:rPr>
                <w:rStyle w:val="CEAGraphTitle"/>
                <w:szCs w:val="17"/>
              </w:rPr>
            </w:pPr>
          </w:p>
        </w:tc>
        <w:tc>
          <w:tcPr>
            <w:tcW w:w="3969" w:type="dxa"/>
            <w:vMerge/>
          </w:tcPr>
          <w:p w14:paraId="03469433" w14:textId="77777777" w:rsidR="00F544CB" w:rsidRDefault="00F544CB" w:rsidP="00A42901">
            <w:pPr>
              <w:pStyle w:val="Odsekzoznamu"/>
              <w:numPr>
                <w:ilvl w:val="0"/>
                <w:numId w:val="16"/>
              </w:numPr>
              <w:spacing w:line="240" w:lineRule="auto"/>
              <w:rPr>
                <w:rStyle w:val="CEAGraphTitle"/>
                <w:b/>
                <w:bCs/>
                <w:color w:val="7030A0"/>
                <w:szCs w:val="17"/>
              </w:rPr>
            </w:pPr>
          </w:p>
        </w:tc>
        <w:tc>
          <w:tcPr>
            <w:tcW w:w="3187" w:type="dxa"/>
          </w:tcPr>
          <w:p w14:paraId="45B00EAA" w14:textId="77777777" w:rsidR="00F544CB" w:rsidRPr="009A161C" w:rsidRDefault="00F544CB" w:rsidP="003636D2">
            <w:pPr>
              <w:pStyle w:val="Odsekzoznamu"/>
              <w:spacing w:line="240" w:lineRule="auto"/>
              <w:ind w:left="360"/>
              <w:rPr>
                <w:rStyle w:val="CEAGraphTitle"/>
                <w:color w:val="FF0000"/>
                <w:szCs w:val="17"/>
              </w:rPr>
            </w:pPr>
          </w:p>
        </w:tc>
        <w:tc>
          <w:tcPr>
            <w:tcW w:w="3683" w:type="dxa"/>
          </w:tcPr>
          <w:p w14:paraId="14431D85" w14:textId="57B43500" w:rsidR="00F544CB" w:rsidRPr="009E6E02" w:rsidRDefault="00F544CB" w:rsidP="00C409D0">
            <w:pPr>
              <w:pStyle w:val="Odsekzoznamu"/>
              <w:numPr>
                <w:ilvl w:val="0"/>
                <w:numId w:val="32"/>
              </w:numPr>
            </w:pPr>
            <w:r>
              <w:rPr>
                <w:rStyle w:val="CEAGraphTitle"/>
              </w:rPr>
              <w:t>A 627</w:t>
            </w:r>
            <w:r w:rsidR="003179EA">
              <w:rPr>
                <w:rStyle w:val="CEAGraphTitle"/>
              </w:rPr>
              <w:t xml:space="preserve"> (</w:t>
            </w:r>
            <w:r w:rsidR="003179EA">
              <w:t xml:space="preserve">Johan Van </w:t>
            </w:r>
            <w:proofErr w:type="spellStart"/>
            <w:r w:rsidR="003179EA">
              <w:t>Overtveldt</w:t>
            </w:r>
            <w:proofErr w:type="spellEnd"/>
            <w:r w:rsidR="003179EA">
              <w:t>)</w:t>
            </w:r>
          </w:p>
          <w:p w14:paraId="0E2F7B10" w14:textId="3E5F1B4B" w:rsidR="00F544CB" w:rsidRDefault="00F544CB" w:rsidP="008A7BC9">
            <w:pPr>
              <w:rPr>
                <w:rStyle w:val="CEAGraphTitle"/>
              </w:rPr>
            </w:pPr>
            <w:r w:rsidRPr="00A42901">
              <w:rPr>
                <w:color w:val="FF0000"/>
              </w:rPr>
              <w:t>f) the solvency and liquidity position of the insurance or reinsurance undertaking, as well as its strategies, processes and reporting procedures with respect to asset-liability management, are such as to ensure, on an ongoing basis and under stressed conditions, that it is able to avoid forced sales of each equity investments within the sub-set for at least five years</w:t>
            </w:r>
            <w:r>
              <w:rPr>
                <w:color w:val="FF0000"/>
              </w:rPr>
              <w:t>;</w:t>
            </w:r>
          </w:p>
        </w:tc>
      </w:tr>
      <w:tr w:rsidR="004C5FA6" w:rsidRPr="0047053C" w14:paraId="487FCBEF" w14:textId="77777777" w:rsidTr="00285883">
        <w:trPr>
          <w:trHeight w:val="5380"/>
        </w:trPr>
        <w:tc>
          <w:tcPr>
            <w:tcW w:w="4112" w:type="dxa"/>
            <w:vMerge/>
          </w:tcPr>
          <w:p w14:paraId="1B9ACF45" w14:textId="77777777" w:rsidR="00F544CB" w:rsidRPr="009A161C" w:rsidRDefault="00F544CB" w:rsidP="00A42901">
            <w:pPr>
              <w:pStyle w:val="Odsekzoznamu"/>
              <w:numPr>
                <w:ilvl w:val="0"/>
                <w:numId w:val="7"/>
              </w:numPr>
              <w:rPr>
                <w:rStyle w:val="CEAGraphTitle"/>
                <w:szCs w:val="17"/>
              </w:rPr>
            </w:pPr>
          </w:p>
        </w:tc>
        <w:tc>
          <w:tcPr>
            <w:tcW w:w="3969" w:type="dxa"/>
            <w:vMerge/>
          </w:tcPr>
          <w:p w14:paraId="1D0E46D6" w14:textId="77777777" w:rsidR="00F544CB" w:rsidRDefault="00F544CB" w:rsidP="00A42901">
            <w:pPr>
              <w:pStyle w:val="Odsekzoznamu"/>
              <w:numPr>
                <w:ilvl w:val="0"/>
                <w:numId w:val="16"/>
              </w:numPr>
              <w:spacing w:line="240" w:lineRule="auto"/>
              <w:rPr>
                <w:rStyle w:val="CEAGraphTitle"/>
                <w:b/>
                <w:bCs/>
                <w:color w:val="7030A0"/>
                <w:szCs w:val="17"/>
              </w:rPr>
            </w:pPr>
          </w:p>
        </w:tc>
        <w:tc>
          <w:tcPr>
            <w:tcW w:w="3187" w:type="dxa"/>
          </w:tcPr>
          <w:p w14:paraId="47C03F22" w14:textId="77777777" w:rsidR="00F544CB" w:rsidRPr="009A161C" w:rsidRDefault="00F544CB" w:rsidP="003636D2">
            <w:pPr>
              <w:pStyle w:val="Odsekzoznamu"/>
              <w:spacing w:line="240" w:lineRule="auto"/>
              <w:ind w:left="360"/>
              <w:rPr>
                <w:rStyle w:val="CEAGraphTitle"/>
                <w:color w:val="FF0000"/>
                <w:szCs w:val="17"/>
              </w:rPr>
            </w:pPr>
          </w:p>
        </w:tc>
        <w:tc>
          <w:tcPr>
            <w:tcW w:w="3683" w:type="dxa"/>
          </w:tcPr>
          <w:p w14:paraId="17B8E955" w14:textId="2E6DD69C" w:rsidR="00F544CB" w:rsidRDefault="00F544CB" w:rsidP="00C409D0">
            <w:pPr>
              <w:pStyle w:val="Odsekzoznamu"/>
              <w:numPr>
                <w:ilvl w:val="0"/>
                <w:numId w:val="32"/>
              </w:numPr>
              <w:rPr>
                <w:rStyle w:val="CEAGraphTitle"/>
              </w:rPr>
            </w:pPr>
            <w:r>
              <w:rPr>
                <w:rStyle w:val="CEAGraphTitle"/>
              </w:rPr>
              <w:t>A 628</w:t>
            </w:r>
            <w:r w:rsidR="003179EA">
              <w:rPr>
                <w:rStyle w:val="CEAGraphTitle"/>
              </w:rPr>
              <w:t xml:space="preserve"> (</w:t>
            </w:r>
            <w:proofErr w:type="spellStart"/>
            <w:r w:rsidR="003179EA">
              <w:t>Stéphanie</w:t>
            </w:r>
            <w:proofErr w:type="spellEnd"/>
            <w:r w:rsidR="003179EA">
              <w:t xml:space="preserve"> Yon-Courtin, Gilles Boyer)</w:t>
            </w:r>
          </w:p>
          <w:p w14:paraId="3542C874" w14:textId="6AEC1443" w:rsidR="00F544CB" w:rsidRDefault="00F544CB" w:rsidP="008F4D5F">
            <w:pPr>
              <w:rPr>
                <w:rStyle w:val="CEAGraphTitle"/>
              </w:rPr>
            </w:pPr>
            <w:r>
              <w:rPr>
                <w:rStyle w:val="CEAGraphTitle"/>
              </w:rPr>
              <w:t xml:space="preserve">f) </w:t>
            </w:r>
            <w:r w:rsidRPr="00C44877">
              <w:rPr>
                <w:color w:val="FF0000"/>
              </w:rPr>
              <w:t>the insurance or reinsurance undertaking is able to demonstrate to the satisfaction of the supervisory authority that it is able to avoid forced selling of the sub-set of equity investments even in stressed situation;</w:t>
            </w:r>
          </w:p>
        </w:tc>
      </w:tr>
      <w:tr w:rsidR="00C819CE" w:rsidRPr="009A161C" w14:paraId="03681AE1" w14:textId="77777777" w:rsidTr="008018B3">
        <w:trPr>
          <w:trHeight w:val="1657"/>
        </w:trPr>
        <w:tc>
          <w:tcPr>
            <w:tcW w:w="4112" w:type="dxa"/>
            <w:vMerge w:val="restart"/>
          </w:tcPr>
          <w:p w14:paraId="66978587" w14:textId="4ADC64B8" w:rsidR="00C819CE" w:rsidRPr="009A161C" w:rsidRDefault="00C819CE" w:rsidP="00A42901">
            <w:pPr>
              <w:pStyle w:val="Odsekzoznamu"/>
              <w:numPr>
                <w:ilvl w:val="0"/>
                <w:numId w:val="7"/>
              </w:numPr>
              <w:rPr>
                <w:rStyle w:val="CEAGraphTitle"/>
                <w:szCs w:val="17"/>
              </w:rPr>
            </w:pPr>
            <w:r w:rsidRPr="009A161C">
              <w:rPr>
                <w:rStyle w:val="CEAGraphTitle"/>
                <w:szCs w:val="17"/>
              </w:rPr>
              <w:lastRenderedPageBreak/>
              <w:t>The risk management, asset-liability management and investment policies of the insurance or reinsurance undertaking reflects the undertaking's intention to hold the sub-set of equity investments for a period that is compatible with the requirement of point (e) and its ability to meet the requirement of point (g). Those elements are reported in the ORSA of the undertakings.</w:t>
            </w:r>
          </w:p>
        </w:tc>
        <w:tc>
          <w:tcPr>
            <w:tcW w:w="3969" w:type="dxa"/>
            <w:vMerge w:val="restart"/>
          </w:tcPr>
          <w:p w14:paraId="5DEA7265" w14:textId="295BD35D" w:rsidR="00C819CE" w:rsidRPr="009A161C" w:rsidRDefault="00C819CE" w:rsidP="00A42901">
            <w:pPr>
              <w:pStyle w:val="Odsekzoznamu"/>
              <w:numPr>
                <w:ilvl w:val="0"/>
                <w:numId w:val="16"/>
              </w:numPr>
              <w:spacing w:line="240" w:lineRule="auto"/>
              <w:rPr>
                <w:rStyle w:val="CEAGraphTitle"/>
                <w:szCs w:val="17"/>
              </w:rPr>
            </w:pPr>
            <w:r w:rsidRPr="009A161C">
              <w:rPr>
                <w:rStyle w:val="CEAGraphTitle"/>
                <w:szCs w:val="17"/>
              </w:rPr>
              <w:t xml:space="preserve">the risk management, asset-liability management and investment policies of the insurance or reinsurance undertaking reflects the undertaking's intention to hold the sub-set of equity investments for a period that is compatible with the requirement of point (e) and its ability to meet the requirement of point (g). </w:t>
            </w:r>
            <w:r w:rsidRPr="009A161C">
              <w:rPr>
                <w:rStyle w:val="CEAGraphTitle"/>
                <w:strike/>
                <w:color w:val="FF0000"/>
                <w:szCs w:val="17"/>
              </w:rPr>
              <w:t>Those elements are reported in the ORSA of the undertakings.</w:t>
            </w:r>
          </w:p>
        </w:tc>
        <w:tc>
          <w:tcPr>
            <w:tcW w:w="3187" w:type="dxa"/>
            <w:vMerge w:val="restart"/>
          </w:tcPr>
          <w:p w14:paraId="06336B2E" w14:textId="3A3789DF" w:rsidR="00C819CE" w:rsidRPr="009A161C" w:rsidRDefault="00C819CE" w:rsidP="00A42901">
            <w:pPr>
              <w:pStyle w:val="Odsekzoznamu"/>
              <w:numPr>
                <w:ilvl w:val="0"/>
                <w:numId w:val="15"/>
              </w:numPr>
              <w:spacing w:line="240" w:lineRule="auto"/>
              <w:rPr>
                <w:rStyle w:val="CEAGraphTitle"/>
                <w:szCs w:val="17"/>
              </w:rPr>
            </w:pPr>
            <w:r w:rsidRPr="009A161C">
              <w:rPr>
                <w:rStyle w:val="CEAGraphTitle"/>
                <w:szCs w:val="17"/>
              </w:rPr>
              <w:t xml:space="preserve">the risk management, asset-liability management and investment policies of the insurance or reinsurance undertaking reflects the undertaking's intention to hold the sub-set of equity investments for a period that is compatible with the requirement of point (e) and its ability to meet the requirement of point (g). </w:t>
            </w:r>
            <w:r w:rsidRPr="009A161C">
              <w:rPr>
                <w:rStyle w:val="CEAGraphTitle"/>
                <w:strike/>
                <w:color w:val="FF0000"/>
                <w:szCs w:val="17"/>
              </w:rPr>
              <w:t xml:space="preserve">Those elements are reported </w:t>
            </w:r>
            <w:r w:rsidRPr="009A161C">
              <w:rPr>
                <w:rStyle w:val="CEAGraphTitle"/>
                <w:strike/>
                <w:color w:val="FF0000"/>
                <w:szCs w:val="17"/>
              </w:rPr>
              <w:lastRenderedPageBreak/>
              <w:t>in the ORSA of the undertakings.</w:t>
            </w:r>
          </w:p>
        </w:tc>
        <w:tc>
          <w:tcPr>
            <w:tcW w:w="3683" w:type="dxa"/>
          </w:tcPr>
          <w:p w14:paraId="5782EA51" w14:textId="77777777" w:rsidR="00C819CE" w:rsidRPr="00F6447F" w:rsidRDefault="00C819CE" w:rsidP="00C409D0">
            <w:pPr>
              <w:pStyle w:val="Odsekzoznamu"/>
              <w:numPr>
                <w:ilvl w:val="0"/>
                <w:numId w:val="32"/>
              </w:numPr>
              <w:rPr>
                <w:rStyle w:val="CEAGraphTitle"/>
                <w:lang w:val="it-IT"/>
              </w:rPr>
            </w:pPr>
            <w:r w:rsidRPr="00F6447F">
              <w:rPr>
                <w:rStyle w:val="CEAGraphTitle"/>
                <w:lang w:val="it-IT"/>
              </w:rPr>
              <w:lastRenderedPageBreak/>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635CDEBD" w14:textId="0FF9FE7B" w:rsidR="00C819CE" w:rsidRDefault="00C819CE" w:rsidP="006864D4">
            <w:pPr>
              <w:rPr>
                <w:rStyle w:val="CEAGraphTitle"/>
              </w:rPr>
            </w:pPr>
            <w:r>
              <w:rPr>
                <w:rStyle w:val="CEAGraphTitle"/>
              </w:rPr>
              <w:t xml:space="preserve">g/h) </w:t>
            </w:r>
            <w:r w:rsidRPr="009A161C">
              <w:rPr>
                <w:rStyle w:val="CEAGraphTitle"/>
                <w:szCs w:val="17"/>
              </w:rPr>
              <w:t xml:space="preserve">The risk management, asset-liability management and investment policies of the insurance or reinsurance undertaking reflects the undertaking's intention to hold the sub-set of equity investments for a period that is compatible with the requirement of </w:t>
            </w:r>
            <w:r w:rsidRPr="009A161C">
              <w:rPr>
                <w:rStyle w:val="CEAGraphTitle"/>
                <w:szCs w:val="17"/>
              </w:rPr>
              <w:lastRenderedPageBreak/>
              <w:t>point (e) and its ability to meet the requirement of point (g). Those elements are reported in the ORSA of the undertakings</w:t>
            </w:r>
            <w:r>
              <w:rPr>
                <w:rStyle w:val="CEAGraphTitle"/>
                <w:szCs w:val="17"/>
              </w:rPr>
              <w:t>.</w:t>
            </w:r>
          </w:p>
        </w:tc>
      </w:tr>
      <w:tr w:rsidR="00C819CE" w:rsidRPr="009A161C" w14:paraId="3BFCC4D6" w14:textId="77777777" w:rsidTr="008018B3">
        <w:trPr>
          <w:trHeight w:val="1657"/>
        </w:trPr>
        <w:tc>
          <w:tcPr>
            <w:tcW w:w="4112" w:type="dxa"/>
            <w:vMerge/>
          </w:tcPr>
          <w:p w14:paraId="41686916" w14:textId="77777777" w:rsidR="00C819CE" w:rsidRPr="009A161C" w:rsidRDefault="00C819CE" w:rsidP="00A42901">
            <w:pPr>
              <w:pStyle w:val="Odsekzoznamu"/>
              <w:numPr>
                <w:ilvl w:val="0"/>
                <w:numId w:val="7"/>
              </w:numPr>
              <w:rPr>
                <w:rStyle w:val="CEAGraphTitle"/>
                <w:szCs w:val="17"/>
              </w:rPr>
            </w:pPr>
          </w:p>
        </w:tc>
        <w:tc>
          <w:tcPr>
            <w:tcW w:w="3969" w:type="dxa"/>
            <w:vMerge/>
          </w:tcPr>
          <w:p w14:paraId="5D9455D8" w14:textId="77777777" w:rsidR="00C819CE" w:rsidRPr="009A161C" w:rsidRDefault="00C819CE" w:rsidP="00A42901">
            <w:pPr>
              <w:pStyle w:val="Odsekzoznamu"/>
              <w:numPr>
                <w:ilvl w:val="0"/>
                <w:numId w:val="16"/>
              </w:numPr>
              <w:spacing w:line="240" w:lineRule="auto"/>
              <w:rPr>
                <w:rStyle w:val="CEAGraphTitle"/>
                <w:szCs w:val="17"/>
              </w:rPr>
            </w:pPr>
          </w:p>
        </w:tc>
        <w:tc>
          <w:tcPr>
            <w:tcW w:w="3187" w:type="dxa"/>
            <w:vMerge/>
          </w:tcPr>
          <w:p w14:paraId="1EAE2C0B" w14:textId="77777777" w:rsidR="00C819CE" w:rsidRPr="009A161C" w:rsidRDefault="00C819CE" w:rsidP="00DB1A6D">
            <w:pPr>
              <w:pStyle w:val="Odsekzoznamu"/>
              <w:spacing w:line="240" w:lineRule="auto"/>
              <w:ind w:left="360"/>
              <w:rPr>
                <w:rStyle w:val="CEAGraphTitle"/>
                <w:szCs w:val="17"/>
              </w:rPr>
            </w:pPr>
          </w:p>
        </w:tc>
        <w:tc>
          <w:tcPr>
            <w:tcW w:w="3683" w:type="dxa"/>
          </w:tcPr>
          <w:p w14:paraId="47A6EC9D" w14:textId="42184E91" w:rsidR="00C819CE" w:rsidRDefault="00C819CE" w:rsidP="00C409D0">
            <w:pPr>
              <w:pStyle w:val="Odsekzoznamu"/>
              <w:numPr>
                <w:ilvl w:val="0"/>
                <w:numId w:val="32"/>
              </w:numPr>
              <w:rPr>
                <w:rStyle w:val="CEAGraphTitle"/>
              </w:rPr>
            </w:pPr>
            <w:r>
              <w:rPr>
                <w:rStyle w:val="CEAGraphTitle"/>
              </w:rPr>
              <w:t>A 627 (</w:t>
            </w:r>
            <w:r>
              <w:t xml:space="preserve">Johan Van </w:t>
            </w:r>
            <w:proofErr w:type="spellStart"/>
            <w:r>
              <w:t>Overtveldt</w:t>
            </w:r>
            <w:proofErr w:type="spellEnd"/>
            <w:r>
              <w:t>)</w:t>
            </w:r>
          </w:p>
          <w:p w14:paraId="1ADC5D0B" w14:textId="3EE3E3CC" w:rsidR="00C819CE" w:rsidRDefault="00C819CE" w:rsidP="00A42901">
            <w:pPr>
              <w:rPr>
                <w:rStyle w:val="CEAGraphTitle"/>
              </w:rPr>
            </w:pPr>
            <w:r>
              <w:rPr>
                <w:rStyle w:val="CEAGraphTitle"/>
              </w:rPr>
              <w:t xml:space="preserve">g) </w:t>
            </w:r>
            <w:r w:rsidRPr="009A161C">
              <w:rPr>
                <w:rStyle w:val="CEAGraphTitle"/>
                <w:szCs w:val="17"/>
              </w:rPr>
              <w:t xml:space="preserve">The risk management, asset-liability management and investment policies of the insurance or reinsurance undertaking reflects the undertaking's intention to hold the sub-set of equity investments for a period that is compatible with the </w:t>
            </w:r>
            <w:r w:rsidRPr="00A42901">
              <w:rPr>
                <w:rStyle w:val="CEAGraphTitle"/>
                <w:strike/>
                <w:color w:val="FF0000"/>
                <w:szCs w:val="17"/>
              </w:rPr>
              <w:t>requirement of</w:t>
            </w:r>
            <w:r w:rsidRPr="009A161C">
              <w:rPr>
                <w:rStyle w:val="CEAGraphTitle"/>
                <w:szCs w:val="17"/>
              </w:rPr>
              <w:t xml:space="preserve"> </w:t>
            </w:r>
            <w:r w:rsidRPr="00A42901">
              <w:rPr>
                <w:rStyle w:val="CEAGraphTitle"/>
                <w:color w:val="FF0000"/>
                <w:szCs w:val="17"/>
              </w:rPr>
              <w:t xml:space="preserve">condition laid down in </w:t>
            </w:r>
            <w:r w:rsidRPr="009A161C">
              <w:rPr>
                <w:rStyle w:val="CEAGraphTitle"/>
                <w:szCs w:val="17"/>
              </w:rPr>
              <w:t xml:space="preserve">point (e) and its ability to meet the </w:t>
            </w:r>
            <w:r w:rsidRPr="00A42901">
              <w:rPr>
                <w:rStyle w:val="CEAGraphTitle"/>
                <w:strike/>
                <w:color w:val="FF0000"/>
                <w:szCs w:val="17"/>
              </w:rPr>
              <w:t>requirement of</w:t>
            </w:r>
            <w:r w:rsidRPr="009A161C">
              <w:rPr>
                <w:rStyle w:val="CEAGraphTitle"/>
                <w:szCs w:val="17"/>
              </w:rPr>
              <w:t xml:space="preserve"> </w:t>
            </w:r>
            <w:r w:rsidRPr="00A42901">
              <w:rPr>
                <w:rStyle w:val="CEAGraphTitle"/>
                <w:color w:val="FF0000"/>
                <w:szCs w:val="17"/>
              </w:rPr>
              <w:t>condition laid down in</w:t>
            </w:r>
            <w:r w:rsidRPr="009A161C">
              <w:rPr>
                <w:rStyle w:val="CEAGraphTitle"/>
                <w:szCs w:val="17"/>
              </w:rPr>
              <w:t xml:space="preserve"> point (g). </w:t>
            </w:r>
            <w:r w:rsidRPr="00A42901">
              <w:rPr>
                <w:rStyle w:val="CEAGraphTitle"/>
                <w:strike/>
                <w:color w:val="FF0000"/>
                <w:szCs w:val="17"/>
              </w:rPr>
              <w:t>Those elements are reported in the ORSA of the undertakings.</w:t>
            </w:r>
          </w:p>
        </w:tc>
      </w:tr>
      <w:tr w:rsidR="00C819CE" w:rsidRPr="009A161C" w14:paraId="357806D8" w14:textId="77777777" w:rsidTr="008018B3">
        <w:trPr>
          <w:trHeight w:val="1657"/>
        </w:trPr>
        <w:tc>
          <w:tcPr>
            <w:tcW w:w="4112" w:type="dxa"/>
            <w:vMerge/>
          </w:tcPr>
          <w:p w14:paraId="6B181371" w14:textId="77777777" w:rsidR="00C819CE" w:rsidRPr="009A161C" w:rsidRDefault="00C819CE" w:rsidP="00A42901">
            <w:pPr>
              <w:pStyle w:val="Odsekzoznamu"/>
              <w:numPr>
                <w:ilvl w:val="0"/>
                <w:numId w:val="7"/>
              </w:numPr>
              <w:rPr>
                <w:rStyle w:val="CEAGraphTitle"/>
                <w:szCs w:val="17"/>
              </w:rPr>
            </w:pPr>
          </w:p>
        </w:tc>
        <w:tc>
          <w:tcPr>
            <w:tcW w:w="3969" w:type="dxa"/>
            <w:vMerge/>
          </w:tcPr>
          <w:p w14:paraId="15AEBDC1" w14:textId="77777777" w:rsidR="00C819CE" w:rsidRPr="009A161C" w:rsidRDefault="00C819CE" w:rsidP="00A42901">
            <w:pPr>
              <w:pStyle w:val="Odsekzoznamu"/>
              <w:numPr>
                <w:ilvl w:val="0"/>
                <w:numId w:val="16"/>
              </w:numPr>
              <w:spacing w:line="240" w:lineRule="auto"/>
              <w:rPr>
                <w:rStyle w:val="CEAGraphTitle"/>
                <w:szCs w:val="17"/>
              </w:rPr>
            </w:pPr>
          </w:p>
        </w:tc>
        <w:tc>
          <w:tcPr>
            <w:tcW w:w="3187" w:type="dxa"/>
            <w:vMerge/>
          </w:tcPr>
          <w:p w14:paraId="6BB25793" w14:textId="77777777" w:rsidR="00C819CE" w:rsidRPr="009A161C" w:rsidRDefault="00C819CE" w:rsidP="00DB1A6D">
            <w:pPr>
              <w:pStyle w:val="Odsekzoznamu"/>
              <w:spacing w:line="240" w:lineRule="auto"/>
              <w:ind w:left="360"/>
              <w:rPr>
                <w:rStyle w:val="CEAGraphTitle"/>
                <w:szCs w:val="17"/>
              </w:rPr>
            </w:pPr>
          </w:p>
        </w:tc>
        <w:tc>
          <w:tcPr>
            <w:tcW w:w="3683" w:type="dxa"/>
          </w:tcPr>
          <w:p w14:paraId="6BD53F45" w14:textId="7AA19A5C" w:rsidR="00C819CE" w:rsidRDefault="00C819CE" w:rsidP="00C409D0">
            <w:pPr>
              <w:pStyle w:val="Odsekzoznamu"/>
              <w:numPr>
                <w:ilvl w:val="0"/>
                <w:numId w:val="32"/>
              </w:numPr>
              <w:rPr>
                <w:rStyle w:val="CEAGraphTitle"/>
              </w:rPr>
            </w:pPr>
            <w:r>
              <w:rPr>
                <w:rStyle w:val="CEAGraphTitle"/>
              </w:rPr>
              <w:t>A 628 (</w:t>
            </w:r>
            <w:proofErr w:type="spellStart"/>
            <w:r>
              <w:t>Stéphanie</w:t>
            </w:r>
            <w:proofErr w:type="spellEnd"/>
            <w:r>
              <w:t xml:space="preserve"> Yon-Courtin, Gilles Boyer)</w:t>
            </w:r>
          </w:p>
          <w:p w14:paraId="33D680AA" w14:textId="79F5F56D" w:rsidR="00C819CE" w:rsidRDefault="00C819CE" w:rsidP="00A42901">
            <w:pPr>
              <w:rPr>
                <w:rStyle w:val="CEAGraphTitle"/>
              </w:rPr>
            </w:pPr>
            <w:r>
              <w:rPr>
                <w:rStyle w:val="CEAGraphTitle"/>
              </w:rPr>
              <w:t xml:space="preserve">g) </w:t>
            </w:r>
            <w:r w:rsidRPr="009A161C">
              <w:rPr>
                <w:rStyle w:val="CEAGraphTitle"/>
                <w:szCs w:val="17"/>
              </w:rPr>
              <w:t>The risk management, asset-liability management and investment policies of the insurance or reinsurance undertaking reflects the undertaking's intention to hold the sub-set of equity investments for a period that is compatible with the requirement of point (</w:t>
            </w:r>
            <w:r w:rsidRPr="007A07F0">
              <w:rPr>
                <w:rStyle w:val="CEAGraphTitle"/>
                <w:strike/>
                <w:color w:val="FF0000"/>
                <w:szCs w:val="17"/>
              </w:rPr>
              <w:t>e</w:t>
            </w:r>
            <w:r>
              <w:rPr>
                <w:rStyle w:val="CEAGraphTitle"/>
                <w:strike/>
                <w:color w:val="FF0000"/>
                <w:szCs w:val="17"/>
              </w:rPr>
              <w:t xml:space="preserve"> </w:t>
            </w:r>
            <w:r>
              <w:rPr>
                <w:rStyle w:val="CEAGraphTitle"/>
                <w:color w:val="FF0000"/>
                <w:szCs w:val="17"/>
              </w:rPr>
              <w:t>d</w:t>
            </w:r>
            <w:r w:rsidRPr="009A161C">
              <w:rPr>
                <w:rStyle w:val="CEAGraphTitle"/>
                <w:szCs w:val="17"/>
              </w:rPr>
              <w:t>) and its ability to meet the requirement of point (</w:t>
            </w:r>
            <w:r w:rsidRPr="00391554">
              <w:rPr>
                <w:rStyle w:val="CEAGraphTitle"/>
                <w:strike/>
                <w:color w:val="FF0000"/>
                <w:szCs w:val="17"/>
              </w:rPr>
              <w:t>g</w:t>
            </w:r>
            <w:r w:rsidRPr="00391554">
              <w:rPr>
                <w:rStyle w:val="CEAGraphTitle"/>
                <w:color w:val="FF0000"/>
                <w:szCs w:val="17"/>
              </w:rPr>
              <w:t xml:space="preserve"> f</w:t>
            </w:r>
            <w:r w:rsidRPr="009A161C">
              <w:rPr>
                <w:rStyle w:val="CEAGraphTitle"/>
                <w:szCs w:val="17"/>
              </w:rPr>
              <w:t xml:space="preserve">). </w:t>
            </w:r>
            <w:r w:rsidRPr="00391554">
              <w:rPr>
                <w:rStyle w:val="CEAGraphTitle"/>
                <w:strike/>
                <w:color w:val="FF0000"/>
                <w:szCs w:val="17"/>
              </w:rPr>
              <w:t>Those elements are reported in the ORSA of the undertakings.</w:t>
            </w:r>
          </w:p>
        </w:tc>
      </w:tr>
      <w:tr w:rsidR="00C819CE" w:rsidRPr="009A161C" w14:paraId="08E0C45A" w14:textId="77777777" w:rsidTr="008018B3">
        <w:trPr>
          <w:trHeight w:val="932"/>
        </w:trPr>
        <w:tc>
          <w:tcPr>
            <w:tcW w:w="4112" w:type="dxa"/>
            <w:vMerge w:val="restart"/>
          </w:tcPr>
          <w:p w14:paraId="7DFA62D0" w14:textId="0C9AEE19" w:rsidR="00C819CE" w:rsidRPr="009A161C" w:rsidRDefault="00C819CE" w:rsidP="00A42901">
            <w:pPr>
              <w:pStyle w:val="Odsekzoznamu"/>
              <w:numPr>
                <w:ilvl w:val="0"/>
                <w:numId w:val="7"/>
              </w:numPr>
              <w:rPr>
                <w:rStyle w:val="CEAGraphTitle"/>
                <w:szCs w:val="17"/>
              </w:rPr>
            </w:pPr>
            <w:r w:rsidRPr="00D658BF">
              <w:rPr>
                <w:rStyle w:val="CEAGraphTitle"/>
                <w:szCs w:val="17"/>
              </w:rPr>
              <w:lastRenderedPageBreak/>
              <w:t>The sub-set of equity investments shall be properly diversified in such a way as to avoid excessive reliance on any particular issuer or group of undertakings and excessive accumulation of risk in the portfolio as a whole.</w:t>
            </w:r>
          </w:p>
        </w:tc>
        <w:tc>
          <w:tcPr>
            <w:tcW w:w="3969" w:type="dxa"/>
            <w:vMerge w:val="restart"/>
          </w:tcPr>
          <w:p w14:paraId="09ADC685" w14:textId="762FA158" w:rsidR="00C819CE" w:rsidRPr="009A161C" w:rsidRDefault="00C819CE" w:rsidP="00A42901">
            <w:pPr>
              <w:pStyle w:val="Odsekzoznamu"/>
              <w:numPr>
                <w:ilvl w:val="0"/>
                <w:numId w:val="16"/>
              </w:numPr>
              <w:spacing w:line="240" w:lineRule="auto"/>
              <w:rPr>
                <w:rStyle w:val="CEAGraphTitle"/>
                <w:szCs w:val="17"/>
              </w:rPr>
            </w:pPr>
            <w:r w:rsidRPr="00D658BF">
              <w:rPr>
                <w:rStyle w:val="CEAGraphTitle"/>
                <w:szCs w:val="17"/>
              </w:rPr>
              <w:t xml:space="preserve">the sub-set of equity investments is appropriately diversified in such a way as to avoid excessive reliance on any particular issuer or group of undertakings </w:t>
            </w:r>
            <w:r w:rsidRPr="00D658BF">
              <w:rPr>
                <w:rStyle w:val="CEAGraphTitle"/>
                <w:color w:val="FF0000"/>
                <w:szCs w:val="17"/>
              </w:rPr>
              <w:t xml:space="preserve">with the same risk profile </w:t>
            </w:r>
            <w:r w:rsidRPr="00D658BF">
              <w:rPr>
                <w:rStyle w:val="CEAGraphTitle"/>
                <w:strike/>
                <w:color w:val="FF0000"/>
                <w:szCs w:val="17"/>
              </w:rPr>
              <w:t>and excessive accumulation of risk in the portfolio as a whole.</w:t>
            </w:r>
          </w:p>
        </w:tc>
        <w:tc>
          <w:tcPr>
            <w:tcW w:w="3187" w:type="dxa"/>
            <w:vMerge w:val="restart"/>
          </w:tcPr>
          <w:p w14:paraId="6AA580A8" w14:textId="77777777" w:rsidR="00C819CE" w:rsidRPr="009A161C" w:rsidRDefault="00C819CE" w:rsidP="00A42901">
            <w:pPr>
              <w:pStyle w:val="Odsekzoznamu"/>
              <w:spacing w:line="240" w:lineRule="auto"/>
              <w:ind w:left="360"/>
              <w:rPr>
                <w:rStyle w:val="CEAGraphTitle"/>
                <w:szCs w:val="17"/>
              </w:rPr>
            </w:pPr>
          </w:p>
        </w:tc>
        <w:tc>
          <w:tcPr>
            <w:tcW w:w="3683" w:type="dxa"/>
          </w:tcPr>
          <w:p w14:paraId="4B434E54" w14:textId="77777777" w:rsidR="00C819CE" w:rsidRPr="00F6447F" w:rsidRDefault="00C819CE" w:rsidP="00C409D0">
            <w:pPr>
              <w:pStyle w:val="Odsekzoznamu"/>
              <w:numPr>
                <w:ilvl w:val="0"/>
                <w:numId w:val="32"/>
              </w:numPr>
              <w:rPr>
                <w:rStyle w:val="CEAGraphTitle"/>
                <w:lang w:val="it-IT"/>
              </w:rPr>
            </w:pPr>
            <w:r w:rsidRPr="00F6447F">
              <w:rPr>
                <w:rStyle w:val="CEAGraphTitle"/>
                <w:lang w:val="it-IT"/>
              </w:rPr>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7F68603F" w14:textId="1FD5A2AC" w:rsidR="00C819CE" w:rsidRPr="009E6E02" w:rsidRDefault="00C819CE" w:rsidP="006864D4">
            <w:r>
              <w:rPr>
                <w:rStyle w:val="CEAGraphTitle"/>
              </w:rPr>
              <w:t>h/</w:t>
            </w:r>
            <w:proofErr w:type="spellStart"/>
            <w:r>
              <w:rPr>
                <w:rStyle w:val="CEAGraphTitle"/>
              </w:rPr>
              <w:t>i</w:t>
            </w:r>
            <w:proofErr w:type="spellEnd"/>
            <w:r>
              <w:rPr>
                <w:rStyle w:val="CEAGraphTitle"/>
              </w:rPr>
              <w:t xml:space="preserve">) </w:t>
            </w:r>
            <w:r w:rsidRPr="00D658BF">
              <w:rPr>
                <w:rStyle w:val="CEAGraphTitle"/>
                <w:szCs w:val="17"/>
              </w:rPr>
              <w:t>The sub-set of equity investments shall be properly diversified in such a way as to avoid excessive reliance on any particular issuer or group of undertakings and excessive accumulation of risk in the portfolio as a whole</w:t>
            </w:r>
            <w:r>
              <w:rPr>
                <w:rStyle w:val="CEAGraphTitle"/>
                <w:szCs w:val="17"/>
              </w:rPr>
              <w:t>.</w:t>
            </w:r>
          </w:p>
        </w:tc>
      </w:tr>
      <w:tr w:rsidR="00C819CE" w:rsidRPr="009A161C" w14:paraId="1C635C29" w14:textId="77777777" w:rsidTr="008018B3">
        <w:trPr>
          <w:trHeight w:val="930"/>
        </w:trPr>
        <w:tc>
          <w:tcPr>
            <w:tcW w:w="4112" w:type="dxa"/>
            <w:vMerge/>
          </w:tcPr>
          <w:p w14:paraId="67850815" w14:textId="77777777" w:rsidR="00C819CE" w:rsidRPr="00D658BF" w:rsidRDefault="00C819CE" w:rsidP="00A42901">
            <w:pPr>
              <w:pStyle w:val="Odsekzoznamu"/>
              <w:numPr>
                <w:ilvl w:val="0"/>
                <w:numId w:val="7"/>
              </w:numPr>
              <w:rPr>
                <w:rStyle w:val="CEAGraphTitle"/>
                <w:szCs w:val="17"/>
              </w:rPr>
            </w:pPr>
          </w:p>
        </w:tc>
        <w:tc>
          <w:tcPr>
            <w:tcW w:w="3969" w:type="dxa"/>
            <w:vMerge/>
          </w:tcPr>
          <w:p w14:paraId="7593F939" w14:textId="77777777" w:rsidR="00C819CE" w:rsidRPr="00D658BF" w:rsidRDefault="00C819CE" w:rsidP="00A42901">
            <w:pPr>
              <w:pStyle w:val="Odsekzoznamu"/>
              <w:numPr>
                <w:ilvl w:val="0"/>
                <w:numId w:val="16"/>
              </w:numPr>
              <w:spacing w:line="240" w:lineRule="auto"/>
              <w:rPr>
                <w:rStyle w:val="CEAGraphTitle"/>
                <w:szCs w:val="17"/>
              </w:rPr>
            </w:pPr>
          </w:p>
        </w:tc>
        <w:tc>
          <w:tcPr>
            <w:tcW w:w="3187" w:type="dxa"/>
            <w:vMerge/>
          </w:tcPr>
          <w:p w14:paraId="48CCF99D" w14:textId="77777777" w:rsidR="00C819CE" w:rsidRPr="009A161C" w:rsidRDefault="00C819CE" w:rsidP="00A42901">
            <w:pPr>
              <w:pStyle w:val="Odsekzoznamu"/>
              <w:spacing w:line="240" w:lineRule="auto"/>
              <w:ind w:left="360"/>
              <w:rPr>
                <w:rStyle w:val="CEAGraphTitle"/>
                <w:szCs w:val="17"/>
              </w:rPr>
            </w:pPr>
          </w:p>
        </w:tc>
        <w:tc>
          <w:tcPr>
            <w:tcW w:w="3683" w:type="dxa"/>
          </w:tcPr>
          <w:p w14:paraId="20FC8269" w14:textId="7A3D2FEF" w:rsidR="00C819CE" w:rsidRPr="00B84125" w:rsidRDefault="00C819CE" w:rsidP="00C409D0">
            <w:pPr>
              <w:pStyle w:val="Odsekzoznamu"/>
              <w:numPr>
                <w:ilvl w:val="0"/>
                <w:numId w:val="32"/>
              </w:numPr>
              <w:rPr>
                <w:rStyle w:val="CEAGraphTitle"/>
              </w:rPr>
            </w:pPr>
            <w:r w:rsidRPr="00B84125">
              <w:t>A 627</w:t>
            </w:r>
            <w:r>
              <w:t xml:space="preserve"> </w:t>
            </w:r>
            <w:r>
              <w:rPr>
                <w:rStyle w:val="CEAGraphTitle"/>
              </w:rPr>
              <w:t>(</w:t>
            </w:r>
            <w:r>
              <w:t xml:space="preserve">Johan Van </w:t>
            </w:r>
            <w:proofErr w:type="spellStart"/>
            <w:r>
              <w:t>Overtveldt</w:t>
            </w:r>
            <w:proofErr w:type="spellEnd"/>
            <w:r>
              <w:t>)</w:t>
            </w:r>
          </w:p>
          <w:p w14:paraId="7A90EA40" w14:textId="658B02EF" w:rsidR="00C819CE" w:rsidRDefault="00C819CE" w:rsidP="00A42901">
            <w:pPr>
              <w:rPr>
                <w:rStyle w:val="CEAGraphTitle"/>
              </w:rPr>
            </w:pPr>
            <w:r w:rsidRPr="00A42901">
              <w:rPr>
                <w:rStyle w:val="CEAGraphTitle"/>
                <w:color w:val="FF0000"/>
              </w:rPr>
              <w:t>Deleted.</w:t>
            </w:r>
          </w:p>
        </w:tc>
      </w:tr>
      <w:tr w:rsidR="00524DA0" w:rsidRPr="009A161C" w14:paraId="0B53EF9F" w14:textId="77777777" w:rsidTr="008018B3">
        <w:trPr>
          <w:trHeight w:val="930"/>
        </w:trPr>
        <w:tc>
          <w:tcPr>
            <w:tcW w:w="4112" w:type="dxa"/>
            <w:vMerge/>
          </w:tcPr>
          <w:p w14:paraId="2AD35FDF" w14:textId="77777777" w:rsidR="00524DA0" w:rsidRPr="00D658BF" w:rsidRDefault="00524DA0" w:rsidP="00A42901">
            <w:pPr>
              <w:pStyle w:val="Odsekzoznamu"/>
              <w:numPr>
                <w:ilvl w:val="0"/>
                <w:numId w:val="7"/>
              </w:numPr>
              <w:rPr>
                <w:rStyle w:val="CEAGraphTitle"/>
                <w:szCs w:val="17"/>
              </w:rPr>
            </w:pPr>
          </w:p>
        </w:tc>
        <w:tc>
          <w:tcPr>
            <w:tcW w:w="3969" w:type="dxa"/>
            <w:vMerge/>
          </w:tcPr>
          <w:p w14:paraId="0A11B2B9" w14:textId="77777777" w:rsidR="00524DA0" w:rsidRPr="00D658BF" w:rsidRDefault="00524DA0" w:rsidP="00A42901">
            <w:pPr>
              <w:pStyle w:val="Odsekzoznamu"/>
              <w:numPr>
                <w:ilvl w:val="0"/>
                <w:numId w:val="16"/>
              </w:numPr>
              <w:spacing w:line="240" w:lineRule="auto"/>
              <w:rPr>
                <w:rStyle w:val="CEAGraphTitle"/>
                <w:szCs w:val="17"/>
              </w:rPr>
            </w:pPr>
          </w:p>
        </w:tc>
        <w:tc>
          <w:tcPr>
            <w:tcW w:w="3187" w:type="dxa"/>
            <w:vMerge/>
          </w:tcPr>
          <w:p w14:paraId="64022C56" w14:textId="77777777" w:rsidR="00524DA0" w:rsidRPr="009A161C" w:rsidRDefault="00524DA0" w:rsidP="00A42901">
            <w:pPr>
              <w:pStyle w:val="Odsekzoznamu"/>
              <w:spacing w:line="240" w:lineRule="auto"/>
              <w:ind w:left="360"/>
              <w:rPr>
                <w:rStyle w:val="CEAGraphTitle"/>
                <w:szCs w:val="17"/>
              </w:rPr>
            </w:pPr>
          </w:p>
        </w:tc>
        <w:tc>
          <w:tcPr>
            <w:tcW w:w="3683" w:type="dxa"/>
          </w:tcPr>
          <w:p w14:paraId="56B93F0C" w14:textId="32C17D88" w:rsidR="00524DA0" w:rsidRDefault="00524DA0" w:rsidP="00C409D0">
            <w:pPr>
              <w:pStyle w:val="Odsekzoznamu"/>
              <w:numPr>
                <w:ilvl w:val="0"/>
                <w:numId w:val="32"/>
              </w:numPr>
              <w:rPr>
                <w:rStyle w:val="CEAGraphTitle"/>
              </w:rPr>
            </w:pPr>
            <w:r w:rsidRPr="003E2194">
              <w:t>A 628</w:t>
            </w:r>
            <w:r>
              <w:t xml:space="preserve"> </w:t>
            </w:r>
            <w:r>
              <w:rPr>
                <w:rStyle w:val="CEAGraphTitle"/>
              </w:rPr>
              <w:t>(</w:t>
            </w:r>
            <w:proofErr w:type="spellStart"/>
            <w:r>
              <w:t>Stéphanie</w:t>
            </w:r>
            <w:proofErr w:type="spellEnd"/>
            <w:r>
              <w:t xml:space="preserve"> Yon-Courtin, Gilles Boyer)</w:t>
            </w:r>
          </w:p>
          <w:p w14:paraId="426BC3DF" w14:textId="607DD74B" w:rsidR="00524DA0" w:rsidRDefault="00524DA0" w:rsidP="00A42901">
            <w:pPr>
              <w:rPr>
                <w:rStyle w:val="CEAGraphTitle"/>
              </w:rPr>
            </w:pPr>
            <w:r>
              <w:rPr>
                <w:rStyle w:val="CEAGraphTitle"/>
              </w:rPr>
              <w:t xml:space="preserve">h) </w:t>
            </w:r>
            <w:r w:rsidRPr="00D658BF">
              <w:rPr>
                <w:rStyle w:val="CEAGraphTitle"/>
                <w:szCs w:val="17"/>
              </w:rPr>
              <w:t>The sub-set of equity investments shall be properly diversified in such a way as to avoid excessive reliance on any particular issuer or group of undertakings</w:t>
            </w:r>
            <w:r>
              <w:rPr>
                <w:rStyle w:val="CEAGraphTitle"/>
                <w:szCs w:val="17"/>
              </w:rPr>
              <w:t xml:space="preserve"> </w:t>
            </w:r>
            <w:r w:rsidRPr="00471523">
              <w:rPr>
                <w:rStyle w:val="CEAGraphTitle"/>
                <w:color w:val="FF0000"/>
                <w:szCs w:val="17"/>
              </w:rPr>
              <w:t>with the same risk profile</w:t>
            </w:r>
            <w:r>
              <w:rPr>
                <w:rStyle w:val="CEAGraphTitle"/>
                <w:szCs w:val="17"/>
              </w:rPr>
              <w:t>.</w:t>
            </w:r>
            <w:r w:rsidRPr="00D658BF">
              <w:rPr>
                <w:rStyle w:val="CEAGraphTitle"/>
                <w:szCs w:val="17"/>
              </w:rPr>
              <w:t xml:space="preserve"> </w:t>
            </w:r>
            <w:r w:rsidRPr="00471523">
              <w:rPr>
                <w:rStyle w:val="CEAGraphTitle"/>
                <w:strike/>
                <w:color w:val="FF0000"/>
                <w:szCs w:val="17"/>
              </w:rPr>
              <w:t>and excessive accumulation of risk in the portfolio as a whole.</w:t>
            </w:r>
          </w:p>
        </w:tc>
      </w:tr>
      <w:tr w:rsidR="00505741" w:rsidRPr="009A161C" w14:paraId="4BC1BED4" w14:textId="77777777" w:rsidTr="00285883">
        <w:trPr>
          <w:trHeight w:val="1869"/>
        </w:trPr>
        <w:tc>
          <w:tcPr>
            <w:tcW w:w="4112" w:type="dxa"/>
          </w:tcPr>
          <w:p w14:paraId="04C50A12" w14:textId="77777777" w:rsidR="00505741" w:rsidRPr="00505741" w:rsidRDefault="00505741" w:rsidP="00505741">
            <w:pPr>
              <w:rPr>
                <w:rStyle w:val="CEAGraphTitle"/>
                <w:szCs w:val="17"/>
              </w:rPr>
            </w:pPr>
          </w:p>
        </w:tc>
        <w:tc>
          <w:tcPr>
            <w:tcW w:w="3969" w:type="dxa"/>
          </w:tcPr>
          <w:p w14:paraId="4A8E1B02" w14:textId="77777777" w:rsidR="00505741" w:rsidRDefault="009C5890" w:rsidP="009C5890">
            <w:pPr>
              <w:spacing w:line="240" w:lineRule="auto"/>
              <w:rPr>
                <w:rStyle w:val="CEAGraphTitle"/>
                <w:szCs w:val="17"/>
              </w:rPr>
            </w:pPr>
            <w:r>
              <w:rPr>
                <w:rStyle w:val="CEAGraphTitle"/>
                <w:szCs w:val="17"/>
              </w:rPr>
              <w:t xml:space="preserve">1a. </w:t>
            </w:r>
            <w:r w:rsidRPr="009C5890">
              <w:rPr>
                <w:rStyle w:val="CEAGraphTitle"/>
                <w:szCs w:val="17"/>
              </w:rPr>
              <w:t>In relation to life insurance and reinsurance obligations, the maximum share of equity investments classified as long-term investments to shall not exceed the ratio of the best estimate of technical provisions referred to in paragraph 1(b) which comply with paragraph 1(g)(</w:t>
            </w:r>
            <w:proofErr w:type="spellStart"/>
            <w:r w:rsidRPr="009C5890">
              <w:rPr>
                <w:rStyle w:val="CEAGraphTitle"/>
                <w:szCs w:val="17"/>
              </w:rPr>
              <w:t>i</w:t>
            </w:r>
            <w:proofErr w:type="spellEnd"/>
            <w:r w:rsidRPr="009C5890">
              <w:rPr>
                <w:rStyle w:val="CEAGraphTitle"/>
                <w:szCs w:val="17"/>
              </w:rPr>
              <w:t>) to the total best estimate of life technical provisions of the insurance or reinsurance undertaking</w:t>
            </w:r>
            <w:r>
              <w:rPr>
                <w:rStyle w:val="CEAGraphTitle"/>
                <w:szCs w:val="17"/>
              </w:rPr>
              <w:t>.</w:t>
            </w:r>
          </w:p>
          <w:p w14:paraId="48AEF950" w14:textId="77777777" w:rsidR="00AF2871" w:rsidRPr="00FA0274" w:rsidRDefault="00AF2871" w:rsidP="00C409D0">
            <w:pPr>
              <w:pStyle w:val="Odsekzoznamu"/>
              <w:numPr>
                <w:ilvl w:val="0"/>
                <w:numId w:val="20"/>
              </w:numPr>
              <w:rPr>
                <w:b/>
                <w:bCs/>
                <w:u w:val="single"/>
              </w:rPr>
            </w:pPr>
            <w:r>
              <w:lastRenderedPageBreak/>
              <w:t xml:space="preserve">100%, where the liquidity buffer referred to in paragraph 6 is above 110%; </w:t>
            </w:r>
          </w:p>
          <w:p w14:paraId="5CA05AF2" w14:textId="0ECDE3EA" w:rsidR="00AF2871" w:rsidRPr="00AF2871" w:rsidRDefault="00AF2871" w:rsidP="00C409D0">
            <w:pPr>
              <w:pStyle w:val="Odsekzoznamu"/>
              <w:numPr>
                <w:ilvl w:val="0"/>
                <w:numId w:val="20"/>
              </w:numPr>
              <w:rPr>
                <w:b/>
                <w:bCs/>
                <w:u w:val="single"/>
              </w:rPr>
            </w:pPr>
            <w:r>
              <w:t>0%, where the liquidity buffer referred to in paragraph 6 is below 90%.</w:t>
            </w:r>
          </w:p>
          <w:p w14:paraId="16200C24" w14:textId="3E479EB5" w:rsidR="00AF2871" w:rsidRPr="00AF2871" w:rsidRDefault="00AF2871" w:rsidP="00C409D0">
            <w:pPr>
              <w:pStyle w:val="Odsekzoznamu"/>
              <w:numPr>
                <w:ilvl w:val="0"/>
                <w:numId w:val="20"/>
              </w:numPr>
              <w:rPr>
                <w:rStyle w:val="CEAGraphTitle"/>
                <w:b/>
                <w:bCs/>
                <w:u w:val="single"/>
              </w:rPr>
            </w:pPr>
            <w:r>
              <w:t>In other cases, the maximum shall be linearly interpolated based on points (a) and (b).</w:t>
            </w:r>
          </w:p>
        </w:tc>
        <w:tc>
          <w:tcPr>
            <w:tcW w:w="3187" w:type="dxa"/>
          </w:tcPr>
          <w:p w14:paraId="667E6C03" w14:textId="77777777" w:rsidR="00505741" w:rsidRPr="00DD5796" w:rsidRDefault="00505741" w:rsidP="00524DA0">
            <w:pPr>
              <w:pStyle w:val="Odsekzoznamu"/>
              <w:spacing w:line="240" w:lineRule="auto"/>
              <w:ind w:left="360"/>
              <w:rPr>
                <w:rStyle w:val="CEAGraphTitle"/>
                <w:szCs w:val="17"/>
              </w:rPr>
            </w:pPr>
          </w:p>
        </w:tc>
        <w:tc>
          <w:tcPr>
            <w:tcW w:w="3683" w:type="dxa"/>
          </w:tcPr>
          <w:p w14:paraId="1B028C01" w14:textId="77777777" w:rsidR="00505741" w:rsidRPr="00505741" w:rsidRDefault="00505741" w:rsidP="00505741">
            <w:pPr>
              <w:rPr>
                <w:rStyle w:val="CEAGraphTitle"/>
                <w:lang w:val="it-IT"/>
              </w:rPr>
            </w:pPr>
          </w:p>
        </w:tc>
      </w:tr>
      <w:tr w:rsidR="00524DA0" w:rsidRPr="009A161C" w14:paraId="327013D7" w14:textId="77777777" w:rsidTr="00285883">
        <w:trPr>
          <w:trHeight w:val="1869"/>
        </w:trPr>
        <w:tc>
          <w:tcPr>
            <w:tcW w:w="4112" w:type="dxa"/>
          </w:tcPr>
          <w:p w14:paraId="1FE337E2" w14:textId="310171B1" w:rsidR="00AF17C1" w:rsidRPr="00436660" w:rsidRDefault="00AF17C1" w:rsidP="00436660">
            <w:pPr>
              <w:pStyle w:val="Odsekzoznamu"/>
              <w:numPr>
                <w:ilvl w:val="0"/>
                <w:numId w:val="8"/>
              </w:numPr>
              <w:rPr>
                <w:rStyle w:val="CEAGraphTitle"/>
                <w:szCs w:val="17"/>
              </w:rPr>
            </w:pPr>
            <w:r w:rsidRPr="00436660">
              <w:rPr>
                <w:rStyle w:val="CEAGraphTitle"/>
                <w:szCs w:val="17"/>
              </w:rPr>
              <w:t>(</w:t>
            </w:r>
            <w:proofErr w:type="spellStart"/>
            <w:r w:rsidRPr="00436660">
              <w:rPr>
                <w:rStyle w:val="CEAGraphTitle"/>
                <w:szCs w:val="17"/>
              </w:rPr>
              <w:t>i</w:t>
            </w:r>
            <w:proofErr w:type="spellEnd"/>
            <w:r w:rsidRPr="00436660">
              <w:rPr>
                <w:rStyle w:val="CEAGraphTitle"/>
                <w:szCs w:val="17"/>
              </w:rPr>
              <w:t>)</w:t>
            </w:r>
            <w:r w:rsidRPr="00436660">
              <w:rPr>
                <w:rStyle w:val="CEAGraphTitle"/>
                <w:szCs w:val="17"/>
              </w:rPr>
              <w:tab/>
              <w:t>The proportion of equity backing life technical provisions that is assigned to the long-term equity investment category does not exceed the proportion of life technical provisions compliant with the criteria specified in paragraph 1(g) (</w:t>
            </w:r>
            <w:proofErr w:type="spellStart"/>
            <w:r w:rsidRPr="00436660">
              <w:rPr>
                <w:rStyle w:val="CEAGraphTitle"/>
                <w:szCs w:val="17"/>
              </w:rPr>
              <w:t>i</w:t>
            </w:r>
            <w:proofErr w:type="spellEnd"/>
            <w:r w:rsidRPr="00436660">
              <w:rPr>
                <w:rStyle w:val="CEAGraphTitle"/>
                <w:szCs w:val="17"/>
              </w:rPr>
              <w:t>)on the total life technical provisions of the insurance or reinsurance undertaking;</w:t>
            </w:r>
          </w:p>
          <w:p w14:paraId="6AE38F16" w14:textId="77777777" w:rsidR="00AF17C1" w:rsidRPr="00AF17C1" w:rsidRDefault="00AF17C1" w:rsidP="00AF17C1">
            <w:pPr>
              <w:pStyle w:val="Odsekzoznamu"/>
              <w:ind w:left="360"/>
              <w:rPr>
                <w:rStyle w:val="CEAGraphTitle"/>
                <w:szCs w:val="17"/>
              </w:rPr>
            </w:pPr>
          </w:p>
          <w:p w14:paraId="36F5271B" w14:textId="77777777" w:rsidR="00AF17C1" w:rsidRPr="00AF17C1" w:rsidRDefault="00AF17C1" w:rsidP="00AF17C1">
            <w:pPr>
              <w:pStyle w:val="Odsekzoznamu"/>
              <w:ind w:left="360"/>
              <w:rPr>
                <w:rStyle w:val="CEAGraphTitle"/>
                <w:szCs w:val="17"/>
              </w:rPr>
            </w:pPr>
            <w:r w:rsidRPr="00AF17C1">
              <w:rPr>
                <w:rStyle w:val="CEAGraphTitle"/>
                <w:szCs w:val="17"/>
              </w:rPr>
              <w:t>(ii)</w:t>
            </w:r>
            <w:r w:rsidRPr="00AF17C1">
              <w:rPr>
                <w:rStyle w:val="CEAGraphTitle"/>
                <w:szCs w:val="17"/>
              </w:rPr>
              <w:tab/>
              <w:t xml:space="preserve">Category I liabilities are defined as contracts without any surrender/cancellation option or where the surrender value does not exceed the market value of the assets and with low mortality risk and catastrophe risk. </w:t>
            </w:r>
          </w:p>
          <w:p w14:paraId="75EA0C73" w14:textId="77777777" w:rsidR="00AF17C1" w:rsidRPr="00AF17C1" w:rsidRDefault="00AF17C1" w:rsidP="00AF17C1">
            <w:pPr>
              <w:pStyle w:val="Odsekzoznamu"/>
              <w:ind w:left="360"/>
              <w:rPr>
                <w:rStyle w:val="CEAGraphTitle"/>
                <w:szCs w:val="17"/>
              </w:rPr>
            </w:pPr>
          </w:p>
          <w:p w14:paraId="2EEC8938" w14:textId="77777777" w:rsidR="00AF17C1" w:rsidRPr="00AF17C1" w:rsidRDefault="00AF17C1" w:rsidP="00AF17C1">
            <w:pPr>
              <w:pStyle w:val="Odsekzoznamu"/>
              <w:ind w:left="360"/>
              <w:rPr>
                <w:rStyle w:val="CEAGraphTitle"/>
                <w:szCs w:val="17"/>
              </w:rPr>
            </w:pPr>
            <w:r w:rsidRPr="00AF17C1">
              <w:rPr>
                <w:rStyle w:val="CEAGraphTitle"/>
                <w:szCs w:val="17"/>
              </w:rPr>
              <w:t>Category II liabilities are defined as contracts with limited surrender risk:</w:t>
            </w:r>
          </w:p>
          <w:p w14:paraId="4359037C" w14:textId="77777777" w:rsidR="00AF17C1" w:rsidRPr="00AF17C1" w:rsidRDefault="00AF17C1" w:rsidP="00AF17C1">
            <w:pPr>
              <w:pStyle w:val="Odsekzoznamu"/>
              <w:ind w:left="360"/>
              <w:rPr>
                <w:rStyle w:val="CEAGraphTitle"/>
                <w:szCs w:val="17"/>
              </w:rPr>
            </w:pPr>
            <w:r w:rsidRPr="00AF17C1">
              <w:rPr>
                <w:rStyle w:val="CEAGraphTitle"/>
                <w:szCs w:val="17"/>
              </w:rPr>
              <w:t>•</w:t>
            </w:r>
            <w:r w:rsidRPr="00AF17C1">
              <w:rPr>
                <w:rStyle w:val="CEAGraphTitle"/>
                <w:szCs w:val="17"/>
              </w:rPr>
              <w:tab/>
              <w:t>including disincentives for surrender</w:t>
            </w:r>
          </w:p>
          <w:p w14:paraId="48E7733B" w14:textId="77777777" w:rsidR="00AF17C1" w:rsidRPr="00AF17C1" w:rsidRDefault="00AF17C1" w:rsidP="00AF17C1">
            <w:pPr>
              <w:pStyle w:val="Odsekzoznamu"/>
              <w:ind w:left="360"/>
              <w:rPr>
                <w:rStyle w:val="CEAGraphTitle"/>
                <w:szCs w:val="17"/>
              </w:rPr>
            </w:pPr>
            <w:r w:rsidRPr="00AF17C1">
              <w:rPr>
                <w:rStyle w:val="CEAGraphTitle"/>
                <w:szCs w:val="17"/>
              </w:rPr>
              <w:t>•</w:t>
            </w:r>
            <w:r w:rsidRPr="00AF17C1">
              <w:rPr>
                <w:rStyle w:val="CEAGraphTitle"/>
                <w:szCs w:val="17"/>
              </w:rPr>
              <w:tab/>
              <w:t>low risk charge for the risk of a permanent increase in lapse rates</w:t>
            </w:r>
          </w:p>
          <w:p w14:paraId="3AC82CDF" w14:textId="723C6756" w:rsidR="00524DA0" w:rsidRPr="00FA0274" w:rsidRDefault="00AF17C1" w:rsidP="00AF17C1">
            <w:pPr>
              <w:pStyle w:val="Odsekzoznamu"/>
              <w:ind w:left="360"/>
              <w:rPr>
                <w:rStyle w:val="CEAGraphTitle"/>
                <w:szCs w:val="17"/>
              </w:rPr>
            </w:pPr>
            <w:r w:rsidRPr="00AF17C1">
              <w:rPr>
                <w:rStyle w:val="CEAGraphTitle"/>
                <w:szCs w:val="17"/>
              </w:rPr>
              <w:t>And with low mortality risk and catastrophe risk.</w:t>
            </w:r>
          </w:p>
        </w:tc>
        <w:tc>
          <w:tcPr>
            <w:tcW w:w="3969" w:type="dxa"/>
          </w:tcPr>
          <w:p w14:paraId="2C6E2AAC" w14:textId="77777777" w:rsidR="00524DA0" w:rsidRPr="00FA0274" w:rsidRDefault="00524DA0" w:rsidP="00524DA0">
            <w:pPr>
              <w:pStyle w:val="Odsekzoznamu"/>
              <w:spacing w:line="240" w:lineRule="auto"/>
              <w:ind w:left="360"/>
              <w:rPr>
                <w:rStyle w:val="CEAGraphTitle"/>
                <w:szCs w:val="17"/>
              </w:rPr>
            </w:pPr>
          </w:p>
        </w:tc>
        <w:tc>
          <w:tcPr>
            <w:tcW w:w="3187" w:type="dxa"/>
          </w:tcPr>
          <w:p w14:paraId="1967E326" w14:textId="77777777" w:rsidR="00524DA0" w:rsidRPr="00DD5796" w:rsidRDefault="00524DA0" w:rsidP="00524DA0">
            <w:pPr>
              <w:pStyle w:val="Odsekzoznamu"/>
              <w:spacing w:line="240" w:lineRule="auto"/>
              <w:ind w:left="360"/>
              <w:rPr>
                <w:rStyle w:val="CEAGraphTitle"/>
                <w:szCs w:val="17"/>
              </w:rPr>
            </w:pPr>
          </w:p>
        </w:tc>
        <w:tc>
          <w:tcPr>
            <w:tcW w:w="3683" w:type="dxa"/>
          </w:tcPr>
          <w:p w14:paraId="572F0266" w14:textId="77777777" w:rsidR="00524DA0" w:rsidRPr="00F6447F" w:rsidRDefault="00524DA0" w:rsidP="00C409D0">
            <w:pPr>
              <w:pStyle w:val="Odsekzoznamu"/>
              <w:numPr>
                <w:ilvl w:val="0"/>
                <w:numId w:val="32"/>
              </w:numPr>
              <w:rPr>
                <w:rStyle w:val="CEAGraphTitle"/>
                <w:lang w:val="it-IT"/>
              </w:rPr>
            </w:pPr>
            <w:r w:rsidRPr="00F6447F">
              <w:rPr>
                <w:rStyle w:val="CEAGraphTitle"/>
                <w:lang w:val="it-IT"/>
              </w:rPr>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7DC59CEE" w14:textId="77777777" w:rsidR="00AF17C1" w:rsidRDefault="00AF17C1" w:rsidP="00AF17C1">
            <w:pPr>
              <w:rPr>
                <w:rStyle w:val="CEAGraphTitle"/>
                <w:color w:val="FF0000"/>
              </w:rPr>
            </w:pPr>
          </w:p>
          <w:p w14:paraId="4181FA67" w14:textId="6E0CD7F4" w:rsidR="00524DA0" w:rsidRPr="00AF17C1" w:rsidRDefault="00524DA0" w:rsidP="00AF17C1">
            <w:pPr>
              <w:rPr>
                <w:rStyle w:val="CEAGraphTitle"/>
                <w:lang w:val="it-IT"/>
              </w:rPr>
            </w:pPr>
            <w:r w:rsidRPr="00AF17C1">
              <w:rPr>
                <w:rStyle w:val="CEAGraphTitle"/>
                <w:color w:val="FF0000"/>
              </w:rPr>
              <w:t xml:space="preserve">(new) 2. </w:t>
            </w:r>
            <w:r w:rsidRPr="00AF17C1">
              <w:rPr>
                <w:color w:val="FF0000"/>
              </w:rPr>
              <w:t>The proportion of equity backing life technical provisions that is assigned to the long-term equity investment category does not exceed the proportion of life technical provisions compliant with the criteria specified in paragraph 1 on the total life technical provisions of the insurance or reinsurance undertaking;</w:t>
            </w:r>
          </w:p>
        </w:tc>
      </w:tr>
      <w:tr w:rsidR="00AF17C1" w:rsidRPr="009A161C" w14:paraId="43C80ED4" w14:textId="77777777" w:rsidTr="00285883">
        <w:trPr>
          <w:trHeight w:val="1869"/>
        </w:trPr>
        <w:tc>
          <w:tcPr>
            <w:tcW w:w="4112" w:type="dxa"/>
          </w:tcPr>
          <w:p w14:paraId="577A9621" w14:textId="77777777" w:rsidR="00AF17C1" w:rsidRDefault="00E83BF9" w:rsidP="00436660">
            <w:pPr>
              <w:pStyle w:val="Odsekzoznamu"/>
              <w:numPr>
                <w:ilvl w:val="0"/>
                <w:numId w:val="8"/>
              </w:numPr>
              <w:rPr>
                <w:rStyle w:val="CEAGraphTitle"/>
                <w:szCs w:val="17"/>
              </w:rPr>
            </w:pPr>
            <w:r w:rsidRPr="00436660">
              <w:rPr>
                <w:rStyle w:val="CEAGraphTitle"/>
                <w:szCs w:val="17"/>
              </w:rPr>
              <w:lastRenderedPageBreak/>
              <w:t>The liquidity test, specified in paragraph 1 (g) (iii) relies on the demonstration that, every year of the 5-year time horizon, in a deterministic stressed scenario, the difference between asset cash flows and liability cash flows is always positive. To this end:</w:t>
            </w:r>
          </w:p>
          <w:p w14:paraId="41441345" w14:textId="77777777" w:rsidR="00436660" w:rsidRDefault="00436660" w:rsidP="00436660">
            <w:pPr>
              <w:pStyle w:val="Odsekzoznamu"/>
              <w:ind w:left="360"/>
              <w:rPr>
                <w:rStyle w:val="CEAGraphTitle"/>
                <w:szCs w:val="17"/>
              </w:rPr>
            </w:pPr>
          </w:p>
          <w:p w14:paraId="6F546246" w14:textId="77777777" w:rsidR="00AB4594" w:rsidRPr="008C7BEE" w:rsidRDefault="00AB4594" w:rsidP="00C409D0">
            <w:pPr>
              <w:pStyle w:val="Odsekzoznamu"/>
              <w:numPr>
                <w:ilvl w:val="0"/>
                <w:numId w:val="28"/>
              </w:numPr>
              <w:spacing w:line="240" w:lineRule="auto"/>
              <w:rPr>
                <w:rStyle w:val="CEAGraphTitle"/>
                <w:szCs w:val="17"/>
              </w:rPr>
            </w:pPr>
            <w:r w:rsidRPr="008C7BEE">
              <w:rPr>
                <w:rStyle w:val="CEAGraphTitle"/>
                <w:szCs w:val="17"/>
              </w:rPr>
              <w:t>the asset cash flows shall be derived in a proportionate manner and include:</w:t>
            </w:r>
          </w:p>
          <w:p w14:paraId="134B04E7" w14:textId="77777777" w:rsidR="00AB4594" w:rsidRDefault="00AB4594" w:rsidP="00C409D0">
            <w:pPr>
              <w:pStyle w:val="Odsekzoznamu"/>
              <w:numPr>
                <w:ilvl w:val="0"/>
                <w:numId w:val="29"/>
              </w:numPr>
              <w:spacing w:line="240" w:lineRule="auto"/>
              <w:rPr>
                <w:rStyle w:val="CEAGraphTitle"/>
                <w:szCs w:val="17"/>
              </w:rPr>
            </w:pPr>
            <w:r w:rsidRPr="008C7BEE">
              <w:rPr>
                <w:rStyle w:val="CEAGraphTitle"/>
                <w:szCs w:val="17"/>
              </w:rPr>
              <w:t>projected asset revenues (</w:t>
            </w:r>
            <w:proofErr w:type="spellStart"/>
            <w:proofErr w:type="gramStart"/>
            <w:r w:rsidRPr="008C7BEE">
              <w:rPr>
                <w:rStyle w:val="CEAGraphTitle"/>
                <w:szCs w:val="17"/>
              </w:rPr>
              <w:t>eg</w:t>
            </w:r>
            <w:proofErr w:type="spellEnd"/>
            <w:proofErr w:type="gramEnd"/>
            <w:r w:rsidRPr="008C7BEE">
              <w:rPr>
                <w:rStyle w:val="CEAGraphTitle"/>
                <w:szCs w:val="17"/>
              </w:rPr>
              <w:t xml:space="preserve"> coupons, rental income and dividends);</w:t>
            </w:r>
          </w:p>
          <w:p w14:paraId="4007D3EE" w14:textId="77777777" w:rsidR="00AB4594" w:rsidRDefault="00AB4594" w:rsidP="00C409D0">
            <w:pPr>
              <w:pStyle w:val="Odsekzoznamu"/>
              <w:numPr>
                <w:ilvl w:val="0"/>
                <w:numId w:val="29"/>
              </w:numPr>
              <w:spacing w:line="240" w:lineRule="auto"/>
              <w:rPr>
                <w:rStyle w:val="CEAGraphTitle"/>
                <w:szCs w:val="17"/>
              </w:rPr>
            </w:pPr>
            <w:r w:rsidRPr="008C7BEE">
              <w:rPr>
                <w:rStyle w:val="CEAGraphTitle"/>
                <w:szCs w:val="17"/>
              </w:rPr>
              <w:t>projected future premiums income, including renewals estimated on a prudent basis;</w:t>
            </w:r>
          </w:p>
          <w:p w14:paraId="075A2C47" w14:textId="77777777" w:rsidR="00AB4594" w:rsidRDefault="00AB4594" w:rsidP="00C409D0">
            <w:pPr>
              <w:pStyle w:val="Odsekzoznamu"/>
              <w:numPr>
                <w:ilvl w:val="0"/>
                <w:numId w:val="29"/>
              </w:numPr>
              <w:spacing w:line="240" w:lineRule="auto"/>
              <w:rPr>
                <w:rStyle w:val="CEAGraphTitle"/>
                <w:szCs w:val="17"/>
              </w:rPr>
            </w:pPr>
            <w:r w:rsidRPr="008C7BEE">
              <w:rPr>
                <w:rStyle w:val="CEAGraphTitle"/>
                <w:szCs w:val="17"/>
              </w:rPr>
              <w:t>cash and cash financial instruments;</w:t>
            </w:r>
          </w:p>
          <w:p w14:paraId="296158F7" w14:textId="77777777" w:rsidR="00AB4594" w:rsidRDefault="00AB4594" w:rsidP="00C409D0">
            <w:pPr>
              <w:pStyle w:val="Odsekzoznamu"/>
              <w:numPr>
                <w:ilvl w:val="0"/>
                <w:numId w:val="29"/>
              </w:numPr>
              <w:spacing w:line="240" w:lineRule="auto"/>
              <w:rPr>
                <w:rStyle w:val="CEAGraphTitle"/>
                <w:szCs w:val="17"/>
              </w:rPr>
            </w:pPr>
            <w:r w:rsidRPr="008C7BEE">
              <w:rPr>
                <w:rStyle w:val="CEAGraphTitle"/>
                <w:szCs w:val="17"/>
              </w:rPr>
              <w:t>income from the sales of bonds backing the own funds or in the limit of the proportion of the bonds backing the own funds, bonds with a CQS of 0,1 or 2 and redemptions;</w:t>
            </w:r>
          </w:p>
          <w:p w14:paraId="4A75F554" w14:textId="77777777" w:rsidR="00AC3863" w:rsidRDefault="00AB4594" w:rsidP="00C409D0">
            <w:pPr>
              <w:pStyle w:val="Odsekzoznamu"/>
              <w:numPr>
                <w:ilvl w:val="0"/>
                <w:numId w:val="29"/>
              </w:numPr>
              <w:spacing w:line="240" w:lineRule="auto"/>
              <w:rPr>
                <w:rStyle w:val="CEAGraphTitle"/>
                <w:szCs w:val="17"/>
              </w:rPr>
            </w:pPr>
            <w:r w:rsidRPr="008C7BEE">
              <w:rPr>
                <w:rStyle w:val="CEAGraphTitle"/>
                <w:szCs w:val="17"/>
              </w:rPr>
              <w:t>income from any sales of equities or other assets not included in the long-term equity submodule;</w:t>
            </w:r>
          </w:p>
          <w:p w14:paraId="6880C32E" w14:textId="7F1D6392" w:rsidR="00AC3863" w:rsidRDefault="00AB4594" w:rsidP="00C409D0">
            <w:pPr>
              <w:pStyle w:val="Odsekzoznamu"/>
              <w:numPr>
                <w:ilvl w:val="0"/>
                <w:numId w:val="29"/>
              </w:numPr>
              <w:spacing w:line="240" w:lineRule="auto"/>
              <w:rPr>
                <w:rStyle w:val="CEAGraphTitle"/>
                <w:szCs w:val="17"/>
              </w:rPr>
            </w:pPr>
            <w:r w:rsidRPr="00AB4594">
              <w:rPr>
                <w:rStyle w:val="CEAGraphTitle"/>
                <w:szCs w:val="17"/>
              </w:rPr>
              <w:t>income from collateral cashflows.</w:t>
            </w:r>
          </w:p>
          <w:p w14:paraId="2581DE8A" w14:textId="77777777" w:rsidR="00B35B71" w:rsidRDefault="00B35B71" w:rsidP="00B35B71">
            <w:pPr>
              <w:pStyle w:val="Odsekzoznamu"/>
              <w:spacing w:line="240" w:lineRule="auto"/>
              <w:rPr>
                <w:rStyle w:val="CEAGraphTitle"/>
                <w:szCs w:val="17"/>
              </w:rPr>
            </w:pPr>
          </w:p>
          <w:p w14:paraId="65CE7448" w14:textId="77777777" w:rsidR="00B35B71" w:rsidRDefault="00B35B71" w:rsidP="00C409D0">
            <w:pPr>
              <w:pStyle w:val="Odsekzoznamu"/>
              <w:numPr>
                <w:ilvl w:val="0"/>
                <w:numId w:val="28"/>
              </w:numPr>
              <w:spacing w:line="240" w:lineRule="auto"/>
              <w:rPr>
                <w:rStyle w:val="CEAGraphTitle"/>
                <w:szCs w:val="17"/>
              </w:rPr>
            </w:pPr>
            <w:r w:rsidRPr="008C7BEE">
              <w:rPr>
                <w:rStyle w:val="CEAGraphTitle"/>
                <w:szCs w:val="17"/>
              </w:rPr>
              <w:t>the liability cash flows shall be derived in a proportionate manner and include:</w:t>
            </w:r>
          </w:p>
          <w:p w14:paraId="3C4FD602" w14:textId="77777777" w:rsidR="00B35B71" w:rsidRDefault="00B35B71" w:rsidP="00C409D0">
            <w:pPr>
              <w:pStyle w:val="Odsekzoznamu"/>
              <w:numPr>
                <w:ilvl w:val="0"/>
                <w:numId w:val="30"/>
              </w:numPr>
              <w:spacing w:line="240" w:lineRule="auto"/>
              <w:rPr>
                <w:rStyle w:val="CEAGraphTitle"/>
                <w:szCs w:val="17"/>
              </w:rPr>
            </w:pPr>
            <w:r w:rsidRPr="008C7BEE">
              <w:rPr>
                <w:rStyle w:val="CEAGraphTitle"/>
                <w:szCs w:val="17"/>
              </w:rPr>
              <w:t>projected claims and benefit payments;</w:t>
            </w:r>
          </w:p>
          <w:p w14:paraId="5DD1DB20" w14:textId="77777777" w:rsidR="00B35B71" w:rsidRDefault="00B35B71" w:rsidP="00C409D0">
            <w:pPr>
              <w:pStyle w:val="Odsekzoznamu"/>
              <w:numPr>
                <w:ilvl w:val="0"/>
                <w:numId w:val="30"/>
              </w:numPr>
              <w:spacing w:line="240" w:lineRule="auto"/>
              <w:rPr>
                <w:rStyle w:val="CEAGraphTitle"/>
                <w:szCs w:val="17"/>
              </w:rPr>
            </w:pPr>
            <w:r w:rsidRPr="00D14FD7">
              <w:rPr>
                <w:rStyle w:val="CEAGraphTitle"/>
                <w:szCs w:val="17"/>
              </w:rPr>
              <w:t>projected expenses and taxes;</w:t>
            </w:r>
          </w:p>
          <w:p w14:paraId="2D845D02" w14:textId="77777777" w:rsidR="00B35B71" w:rsidRDefault="00B35B71" w:rsidP="00C409D0">
            <w:pPr>
              <w:pStyle w:val="Odsekzoznamu"/>
              <w:numPr>
                <w:ilvl w:val="0"/>
                <w:numId w:val="30"/>
              </w:numPr>
              <w:spacing w:line="240" w:lineRule="auto"/>
              <w:rPr>
                <w:rStyle w:val="CEAGraphTitle"/>
                <w:szCs w:val="17"/>
              </w:rPr>
            </w:pPr>
            <w:r w:rsidRPr="00D14FD7">
              <w:rPr>
                <w:rStyle w:val="CEAGraphTitle"/>
                <w:szCs w:val="17"/>
              </w:rPr>
              <w:t>financing of insurer’s activities (</w:t>
            </w:r>
            <w:proofErr w:type="spellStart"/>
            <w:r w:rsidRPr="00D14FD7">
              <w:rPr>
                <w:rStyle w:val="CEAGraphTitle"/>
                <w:szCs w:val="17"/>
              </w:rPr>
              <w:t>eg.</w:t>
            </w:r>
            <w:proofErr w:type="spellEnd"/>
            <w:r w:rsidRPr="00D14FD7">
              <w:rPr>
                <w:rStyle w:val="CEAGraphTitle"/>
                <w:szCs w:val="17"/>
              </w:rPr>
              <w:t xml:space="preserve"> distributed dividends, debt interest and redemptions);</w:t>
            </w:r>
          </w:p>
          <w:p w14:paraId="63622781" w14:textId="2B90376C" w:rsidR="00B35B71" w:rsidRDefault="00B35B71" w:rsidP="00C409D0">
            <w:pPr>
              <w:pStyle w:val="Odsekzoznamu"/>
              <w:numPr>
                <w:ilvl w:val="0"/>
                <w:numId w:val="30"/>
              </w:numPr>
              <w:spacing w:line="240" w:lineRule="auto"/>
              <w:rPr>
                <w:rStyle w:val="CEAGraphTitle"/>
                <w:szCs w:val="17"/>
              </w:rPr>
            </w:pPr>
            <w:r w:rsidRPr="00B35B71">
              <w:rPr>
                <w:rStyle w:val="CEAGraphTitle"/>
                <w:szCs w:val="17"/>
              </w:rPr>
              <w:t xml:space="preserve">collateral requirements arising from </w:t>
            </w:r>
            <w:r w:rsidRPr="00B35B71">
              <w:rPr>
                <w:rStyle w:val="CEAGraphTitle"/>
                <w:szCs w:val="17"/>
              </w:rPr>
              <w:lastRenderedPageBreak/>
              <w:t>derivative positions assessed.</w:t>
            </w:r>
          </w:p>
          <w:p w14:paraId="68F758E4" w14:textId="77777777" w:rsidR="004231D4" w:rsidRDefault="004231D4" w:rsidP="004231D4">
            <w:pPr>
              <w:pStyle w:val="Odsekzoznamu"/>
              <w:spacing w:line="240" w:lineRule="auto"/>
              <w:rPr>
                <w:rStyle w:val="CEAGraphTitle"/>
                <w:szCs w:val="17"/>
              </w:rPr>
            </w:pPr>
          </w:p>
          <w:p w14:paraId="56AAF889" w14:textId="7DBBD0F4" w:rsidR="004231D4" w:rsidRDefault="004231D4" w:rsidP="00C409D0">
            <w:pPr>
              <w:pStyle w:val="Odsekzoznamu"/>
              <w:numPr>
                <w:ilvl w:val="0"/>
                <w:numId w:val="28"/>
              </w:numPr>
              <w:spacing w:line="240" w:lineRule="auto"/>
              <w:rPr>
                <w:rStyle w:val="CEAGraphTitle"/>
                <w:szCs w:val="17"/>
              </w:rPr>
            </w:pPr>
            <w:r w:rsidRPr="004231D4">
              <w:rPr>
                <w:rStyle w:val="CEAGraphTitle"/>
                <w:szCs w:val="17"/>
              </w:rPr>
              <w:t>The stressed scenario is assessed to be consistent with the SCR shocks calculated in accordance with the standard formula, as referred to in article 105 of Directive 2009/138/EC and aggregated using the correlation coefficients, as referred to in the article 104</w:t>
            </w:r>
            <w:r>
              <w:t xml:space="preserve"> </w:t>
            </w:r>
            <w:r w:rsidRPr="004231D4">
              <w:rPr>
                <w:rStyle w:val="CEAGraphTitle"/>
                <w:szCs w:val="17"/>
              </w:rPr>
              <w:t>of Directive 2009/138/EC. Based on the calculated</w:t>
            </w:r>
            <w:r>
              <w:t xml:space="preserve"> </w:t>
            </w:r>
            <w:r w:rsidRPr="004231D4">
              <w:rPr>
                <w:rStyle w:val="CEAGraphTitle"/>
                <w:szCs w:val="17"/>
              </w:rPr>
              <w:t>SCR, the insurance or reinsurance undertaking determines the relative contribution of each sub risk to the SCR</w:t>
            </w:r>
            <w:r w:rsidR="007D12C7">
              <w:rPr>
                <w:rStyle w:val="CEAGraphTitle"/>
                <w:szCs w:val="17"/>
              </w:rPr>
              <w:t>.</w:t>
            </w:r>
          </w:p>
          <w:p w14:paraId="294C0EC9" w14:textId="77777777" w:rsidR="007D12C7" w:rsidRDefault="007D12C7" w:rsidP="007D12C7">
            <w:pPr>
              <w:pStyle w:val="Odsekzoznamu"/>
              <w:spacing w:line="240" w:lineRule="auto"/>
              <w:rPr>
                <w:rStyle w:val="CEAGraphTitle"/>
                <w:szCs w:val="17"/>
              </w:rPr>
            </w:pPr>
          </w:p>
          <w:p w14:paraId="740EC1F4" w14:textId="65E00F75" w:rsidR="007D12C7" w:rsidRDefault="007D12C7" w:rsidP="00C409D0">
            <w:pPr>
              <w:pStyle w:val="Odsekzoznamu"/>
              <w:numPr>
                <w:ilvl w:val="0"/>
                <w:numId w:val="28"/>
              </w:numPr>
              <w:spacing w:line="240" w:lineRule="auto"/>
              <w:rPr>
                <w:rStyle w:val="CEAGraphTitle"/>
                <w:szCs w:val="17"/>
              </w:rPr>
            </w:pPr>
            <w:r w:rsidRPr="00D14FD7">
              <w:rPr>
                <w:rStyle w:val="CEAGraphTitle"/>
                <w:szCs w:val="17"/>
              </w:rPr>
              <w:t xml:space="preserve">The liquidity requirement in the stressed scenario is set to be the aggregated value of the shocks within the SCR which create an explicit cash outflow within the </w:t>
            </w:r>
            <w:proofErr w:type="gramStart"/>
            <w:r w:rsidRPr="00D14FD7">
              <w:rPr>
                <w:rStyle w:val="CEAGraphTitle"/>
                <w:szCs w:val="17"/>
              </w:rPr>
              <w:t>5 year</w:t>
            </w:r>
            <w:proofErr w:type="gramEnd"/>
            <w:r w:rsidRPr="00D14FD7">
              <w:rPr>
                <w:rStyle w:val="CEAGraphTitle"/>
                <w:szCs w:val="17"/>
              </w:rPr>
              <w:t xml:space="preserve"> period, The losses caused by the operational risk result in a cash outflow.</w:t>
            </w:r>
          </w:p>
          <w:p w14:paraId="120FF2BD" w14:textId="77777777" w:rsidR="007D12C7" w:rsidRPr="007D12C7" w:rsidRDefault="007D12C7" w:rsidP="007D12C7">
            <w:pPr>
              <w:pStyle w:val="Odsekzoznamu"/>
              <w:rPr>
                <w:rStyle w:val="CEAGraphTitle"/>
                <w:szCs w:val="17"/>
              </w:rPr>
            </w:pPr>
          </w:p>
          <w:p w14:paraId="582CF9DE" w14:textId="2287F01F" w:rsidR="002254B9" w:rsidRPr="00F511DF" w:rsidRDefault="00E36575" w:rsidP="00C409D0">
            <w:pPr>
              <w:pStyle w:val="Odsekzoznamu"/>
              <w:numPr>
                <w:ilvl w:val="0"/>
                <w:numId w:val="28"/>
              </w:numPr>
              <w:spacing w:line="240" w:lineRule="auto"/>
              <w:rPr>
                <w:rStyle w:val="CEAGraphTitle"/>
                <w:szCs w:val="17"/>
              </w:rPr>
            </w:pPr>
            <w:r w:rsidRPr="00D14FD7">
              <w:rPr>
                <w:rStyle w:val="CEAGraphTitle"/>
                <w:szCs w:val="17"/>
              </w:rPr>
              <w:t xml:space="preserve">The assumptions used by the insurance undertaking in the liquidity test should be realistic, consistent with the insurer’s business planning, policies and ORSA scenarios and approved by the AMSB. For the projecting period exceeding the time horizon of ORSA, the undertaking shall ensure that the underlying assumptions account adequately for any future uncertainty and that the profitability of the undertaking does not exceed the profit observed during the last </w:t>
            </w:r>
            <w:r w:rsidRPr="00D14FD7">
              <w:rPr>
                <w:rStyle w:val="CEAGraphTitle"/>
                <w:szCs w:val="17"/>
              </w:rPr>
              <w:lastRenderedPageBreak/>
              <w:t>projection year of ORSA.</w:t>
            </w:r>
          </w:p>
        </w:tc>
        <w:tc>
          <w:tcPr>
            <w:tcW w:w="3969" w:type="dxa"/>
          </w:tcPr>
          <w:p w14:paraId="507AA8D7" w14:textId="77777777" w:rsidR="00AF17C1" w:rsidRPr="00FA0274" w:rsidRDefault="00AF17C1" w:rsidP="00524DA0">
            <w:pPr>
              <w:pStyle w:val="Odsekzoznamu"/>
              <w:spacing w:line="240" w:lineRule="auto"/>
              <w:ind w:left="360"/>
              <w:rPr>
                <w:rStyle w:val="CEAGraphTitle"/>
                <w:szCs w:val="17"/>
              </w:rPr>
            </w:pPr>
          </w:p>
        </w:tc>
        <w:tc>
          <w:tcPr>
            <w:tcW w:w="3187" w:type="dxa"/>
          </w:tcPr>
          <w:p w14:paraId="0CAC2F3A" w14:textId="77777777" w:rsidR="00AF17C1" w:rsidRPr="00DD5796" w:rsidRDefault="00AF17C1" w:rsidP="00524DA0">
            <w:pPr>
              <w:pStyle w:val="Odsekzoznamu"/>
              <w:spacing w:line="240" w:lineRule="auto"/>
              <w:ind w:left="360"/>
              <w:rPr>
                <w:rStyle w:val="CEAGraphTitle"/>
                <w:szCs w:val="17"/>
              </w:rPr>
            </w:pPr>
          </w:p>
        </w:tc>
        <w:tc>
          <w:tcPr>
            <w:tcW w:w="3683" w:type="dxa"/>
          </w:tcPr>
          <w:p w14:paraId="449C85DB" w14:textId="77777777" w:rsidR="00AF17C1" w:rsidRPr="00F6447F" w:rsidRDefault="00AF17C1" w:rsidP="00AB4594">
            <w:pPr>
              <w:pStyle w:val="Odsekzoznamu"/>
              <w:rPr>
                <w:rStyle w:val="CEAGraphTitle"/>
                <w:lang w:val="it-IT"/>
              </w:rPr>
            </w:pPr>
          </w:p>
        </w:tc>
      </w:tr>
      <w:tr w:rsidR="005D4D89" w:rsidRPr="009A161C" w14:paraId="2EB796E4" w14:textId="77777777" w:rsidTr="008018B3">
        <w:trPr>
          <w:trHeight w:val="1869"/>
        </w:trPr>
        <w:tc>
          <w:tcPr>
            <w:tcW w:w="4112" w:type="dxa"/>
            <w:vMerge w:val="restart"/>
          </w:tcPr>
          <w:p w14:paraId="2505E1E7" w14:textId="1EEE63B1" w:rsidR="005D4D89" w:rsidRPr="00FA0274" w:rsidRDefault="005D4D89" w:rsidP="00C409D0">
            <w:pPr>
              <w:pStyle w:val="Odsekzoznamu"/>
              <w:numPr>
                <w:ilvl w:val="0"/>
                <w:numId w:val="21"/>
              </w:numPr>
              <w:rPr>
                <w:rStyle w:val="CEAGraphTitle"/>
                <w:szCs w:val="17"/>
              </w:rPr>
            </w:pPr>
            <w:r w:rsidRPr="00FA0274">
              <w:rPr>
                <w:rStyle w:val="CEAGraphTitle"/>
                <w:szCs w:val="17"/>
              </w:rPr>
              <w:lastRenderedPageBreak/>
              <w:t>Where equities are held within collective investment undertakings or within alternative investment funds or within investments in related undertakings, the conditions set out in paragraph 1 of this Article may be assessed at the level of the funds and not of the underlying assets held within those funds.</w:t>
            </w:r>
          </w:p>
        </w:tc>
        <w:tc>
          <w:tcPr>
            <w:tcW w:w="3969" w:type="dxa"/>
            <w:vMerge w:val="restart"/>
          </w:tcPr>
          <w:p w14:paraId="6DB8302F" w14:textId="6346D6DC" w:rsidR="005D4D89" w:rsidRPr="00FA0274" w:rsidRDefault="005D4D89" w:rsidP="00C409D0">
            <w:pPr>
              <w:pStyle w:val="Odsekzoznamu"/>
              <w:numPr>
                <w:ilvl w:val="0"/>
                <w:numId w:val="22"/>
              </w:numPr>
              <w:spacing w:line="240" w:lineRule="auto"/>
              <w:rPr>
                <w:rStyle w:val="CEAGraphTitle"/>
                <w:szCs w:val="17"/>
              </w:rPr>
            </w:pPr>
            <w:r w:rsidRPr="00FA0274">
              <w:rPr>
                <w:rStyle w:val="CEAGraphTitle"/>
                <w:szCs w:val="17"/>
              </w:rPr>
              <w:t xml:space="preserve">Where equities are held within collective investment undertakings or within alternative investment funds </w:t>
            </w:r>
            <w:r w:rsidRPr="00FA0274">
              <w:rPr>
                <w:rStyle w:val="CEAGraphTitle"/>
                <w:color w:val="FF0000"/>
                <w:szCs w:val="17"/>
              </w:rPr>
              <w:t>referred to in points (a) to (d) of Article 168(6), or where qualifying infrastructure equities or qualifying infrastructure corporate equities are held within collective investment undertakings or within alternative investment funds</w:t>
            </w:r>
            <w:r w:rsidRPr="00FA0274">
              <w:rPr>
                <w:rStyle w:val="CEAGraphTitle"/>
                <w:szCs w:val="17"/>
              </w:rPr>
              <w:t>, the conditions set out in paragraph 1 of this Article may be assessed at the level of the funds and not of the underlying assets held within those funds.</w:t>
            </w:r>
          </w:p>
        </w:tc>
        <w:tc>
          <w:tcPr>
            <w:tcW w:w="3187" w:type="dxa"/>
            <w:vMerge w:val="restart"/>
          </w:tcPr>
          <w:p w14:paraId="4E1D7009" w14:textId="2A63CD22" w:rsidR="005D4D89" w:rsidRPr="009A161C" w:rsidRDefault="005D4D89" w:rsidP="00A42901">
            <w:pPr>
              <w:pStyle w:val="Odsekzoznamu"/>
              <w:numPr>
                <w:ilvl w:val="0"/>
                <w:numId w:val="9"/>
              </w:numPr>
              <w:spacing w:line="240" w:lineRule="auto"/>
              <w:rPr>
                <w:rStyle w:val="CEAGraphTitle"/>
                <w:szCs w:val="17"/>
              </w:rPr>
            </w:pPr>
            <w:r w:rsidRPr="00DD5796">
              <w:rPr>
                <w:rStyle w:val="CEAGraphTitle"/>
                <w:szCs w:val="17"/>
              </w:rPr>
              <w:t>Where equities are held within collective investment undertakings or within alternative investment funds</w:t>
            </w:r>
            <w:r>
              <w:rPr>
                <w:rStyle w:val="CEAGraphTitle"/>
                <w:szCs w:val="17"/>
              </w:rPr>
              <w:t xml:space="preserve"> </w:t>
            </w:r>
            <w:r w:rsidRPr="00DD5796">
              <w:rPr>
                <w:rStyle w:val="CEAGraphTitle"/>
                <w:strike/>
                <w:color w:val="FF0000"/>
                <w:szCs w:val="17"/>
              </w:rPr>
              <w:t>or within investments in related undertakings</w:t>
            </w:r>
            <w:r w:rsidRPr="00DD5796">
              <w:rPr>
                <w:rStyle w:val="CEAGraphTitle"/>
                <w:color w:val="FF0000"/>
                <w:szCs w:val="17"/>
              </w:rPr>
              <w:t xml:space="preserve"> </w:t>
            </w:r>
            <w:r w:rsidRPr="00DD5796">
              <w:rPr>
                <w:rStyle w:val="CEAGraphTitle"/>
                <w:szCs w:val="17"/>
              </w:rPr>
              <w:t>the conditions laid down in paragraph 1 may be assessed at the level of the funds and not of the underlying assets held within those funds.</w:t>
            </w:r>
          </w:p>
        </w:tc>
        <w:tc>
          <w:tcPr>
            <w:tcW w:w="3683" w:type="dxa"/>
          </w:tcPr>
          <w:p w14:paraId="292AC503" w14:textId="446FA4C3" w:rsidR="005D4D89" w:rsidRPr="006864D4" w:rsidRDefault="005D4D89" w:rsidP="00C409D0">
            <w:pPr>
              <w:pStyle w:val="Odsekzoznamu"/>
              <w:numPr>
                <w:ilvl w:val="0"/>
                <w:numId w:val="32"/>
              </w:numPr>
              <w:rPr>
                <w:rStyle w:val="CEAGraphTitle"/>
                <w:lang w:val="it-IT"/>
              </w:rPr>
            </w:pPr>
            <w:r w:rsidRPr="00F6447F">
              <w:rPr>
                <w:rStyle w:val="CEAGraphTitle"/>
                <w:lang w:val="it-IT"/>
              </w:rPr>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0C2A1A93" w14:textId="73D40E05" w:rsidR="005D4D89" w:rsidRDefault="005D4D89" w:rsidP="006864D4">
            <w:pPr>
              <w:rPr>
                <w:rStyle w:val="CEAGraphTitle"/>
              </w:rPr>
            </w:pPr>
            <w:r>
              <w:rPr>
                <w:rStyle w:val="CEAGraphTitle"/>
              </w:rPr>
              <w:t xml:space="preserve">3. </w:t>
            </w:r>
            <w:r w:rsidRPr="00FA0274">
              <w:rPr>
                <w:rStyle w:val="CEAGraphTitle"/>
                <w:szCs w:val="17"/>
              </w:rPr>
              <w:t xml:space="preserve">Where equities are held within collective investment undertakings or within alternative investment funds </w:t>
            </w:r>
            <w:r w:rsidRPr="00615B1A">
              <w:rPr>
                <w:rStyle w:val="CEAGraphTitle"/>
                <w:strike/>
                <w:color w:val="FF0000"/>
                <w:szCs w:val="17"/>
              </w:rPr>
              <w:t>or within investments in related undertakings,</w:t>
            </w:r>
            <w:r w:rsidRPr="00FA0274">
              <w:rPr>
                <w:rStyle w:val="CEAGraphTitle"/>
                <w:szCs w:val="17"/>
              </w:rPr>
              <w:t xml:space="preserve"> the conditions</w:t>
            </w:r>
            <w:r>
              <w:rPr>
                <w:rStyle w:val="CEAGraphTitle"/>
                <w:szCs w:val="17"/>
              </w:rPr>
              <w:t xml:space="preserve"> </w:t>
            </w:r>
            <w:r w:rsidRPr="00615B1A">
              <w:rPr>
                <w:rStyle w:val="CEAGraphTitle"/>
                <w:color w:val="FF0000"/>
                <w:szCs w:val="17"/>
              </w:rPr>
              <w:t>laid</w:t>
            </w:r>
            <w:r>
              <w:rPr>
                <w:rStyle w:val="CEAGraphTitle"/>
                <w:color w:val="FF0000"/>
                <w:szCs w:val="17"/>
              </w:rPr>
              <w:t xml:space="preserve"> down</w:t>
            </w:r>
            <w:r w:rsidRPr="00615B1A">
              <w:rPr>
                <w:rStyle w:val="CEAGraphTitle"/>
                <w:color w:val="FF0000"/>
                <w:szCs w:val="17"/>
              </w:rPr>
              <w:t xml:space="preserve"> </w:t>
            </w:r>
            <w:r w:rsidRPr="00026DDA">
              <w:rPr>
                <w:rStyle w:val="CEAGraphTitle"/>
                <w:strike/>
                <w:color w:val="FF0000"/>
                <w:szCs w:val="17"/>
              </w:rPr>
              <w:t>set</w:t>
            </w:r>
            <w:r w:rsidRPr="00026DDA">
              <w:rPr>
                <w:rStyle w:val="CEAGraphTitle"/>
                <w:strike/>
                <w:szCs w:val="17"/>
              </w:rPr>
              <w:t xml:space="preserve"> </w:t>
            </w:r>
            <w:r w:rsidRPr="00026DDA">
              <w:rPr>
                <w:rStyle w:val="CEAGraphTitle"/>
                <w:strike/>
                <w:color w:val="FF0000"/>
                <w:szCs w:val="17"/>
              </w:rPr>
              <w:t>out</w:t>
            </w:r>
            <w:r w:rsidRPr="00026DDA">
              <w:rPr>
                <w:rStyle w:val="CEAGraphTitle"/>
                <w:color w:val="FF0000"/>
                <w:szCs w:val="17"/>
              </w:rPr>
              <w:t xml:space="preserve"> </w:t>
            </w:r>
            <w:r w:rsidRPr="00FA0274">
              <w:rPr>
                <w:rStyle w:val="CEAGraphTitle"/>
                <w:szCs w:val="17"/>
              </w:rPr>
              <w:t xml:space="preserve">in paragraph 1 </w:t>
            </w:r>
            <w:r w:rsidRPr="00026DDA">
              <w:rPr>
                <w:rStyle w:val="CEAGraphTitle"/>
                <w:strike/>
                <w:color w:val="FF0000"/>
                <w:szCs w:val="17"/>
              </w:rPr>
              <w:t>of this Article</w:t>
            </w:r>
            <w:r w:rsidRPr="00026DDA">
              <w:rPr>
                <w:rStyle w:val="CEAGraphTitle"/>
                <w:color w:val="FF0000"/>
                <w:szCs w:val="17"/>
              </w:rPr>
              <w:t xml:space="preserve"> </w:t>
            </w:r>
            <w:r w:rsidRPr="00FA0274">
              <w:rPr>
                <w:rStyle w:val="CEAGraphTitle"/>
                <w:szCs w:val="17"/>
              </w:rPr>
              <w:t>may be assessed at the level of the funds and not of the underlying assets held within those funds.</w:t>
            </w:r>
          </w:p>
        </w:tc>
      </w:tr>
      <w:tr w:rsidR="005D4D89" w:rsidRPr="009A161C" w14:paraId="57EA4950" w14:textId="77777777" w:rsidTr="008018B3">
        <w:trPr>
          <w:trHeight w:val="1867"/>
        </w:trPr>
        <w:tc>
          <w:tcPr>
            <w:tcW w:w="4112" w:type="dxa"/>
            <w:vMerge/>
          </w:tcPr>
          <w:p w14:paraId="31FA2CC4" w14:textId="77777777" w:rsidR="005D4D89" w:rsidRPr="00FA0274" w:rsidRDefault="005D4D89" w:rsidP="00C409D0">
            <w:pPr>
              <w:pStyle w:val="Odsekzoznamu"/>
              <w:numPr>
                <w:ilvl w:val="0"/>
                <w:numId w:val="21"/>
              </w:numPr>
              <w:rPr>
                <w:rStyle w:val="CEAGraphTitle"/>
                <w:szCs w:val="17"/>
              </w:rPr>
            </w:pPr>
          </w:p>
        </w:tc>
        <w:tc>
          <w:tcPr>
            <w:tcW w:w="3969" w:type="dxa"/>
            <w:vMerge/>
          </w:tcPr>
          <w:p w14:paraId="659434F7" w14:textId="77777777" w:rsidR="005D4D89" w:rsidRPr="00FA0274" w:rsidRDefault="005D4D89" w:rsidP="00C409D0">
            <w:pPr>
              <w:pStyle w:val="Odsekzoznamu"/>
              <w:numPr>
                <w:ilvl w:val="0"/>
                <w:numId w:val="22"/>
              </w:numPr>
              <w:spacing w:line="240" w:lineRule="auto"/>
              <w:rPr>
                <w:rStyle w:val="CEAGraphTitle"/>
                <w:szCs w:val="17"/>
              </w:rPr>
            </w:pPr>
          </w:p>
        </w:tc>
        <w:tc>
          <w:tcPr>
            <w:tcW w:w="3187" w:type="dxa"/>
            <w:vMerge/>
          </w:tcPr>
          <w:p w14:paraId="01C0D8CD" w14:textId="77777777" w:rsidR="005D4D89" w:rsidRPr="00DD5796" w:rsidRDefault="005D4D89" w:rsidP="005D4D89">
            <w:pPr>
              <w:pStyle w:val="Odsekzoznamu"/>
              <w:spacing w:line="240" w:lineRule="auto"/>
              <w:ind w:left="360"/>
              <w:rPr>
                <w:rStyle w:val="CEAGraphTitle"/>
                <w:szCs w:val="17"/>
              </w:rPr>
            </w:pPr>
          </w:p>
        </w:tc>
        <w:tc>
          <w:tcPr>
            <w:tcW w:w="3683" w:type="dxa"/>
          </w:tcPr>
          <w:p w14:paraId="48DD2ED8" w14:textId="3F96686F" w:rsidR="005D4D89" w:rsidRDefault="005D4D89" w:rsidP="00C409D0">
            <w:pPr>
              <w:pStyle w:val="Odsekzoznamu"/>
              <w:numPr>
                <w:ilvl w:val="0"/>
                <w:numId w:val="32"/>
              </w:numPr>
              <w:rPr>
                <w:rStyle w:val="CEAGraphTitle"/>
              </w:rPr>
            </w:pPr>
            <w:r>
              <w:rPr>
                <w:rStyle w:val="CEAGraphTitle"/>
              </w:rPr>
              <w:t>A 627 (</w:t>
            </w:r>
            <w:r>
              <w:t xml:space="preserve">Johan Van </w:t>
            </w:r>
            <w:proofErr w:type="spellStart"/>
            <w:r>
              <w:t>Overtveldt</w:t>
            </w:r>
            <w:proofErr w:type="spellEnd"/>
            <w:r>
              <w:t>)</w:t>
            </w:r>
          </w:p>
          <w:p w14:paraId="5E49E79E" w14:textId="0DE5EDB7" w:rsidR="005D4D89" w:rsidRDefault="005D4D89" w:rsidP="00A42901">
            <w:pPr>
              <w:rPr>
                <w:rStyle w:val="CEAGraphTitle"/>
              </w:rPr>
            </w:pPr>
            <w:r>
              <w:rPr>
                <w:rStyle w:val="CEAGraphTitle"/>
              </w:rPr>
              <w:t xml:space="preserve">2. </w:t>
            </w:r>
            <w:r w:rsidRPr="004B366E">
              <w:rPr>
                <w:rStyle w:val="CEAGraphTitle"/>
                <w:szCs w:val="17"/>
              </w:rPr>
              <w:t>Where</w:t>
            </w:r>
            <w:r w:rsidRPr="00FA0274">
              <w:rPr>
                <w:rStyle w:val="CEAGraphTitle"/>
                <w:szCs w:val="17"/>
              </w:rPr>
              <w:t xml:space="preserve"> equities are held within collective investment undertakings or within alternative investment funds</w:t>
            </w:r>
            <w:r>
              <w:rPr>
                <w:rStyle w:val="CEAGraphTitle"/>
                <w:szCs w:val="17"/>
              </w:rPr>
              <w:t xml:space="preserve"> </w:t>
            </w:r>
            <w:r w:rsidRPr="00A42901">
              <w:rPr>
                <w:rStyle w:val="CEAGraphTitle"/>
                <w:color w:val="FF0000"/>
                <w:szCs w:val="17"/>
              </w:rPr>
              <w:t xml:space="preserve">such as European Long Term Investment Funds (ELTIFs) </w:t>
            </w:r>
            <w:r w:rsidRPr="00F137C4">
              <w:rPr>
                <w:rStyle w:val="CEAGraphTitle"/>
                <w:strike/>
                <w:color w:val="FF0000"/>
                <w:szCs w:val="17"/>
              </w:rPr>
              <w:t>or within investments in related undertakings</w:t>
            </w:r>
            <w:r w:rsidRPr="00FA0274">
              <w:rPr>
                <w:rStyle w:val="CEAGraphTitle"/>
                <w:szCs w:val="17"/>
              </w:rPr>
              <w:t xml:space="preserve">, the conditions </w:t>
            </w:r>
            <w:r w:rsidRPr="008E09E5">
              <w:rPr>
                <w:rStyle w:val="CEAGraphTitle"/>
                <w:strike/>
                <w:color w:val="FF0000"/>
                <w:szCs w:val="17"/>
              </w:rPr>
              <w:t>set out</w:t>
            </w:r>
            <w:r w:rsidRPr="00FA0274">
              <w:rPr>
                <w:rStyle w:val="CEAGraphTitle"/>
                <w:szCs w:val="17"/>
              </w:rPr>
              <w:t xml:space="preserve"> </w:t>
            </w:r>
            <w:r w:rsidRPr="008E09E5">
              <w:rPr>
                <w:rStyle w:val="CEAGraphTitle"/>
                <w:color w:val="FF0000"/>
                <w:szCs w:val="17"/>
              </w:rPr>
              <w:t>l</w:t>
            </w:r>
            <w:r w:rsidRPr="008E09E5">
              <w:rPr>
                <w:rStyle w:val="CEAGraphTitle"/>
                <w:color w:val="FF0000"/>
              </w:rPr>
              <w:t xml:space="preserve">aid down </w:t>
            </w:r>
            <w:r w:rsidRPr="00FA0274">
              <w:rPr>
                <w:rStyle w:val="CEAGraphTitle"/>
                <w:szCs w:val="17"/>
              </w:rPr>
              <w:t xml:space="preserve">in paragraph 1 </w:t>
            </w:r>
            <w:r w:rsidRPr="008E09E5">
              <w:rPr>
                <w:rStyle w:val="CEAGraphTitle"/>
                <w:strike/>
                <w:color w:val="FF0000"/>
                <w:szCs w:val="17"/>
              </w:rPr>
              <w:t>of this Article</w:t>
            </w:r>
            <w:r w:rsidRPr="008E09E5">
              <w:rPr>
                <w:rStyle w:val="CEAGraphTitle"/>
                <w:color w:val="FF0000"/>
                <w:szCs w:val="17"/>
              </w:rPr>
              <w:t xml:space="preserve"> </w:t>
            </w:r>
            <w:r w:rsidRPr="00FA0274">
              <w:rPr>
                <w:rStyle w:val="CEAGraphTitle"/>
                <w:szCs w:val="17"/>
              </w:rPr>
              <w:t>may be assessed at the level of the funds and not of the underlying assets held within those funds.</w:t>
            </w:r>
          </w:p>
        </w:tc>
      </w:tr>
      <w:tr w:rsidR="005D4D89" w:rsidRPr="009A161C" w14:paraId="02FD93C4" w14:textId="77777777" w:rsidTr="008018B3">
        <w:trPr>
          <w:trHeight w:val="1867"/>
        </w:trPr>
        <w:tc>
          <w:tcPr>
            <w:tcW w:w="4112" w:type="dxa"/>
            <w:vMerge/>
          </w:tcPr>
          <w:p w14:paraId="520B5994" w14:textId="77777777" w:rsidR="005D4D89" w:rsidRPr="00FA0274" w:rsidRDefault="005D4D89" w:rsidP="00C409D0">
            <w:pPr>
              <w:pStyle w:val="Odsekzoznamu"/>
              <w:numPr>
                <w:ilvl w:val="0"/>
                <w:numId w:val="21"/>
              </w:numPr>
              <w:rPr>
                <w:rStyle w:val="CEAGraphTitle"/>
                <w:szCs w:val="17"/>
              </w:rPr>
            </w:pPr>
          </w:p>
        </w:tc>
        <w:tc>
          <w:tcPr>
            <w:tcW w:w="3969" w:type="dxa"/>
            <w:vMerge/>
          </w:tcPr>
          <w:p w14:paraId="1878629A" w14:textId="77777777" w:rsidR="005D4D89" w:rsidRPr="00FA0274" w:rsidRDefault="005D4D89" w:rsidP="00C409D0">
            <w:pPr>
              <w:pStyle w:val="Odsekzoznamu"/>
              <w:numPr>
                <w:ilvl w:val="0"/>
                <w:numId w:val="22"/>
              </w:numPr>
              <w:spacing w:line="240" w:lineRule="auto"/>
              <w:rPr>
                <w:rStyle w:val="CEAGraphTitle"/>
                <w:szCs w:val="17"/>
              </w:rPr>
            </w:pPr>
          </w:p>
        </w:tc>
        <w:tc>
          <w:tcPr>
            <w:tcW w:w="3187" w:type="dxa"/>
            <w:vMerge/>
          </w:tcPr>
          <w:p w14:paraId="5D6B6DA2" w14:textId="77777777" w:rsidR="005D4D89" w:rsidRPr="00DD5796" w:rsidRDefault="005D4D89" w:rsidP="005D4D89">
            <w:pPr>
              <w:pStyle w:val="Odsekzoznamu"/>
              <w:spacing w:line="240" w:lineRule="auto"/>
              <w:ind w:left="360"/>
              <w:rPr>
                <w:rStyle w:val="CEAGraphTitle"/>
                <w:szCs w:val="17"/>
              </w:rPr>
            </w:pPr>
          </w:p>
        </w:tc>
        <w:tc>
          <w:tcPr>
            <w:tcW w:w="3683" w:type="dxa"/>
          </w:tcPr>
          <w:p w14:paraId="53D6BF57" w14:textId="0CF26EB4" w:rsidR="005D4D89" w:rsidRDefault="005D4D89" w:rsidP="00C409D0">
            <w:pPr>
              <w:pStyle w:val="Odsekzoznamu"/>
              <w:numPr>
                <w:ilvl w:val="0"/>
                <w:numId w:val="32"/>
              </w:numPr>
              <w:rPr>
                <w:rStyle w:val="CEAGraphTitle"/>
              </w:rPr>
            </w:pPr>
            <w:r>
              <w:rPr>
                <w:rStyle w:val="CEAGraphTitle"/>
              </w:rPr>
              <w:t>A 628 (</w:t>
            </w:r>
            <w:proofErr w:type="spellStart"/>
            <w:r>
              <w:t>Stéphanie</w:t>
            </w:r>
            <w:proofErr w:type="spellEnd"/>
            <w:r>
              <w:t xml:space="preserve"> Yon-Courtin, Gilles Boyer)</w:t>
            </w:r>
          </w:p>
          <w:p w14:paraId="7D59C8D3" w14:textId="7E1702E3" w:rsidR="005D4D89" w:rsidRDefault="005D4D89" w:rsidP="00A42901">
            <w:pPr>
              <w:rPr>
                <w:rStyle w:val="CEAGraphTitle"/>
              </w:rPr>
            </w:pPr>
            <w:r>
              <w:rPr>
                <w:rStyle w:val="CEAGraphTitle"/>
              </w:rPr>
              <w:t xml:space="preserve">3. </w:t>
            </w:r>
            <w:r w:rsidRPr="00FA0274">
              <w:rPr>
                <w:rStyle w:val="CEAGraphTitle"/>
                <w:szCs w:val="17"/>
              </w:rPr>
              <w:t xml:space="preserve">Where equities are held within collective investment undertakings or within alternative investment funds </w:t>
            </w:r>
            <w:r w:rsidRPr="00B661D8">
              <w:rPr>
                <w:rStyle w:val="CEAGraphTitle"/>
                <w:strike/>
                <w:color w:val="FF0000"/>
                <w:szCs w:val="17"/>
              </w:rPr>
              <w:t>or within investments in related undertakings</w:t>
            </w:r>
            <w:r w:rsidRPr="00FA0274">
              <w:rPr>
                <w:rStyle w:val="CEAGraphTitle"/>
                <w:szCs w:val="17"/>
              </w:rPr>
              <w:t>, the conditions set out in paragraph 1 of this Article may be assessed at the level of the funds and not of the underlying assets held within those funds.</w:t>
            </w:r>
          </w:p>
        </w:tc>
      </w:tr>
      <w:tr w:rsidR="00F511DF" w:rsidRPr="009A161C" w14:paraId="2D054174" w14:textId="77777777" w:rsidTr="008018B3">
        <w:trPr>
          <w:trHeight w:val="3180"/>
        </w:trPr>
        <w:tc>
          <w:tcPr>
            <w:tcW w:w="4112" w:type="dxa"/>
            <w:vMerge w:val="restart"/>
          </w:tcPr>
          <w:p w14:paraId="1BC80342" w14:textId="29C3BCBB" w:rsidR="00F511DF" w:rsidRPr="00FA0274" w:rsidRDefault="00F511DF" w:rsidP="00C409D0">
            <w:pPr>
              <w:pStyle w:val="Odsekzoznamu"/>
              <w:numPr>
                <w:ilvl w:val="0"/>
                <w:numId w:val="21"/>
              </w:numPr>
              <w:rPr>
                <w:rStyle w:val="CEAGraphTitle"/>
                <w:szCs w:val="17"/>
              </w:rPr>
            </w:pPr>
            <w:r w:rsidRPr="008C471B">
              <w:rPr>
                <w:rStyle w:val="CEAGraphTitle"/>
                <w:szCs w:val="17"/>
              </w:rPr>
              <w:t>Insurance or reinsurance undertakings that treat a sub-set of equity investments as long-term equity investments in accordance with paragraph 1 shall not revert to an approach that does not include long-term equity investments. Where an insurance or reinsurance undertaking that treats a sub-set of equity investments as long-term equity investments is no longer able to comply with the conditions set out in paragraph 1, it shall immediately inform the supervisory authority. The supervisory authority can cease to allow the company to apply Article 169(1)(b), (2)(b), (3)(b) and (4)(b) to any of its sub-set equity investments for a period of 12 months.</w:t>
            </w:r>
          </w:p>
        </w:tc>
        <w:tc>
          <w:tcPr>
            <w:tcW w:w="3969" w:type="dxa"/>
            <w:vMerge w:val="restart"/>
          </w:tcPr>
          <w:p w14:paraId="6331B378" w14:textId="47EDC7B3" w:rsidR="00F511DF" w:rsidRPr="00184CBF" w:rsidRDefault="00F511DF" w:rsidP="00A42901">
            <w:pPr>
              <w:pStyle w:val="Odsekzoznamu"/>
              <w:numPr>
                <w:ilvl w:val="0"/>
                <w:numId w:val="9"/>
              </w:numPr>
              <w:spacing w:line="240" w:lineRule="auto"/>
              <w:jc w:val="left"/>
              <w:rPr>
                <w:rStyle w:val="CEAGraphTitle"/>
                <w:szCs w:val="17"/>
              </w:rPr>
            </w:pPr>
            <w:r w:rsidRPr="00184CBF">
              <w:rPr>
                <w:rStyle w:val="CEAGraphTitle"/>
                <w:szCs w:val="17"/>
              </w:rPr>
              <w:t xml:space="preserve">Insurance or reinsurance undertakings that treat a sub-set of equity investments as long-term equity investments in accordance with paragraph 1 shall not revert </w:t>
            </w:r>
            <w:r w:rsidRPr="00184CBF">
              <w:rPr>
                <w:rStyle w:val="CEAGraphTitle"/>
                <w:color w:val="FF0000"/>
                <w:szCs w:val="17"/>
              </w:rPr>
              <w:t xml:space="preserve">back </w:t>
            </w:r>
            <w:r w:rsidRPr="00184CBF">
              <w:rPr>
                <w:rStyle w:val="CEAGraphTitle"/>
                <w:szCs w:val="17"/>
              </w:rPr>
              <w:t>to an approach that does not include long-term equity investments. Where an insurance or reinsurance undertaking that treats a sub-set of equity investments as long-term equity investments is no longer able to comply with the conditions set out in paragraph 1, it shall immediately inform the supervisory authority</w:t>
            </w:r>
            <w:r w:rsidRPr="00184CBF">
              <w:rPr>
                <w:rStyle w:val="CEAGraphTitle"/>
                <w:strike/>
                <w:color w:val="FF0000"/>
                <w:szCs w:val="17"/>
              </w:rPr>
              <w:t>. The supervisory authority can</w:t>
            </w:r>
            <w:r w:rsidRPr="00184CBF">
              <w:rPr>
                <w:rStyle w:val="CEAGraphTitle"/>
                <w:color w:val="FF0000"/>
                <w:szCs w:val="17"/>
              </w:rPr>
              <w:t xml:space="preserve"> and shall</w:t>
            </w:r>
            <w:r w:rsidRPr="00184CBF">
              <w:rPr>
                <w:rStyle w:val="CEAGraphTitle"/>
                <w:szCs w:val="17"/>
              </w:rPr>
              <w:t xml:space="preserve"> cease to apply Article 169(1)(b), (2)(b), (3)(b) and (4)(b) to any of its equity investments for a period of </w:t>
            </w:r>
            <w:r w:rsidRPr="00184CBF">
              <w:rPr>
                <w:rStyle w:val="CEAGraphTitle"/>
                <w:strike/>
                <w:color w:val="FF0000"/>
                <w:szCs w:val="17"/>
              </w:rPr>
              <w:t>12</w:t>
            </w:r>
            <w:r w:rsidRPr="00184CBF">
              <w:rPr>
                <w:rStyle w:val="CEAGraphTitle"/>
                <w:color w:val="FF0000"/>
                <w:szCs w:val="17"/>
              </w:rPr>
              <w:t xml:space="preserve"> 36</w:t>
            </w:r>
            <w:r w:rsidRPr="00184CBF">
              <w:rPr>
                <w:rStyle w:val="CEAGraphTitle"/>
                <w:szCs w:val="17"/>
              </w:rPr>
              <w:t xml:space="preserve"> months.</w:t>
            </w:r>
          </w:p>
        </w:tc>
        <w:tc>
          <w:tcPr>
            <w:tcW w:w="3187" w:type="dxa"/>
            <w:vMerge w:val="restart"/>
          </w:tcPr>
          <w:p w14:paraId="04BF0127" w14:textId="365C4538" w:rsidR="00F511DF" w:rsidRPr="00184CBF" w:rsidRDefault="00F511DF" w:rsidP="00C409D0">
            <w:pPr>
              <w:pStyle w:val="Odsekzoznamu"/>
              <w:numPr>
                <w:ilvl w:val="0"/>
                <w:numId w:val="23"/>
              </w:numPr>
              <w:spacing w:line="240" w:lineRule="auto"/>
              <w:jc w:val="left"/>
              <w:rPr>
                <w:rStyle w:val="CEAGraphTitle"/>
                <w:szCs w:val="17"/>
              </w:rPr>
            </w:pPr>
            <w:r w:rsidRPr="00184CBF">
              <w:rPr>
                <w:rStyle w:val="CEAGraphTitle"/>
                <w:szCs w:val="17"/>
              </w:rPr>
              <w:t xml:space="preserve">Insurance or reinsurance undertakings that treat a sub-set of equity investments as long-term equity investments in accordance with paragraph 1 of this Article shall not revert </w:t>
            </w:r>
            <w:r w:rsidRPr="00184CBF">
              <w:rPr>
                <w:rStyle w:val="CEAGraphTitle"/>
                <w:color w:val="FF0000"/>
                <w:szCs w:val="17"/>
              </w:rPr>
              <w:t>back</w:t>
            </w:r>
            <w:r w:rsidRPr="00184CBF">
              <w:rPr>
                <w:rStyle w:val="CEAGraphTitle"/>
                <w:szCs w:val="17"/>
              </w:rPr>
              <w:t xml:space="preserve"> to an approach that does not include long-term equity investments. Where an insurance or reinsurance undertaking that treats a sub-set of equity investments as long-term equity investments is no longer able to comply with the conditions laid down in paragraph 1 of this Article, it shall immediately inform the supervisory authority</w:t>
            </w:r>
            <w:r w:rsidRPr="00184CBF">
              <w:rPr>
                <w:rStyle w:val="CEAGraphTitle"/>
                <w:strike/>
                <w:color w:val="FF0000"/>
                <w:szCs w:val="17"/>
              </w:rPr>
              <w:t>. The supervisory authority can</w:t>
            </w:r>
            <w:r w:rsidRPr="00184CBF">
              <w:rPr>
                <w:rStyle w:val="CEAGraphTitle"/>
                <w:color w:val="FF0000"/>
                <w:szCs w:val="17"/>
              </w:rPr>
              <w:t xml:space="preserve"> and shall </w:t>
            </w:r>
            <w:r w:rsidRPr="00184CBF">
              <w:rPr>
                <w:rStyle w:val="CEAGraphTitle"/>
                <w:szCs w:val="17"/>
              </w:rPr>
              <w:t xml:space="preserve">cease to apply Article 169(1)(b), (2)(b), (3)(b) and (4)(b) to any of its </w:t>
            </w:r>
            <w:r w:rsidRPr="00184CBF">
              <w:rPr>
                <w:rStyle w:val="CEAGraphTitle"/>
                <w:strike/>
                <w:color w:val="FF0000"/>
                <w:szCs w:val="17"/>
              </w:rPr>
              <w:t>sub-set</w:t>
            </w:r>
            <w:r w:rsidRPr="00184CBF">
              <w:rPr>
                <w:rStyle w:val="CEAGraphTitle"/>
                <w:color w:val="FF0000"/>
                <w:szCs w:val="17"/>
              </w:rPr>
              <w:t xml:space="preserve"> </w:t>
            </w:r>
            <w:r w:rsidRPr="00184CBF">
              <w:rPr>
                <w:rStyle w:val="CEAGraphTitle"/>
                <w:szCs w:val="17"/>
              </w:rPr>
              <w:t xml:space="preserve">equity investments for a period of </w:t>
            </w:r>
            <w:r w:rsidRPr="00184CBF">
              <w:rPr>
                <w:rStyle w:val="CEAGraphTitle"/>
                <w:strike/>
                <w:color w:val="FF0000"/>
                <w:szCs w:val="17"/>
              </w:rPr>
              <w:t>12</w:t>
            </w:r>
            <w:r w:rsidRPr="00184CBF">
              <w:rPr>
                <w:rStyle w:val="CEAGraphTitle"/>
                <w:color w:val="FF0000"/>
                <w:szCs w:val="17"/>
              </w:rPr>
              <w:t xml:space="preserve"> 36 </w:t>
            </w:r>
            <w:r w:rsidRPr="00184CBF">
              <w:rPr>
                <w:rStyle w:val="CEAGraphTitle"/>
                <w:szCs w:val="17"/>
              </w:rPr>
              <w:t>months.</w:t>
            </w:r>
          </w:p>
        </w:tc>
        <w:tc>
          <w:tcPr>
            <w:tcW w:w="3683" w:type="dxa"/>
          </w:tcPr>
          <w:p w14:paraId="1A30AE40" w14:textId="77777777" w:rsidR="00F511DF" w:rsidRPr="00F6447F" w:rsidRDefault="00F511DF" w:rsidP="00C409D0">
            <w:pPr>
              <w:pStyle w:val="Odsekzoznamu"/>
              <w:numPr>
                <w:ilvl w:val="0"/>
                <w:numId w:val="32"/>
              </w:numPr>
              <w:rPr>
                <w:rStyle w:val="CEAGraphTitle"/>
                <w:lang w:val="it-IT"/>
              </w:rPr>
            </w:pPr>
            <w:r w:rsidRPr="00F6447F">
              <w:rPr>
                <w:rStyle w:val="CEAGraphTitle"/>
                <w:lang w:val="it-IT"/>
              </w:rPr>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43E0E4D3" w14:textId="41200656" w:rsidR="00F511DF" w:rsidRDefault="00F511DF" w:rsidP="006864D4">
            <w:pPr>
              <w:rPr>
                <w:rStyle w:val="CEAGraphTitle"/>
              </w:rPr>
            </w:pPr>
            <w:r>
              <w:rPr>
                <w:rStyle w:val="CEAGraphTitle"/>
              </w:rPr>
              <w:t xml:space="preserve">4. </w:t>
            </w:r>
            <w:r w:rsidRPr="008C471B">
              <w:rPr>
                <w:rStyle w:val="CEAGraphTitle"/>
                <w:szCs w:val="17"/>
              </w:rPr>
              <w:t>Insurance or reinsurance undertakings that treat a sub-set of equity investments as long-term equity investments in accordance with paragraph 1 shall not revert to an approach that does not include long-term equity investments. Where an insurance or reinsurance undertaking that treats a sub-set of equity investments as long-term equity investments is no longer able to comply with the conditions set out in paragraph 1, it shall immediately inform the supervisory authority</w:t>
            </w:r>
            <w:r w:rsidRPr="00026DDA">
              <w:rPr>
                <w:rStyle w:val="CEAGraphTitle"/>
                <w:strike/>
                <w:color w:val="FF0000"/>
                <w:szCs w:val="17"/>
              </w:rPr>
              <w:t>. The supervisory authority can</w:t>
            </w:r>
            <w:r w:rsidRPr="008C471B">
              <w:rPr>
                <w:rStyle w:val="CEAGraphTitle"/>
                <w:szCs w:val="17"/>
              </w:rPr>
              <w:t xml:space="preserve"> </w:t>
            </w:r>
            <w:r w:rsidRPr="00026DDA">
              <w:rPr>
                <w:rStyle w:val="CEAGraphTitle"/>
                <w:color w:val="FF0000"/>
                <w:szCs w:val="17"/>
              </w:rPr>
              <w:t xml:space="preserve">and shall </w:t>
            </w:r>
            <w:r w:rsidRPr="008C471B">
              <w:rPr>
                <w:rStyle w:val="CEAGraphTitle"/>
                <w:szCs w:val="17"/>
              </w:rPr>
              <w:t xml:space="preserve">cease to </w:t>
            </w:r>
            <w:r w:rsidRPr="00026DDA">
              <w:rPr>
                <w:rStyle w:val="CEAGraphTitle"/>
                <w:strike/>
                <w:color w:val="FF0000"/>
                <w:szCs w:val="17"/>
              </w:rPr>
              <w:t>allow the company to</w:t>
            </w:r>
            <w:r w:rsidRPr="008C471B">
              <w:rPr>
                <w:rStyle w:val="CEAGraphTitle"/>
                <w:szCs w:val="17"/>
              </w:rPr>
              <w:t xml:space="preserve"> apply Article 169(1)(b), (2)(b), (3)(b) and (4)(b) to any of its sub-set equity investments for a period </w:t>
            </w:r>
            <w:r w:rsidRPr="008C471B">
              <w:rPr>
                <w:rStyle w:val="CEAGraphTitle"/>
                <w:szCs w:val="17"/>
              </w:rPr>
              <w:lastRenderedPageBreak/>
              <w:t xml:space="preserve">of </w:t>
            </w:r>
            <w:r w:rsidRPr="00026DDA">
              <w:rPr>
                <w:rStyle w:val="CEAGraphTitle"/>
                <w:strike/>
                <w:color w:val="FF0000"/>
                <w:szCs w:val="17"/>
              </w:rPr>
              <w:t>12</w:t>
            </w:r>
            <w:r w:rsidRPr="00026DDA">
              <w:rPr>
                <w:rStyle w:val="CEAGraphTitle"/>
                <w:color w:val="FF0000"/>
                <w:szCs w:val="17"/>
              </w:rPr>
              <w:t xml:space="preserve"> 36</w:t>
            </w:r>
            <w:r w:rsidRPr="008C471B">
              <w:rPr>
                <w:rStyle w:val="CEAGraphTitle"/>
                <w:szCs w:val="17"/>
              </w:rPr>
              <w:t xml:space="preserve"> months</w:t>
            </w:r>
            <w:r>
              <w:rPr>
                <w:rStyle w:val="CEAGraphTitle"/>
                <w:szCs w:val="17"/>
              </w:rPr>
              <w:t>;</w:t>
            </w:r>
          </w:p>
        </w:tc>
      </w:tr>
      <w:tr w:rsidR="00F511DF" w:rsidRPr="009A161C" w14:paraId="3546F2D5" w14:textId="77777777" w:rsidTr="008018B3">
        <w:trPr>
          <w:trHeight w:val="1374"/>
        </w:trPr>
        <w:tc>
          <w:tcPr>
            <w:tcW w:w="4112" w:type="dxa"/>
            <w:vMerge/>
          </w:tcPr>
          <w:p w14:paraId="394B39FA" w14:textId="77777777" w:rsidR="00F511DF" w:rsidRPr="008C471B" w:rsidRDefault="00F511DF" w:rsidP="00C409D0">
            <w:pPr>
              <w:pStyle w:val="Odsekzoznamu"/>
              <w:numPr>
                <w:ilvl w:val="0"/>
                <w:numId w:val="21"/>
              </w:numPr>
              <w:rPr>
                <w:rStyle w:val="CEAGraphTitle"/>
                <w:szCs w:val="17"/>
              </w:rPr>
            </w:pPr>
          </w:p>
        </w:tc>
        <w:tc>
          <w:tcPr>
            <w:tcW w:w="3969" w:type="dxa"/>
            <w:vMerge/>
          </w:tcPr>
          <w:p w14:paraId="15FC03CA" w14:textId="77777777" w:rsidR="00F511DF" w:rsidRPr="00184CBF" w:rsidRDefault="00F511DF" w:rsidP="00A42901">
            <w:pPr>
              <w:pStyle w:val="Odsekzoznamu"/>
              <w:numPr>
                <w:ilvl w:val="0"/>
                <w:numId w:val="9"/>
              </w:numPr>
              <w:spacing w:line="240" w:lineRule="auto"/>
              <w:jc w:val="left"/>
              <w:rPr>
                <w:rStyle w:val="CEAGraphTitle"/>
                <w:szCs w:val="17"/>
              </w:rPr>
            </w:pPr>
          </w:p>
        </w:tc>
        <w:tc>
          <w:tcPr>
            <w:tcW w:w="3187" w:type="dxa"/>
            <w:vMerge/>
          </w:tcPr>
          <w:p w14:paraId="002A194E" w14:textId="77777777" w:rsidR="00F511DF" w:rsidRPr="00184CBF" w:rsidRDefault="00F511DF" w:rsidP="00F511DF">
            <w:pPr>
              <w:pStyle w:val="Odsekzoznamu"/>
              <w:spacing w:line="240" w:lineRule="auto"/>
              <w:ind w:left="360"/>
              <w:jc w:val="left"/>
              <w:rPr>
                <w:rStyle w:val="CEAGraphTitle"/>
                <w:szCs w:val="17"/>
              </w:rPr>
            </w:pPr>
          </w:p>
        </w:tc>
        <w:tc>
          <w:tcPr>
            <w:tcW w:w="3683" w:type="dxa"/>
          </w:tcPr>
          <w:p w14:paraId="55DE3C0F" w14:textId="34652C0B" w:rsidR="00F511DF" w:rsidRDefault="00F511DF" w:rsidP="00C409D0">
            <w:pPr>
              <w:pStyle w:val="Odsekzoznamu"/>
              <w:numPr>
                <w:ilvl w:val="0"/>
                <w:numId w:val="32"/>
              </w:numPr>
              <w:rPr>
                <w:rStyle w:val="CEAGraphTitle"/>
              </w:rPr>
            </w:pPr>
            <w:r>
              <w:rPr>
                <w:rStyle w:val="CEAGraphTitle"/>
              </w:rPr>
              <w:t>A 627 (</w:t>
            </w:r>
            <w:r>
              <w:t xml:space="preserve">Johan Van </w:t>
            </w:r>
            <w:proofErr w:type="spellStart"/>
            <w:r>
              <w:t>Overtveldt</w:t>
            </w:r>
            <w:proofErr w:type="spellEnd"/>
            <w:r>
              <w:t>)</w:t>
            </w:r>
          </w:p>
          <w:p w14:paraId="6A196C4C" w14:textId="153964D7" w:rsidR="00F511DF" w:rsidRDefault="00F511DF" w:rsidP="00A42901">
            <w:pPr>
              <w:rPr>
                <w:rStyle w:val="CEAGraphTitle"/>
              </w:rPr>
            </w:pPr>
            <w:r>
              <w:rPr>
                <w:rStyle w:val="CEAGraphTitle"/>
              </w:rPr>
              <w:t xml:space="preserve">3. </w:t>
            </w:r>
            <w:r w:rsidRPr="008C471B">
              <w:rPr>
                <w:rStyle w:val="CEAGraphTitle"/>
                <w:szCs w:val="17"/>
              </w:rPr>
              <w:t xml:space="preserve">Insurance or reinsurance undertakings that treat a sub-set of equity investments as long-term equity investments in accordance with paragraph 1 </w:t>
            </w:r>
            <w:r w:rsidRPr="001918B9">
              <w:rPr>
                <w:rStyle w:val="CEAGraphTitle"/>
                <w:color w:val="FF0000"/>
                <w:szCs w:val="17"/>
              </w:rPr>
              <w:t>o</w:t>
            </w:r>
            <w:r w:rsidRPr="001918B9">
              <w:rPr>
                <w:rStyle w:val="CEAGraphTitle"/>
                <w:color w:val="FF0000"/>
              </w:rPr>
              <w:t xml:space="preserve">f this Article </w:t>
            </w:r>
            <w:r w:rsidRPr="008C471B">
              <w:rPr>
                <w:rStyle w:val="CEAGraphTitle"/>
                <w:szCs w:val="17"/>
              </w:rPr>
              <w:t xml:space="preserve">shall not revert </w:t>
            </w:r>
            <w:r w:rsidRPr="00192098">
              <w:rPr>
                <w:rStyle w:val="CEAGraphTitle"/>
                <w:color w:val="FF0000"/>
                <w:szCs w:val="17"/>
              </w:rPr>
              <w:t>back</w:t>
            </w:r>
            <w:r>
              <w:rPr>
                <w:rStyle w:val="CEAGraphTitle"/>
                <w:szCs w:val="17"/>
              </w:rPr>
              <w:t xml:space="preserve"> </w:t>
            </w:r>
            <w:r w:rsidRPr="008C471B">
              <w:rPr>
                <w:rStyle w:val="CEAGraphTitle"/>
                <w:szCs w:val="17"/>
              </w:rPr>
              <w:t xml:space="preserve">to an approach that does not include long-term equity investments. Where an insurance or reinsurance undertaking that treats a sub-set of equity investments as long-term equity investments is no longer able to comply with the conditions </w:t>
            </w:r>
            <w:r w:rsidRPr="0038025E">
              <w:rPr>
                <w:rStyle w:val="CEAGraphTitle"/>
                <w:strike/>
                <w:color w:val="FF0000"/>
                <w:szCs w:val="17"/>
              </w:rPr>
              <w:t xml:space="preserve">set out </w:t>
            </w:r>
            <w:r w:rsidRPr="0038025E">
              <w:rPr>
                <w:rStyle w:val="CEAGraphTitle"/>
                <w:color w:val="FF0000"/>
                <w:szCs w:val="17"/>
              </w:rPr>
              <w:t>laid down</w:t>
            </w:r>
            <w:r w:rsidRPr="008C471B">
              <w:rPr>
                <w:rStyle w:val="CEAGraphTitle"/>
                <w:szCs w:val="17"/>
              </w:rPr>
              <w:t xml:space="preserve"> in paragraph 1</w:t>
            </w:r>
            <w:r>
              <w:rPr>
                <w:rStyle w:val="CEAGraphTitle"/>
                <w:szCs w:val="17"/>
              </w:rPr>
              <w:t xml:space="preserve"> </w:t>
            </w:r>
            <w:r w:rsidRPr="001918B9">
              <w:rPr>
                <w:rStyle w:val="CEAGraphTitle"/>
                <w:color w:val="FF0000"/>
                <w:szCs w:val="17"/>
              </w:rPr>
              <w:t>o</w:t>
            </w:r>
            <w:r w:rsidRPr="001918B9">
              <w:rPr>
                <w:rStyle w:val="CEAGraphTitle"/>
                <w:color w:val="FF0000"/>
              </w:rPr>
              <w:t>f this Article</w:t>
            </w:r>
            <w:r w:rsidRPr="008C471B">
              <w:rPr>
                <w:rStyle w:val="CEAGraphTitle"/>
                <w:szCs w:val="17"/>
              </w:rPr>
              <w:t xml:space="preserve">, it shall immediately </w:t>
            </w:r>
            <w:r>
              <w:rPr>
                <w:rStyle w:val="CEAGraphTitle"/>
                <w:szCs w:val="17"/>
              </w:rPr>
              <w:t>i</w:t>
            </w:r>
            <w:r w:rsidRPr="008C471B">
              <w:rPr>
                <w:rStyle w:val="CEAGraphTitle"/>
                <w:szCs w:val="17"/>
              </w:rPr>
              <w:t>nform the supervisory authority</w:t>
            </w:r>
            <w:r w:rsidRPr="0038086A">
              <w:rPr>
                <w:rStyle w:val="CEAGraphTitle"/>
                <w:strike/>
                <w:color w:val="FF0000"/>
                <w:szCs w:val="17"/>
              </w:rPr>
              <w:t>. The supervisory authority can</w:t>
            </w:r>
            <w:r w:rsidRPr="008C471B">
              <w:rPr>
                <w:rStyle w:val="CEAGraphTitle"/>
                <w:szCs w:val="17"/>
              </w:rPr>
              <w:t xml:space="preserve"> </w:t>
            </w:r>
            <w:r w:rsidRPr="0038086A">
              <w:rPr>
                <w:rStyle w:val="CEAGraphTitle"/>
                <w:color w:val="FF0000"/>
                <w:szCs w:val="17"/>
              </w:rPr>
              <w:t xml:space="preserve">and shall </w:t>
            </w:r>
            <w:r w:rsidRPr="008C471B">
              <w:rPr>
                <w:rStyle w:val="CEAGraphTitle"/>
                <w:szCs w:val="17"/>
              </w:rPr>
              <w:t xml:space="preserve">cease </w:t>
            </w:r>
            <w:r w:rsidRPr="000B40E9">
              <w:rPr>
                <w:rStyle w:val="CEAGraphTitle"/>
                <w:strike/>
                <w:color w:val="FF0000"/>
                <w:szCs w:val="17"/>
              </w:rPr>
              <w:t>to allow the company</w:t>
            </w:r>
            <w:r w:rsidRPr="008C471B">
              <w:rPr>
                <w:rStyle w:val="CEAGraphTitle"/>
                <w:szCs w:val="17"/>
              </w:rPr>
              <w:t xml:space="preserve"> to apply Article 169(1)(b), (2)(b), (3)(b) and (4)(b) to any of its </w:t>
            </w:r>
            <w:r w:rsidRPr="000B40E9">
              <w:rPr>
                <w:rStyle w:val="CEAGraphTitle"/>
                <w:strike/>
                <w:color w:val="FF0000"/>
                <w:szCs w:val="17"/>
              </w:rPr>
              <w:t xml:space="preserve">sub-set </w:t>
            </w:r>
            <w:r w:rsidRPr="008C471B">
              <w:rPr>
                <w:rStyle w:val="CEAGraphTitle"/>
                <w:szCs w:val="17"/>
              </w:rPr>
              <w:t xml:space="preserve">equity investments for a period </w:t>
            </w:r>
            <w:r w:rsidRPr="008C471B">
              <w:rPr>
                <w:rStyle w:val="CEAGraphTitle"/>
                <w:szCs w:val="17"/>
              </w:rPr>
              <w:lastRenderedPageBreak/>
              <w:t xml:space="preserve">of </w:t>
            </w:r>
            <w:r w:rsidRPr="00026DDA">
              <w:rPr>
                <w:rStyle w:val="CEAGraphTitle"/>
                <w:strike/>
                <w:color w:val="FF0000"/>
                <w:szCs w:val="17"/>
              </w:rPr>
              <w:t>12</w:t>
            </w:r>
            <w:r w:rsidRPr="00026DDA">
              <w:rPr>
                <w:rStyle w:val="CEAGraphTitle"/>
                <w:color w:val="FF0000"/>
                <w:szCs w:val="17"/>
              </w:rPr>
              <w:t xml:space="preserve"> 36</w:t>
            </w:r>
            <w:r w:rsidRPr="008C471B">
              <w:rPr>
                <w:rStyle w:val="CEAGraphTitle"/>
                <w:szCs w:val="17"/>
              </w:rPr>
              <w:t>months.</w:t>
            </w:r>
          </w:p>
        </w:tc>
      </w:tr>
      <w:tr w:rsidR="00F511DF" w:rsidRPr="009A161C" w14:paraId="58AA9AF3" w14:textId="77777777" w:rsidTr="008018B3">
        <w:trPr>
          <w:trHeight w:val="3179"/>
        </w:trPr>
        <w:tc>
          <w:tcPr>
            <w:tcW w:w="4112" w:type="dxa"/>
            <w:vMerge/>
          </w:tcPr>
          <w:p w14:paraId="7DDEAD1E" w14:textId="77777777" w:rsidR="00F511DF" w:rsidRPr="008C471B" w:rsidRDefault="00F511DF" w:rsidP="00C409D0">
            <w:pPr>
              <w:pStyle w:val="Odsekzoznamu"/>
              <w:numPr>
                <w:ilvl w:val="0"/>
                <w:numId w:val="21"/>
              </w:numPr>
              <w:rPr>
                <w:rStyle w:val="CEAGraphTitle"/>
                <w:szCs w:val="17"/>
              </w:rPr>
            </w:pPr>
          </w:p>
        </w:tc>
        <w:tc>
          <w:tcPr>
            <w:tcW w:w="3969" w:type="dxa"/>
            <w:vMerge/>
          </w:tcPr>
          <w:p w14:paraId="62A44CA3" w14:textId="77777777" w:rsidR="00F511DF" w:rsidRPr="00184CBF" w:rsidRDefault="00F511DF" w:rsidP="00A42901">
            <w:pPr>
              <w:pStyle w:val="Odsekzoznamu"/>
              <w:numPr>
                <w:ilvl w:val="0"/>
                <w:numId w:val="9"/>
              </w:numPr>
              <w:spacing w:line="240" w:lineRule="auto"/>
              <w:jc w:val="left"/>
              <w:rPr>
                <w:rStyle w:val="CEAGraphTitle"/>
                <w:szCs w:val="17"/>
              </w:rPr>
            </w:pPr>
          </w:p>
        </w:tc>
        <w:tc>
          <w:tcPr>
            <w:tcW w:w="3187" w:type="dxa"/>
            <w:vMerge/>
          </w:tcPr>
          <w:p w14:paraId="541CE30E" w14:textId="77777777" w:rsidR="00F511DF" w:rsidRPr="00184CBF" w:rsidRDefault="00F511DF" w:rsidP="00F511DF">
            <w:pPr>
              <w:pStyle w:val="Odsekzoznamu"/>
              <w:spacing w:line="240" w:lineRule="auto"/>
              <w:ind w:left="360"/>
              <w:jc w:val="left"/>
              <w:rPr>
                <w:rStyle w:val="CEAGraphTitle"/>
                <w:szCs w:val="17"/>
              </w:rPr>
            </w:pPr>
          </w:p>
        </w:tc>
        <w:tc>
          <w:tcPr>
            <w:tcW w:w="3683" w:type="dxa"/>
          </w:tcPr>
          <w:p w14:paraId="68BBE5B5" w14:textId="0178ABC7" w:rsidR="00F511DF" w:rsidRDefault="00F511DF" w:rsidP="00C409D0">
            <w:pPr>
              <w:pStyle w:val="Odsekzoznamu"/>
              <w:numPr>
                <w:ilvl w:val="0"/>
                <w:numId w:val="32"/>
              </w:numPr>
              <w:rPr>
                <w:rStyle w:val="CEAGraphTitle"/>
              </w:rPr>
            </w:pPr>
            <w:r>
              <w:rPr>
                <w:rStyle w:val="CEAGraphTitle"/>
              </w:rPr>
              <w:t>A 628 (</w:t>
            </w:r>
            <w:proofErr w:type="spellStart"/>
            <w:r>
              <w:t>Stéphanie</w:t>
            </w:r>
            <w:proofErr w:type="spellEnd"/>
            <w:r>
              <w:t xml:space="preserve"> Yon-Courtin, Gilles Boyer)</w:t>
            </w:r>
          </w:p>
          <w:p w14:paraId="733F61C1" w14:textId="187557F4" w:rsidR="00F511DF" w:rsidRDefault="00F511DF" w:rsidP="00A42901">
            <w:pPr>
              <w:rPr>
                <w:rStyle w:val="CEAGraphTitle"/>
              </w:rPr>
            </w:pPr>
            <w:r>
              <w:rPr>
                <w:rStyle w:val="CEAGraphTitle"/>
              </w:rPr>
              <w:t xml:space="preserve">4. </w:t>
            </w:r>
            <w:r w:rsidRPr="008C471B">
              <w:rPr>
                <w:rStyle w:val="CEAGraphTitle"/>
                <w:szCs w:val="17"/>
              </w:rPr>
              <w:t>Insurance or reinsurance undertakings that treat a sub-set of equity investments as long-term equity investments in accordance with paragraph 1 shall not revert to an approach that does not include long-term equity investments. Where an insurance or reinsurance undertaking that treats a sub-set of equity investments as long-term equity investments is no longer able to comply with the conditions set out in paragraph 1, it shall immediately inform the supervisory authority</w:t>
            </w:r>
            <w:r>
              <w:rPr>
                <w:rStyle w:val="CEAGraphTitle"/>
                <w:szCs w:val="17"/>
              </w:rPr>
              <w:t xml:space="preserve"> </w:t>
            </w:r>
            <w:r w:rsidRPr="00585862">
              <w:rPr>
                <w:color w:val="FF0000"/>
              </w:rPr>
              <w:t>and shall cease to apply the instantaneous decrease in the value of equities referred to in point 5</w:t>
            </w:r>
            <w:r w:rsidRPr="008C471B">
              <w:rPr>
                <w:rStyle w:val="CEAGraphTitle"/>
                <w:szCs w:val="17"/>
              </w:rPr>
              <w:t xml:space="preserve">. </w:t>
            </w:r>
            <w:r w:rsidRPr="00585862">
              <w:rPr>
                <w:rStyle w:val="CEAGraphTitle"/>
                <w:strike/>
                <w:color w:val="FF0000"/>
                <w:szCs w:val="17"/>
              </w:rPr>
              <w:t>The supervisory authority can cease to allow the company to apply Article 169(1)(b), (2)(b), (3)(b) and (4)(b) to any of its sub-set equity investments for a period of 12 months.</w:t>
            </w:r>
          </w:p>
        </w:tc>
      </w:tr>
      <w:tr w:rsidR="00F511DF" w:rsidRPr="00184CBF" w14:paraId="6A987539" w14:textId="77777777" w:rsidTr="008018B3">
        <w:trPr>
          <w:trHeight w:val="784"/>
        </w:trPr>
        <w:tc>
          <w:tcPr>
            <w:tcW w:w="4112" w:type="dxa"/>
            <w:vMerge w:val="restart"/>
          </w:tcPr>
          <w:p w14:paraId="4C1EF2A4" w14:textId="77777777" w:rsidR="00F511DF" w:rsidRPr="00184CBF" w:rsidRDefault="00F511DF" w:rsidP="00A42901">
            <w:pPr>
              <w:rPr>
                <w:rStyle w:val="CEAGraphTitle"/>
                <w:szCs w:val="17"/>
              </w:rPr>
            </w:pPr>
          </w:p>
        </w:tc>
        <w:tc>
          <w:tcPr>
            <w:tcW w:w="3969" w:type="dxa"/>
            <w:vMerge w:val="restart"/>
          </w:tcPr>
          <w:p w14:paraId="5A4F5039" w14:textId="3695E8CA" w:rsidR="00F511DF" w:rsidRPr="00184CBF" w:rsidRDefault="00F511DF" w:rsidP="00A42901">
            <w:pPr>
              <w:pStyle w:val="Odsekzoznamu"/>
              <w:numPr>
                <w:ilvl w:val="0"/>
                <w:numId w:val="9"/>
              </w:numPr>
              <w:spacing w:line="240" w:lineRule="auto"/>
              <w:jc w:val="left"/>
              <w:rPr>
                <w:rStyle w:val="CEAGraphTitle"/>
                <w:szCs w:val="17"/>
              </w:rPr>
            </w:pPr>
            <w:r w:rsidRPr="00184CBF">
              <w:rPr>
                <w:rStyle w:val="CEAGraphTitle"/>
                <w:color w:val="FF0000"/>
                <w:szCs w:val="17"/>
              </w:rPr>
              <w:t>Holdings in related undertakings shall be excluded from the sub-set of equity investments</w:t>
            </w:r>
          </w:p>
        </w:tc>
        <w:tc>
          <w:tcPr>
            <w:tcW w:w="3187" w:type="dxa"/>
            <w:vMerge w:val="restart"/>
          </w:tcPr>
          <w:p w14:paraId="2FC581F6" w14:textId="618FA54A" w:rsidR="00F511DF" w:rsidRPr="00184CBF" w:rsidRDefault="00F511DF" w:rsidP="00C409D0">
            <w:pPr>
              <w:pStyle w:val="Odsekzoznamu"/>
              <w:numPr>
                <w:ilvl w:val="0"/>
                <w:numId w:val="23"/>
              </w:numPr>
              <w:spacing w:line="240" w:lineRule="auto"/>
              <w:jc w:val="left"/>
              <w:rPr>
                <w:rStyle w:val="CEAGraphTitle"/>
                <w:szCs w:val="17"/>
              </w:rPr>
            </w:pPr>
            <w:r w:rsidRPr="00184CBF">
              <w:rPr>
                <w:rStyle w:val="CEAGraphTitle"/>
                <w:color w:val="FF0000"/>
                <w:szCs w:val="17"/>
              </w:rPr>
              <w:t xml:space="preserve">The capital requirement for </w:t>
            </w:r>
            <w:proofErr w:type="spellStart"/>
            <w:r w:rsidRPr="00184CBF">
              <w:rPr>
                <w:rStyle w:val="CEAGraphTitle"/>
                <w:color w:val="FF0000"/>
                <w:szCs w:val="17"/>
              </w:rPr>
              <w:t>longterm</w:t>
            </w:r>
            <w:proofErr w:type="spellEnd"/>
            <w:r w:rsidRPr="00184CBF">
              <w:rPr>
                <w:rStyle w:val="CEAGraphTitle"/>
                <w:color w:val="FF0000"/>
                <w:szCs w:val="17"/>
              </w:rPr>
              <w:t xml:space="preserve"> equity investments shall be equal to the loss in the basic own funds that </w:t>
            </w:r>
            <w:r w:rsidRPr="00184CBF">
              <w:rPr>
                <w:rStyle w:val="CEAGraphTitle"/>
                <w:color w:val="FF0000"/>
                <w:szCs w:val="17"/>
              </w:rPr>
              <w:lastRenderedPageBreak/>
              <w:t>would result from an instantaneous decrease equal to 22 % in the value of investments that are treated as long-term equity.</w:t>
            </w:r>
          </w:p>
        </w:tc>
        <w:tc>
          <w:tcPr>
            <w:tcW w:w="3683" w:type="dxa"/>
          </w:tcPr>
          <w:p w14:paraId="7775B472" w14:textId="6F5C6FE3" w:rsidR="00F511DF" w:rsidRPr="006864D4" w:rsidRDefault="00F511DF" w:rsidP="00C409D0">
            <w:pPr>
              <w:pStyle w:val="Odsekzoznamu"/>
              <w:numPr>
                <w:ilvl w:val="0"/>
                <w:numId w:val="32"/>
              </w:numPr>
              <w:rPr>
                <w:rStyle w:val="CEAGraphTitle"/>
                <w:lang w:val="it-IT"/>
              </w:rPr>
            </w:pPr>
            <w:r w:rsidRPr="00F6447F">
              <w:rPr>
                <w:rStyle w:val="CEAGraphTitle"/>
                <w:lang w:val="it-IT"/>
              </w:rPr>
              <w:lastRenderedPageBreak/>
              <w:t>A 624 (</w:t>
            </w:r>
            <w:r w:rsidRPr="00F6447F">
              <w:rPr>
                <w:lang w:val="it-IT"/>
              </w:rPr>
              <w:t>Raffaele Fitto)</w:t>
            </w:r>
            <w:r w:rsidRPr="00F6447F">
              <w:rPr>
                <w:rStyle w:val="CEAGraphTitle"/>
                <w:lang w:val="it-IT"/>
              </w:rPr>
              <w:t>/</w:t>
            </w:r>
            <w:r>
              <w:rPr>
                <w:rStyle w:val="CEAGraphTitle"/>
                <w:lang w:val="it-IT"/>
              </w:rPr>
              <w:t xml:space="preserve">A </w:t>
            </w:r>
            <w:r w:rsidRPr="00F6447F">
              <w:rPr>
                <w:rStyle w:val="CEAGraphTitle"/>
                <w:lang w:val="it-IT"/>
              </w:rPr>
              <w:t>625 (</w:t>
            </w:r>
            <w:r w:rsidRPr="00F6447F">
              <w:rPr>
                <w:lang w:val="it-IT"/>
              </w:rPr>
              <w:t>Fabio Massimo Castaldo)</w:t>
            </w:r>
            <w:r w:rsidRPr="00F6447F">
              <w:rPr>
                <w:rStyle w:val="CEAGraphTitle"/>
                <w:lang w:val="it-IT"/>
              </w:rPr>
              <w:t>/</w:t>
            </w:r>
            <w:r>
              <w:rPr>
                <w:rStyle w:val="CEAGraphTitle"/>
                <w:lang w:val="it-IT"/>
              </w:rPr>
              <w:t xml:space="preserve">A </w:t>
            </w:r>
            <w:r w:rsidRPr="00F6447F">
              <w:rPr>
                <w:rStyle w:val="CEAGraphTitle"/>
                <w:lang w:val="it-IT"/>
              </w:rPr>
              <w:t xml:space="preserve">626 </w:t>
            </w:r>
            <w:r>
              <w:rPr>
                <w:rStyle w:val="CEAGraphTitle"/>
                <w:lang w:val="it-IT"/>
              </w:rPr>
              <w:t>(</w:t>
            </w:r>
            <w:r w:rsidRPr="00F6447F">
              <w:rPr>
                <w:lang w:val="it-IT"/>
              </w:rPr>
              <w:t>Marco Zanni, Valentino Grant, Antonio Maria Rinaldi</w:t>
            </w:r>
            <w:r>
              <w:rPr>
                <w:lang w:val="it-IT"/>
              </w:rPr>
              <w:t>)</w:t>
            </w:r>
          </w:p>
          <w:p w14:paraId="138F5360" w14:textId="330C3C65" w:rsidR="00F511DF" w:rsidRDefault="00F511DF" w:rsidP="00A42901">
            <w:pPr>
              <w:rPr>
                <w:color w:val="FF0000"/>
              </w:rPr>
            </w:pPr>
            <w:r w:rsidRPr="00026DDA">
              <w:rPr>
                <w:rStyle w:val="CEAGraphTitle"/>
                <w:color w:val="FF0000"/>
              </w:rPr>
              <w:lastRenderedPageBreak/>
              <w:t xml:space="preserve">5. </w:t>
            </w:r>
            <w:r>
              <w:rPr>
                <w:rStyle w:val="CEAGraphTitle"/>
                <w:color w:val="FF0000"/>
              </w:rPr>
              <w:t xml:space="preserve">(new) </w:t>
            </w:r>
            <w:r w:rsidRPr="00026DDA">
              <w:rPr>
                <w:color w:val="FF0000"/>
              </w:rPr>
              <w:t xml:space="preserve">Participations shall be excluded from the sub-set of equity investments. </w:t>
            </w:r>
          </w:p>
          <w:p w14:paraId="1246AB66" w14:textId="77777777" w:rsidR="00F511DF" w:rsidRDefault="00F511DF" w:rsidP="00A42901">
            <w:pPr>
              <w:rPr>
                <w:color w:val="FF0000"/>
              </w:rPr>
            </w:pPr>
            <w:r w:rsidRPr="00026DDA">
              <w:rPr>
                <w:color w:val="FF0000"/>
              </w:rPr>
              <w:t>In addition to the proposed criteria EIOPA advises that, in cases where the allocation of equity to LTE has a material impact on the overall SCR of the undertaking, enhanced reporting requirements should apply (</w:t>
            </w:r>
            <w:proofErr w:type="gramStart"/>
            <w:r w:rsidRPr="00026DDA">
              <w:rPr>
                <w:color w:val="FF0000"/>
              </w:rPr>
              <w:t>e.g.</w:t>
            </w:r>
            <w:proofErr w:type="gramEnd"/>
            <w:r w:rsidRPr="00026DDA">
              <w:rPr>
                <w:color w:val="FF0000"/>
              </w:rPr>
              <w:t xml:space="preserve"> through the RSR) in addition to the regular reporting through ORSA established under criterion 1(h). </w:t>
            </w:r>
          </w:p>
          <w:p w14:paraId="380CEF75" w14:textId="77777777" w:rsidR="00F511DF" w:rsidRDefault="00F511DF" w:rsidP="00A42901">
            <w:pPr>
              <w:rPr>
                <w:color w:val="FF0000"/>
              </w:rPr>
            </w:pPr>
            <w:r w:rsidRPr="00026DDA">
              <w:rPr>
                <w:color w:val="FF0000"/>
              </w:rPr>
              <w:t xml:space="preserve">Such requirements should focus on the assessment of the undertaking’s ability to effectively hold equity in the long term from a risk management perspective, as well as a sensitivity analysis of the impact of LTE on its solvency position. </w:t>
            </w:r>
          </w:p>
          <w:p w14:paraId="54C0ABAF" w14:textId="634B22E9" w:rsidR="00F511DF" w:rsidRDefault="00F511DF" w:rsidP="00C409D0">
            <w:pPr>
              <w:pStyle w:val="Odsekzoznamu"/>
              <w:numPr>
                <w:ilvl w:val="0"/>
                <w:numId w:val="32"/>
              </w:numPr>
              <w:rPr>
                <w:rStyle w:val="CEAGraphTitle"/>
              </w:rPr>
            </w:pPr>
            <w:r w:rsidRPr="00026DDA">
              <w:rPr>
                <w:color w:val="FF0000"/>
              </w:rPr>
              <w:t>The capital requirement for long-term equity investments shall be equal to the loss in the basic own funds that would result from an instantaneous decrease equal to 22%</w:t>
            </w:r>
            <w:r>
              <w:rPr>
                <w:color w:val="FF0000"/>
              </w:rPr>
              <w:t xml:space="preserve"> </w:t>
            </w:r>
            <w:r w:rsidRPr="00026DDA">
              <w:rPr>
                <w:color w:val="FF0000"/>
              </w:rPr>
              <w:t>in the value of investments that are treated as long-term equity.’</w:t>
            </w:r>
          </w:p>
        </w:tc>
      </w:tr>
      <w:tr w:rsidR="00F511DF" w:rsidRPr="00184CBF" w14:paraId="0DC5BD81" w14:textId="77777777" w:rsidTr="008018B3">
        <w:trPr>
          <w:trHeight w:val="784"/>
        </w:trPr>
        <w:tc>
          <w:tcPr>
            <w:tcW w:w="4112" w:type="dxa"/>
            <w:vMerge/>
          </w:tcPr>
          <w:p w14:paraId="1F368BFA" w14:textId="77777777" w:rsidR="00F511DF" w:rsidRPr="00184CBF" w:rsidRDefault="00F511DF" w:rsidP="00A42901">
            <w:pPr>
              <w:rPr>
                <w:rStyle w:val="CEAGraphTitle"/>
                <w:szCs w:val="17"/>
              </w:rPr>
            </w:pPr>
          </w:p>
        </w:tc>
        <w:tc>
          <w:tcPr>
            <w:tcW w:w="3969" w:type="dxa"/>
            <w:vMerge/>
          </w:tcPr>
          <w:p w14:paraId="0AA4C09A" w14:textId="77777777" w:rsidR="00F511DF" w:rsidRPr="00184CBF" w:rsidRDefault="00F511DF" w:rsidP="00A42901">
            <w:pPr>
              <w:pStyle w:val="Odsekzoznamu"/>
              <w:numPr>
                <w:ilvl w:val="0"/>
                <w:numId w:val="9"/>
              </w:numPr>
              <w:spacing w:line="240" w:lineRule="auto"/>
              <w:jc w:val="left"/>
              <w:rPr>
                <w:rStyle w:val="CEAGraphTitle"/>
                <w:color w:val="FF0000"/>
                <w:szCs w:val="17"/>
              </w:rPr>
            </w:pPr>
          </w:p>
        </w:tc>
        <w:tc>
          <w:tcPr>
            <w:tcW w:w="3187" w:type="dxa"/>
            <w:vMerge/>
          </w:tcPr>
          <w:p w14:paraId="6D7D920F" w14:textId="77777777" w:rsidR="00F511DF" w:rsidRPr="00184CBF" w:rsidRDefault="00F511DF" w:rsidP="00F511DF">
            <w:pPr>
              <w:pStyle w:val="Odsekzoznamu"/>
              <w:spacing w:line="240" w:lineRule="auto"/>
              <w:ind w:left="360"/>
              <w:jc w:val="left"/>
              <w:rPr>
                <w:rStyle w:val="CEAGraphTitle"/>
                <w:color w:val="FF0000"/>
                <w:szCs w:val="17"/>
              </w:rPr>
            </w:pPr>
          </w:p>
        </w:tc>
        <w:tc>
          <w:tcPr>
            <w:tcW w:w="3683" w:type="dxa"/>
          </w:tcPr>
          <w:p w14:paraId="5D97F991" w14:textId="08192D92" w:rsidR="00F511DF" w:rsidRDefault="00F511DF" w:rsidP="00C409D0">
            <w:pPr>
              <w:pStyle w:val="Odsekzoznamu"/>
              <w:numPr>
                <w:ilvl w:val="0"/>
                <w:numId w:val="32"/>
              </w:numPr>
              <w:rPr>
                <w:rStyle w:val="CEAGraphTitle"/>
              </w:rPr>
            </w:pPr>
            <w:r>
              <w:rPr>
                <w:rStyle w:val="CEAGraphTitle"/>
              </w:rPr>
              <w:t>A 627 (</w:t>
            </w:r>
            <w:r>
              <w:t xml:space="preserve">Johan Van </w:t>
            </w:r>
            <w:proofErr w:type="spellStart"/>
            <w:r>
              <w:t>Overtveldt</w:t>
            </w:r>
            <w:proofErr w:type="spellEnd"/>
            <w:r>
              <w:t>)</w:t>
            </w:r>
          </w:p>
          <w:p w14:paraId="0559398C" w14:textId="5EFAFBBA" w:rsidR="00F511DF" w:rsidRDefault="00F511DF" w:rsidP="00A42901">
            <w:pPr>
              <w:rPr>
                <w:rStyle w:val="CEAGraphTitle"/>
              </w:rPr>
            </w:pPr>
            <w:r>
              <w:rPr>
                <w:rStyle w:val="CEAGraphTitle"/>
              </w:rPr>
              <w:t xml:space="preserve">4. </w:t>
            </w:r>
            <w:r>
              <w:rPr>
                <w:color w:val="FF0000"/>
              </w:rPr>
              <w:t>(new) T</w:t>
            </w:r>
            <w:r w:rsidRPr="004003B0">
              <w:rPr>
                <w:color w:val="FF0000"/>
              </w:rPr>
              <w:t xml:space="preserve">he capital requirement for long-term equity investments shall be equal to the loss in the basic own funds that would result from an instantaneous decrease equal to 22 % in the value of </w:t>
            </w:r>
            <w:r w:rsidRPr="004003B0">
              <w:rPr>
                <w:color w:val="FF0000"/>
              </w:rPr>
              <w:lastRenderedPageBreak/>
              <w:t>investments that are treated as long-term equity.’</w:t>
            </w:r>
          </w:p>
        </w:tc>
      </w:tr>
      <w:tr w:rsidR="00EF5C5E" w:rsidRPr="00184CBF" w14:paraId="7AB68881" w14:textId="77777777" w:rsidTr="00285883">
        <w:trPr>
          <w:trHeight w:val="784"/>
        </w:trPr>
        <w:tc>
          <w:tcPr>
            <w:tcW w:w="4112" w:type="dxa"/>
          </w:tcPr>
          <w:p w14:paraId="0B1E86C9" w14:textId="77777777" w:rsidR="00EF5C5E" w:rsidRPr="00184CBF" w:rsidRDefault="00EF5C5E" w:rsidP="00A42901">
            <w:pPr>
              <w:rPr>
                <w:rStyle w:val="CEAGraphTitle"/>
                <w:szCs w:val="17"/>
              </w:rPr>
            </w:pPr>
          </w:p>
        </w:tc>
        <w:tc>
          <w:tcPr>
            <w:tcW w:w="3969" w:type="dxa"/>
          </w:tcPr>
          <w:p w14:paraId="78397C98" w14:textId="77777777" w:rsidR="00EF5C5E" w:rsidRDefault="00EF5C5E" w:rsidP="00EF5C5E">
            <w:pPr>
              <w:spacing w:line="240" w:lineRule="auto"/>
              <w:jc w:val="left"/>
              <w:rPr>
                <w:rStyle w:val="CEAGraphTitle"/>
                <w:b/>
                <w:bCs/>
                <w:color w:val="7030A0"/>
                <w:szCs w:val="17"/>
              </w:rPr>
            </w:pPr>
            <w:r>
              <w:rPr>
                <w:rStyle w:val="CEAGraphTitle"/>
                <w:b/>
                <w:bCs/>
                <w:color w:val="7030A0"/>
                <w:szCs w:val="17"/>
              </w:rPr>
              <w:t>[EIOPA APPROACH]</w:t>
            </w:r>
          </w:p>
          <w:p w14:paraId="506DCFC0" w14:textId="77777777" w:rsidR="00213E1C" w:rsidRPr="00213E1C" w:rsidRDefault="00213E1C" w:rsidP="00C409D0">
            <w:pPr>
              <w:pStyle w:val="Odsekzoznamu"/>
              <w:numPr>
                <w:ilvl w:val="0"/>
                <w:numId w:val="23"/>
              </w:numPr>
              <w:rPr>
                <w:rStyle w:val="CEAGraphTitle"/>
                <w:color w:val="7030A0"/>
              </w:rPr>
            </w:pPr>
            <w:r w:rsidRPr="00213E1C">
              <w:rPr>
                <w:rStyle w:val="CEAGraphTitle"/>
                <w:color w:val="7030A0"/>
              </w:rPr>
              <w:t>For the purpose of paragraph 1(f)(</w:t>
            </w:r>
            <w:proofErr w:type="spellStart"/>
            <w:r w:rsidRPr="00213E1C">
              <w:rPr>
                <w:rStyle w:val="CEAGraphTitle"/>
                <w:color w:val="7030A0"/>
              </w:rPr>
              <w:t>i</w:t>
            </w:r>
            <w:proofErr w:type="spellEnd"/>
            <w:r w:rsidRPr="00213E1C">
              <w:rPr>
                <w:rStyle w:val="CEAGraphTitle"/>
                <w:color w:val="7030A0"/>
              </w:rPr>
              <w:t xml:space="preserve">), </w:t>
            </w:r>
            <w:proofErr w:type="gramStart"/>
            <w:r w:rsidRPr="00213E1C">
              <w:rPr>
                <w:rStyle w:val="CEAGraphTitle"/>
                <w:color w:val="7030A0"/>
              </w:rPr>
              <w:t>an</w:t>
            </w:r>
            <w:proofErr w:type="gramEnd"/>
            <w:r w:rsidRPr="00213E1C">
              <w:rPr>
                <w:rStyle w:val="CEAGraphTitle"/>
                <w:color w:val="7030A0"/>
              </w:rPr>
              <w:t xml:space="preserve"> homogenous risk group of life insurance and </w:t>
            </w:r>
          </w:p>
          <w:p w14:paraId="1FC7CE65" w14:textId="77777777" w:rsidR="00213E1C" w:rsidRPr="00213E1C" w:rsidRDefault="00213E1C" w:rsidP="00213E1C">
            <w:pPr>
              <w:pStyle w:val="Odsekzoznamu"/>
              <w:ind w:left="360"/>
              <w:rPr>
                <w:rStyle w:val="CEAGraphTitle"/>
                <w:color w:val="7030A0"/>
              </w:rPr>
            </w:pPr>
            <w:r w:rsidRPr="00213E1C">
              <w:rPr>
                <w:rStyle w:val="CEAGraphTitle"/>
                <w:color w:val="7030A0"/>
              </w:rPr>
              <w:t>reinsurance liabilities shall be considered to belong to Category I where both following conditions are met:</w:t>
            </w:r>
          </w:p>
          <w:p w14:paraId="4F45C3C5" w14:textId="77777777" w:rsidR="00213E1C" w:rsidRPr="00213E1C" w:rsidRDefault="00213E1C" w:rsidP="00C409D0">
            <w:pPr>
              <w:pStyle w:val="Odsekzoznamu"/>
              <w:numPr>
                <w:ilvl w:val="0"/>
                <w:numId w:val="24"/>
              </w:numPr>
              <w:rPr>
                <w:rStyle w:val="CEAGraphTitle"/>
                <w:color w:val="7030A0"/>
              </w:rPr>
            </w:pPr>
            <w:r w:rsidRPr="00213E1C">
              <w:rPr>
                <w:rStyle w:val="CEAGraphTitle"/>
                <w:color w:val="7030A0"/>
              </w:rPr>
              <w:t>the liabilities within the homogenous risk group comply with one of the following criteria:</w:t>
            </w:r>
          </w:p>
          <w:p w14:paraId="4274368E" w14:textId="77777777" w:rsidR="00213E1C" w:rsidRPr="00213E1C" w:rsidRDefault="00213E1C" w:rsidP="00C409D0">
            <w:pPr>
              <w:pStyle w:val="Odsekzoznamu"/>
              <w:numPr>
                <w:ilvl w:val="0"/>
                <w:numId w:val="25"/>
              </w:numPr>
              <w:rPr>
                <w:rStyle w:val="CEAGraphTitle"/>
                <w:color w:val="7030A0"/>
              </w:rPr>
            </w:pPr>
            <w:r w:rsidRPr="00213E1C">
              <w:rPr>
                <w:rStyle w:val="CEAGraphTitle"/>
                <w:color w:val="7030A0"/>
              </w:rPr>
              <w:t>the liabilities do not include surrender or cancellation options;</w:t>
            </w:r>
          </w:p>
          <w:p w14:paraId="7F5DC531" w14:textId="77777777" w:rsidR="00213E1C" w:rsidRPr="00213E1C" w:rsidRDefault="00213E1C" w:rsidP="00C409D0">
            <w:pPr>
              <w:pStyle w:val="Odsekzoznamu"/>
              <w:numPr>
                <w:ilvl w:val="0"/>
                <w:numId w:val="25"/>
              </w:numPr>
              <w:rPr>
                <w:rStyle w:val="CEAGraphTitle"/>
                <w:color w:val="7030A0"/>
              </w:rPr>
            </w:pPr>
            <w:r w:rsidRPr="00213E1C">
              <w:rPr>
                <w:rStyle w:val="CEAGraphTitle"/>
                <w:color w:val="7030A0"/>
              </w:rPr>
              <w:t>the liabilities include surrender or cancellation options the exercise of which never results in a loss in basic own funds for the insurer.</w:t>
            </w:r>
          </w:p>
          <w:p w14:paraId="4B62E050" w14:textId="77777777" w:rsidR="00213E1C" w:rsidRPr="00213E1C" w:rsidRDefault="00213E1C" w:rsidP="00C409D0">
            <w:pPr>
              <w:pStyle w:val="Odsekzoznamu"/>
              <w:numPr>
                <w:ilvl w:val="0"/>
                <w:numId w:val="24"/>
              </w:numPr>
              <w:rPr>
                <w:rStyle w:val="CEAGraphTitle"/>
                <w:color w:val="7030A0"/>
              </w:rPr>
            </w:pPr>
            <w:r w:rsidRPr="00213E1C">
              <w:rPr>
                <w:rStyle w:val="CEAGraphTitle"/>
                <w:color w:val="7030A0"/>
              </w:rPr>
              <w:t>the capital requirement for mortality risk referred to in Article 137 as well as the health mortality risk capital requirement referred to in Article 152 are both lower than 5% of the best estimate of the liabilities belonging to that homogenous risk group.</w:t>
            </w:r>
          </w:p>
          <w:p w14:paraId="2B442C1D" w14:textId="77777777" w:rsidR="00213E1C" w:rsidRPr="00213E1C" w:rsidRDefault="00213E1C" w:rsidP="00213E1C">
            <w:pPr>
              <w:pStyle w:val="Odsekzoznamu"/>
              <w:rPr>
                <w:rStyle w:val="CEAGraphTitle"/>
                <w:color w:val="7030A0"/>
              </w:rPr>
            </w:pPr>
          </w:p>
          <w:p w14:paraId="715D2036" w14:textId="77777777" w:rsidR="00213E1C" w:rsidRPr="00213E1C" w:rsidRDefault="00213E1C" w:rsidP="00213E1C">
            <w:pPr>
              <w:pStyle w:val="Odsekzoznamu"/>
              <w:ind w:left="360"/>
              <w:rPr>
                <w:rStyle w:val="CEAGraphTitle"/>
                <w:color w:val="7030A0"/>
              </w:rPr>
            </w:pPr>
            <w:r w:rsidRPr="00213E1C">
              <w:rPr>
                <w:rStyle w:val="CEAGraphTitle"/>
                <w:color w:val="7030A0"/>
              </w:rPr>
              <w:t xml:space="preserve">For the purpose of the first </w:t>
            </w:r>
            <w:r w:rsidRPr="00213E1C">
              <w:rPr>
                <w:rStyle w:val="CEAGraphTitle"/>
                <w:color w:val="7030A0"/>
              </w:rPr>
              <w:lastRenderedPageBreak/>
              <w:t>subparagraph, surrender or cancellation options shall refer to legal or contractual policyholder rights which would result in cash-outflows arising earlier than expected. Surrender or cancellation options to be considered shall include at least all of the following:</w:t>
            </w:r>
          </w:p>
          <w:p w14:paraId="1CA9A2FE" w14:textId="77777777" w:rsidR="00213E1C" w:rsidRPr="00213E1C" w:rsidRDefault="00213E1C" w:rsidP="00C409D0">
            <w:pPr>
              <w:pStyle w:val="Odsekzoznamu"/>
              <w:numPr>
                <w:ilvl w:val="0"/>
                <w:numId w:val="26"/>
              </w:numPr>
              <w:rPr>
                <w:rStyle w:val="CEAGraphTitle"/>
                <w:color w:val="7030A0"/>
              </w:rPr>
            </w:pPr>
            <w:r w:rsidRPr="00213E1C">
              <w:rPr>
                <w:rStyle w:val="CEAGraphTitle"/>
                <w:color w:val="7030A0"/>
              </w:rPr>
              <w:t>the right for policyholders to fully or partly terminate or surrender the insurance cover, including lump-sum options in relation to annuity obligations;</w:t>
            </w:r>
          </w:p>
          <w:p w14:paraId="32DEA8FD" w14:textId="77777777" w:rsidR="00213E1C" w:rsidRPr="00213E1C" w:rsidRDefault="00213E1C" w:rsidP="00C409D0">
            <w:pPr>
              <w:pStyle w:val="Odsekzoznamu"/>
              <w:numPr>
                <w:ilvl w:val="0"/>
                <w:numId w:val="26"/>
              </w:numPr>
              <w:rPr>
                <w:rStyle w:val="CEAGraphTitle"/>
                <w:color w:val="7030A0"/>
              </w:rPr>
            </w:pPr>
            <w:r w:rsidRPr="00213E1C">
              <w:rPr>
                <w:rStyle w:val="CEAGraphTitle"/>
                <w:color w:val="7030A0"/>
              </w:rPr>
              <w:t>the right for policyholders to lapse the insurance policy;</w:t>
            </w:r>
          </w:p>
          <w:p w14:paraId="30973439" w14:textId="0067779B" w:rsidR="00213E1C" w:rsidRPr="00213E1C" w:rsidRDefault="00213E1C" w:rsidP="00C409D0">
            <w:pPr>
              <w:pStyle w:val="Odsekzoznamu"/>
              <w:numPr>
                <w:ilvl w:val="0"/>
                <w:numId w:val="26"/>
              </w:numPr>
              <w:rPr>
                <w:rStyle w:val="CEAGraphTitle"/>
                <w:color w:val="7030A0"/>
              </w:rPr>
            </w:pPr>
            <w:r w:rsidRPr="00213E1C">
              <w:rPr>
                <w:rStyle w:val="CEAGraphTitle"/>
                <w:color w:val="7030A0"/>
              </w:rPr>
              <w:t>the right for policyholders to restrict or extend the duration of the insurance cover.</w:t>
            </w:r>
          </w:p>
          <w:p w14:paraId="33BB4EC4" w14:textId="77777777" w:rsidR="00213E1C" w:rsidRPr="00213E1C" w:rsidRDefault="00213E1C" w:rsidP="00213E1C">
            <w:pPr>
              <w:pStyle w:val="Odsekzoznamu"/>
              <w:ind w:left="360"/>
              <w:rPr>
                <w:rStyle w:val="CEAGraphTitle"/>
                <w:color w:val="7030A0"/>
              </w:rPr>
            </w:pPr>
            <w:r w:rsidRPr="00213E1C">
              <w:rPr>
                <w:rStyle w:val="CEAGraphTitle"/>
                <w:color w:val="7030A0"/>
              </w:rPr>
              <w:t>For the purpose of paragraph 1(f)(</w:t>
            </w:r>
            <w:proofErr w:type="spellStart"/>
            <w:r w:rsidRPr="00213E1C">
              <w:rPr>
                <w:rStyle w:val="CEAGraphTitle"/>
                <w:color w:val="7030A0"/>
              </w:rPr>
              <w:t>i</w:t>
            </w:r>
            <w:proofErr w:type="spellEnd"/>
            <w:r w:rsidRPr="00213E1C">
              <w:rPr>
                <w:rStyle w:val="CEAGraphTitle"/>
                <w:color w:val="7030A0"/>
              </w:rPr>
              <w:t xml:space="preserve">), </w:t>
            </w:r>
            <w:proofErr w:type="gramStart"/>
            <w:r w:rsidRPr="00213E1C">
              <w:rPr>
                <w:rStyle w:val="CEAGraphTitle"/>
                <w:color w:val="7030A0"/>
              </w:rPr>
              <w:t>an</w:t>
            </w:r>
            <w:proofErr w:type="gramEnd"/>
            <w:r w:rsidRPr="00213E1C">
              <w:rPr>
                <w:rStyle w:val="CEAGraphTitle"/>
                <w:color w:val="7030A0"/>
              </w:rPr>
              <w:t xml:space="preserve"> homogenous risk group of life insurance and reinsurance liabilities shall be considered to belong to Category II where the capital requirement for each of the following risks is lower than 5% of the best estimate of the liabilities belonging to that homogenous risk group:</w:t>
            </w:r>
          </w:p>
          <w:p w14:paraId="33C989CC" w14:textId="77777777" w:rsidR="00213E1C" w:rsidRPr="00213E1C" w:rsidRDefault="00213E1C" w:rsidP="00C409D0">
            <w:pPr>
              <w:pStyle w:val="Odsekzoznamu"/>
              <w:numPr>
                <w:ilvl w:val="0"/>
                <w:numId w:val="27"/>
              </w:numPr>
              <w:rPr>
                <w:rStyle w:val="CEAGraphTitle"/>
                <w:color w:val="7030A0"/>
              </w:rPr>
            </w:pPr>
            <w:r w:rsidRPr="00213E1C">
              <w:rPr>
                <w:rStyle w:val="CEAGraphTitle"/>
                <w:color w:val="7030A0"/>
              </w:rPr>
              <w:t>The mortality risk referred to in Article 137;</w:t>
            </w:r>
          </w:p>
          <w:p w14:paraId="55B833B8" w14:textId="77777777" w:rsidR="00213E1C" w:rsidRPr="00213E1C" w:rsidRDefault="00213E1C" w:rsidP="00C409D0">
            <w:pPr>
              <w:pStyle w:val="Odsekzoznamu"/>
              <w:numPr>
                <w:ilvl w:val="0"/>
                <w:numId w:val="27"/>
              </w:numPr>
              <w:rPr>
                <w:rStyle w:val="CEAGraphTitle"/>
                <w:color w:val="7030A0"/>
              </w:rPr>
            </w:pPr>
            <w:r w:rsidRPr="00213E1C">
              <w:rPr>
                <w:rStyle w:val="CEAGraphTitle"/>
                <w:color w:val="7030A0"/>
              </w:rPr>
              <w:t>The risk of a permanent increase in lapse rates referred to in Article 142(1)(a);</w:t>
            </w:r>
          </w:p>
          <w:p w14:paraId="16A5072B" w14:textId="77777777" w:rsidR="00213E1C" w:rsidRPr="00213E1C" w:rsidRDefault="00213E1C" w:rsidP="00C409D0">
            <w:pPr>
              <w:pStyle w:val="Odsekzoznamu"/>
              <w:numPr>
                <w:ilvl w:val="0"/>
                <w:numId w:val="27"/>
              </w:numPr>
              <w:rPr>
                <w:rStyle w:val="CEAGraphTitle"/>
                <w:color w:val="7030A0"/>
              </w:rPr>
            </w:pPr>
            <w:r w:rsidRPr="00213E1C">
              <w:rPr>
                <w:rStyle w:val="CEAGraphTitle"/>
                <w:color w:val="7030A0"/>
              </w:rPr>
              <w:t xml:space="preserve">The health mortality risk referred </w:t>
            </w:r>
            <w:r w:rsidRPr="00213E1C">
              <w:rPr>
                <w:rStyle w:val="CEAGraphTitle"/>
                <w:color w:val="7030A0"/>
              </w:rPr>
              <w:lastRenderedPageBreak/>
              <w:t>to in Article 152;</w:t>
            </w:r>
          </w:p>
          <w:p w14:paraId="51842F36" w14:textId="77777777" w:rsidR="00213E1C" w:rsidRDefault="00213E1C" w:rsidP="00213E1C">
            <w:pPr>
              <w:spacing w:line="240" w:lineRule="auto"/>
              <w:jc w:val="left"/>
              <w:rPr>
                <w:rStyle w:val="CEAGraphTitle"/>
                <w:color w:val="7030A0"/>
              </w:rPr>
            </w:pPr>
            <w:r w:rsidRPr="00213E1C">
              <w:rPr>
                <w:rStyle w:val="CEAGraphTitle"/>
                <w:color w:val="7030A0"/>
              </w:rPr>
              <w:t>The risk of a permanent increase in SLT health lapse rates referred to in 159(1)(a).</w:t>
            </w:r>
          </w:p>
          <w:p w14:paraId="39B9031C" w14:textId="065B92F0" w:rsidR="00F53289" w:rsidRPr="00E13ED3" w:rsidRDefault="00F53289" w:rsidP="00213E1C">
            <w:pPr>
              <w:spacing w:line="240" w:lineRule="auto"/>
              <w:jc w:val="left"/>
              <w:rPr>
                <w:rStyle w:val="CEAGraphTitle"/>
                <w:color w:val="00B050"/>
              </w:rPr>
            </w:pPr>
          </w:p>
          <w:p w14:paraId="0220C6F3" w14:textId="716EFED3" w:rsidR="00C20CF9" w:rsidRPr="00E13ED3" w:rsidRDefault="00E13ED3" w:rsidP="00213E1C">
            <w:pPr>
              <w:spacing w:line="240" w:lineRule="auto"/>
              <w:jc w:val="left"/>
              <w:rPr>
                <w:rStyle w:val="CEAGraphTitle"/>
                <w:b/>
                <w:bCs/>
                <w:color w:val="00B050"/>
              </w:rPr>
            </w:pPr>
            <w:r w:rsidRPr="00E13ED3">
              <w:rPr>
                <w:rStyle w:val="CEAGraphTitle"/>
                <w:b/>
                <w:bCs/>
                <w:color w:val="00B050"/>
              </w:rPr>
              <w:t>[LIQUIDITY APPROACH]</w:t>
            </w:r>
          </w:p>
          <w:p w14:paraId="0C23002E" w14:textId="2E1BC719" w:rsidR="00F53289" w:rsidRPr="00EB1F0B" w:rsidRDefault="00F53289" w:rsidP="00C409D0">
            <w:pPr>
              <w:pStyle w:val="Odsekzoznamu"/>
              <w:numPr>
                <w:ilvl w:val="0"/>
                <w:numId w:val="34"/>
              </w:numPr>
              <w:spacing w:line="240" w:lineRule="auto"/>
              <w:jc w:val="left"/>
              <w:rPr>
                <w:rStyle w:val="CEAGraphTitle"/>
                <w:color w:val="00B050"/>
                <w:szCs w:val="17"/>
              </w:rPr>
            </w:pPr>
            <w:r w:rsidRPr="00EB1F0B">
              <w:rPr>
                <w:rStyle w:val="CEAGraphTitle"/>
                <w:color w:val="00B050"/>
                <w:szCs w:val="17"/>
              </w:rPr>
              <w:t xml:space="preserve">The liquidity test referred to in paragraph 1(f) shall be deemed to be passed where the insurance or reinsurance undertaking demonstrates to the satisfaction of the supervisory authority that based on deterministic projections over </w:t>
            </w:r>
            <w:proofErr w:type="spellStart"/>
            <w:proofErr w:type="gramStart"/>
            <w:r w:rsidRPr="00EB1F0B">
              <w:rPr>
                <w:rStyle w:val="CEAGraphTitle"/>
                <w:color w:val="00B050"/>
                <w:szCs w:val="17"/>
              </w:rPr>
              <w:t>a</w:t>
            </w:r>
            <w:proofErr w:type="spellEnd"/>
            <w:proofErr w:type="gramEnd"/>
            <w:r w:rsidRPr="00EB1F0B">
              <w:rPr>
                <w:rStyle w:val="CEAGraphTitle"/>
                <w:color w:val="00B050"/>
                <w:szCs w:val="17"/>
              </w:rPr>
              <w:t xml:space="preserve"> eight-year time horizon, it is able to generate cash in-flows that are higher than cash outflows, under normal and stressed conditions during each calendar year over the time horizon of the </w:t>
            </w:r>
            <w:proofErr w:type="spellStart"/>
            <w:r w:rsidRPr="00EB1F0B">
              <w:rPr>
                <w:rStyle w:val="CEAGraphTitle"/>
                <w:color w:val="00B050"/>
                <w:szCs w:val="17"/>
              </w:rPr>
              <w:t>tes</w:t>
            </w:r>
            <w:proofErr w:type="spellEnd"/>
            <w:r w:rsidRPr="00EB1F0B">
              <w:rPr>
                <w:rStyle w:val="CEAGraphTitle"/>
                <w:color w:val="00B050"/>
                <w:szCs w:val="17"/>
              </w:rPr>
              <w:t>.</w:t>
            </w:r>
          </w:p>
          <w:p w14:paraId="3A960015" w14:textId="77777777" w:rsidR="00F53289" w:rsidRPr="00EB1F0B" w:rsidRDefault="00F53289" w:rsidP="00F53289">
            <w:pPr>
              <w:pStyle w:val="Odsekzoznamu"/>
              <w:spacing w:line="240" w:lineRule="auto"/>
              <w:ind w:left="360"/>
              <w:jc w:val="left"/>
              <w:rPr>
                <w:rStyle w:val="CEAGraphTitle"/>
                <w:color w:val="00B050"/>
                <w:szCs w:val="17"/>
              </w:rPr>
            </w:pPr>
          </w:p>
          <w:p w14:paraId="2D257170" w14:textId="35CAA7D9" w:rsidR="00F53289" w:rsidRPr="00F53289" w:rsidRDefault="00F53289" w:rsidP="00F53289">
            <w:pPr>
              <w:pStyle w:val="Odsekzoznamu"/>
              <w:spacing w:line="240" w:lineRule="auto"/>
              <w:ind w:left="360"/>
              <w:jc w:val="left"/>
              <w:rPr>
                <w:rStyle w:val="CEAGraphTitle"/>
                <w:color w:val="FF0000"/>
                <w:szCs w:val="17"/>
              </w:rPr>
            </w:pPr>
            <w:r w:rsidRPr="00EB1F0B">
              <w:rPr>
                <w:rStyle w:val="CEAGraphTitle"/>
                <w:color w:val="00B050"/>
                <w:szCs w:val="17"/>
              </w:rPr>
              <w:t xml:space="preserve">For the purpose of the first subparagraph, the projected decisions of investment or divestments by the insurance or reinsurance undertaking shall be consistent with the business strategy of the undertaking, its written policies on investment and </w:t>
            </w:r>
            <w:proofErr w:type="spellStart"/>
            <w:r w:rsidRPr="00EB1F0B">
              <w:rPr>
                <w:rStyle w:val="CEAGraphTitle"/>
                <w:color w:val="00B050"/>
                <w:szCs w:val="17"/>
              </w:rPr>
              <w:t>assetliability</w:t>
            </w:r>
            <w:proofErr w:type="spellEnd"/>
            <w:r w:rsidRPr="00EB1F0B">
              <w:rPr>
                <w:rStyle w:val="CEAGraphTitle"/>
                <w:color w:val="00B050"/>
                <w:szCs w:val="17"/>
              </w:rPr>
              <w:t xml:space="preserve"> management, as well as the future management actions referred to in Article 23. The projected decisions of investments or divestments shall also reflect the objectives of the undertaking to comply on an ongoing basis with the solvency capital requirement and the minimal capital requirement, as well as with the risk tolerance limits, as approved by the administrative, management or supervisory body of the undertaking.</w:t>
            </w:r>
          </w:p>
        </w:tc>
        <w:tc>
          <w:tcPr>
            <w:tcW w:w="3187" w:type="dxa"/>
          </w:tcPr>
          <w:p w14:paraId="107DAACD" w14:textId="77777777" w:rsidR="00EF5C5E" w:rsidRPr="00184CBF" w:rsidRDefault="00EF5C5E" w:rsidP="00F511DF">
            <w:pPr>
              <w:pStyle w:val="Odsekzoznamu"/>
              <w:spacing w:line="240" w:lineRule="auto"/>
              <w:ind w:left="360"/>
              <w:jc w:val="left"/>
              <w:rPr>
                <w:rStyle w:val="CEAGraphTitle"/>
                <w:color w:val="FF0000"/>
                <w:szCs w:val="17"/>
              </w:rPr>
            </w:pPr>
          </w:p>
        </w:tc>
        <w:tc>
          <w:tcPr>
            <w:tcW w:w="3683" w:type="dxa"/>
          </w:tcPr>
          <w:p w14:paraId="7A12DA61" w14:textId="77777777" w:rsidR="00507782" w:rsidRDefault="00507782" w:rsidP="00C409D0">
            <w:pPr>
              <w:pStyle w:val="Odsekzoznamu"/>
              <w:numPr>
                <w:ilvl w:val="0"/>
                <w:numId w:val="32"/>
              </w:numPr>
              <w:rPr>
                <w:rStyle w:val="CEAGraphTitle"/>
              </w:rPr>
            </w:pPr>
            <w:r>
              <w:rPr>
                <w:rStyle w:val="CEAGraphTitle"/>
              </w:rPr>
              <w:t>A 628 (</w:t>
            </w:r>
            <w:proofErr w:type="spellStart"/>
            <w:r>
              <w:t>Stéphanie</w:t>
            </w:r>
            <w:proofErr w:type="spellEnd"/>
            <w:r>
              <w:t xml:space="preserve"> Yon-Courtin, Gilles Boyer)</w:t>
            </w:r>
          </w:p>
          <w:p w14:paraId="400E2BE3" w14:textId="4050A869" w:rsidR="00EF5C5E" w:rsidRDefault="00507782" w:rsidP="00507782">
            <w:pPr>
              <w:rPr>
                <w:rStyle w:val="CEAGraphTitle"/>
              </w:rPr>
            </w:pPr>
            <w:r>
              <w:rPr>
                <w:rStyle w:val="CEAGraphTitle"/>
              </w:rPr>
              <w:t xml:space="preserve">5. </w:t>
            </w:r>
            <w:r w:rsidRPr="00851EC0">
              <w:rPr>
                <w:rStyle w:val="CEAGraphTitle"/>
                <w:color w:val="FF0000"/>
              </w:rPr>
              <w:t xml:space="preserve">(new) </w:t>
            </w:r>
            <w:r w:rsidRPr="00851EC0">
              <w:rPr>
                <w:color w:val="FF0000"/>
              </w:rPr>
              <w:t>The capital requirement for long-term equity investments shall be equal to the loss in the basic own funds that would result from an instantaneous decrease equal to 22% in the value of investments that are treated as long-term equity.’</w:t>
            </w:r>
          </w:p>
        </w:tc>
      </w:tr>
      <w:tr w:rsidR="00213E1C" w:rsidRPr="00184CBF" w14:paraId="52A14AA6" w14:textId="77777777" w:rsidTr="00285883">
        <w:trPr>
          <w:trHeight w:val="784"/>
        </w:trPr>
        <w:tc>
          <w:tcPr>
            <w:tcW w:w="4112" w:type="dxa"/>
          </w:tcPr>
          <w:p w14:paraId="4A8CED7E" w14:textId="77777777" w:rsidR="00213E1C" w:rsidRPr="00184CBF" w:rsidRDefault="00213E1C" w:rsidP="00A42901">
            <w:pPr>
              <w:rPr>
                <w:rStyle w:val="CEAGraphTitle"/>
                <w:szCs w:val="17"/>
              </w:rPr>
            </w:pPr>
          </w:p>
        </w:tc>
        <w:tc>
          <w:tcPr>
            <w:tcW w:w="3969" w:type="dxa"/>
          </w:tcPr>
          <w:p w14:paraId="36E5D851" w14:textId="77777777" w:rsidR="00213E1C" w:rsidRPr="004D71F5" w:rsidRDefault="00213E1C" w:rsidP="00EF5C5E">
            <w:pPr>
              <w:spacing w:line="240" w:lineRule="auto"/>
              <w:jc w:val="left"/>
              <w:rPr>
                <w:rStyle w:val="CEAGraphTitle"/>
                <w:color w:val="7030A0"/>
                <w:szCs w:val="17"/>
              </w:rPr>
            </w:pPr>
            <w:r w:rsidRPr="004D71F5">
              <w:rPr>
                <w:rStyle w:val="CEAGraphTitle"/>
                <w:color w:val="7030A0"/>
                <w:szCs w:val="17"/>
              </w:rPr>
              <w:t>[EIOPA APPROACH]</w:t>
            </w:r>
          </w:p>
          <w:p w14:paraId="38055002" w14:textId="3EDB2FAC" w:rsidR="004D71F5" w:rsidRPr="004D71F5" w:rsidRDefault="004D71F5" w:rsidP="00C409D0">
            <w:pPr>
              <w:pStyle w:val="Odsekzoznamu"/>
              <w:numPr>
                <w:ilvl w:val="0"/>
                <w:numId w:val="21"/>
              </w:numPr>
              <w:spacing w:line="240" w:lineRule="auto"/>
              <w:jc w:val="left"/>
              <w:rPr>
                <w:rStyle w:val="CEAGraphTitle"/>
                <w:color w:val="7030A0"/>
                <w:szCs w:val="17"/>
              </w:rPr>
            </w:pPr>
            <w:r w:rsidRPr="004D71F5">
              <w:rPr>
                <w:rStyle w:val="CEAGraphTitle"/>
                <w:color w:val="7030A0"/>
                <w:szCs w:val="17"/>
              </w:rPr>
              <w:t>For the purpose of paragraph 1(f)(ii), the significance of the liquidity buffer shall be calculated as the ratio of liquid assets corresponding to non-life insurance activities to the best estimate of non-life technical provisions net of reinsurance.</w:t>
            </w:r>
          </w:p>
          <w:p w14:paraId="79C0B63E" w14:textId="77777777" w:rsidR="004D71F5" w:rsidRPr="004D71F5" w:rsidRDefault="004D71F5" w:rsidP="004D71F5">
            <w:pPr>
              <w:pStyle w:val="Odsekzoznamu"/>
              <w:spacing w:line="240" w:lineRule="auto"/>
              <w:ind w:left="360"/>
              <w:jc w:val="left"/>
              <w:rPr>
                <w:rStyle w:val="CEAGraphTitle"/>
                <w:color w:val="7030A0"/>
                <w:szCs w:val="17"/>
              </w:rPr>
            </w:pPr>
          </w:p>
          <w:p w14:paraId="00FFF27F"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The liquid assets referred to in the first subparagraph shall include Level 1 assets, Level 2A assets and Level 2B assets, and the market values of such assets. </w:t>
            </w:r>
          </w:p>
          <w:p w14:paraId="7620BFD2" w14:textId="77777777" w:rsidR="004D71F5" w:rsidRPr="004D71F5" w:rsidRDefault="004D71F5" w:rsidP="004D71F5">
            <w:pPr>
              <w:pStyle w:val="Odsekzoznamu"/>
              <w:spacing w:line="240" w:lineRule="auto"/>
              <w:ind w:left="360"/>
              <w:jc w:val="left"/>
              <w:rPr>
                <w:rStyle w:val="CEAGraphTitle"/>
                <w:color w:val="7030A0"/>
                <w:szCs w:val="17"/>
              </w:rPr>
            </w:pPr>
          </w:p>
          <w:p w14:paraId="5C1A929A"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Level 1 assets shall only include assets falling under one or more of the following categories:</w:t>
            </w:r>
          </w:p>
          <w:p w14:paraId="11B6433F"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(a) Coins and banknotes;</w:t>
            </w:r>
          </w:p>
          <w:p w14:paraId="1EF4FBF5"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(b) Assets representing claims on one of the counterparties referred to in Article 180(2);</w:t>
            </w:r>
          </w:p>
          <w:p w14:paraId="07678709"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(c) Assets that are fully, unconditionally and irrevocably guaranteed by one of the counterparties referred to in Article 180(2), where the guarantee meets the requirements set out in Article 215. </w:t>
            </w:r>
          </w:p>
          <w:p w14:paraId="7E62CC15" w14:textId="77777777" w:rsidR="004D71F5" w:rsidRPr="004D71F5" w:rsidRDefault="004D71F5" w:rsidP="004D71F5">
            <w:pPr>
              <w:pStyle w:val="Odsekzoznamu"/>
              <w:spacing w:line="240" w:lineRule="auto"/>
              <w:ind w:left="360"/>
              <w:jc w:val="left"/>
              <w:rPr>
                <w:rStyle w:val="CEAGraphTitle"/>
                <w:color w:val="7030A0"/>
                <w:szCs w:val="17"/>
              </w:rPr>
            </w:pPr>
          </w:p>
          <w:p w14:paraId="2C281BF0"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Level 2A assets shall only include bonds and loans which have been assigned to credit quality step 0 or 1, excluding bonds and loans issued by insurance and reinsurance undertakings or financial institutions within the meaning of Article 4(26) of Regulation (EU) No 575/2013. For the purpose of calculating the liquidity buffer referred to in the first </w:t>
            </w:r>
            <w:r w:rsidRPr="004D71F5">
              <w:rPr>
                <w:rStyle w:val="CEAGraphTitle"/>
                <w:color w:val="7030A0"/>
                <w:szCs w:val="17"/>
              </w:rPr>
              <w:lastRenderedPageBreak/>
              <w:t xml:space="preserve">subparagraph, the market value of each level 2A asset shall be subject to a haircut of 15 %. </w:t>
            </w:r>
          </w:p>
          <w:p w14:paraId="1996A00C"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Level 2B assets shall only include assets falling under one or more of the following categories: </w:t>
            </w:r>
          </w:p>
          <w:p w14:paraId="7BAA1533"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(a) Covered bonds referred to in Article 180(1) which have been assigned to credit quality step 0 or 1, excluding those which are issued by a credit or financial institution or investment fund which is part of the same group; </w:t>
            </w:r>
          </w:p>
          <w:p w14:paraId="11528985"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(b) Securitisations backed by the subcategories of assets referred to in Article 13(2), points (g)(</w:t>
            </w:r>
            <w:proofErr w:type="spellStart"/>
            <w:r w:rsidRPr="004D71F5">
              <w:rPr>
                <w:rStyle w:val="CEAGraphTitle"/>
                <w:color w:val="7030A0"/>
                <w:szCs w:val="17"/>
              </w:rPr>
              <w:t>i</w:t>
            </w:r>
            <w:proofErr w:type="spellEnd"/>
            <w:r w:rsidRPr="004D71F5">
              <w:rPr>
                <w:rStyle w:val="CEAGraphTitle"/>
                <w:color w:val="7030A0"/>
                <w:szCs w:val="17"/>
              </w:rPr>
              <w:t xml:space="preserve">), (ii) and (iv) of Commission Delegated Regulation (EU) 2015/61, which meet the conditions set out in paragraphs 2 to 13 of that Article; </w:t>
            </w:r>
          </w:p>
          <w:p w14:paraId="159A90CF"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(c) Bonds and loans which have been assigned to credit quality step 2 or 3, excluding bonds and loans issued by insurance and reinsurance undertakings or financial institutions within the meaning of Article 4(26) of Regulation (EU) No 575/2013. </w:t>
            </w:r>
          </w:p>
          <w:p w14:paraId="7D6A9F55" w14:textId="77777777" w:rsidR="004D71F5" w:rsidRPr="004D71F5" w:rsidRDefault="004D71F5" w:rsidP="004D71F5">
            <w:pPr>
              <w:pStyle w:val="Odsekzoznamu"/>
              <w:spacing w:line="240" w:lineRule="auto"/>
              <w:ind w:left="360"/>
              <w:jc w:val="left"/>
              <w:rPr>
                <w:rStyle w:val="CEAGraphTitle"/>
                <w:color w:val="7030A0"/>
                <w:szCs w:val="17"/>
              </w:rPr>
            </w:pPr>
          </w:p>
          <w:p w14:paraId="73EE8726"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For the purpose of calculating the liquidity buffer referred to in the first subparagraph, the market value of Level 2B assets shall be subject to the following haircuts:</w:t>
            </w:r>
          </w:p>
          <w:p w14:paraId="180C5D91"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(a)25% for covered bonds referred to in point (a) of the previous subparagraph;</w:t>
            </w:r>
          </w:p>
          <w:p w14:paraId="1B42BE85" w14:textId="77777777" w:rsidR="004D71F5" w:rsidRPr="004D71F5"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(b)25% for securitisations referred to in point (b) of the previous subparagraph;</w:t>
            </w:r>
          </w:p>
          <w:p w14:paraId="0EE14CAE" w14:textId="77777777" w:rsidR="00213E1C" w:rsidRDefault="004D71F5" w:rsidP="004D71F5">
            <w:pPr>
              <w:pStyle w:val="Odsekzoznamu"/>
              <w:spacing w:line="240" w:lineRule="auto"/>
              <w:ind w:left="360"/>
              <w:jc w:val="left"/>
              <w:rPr>
                <w:rStyle w:val="CEAGraphTitle"/>
                <w:color w:val="7030A0"/>
                <w:szCs w:val="17"/>
              </w:rPr>
            </w:pPr>
            <w:r w:rsidRPr="004D71F5">
              <w:rPr>
                <w:rStyle w:val="CEAGraphTitle"/>
                <w:color w:val="7030A0"/>
                <w:szCs w:val="17"/>
              </w:rPr>
              <w:t xml:space="preserve">(c)50% for bonds and loans referred to </w:t>
            </w:r>
            <w:r w:rsidRPr="004D71F5">
              <w:rPr>
                <w:rStyle w:val="CEAGraphTitle"/>
                <w:color w:val="7030A0"/>
                <w:szCs w:val="17"/>
              </w:rPr>
              <w:lastRenderedPageBreak/>
              <w:t>in point (c) of the previous subparagraph.</w:t>
            </w:r>
          </w:p>
          <w:p w14:paraId="749009DA" w14:textId="1ACD51E2" w:rsidR="00EB1F0B" w:rsidRDefault="00EB1F0B" w:rsidP="004D71F5">
            <w:pPr>
              <w:pStyle w:val="Odsekzoznamu"/>
              <w:spacing w:line="240" w:lineRule="auto"/>
              <w:ind w:left="360"/>
              <w:jc w:val="left"/>
              <w:rPr>
                <w:rStyle w:val="CEAGraphTitle"/>
                <w:color w:val="7030A0"/>
                <w:szCs w:val="17"/>
              </w:rPr>
            </w:pPr>
          </w:p>
          <w:p w14:paraId="77219C91" w14:textId="77777777" w:rsidR="00E13ED3" w:rsidRPr="00E13ED3" w:rsidRDefault="00E13ED3" w:rsidP="00E13ED3">
            <w:pPr>
              <w:spacing w:line="240" w:lineRule="auto"/>
              <w:jc w:val="left"/>
              <w:rPr>
                <w:rStyle w:val="CEAGraphTitle"/>
                <w:color w:val="00B050"/>
              </w:rPr>
            </w:pPr>
          </w:p>
          <w:p w14:paraId="51CB1641" w14:textId="3ADDBC7B" w:rsidR="00E13ED3" w:rsidRPr="00E13ED3" w:rsidRDefault="00E13ED3" w:rsidP="00E13ED3">
            <w:pPr>
              <w:spacing w:line="240" w:lineRule="auto"/>
              <w:jc w:val="left"/>
              <w:rPr>
                <w:rStyle w:val="CEAGraphTitle"/>
                <w:b/>
                <w:bCs/>
                <w:color w:val="00B050"/>
              </w:rPr>
            </w:pPr>
            <w:r w:rsidRPr="00E13ED3">
              <w:rPr>
                <w:rStyle w:val="CEAGraphTitle"/>
                <w:b/>
                <w:bCs/>
                <w:color w:val="00B050"/>
              </w:rPr>
              <w:t>[LIQUIDITY APPROACH]</w:t>
            </w:r>
          </w:p>
          <w:p w14:paraId="54D6EE99" w14:textId="77777777" w:rsidR="00EB1F0B" w:rsidRPr="00EB1F0B" w:rsidRDefault="00EB1F0B" w:rsidP="00C409D0">
            <w:pPr>
              <w:pStyle w:val="Odsekzoznamu"/>
              <w:numPr>
                <w:ilvl w:val="0"/>
                <w:numId w:val="35"/>
              </w:numPr>
              <w:spacing w:line="240" w:lineRule="auto"/>
              <w:jc w:val="left"/>
              <w:rPr>
                <w:rStyle w:val="CEAGraphTitle"/>
                <w:color w:val="00B050"/>
                <w:szCs w:val="17"/>
              </w:rPr>
            </w:pPr>
            <w:r w:rsidRPr="00EB1F0B">
              <w:rPr>
                <w:rStyle w:val="CEAGraphTitle"/>
                <w:color w:val="00B050"/>
                <w:szCs w:val="17"/>
              </w:rPr>
              <w:t>For the purpose of paragraph 5, the cash inflows under normal conditions shall only include the value of coins banknotes on the reference day and inflows from the following sources over the time horizon of the projections:</w:t>
            </w:r>
          </w:p>
          <w:p w14:paraId="548C4DE8" w14:textId="77777777" w:rsidR="00EB1F0B" w:rsidRPr="00EB1F0B" w:rsidRDefault="00EB1F0B" w:rsidP="00EB1F0B">
            <w:pPr>
              <w:spacing w:line="240" w:lineRule="auto"/>
              <w:jc w:val="left"/>
              <w:rPr>
                <w:rStyle w:val="CEAGraphTitle"/>
                <w:color w:val="00B050"/>
                <w:szCs w:val="17"/>
              </w:rPr>
            </w:pPr>
          </w:p>
          <w:p w14:paraId="25958D75" w14:textId="77777777" w:rsidR="00EB1F0B" w:rsidRPr="00EB1F0B" w:rsidRDefault="00EB1F0B" w:rsidP="00EB1F0B">
            <w:pPr>
              <w:pStyle w:val="Odsekzoznamu"/>
              <w:numPr>
                <w:ilvl w:val="0"/>
                <w:numId w:val="4"/>
              </w:numPr>
              <w:spacing w:line="240" w:lineRule="auto"/>
              <w:jc w:val="left"/>
              <w:rPr>
                <w:rStyle w:val="CEAGraphTitle"/>
                <w:color w:val="00B050"/>
                <w:szCs w:val="17"/>
              </w:rPr>
            </w:pPr>
            <w:r w:rsidRPr="00EB1F0B">
              <w:rPr>
                <w:rStyle w:val="CEAGraphTitle"/>
                <w:color w:val="00B050"/>
                <w:szCs w:val="17"/>
              </w:rPr>
              <w:t>Revenues stemming from the sale of the following assets:</w:t>
            </w:r>
          </w:p>
          <w:p w14:paraId="7560829D"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Assets representing claims on one of the counterparties referred to in Article 180(2);</w:t>
            </w:r>
          </w:p>
          <w:p w14:paraId="127FBB52"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Assets that are fully, unconditionally and irrevocably guaranteed by one of the counterparties referred to in Article 187(3), where the guarantee meets the requirements set out in Article 215.</w:t>
            </w:r>
          </w:p>
          <w:p w14:paraId="4941FD0C"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Assets representing claims on one of the counterparties referred to in Article 180(2);</w:t>
            </w:r>
          </w:p>
          <w:p w14:paraId="0395A169"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Assets that are fully, unconditionally and irrevocably guaranteed by one of the counterparties referred to in Article 180(2), where the guarantee meets the requirements set out in Article 215;</w:t>
            </w:r>
          </w:p>
          <w:p w14:paraId="1E5DE9C6"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 xml:space="preserve">Covered bonds referred to in Article 180(1) which have been assigned to credit quality step 0 or 1, excluding those which are issued by a credit or financial </w:t>
            </w:r>
            <w:r w:rsidRPr="00EB1F0B">
              <w:rPr>
                <w:rStyle w:val="CEAGraphTitle"/>
                <w:color w:val="00B050"/>
                <w:szCs w:val="17"/>
              </w:rPr>
              <w:lastRenderedPageBreak/>
              <w:t>institution or investment fund which is part of the same group;</w:t>
            </w:r>
          </w:p>
          <w:p w14:paraId="13DE265A"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Securitisations backed by the subcategories of assets referred to in Article 13(2), points (g)(</w:t>
            </w:r>
            <w:proofErr w:type="spellStart"/>
            <w:r w:rsidRPr="00EB1F0B">
              <w:rPr>
                <w:rStyle w:val="CEAGraphTitle"/>
                <w:color w:val="00B050"/>
                <w:szCs w:val="17"/>
              </w:rPr>
              <w:t>i</w:t>
            </w:r>
            <w:proofErr w:type="spellEnd"/>
            <w:r w:rsidRPr="00EB1F0B">
              <w:rPr>
                <w:rStyle w:val="CEAGraphTitle"/>
                <w:color w:val="00B050"/>
                <w:szCs w:val="17"/>
              </w:rPr>
              <w:t>), (ii) and (iv) of Commission Delegated Regulation (EU) 2015/61, which meet the conditions set out in paragraphs 2 to 13 of that Article;</w:t>
            </w:r>
          </w:p>
          <w:p w14:paraId="4C7200DE" w14:textId="77777777" w:rsidR="00EB1F0B" w:rsidRP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Bonds and loans which have been assigned to credit quality step 0, 1 or 2, excluding bonds and loans issued by insurance and reinsurance undertakings or financial institutions within the meaning of Article 4(26) of Regulation (EU) No 575/2013;</w:t>
            </w:r>
          </w:p>
          <w:p w14:paraId="4C982B00" w14:textId="6047502C" w:rsidR="00EB1F0B" w:rsidRDefault="00EB1F0B" w:rsidP="00C409D0">
            <w:pPr>
              <w:pStyle w:val="Odsekzoznamu"/>
              <w:numPr>
                <w:ilvl w:val="0"/>
                <w:numId w:val="31"/>
              </w:numPr>
              <w:spacing w:line="240" w:lineRule="auto"/>
              <w:jc w:val="left"/>
              <w:rPr>
                <w:rStyle w:val="CEAGraphTitle"/>
                <w:color w:val="00B050"/>
                <w:szCs w:val="17"/>
              </w:rPr>
            </w:pPr>
            <w:r w:rsidRPr="00EB1F0B">
              <w:rPr>
                <w:rStyle w:val="CEAGraphTitle"/>
                <w:color w:val="00B050"/>
                <w:szCs w:val="17"/>
              </w:rPr>
              <w:t>Direct investment in equities, other than long-term equity investments, which are either listed in regulated markets in the countries which are members of the EEA or the OECD, or traded on multilateral trading facilities, as referred to in Article 4(1)(22) of Directive 2014/65/EU, whose registered office or head office is in EU Member States;</w:t>
            </w:r>
          </w:p>
          <w:p w14:paraId="2ADB8040" w14:textId="70D3C861" w:rsidR="00000413" w:rsidRDefault="00000413" w:rsidP="00DC72E6">
            <w:pPr>
              <w:spacing w:line="240" w:lineRule="auto"/>
              <w:jc w:val="left"/>
              <w:rPr>
                <w:rStyle w:val="CEAGraphTitle"/>
                <w:color w:val="00B050"/>
                <w:szCs w:val="17"/>
              </w:rPr>
            </w:pPr>
          </w:p>
          <w:p w14:paraId="74FD89AA" w14:textId="22844759" w:rsidR="00DC72E6" w:rsidRPr="00DC72E6" w:rsidRDefault="00DC72E6" w:rsidP="00DC72E6">
            <w:pPr>
              <w:pStyle w:val="Odsekzoznamu"/>
              <w:numPr>
                <w:ilvl w:val="0"/>
                <w:numId w:val="4"/>
              </w:numPr>
              <w:spacing w:line="240" w:lineRule="auto"/>
              <w:jc w:val="left"/>
              <w:rPr>
                <w:rStyle w:val="CEAGraphTitle"/>
                <w:color w:val="00B050"/>
                <w:szCs w:val="17"/>
              </w:rPr>
            </w:pPr>
            <w:r w:rsidRPr="00DC72E6">
              <w:rPr>
                <w:rStyle w:val="CEAGraphTitle"/>
                <w:color w:val="00B050"/>
                <w:szCs w:val="17"/>
              </w:rPr>
              <w:t xml:space="preserve">Regular revenues stemming from assets referred to in point (a) as well as from property investments, including prudently estimated future non-contractual revenues such as dividend payments, provided that the projected non-contractual revenues for a given year are not higher than their three-year historical average; </w:t>
            </w:r>
          </w:p>
          <w:p w14:paraId="20AE6149" w14:textId="77777777" w:rsidR="00DC72E6" w:rsidRDefault="00DC72E6" w:rsidP="00DC72E6">
            <w:pPr>
              <w:pStyle w:val="Odsekzoznamu"/>
              <w:numPr>
                <w:ilvl w:val="0"/>
                <w:numId w:val="4"/>
              </w:numPr>
              <w:spacing w:line="240" w:lineRule="auto"/>
              <w:jc w:val="left"/>
              <w:rPr>
                <w:rStyle w:val="CEAGraphTitle"/>
                <w:color w:val="00B050"/>
                <w:szCs w:val="17"/>
              </w:rPr>
            </w:pPr>
            <w:r w:rsidRPr="00DC72E6">
              <w:rPr>
                <w:rStyle w:val="CEAGraphTitle"/>
                <w:color w:val="00B050"/>
                <w:szCs w:val="17"/>
              </w:rPr>
              <w:t xml:space="preserve">Premiums and related cash inflows </w:t>
            </w:r>
            <w:r w:rsidRPr="00DC72E6">
              <w:rPr>
                <w:rStyle w:val="CEAGraphTitle"/>
                <w:color w:val="00B050"/>
                <w:szCs w:val="17"/>
              </w:rPr>
              <w:lastRenderedPageBreak/>
              <w:t xml:space="preserve">included in the contract boundary of the best estimate of life technical provisions; </w:t>
            </w:r>
          </w:p>
          <w:p w14:paraId="5DA9C07A" w14:textId="77777777" w:rsidR="00DC72E6" w:rsidRDefault="00DC72E6" w:rsidP="00DC72E6">
            <w:pPr>
              <w:pStyle w:val="Odsekzoznamu"/>
              <w:numPr>
                <w:ilvl w:val="0"/>
                <w:numId w:val="4"/>
              </w:numPr>
              <w:spacing w:line="240" w:lineRule="auto"/>
              <w:jc w:val="left"/>
              <w:rPr>
                <w:rStyle w:val="CEAGraphTitle"/>
                <w:color w:val="00B050"/>
                <w:szCs w:val="17"/>
              </w:rPr>
            </w:pPr>
            <w:r w:rsidRPr="00DC72E6">
              <w:rPr>
                <w:rStyle w:val="CEAGraphTitle"/>
                <w:color w:val="00B050"/>
                <w:szCs w:val="17"/>
              </w:rPr>
              <w:t xml:space="preserve">Premiums and related cash inflows included in the contract boundary of the best estimate of non-life technical provisions, as well as those stemming from prudently estimated renewals over the time horizon of the test, provided that the projected renewals for a given year are not assumed to be higher than their </w:t>
            </w:r>
            <w:proofErr w:type="spellStart"/>
            <w:r w:rsidRPr="00DC72E6">
              <w:rPr>
                <w:rStyle w:val="CEAGraphTitle"/>
                <w:color w:val="00B050"/>
                <w:szCs w:val="17"/>
              </w:rPr>
              <w:t>threeyear</w:t>
            </w:r>
            <w:proofErr w:type="spellEnd"/>
            <w:r w:rsidRPr="00DC72E6">
              <w:rPr>
                <w:rStyle w:val="CEAGraphTitle"/>
                <w:color w:val="00B050"/>
                <w:szCs w:val="17"/>
              </w:rPr>
              <w:t xml:space="preserve"> historical average; </w:t>
            </w:r>
          </w:p>
          <w:p w14:paraId="47073114" w14:textId="2C907DC4" w:rsidR="00DC72E6" w:rsidRDefault="00DC72E6" w:rsidP="00DC72E6">
            <w:pPr>
              <w:pStyle w:val="Odsekzoznamu"/>
              <w:numPr>
                <w:ilvl w:val="0"/>
                <w:numId w:val="4"/>
              </w:numPr>
              <w:spacing w:line="240" w:lineRule="auto"/>
              <w:jc w:val="left"/>
              <w:rPr>
                <w:rStyle w:val="CEAGraphTitle"/>
                <w:color w:val="00B050"/>
                <w:szCs w:val="17"/>
              </w:rPr>
            </w:pPr>
            <w:r w:rsidRPr="00DC72E6">
              <w:rPr>
                <w:rStyle w:val="CEAGraphTitle"/>
                <w:color w:val="00B050"/>
                <w:szCs w:val="17"/>
              </w:rPr>
              <w:t xml:space="preserve">Revenues stemming from the reinvestment of the cash inflows listed in point (a) to ([e]) in excess of cash outflows, where the returns on investment are based on the risk-free interest rate term structure. </w:t>
            </w:r>
          </w:p>
          <w:p w14:paraId="3E359BE6" w14:textId="77777777" w:rsidR="00DC72E6" w:rsidRPr="00DC72E6" w:rsidRDefault="00DC72E6" w:rsidP="00DC72E6">
            <w:pPr>
              <w:pStyle w:val="Odsekzoznamu"/>
              <w:spacing w:line="240" w:lineRule="auto"/>
              <w:ind w:left="360"/>
              <w:jc w:val="left"/>
              <w:rPr>
                <w:rStyle w:val="CEAGraphTitle"/>
                <w:color w:val="00B050"/>
                <w:szCs w:val="17"/>
              </w:rPr>
            </w:pPr>
          </w:p>
          <w:p w14:paraId="07BB14F9" w14:textId="79F2B84F" w:rsidR="00DC72E6" w:rsidRPr="00DC72E6" w:rsidRDefault="00DC72E6" w:rsidP="00DC72E6">
            <w:pPr>
              <w:spacing w:line="240" w:lineRule="auto"/>
              <w:jc w:val="left"/>
              <w:rPr>
                <w:rStyle w:val="CEAGraphTitle"/>
                <w:color w:val="00B050"/>
                <w:szCs w:val="17"/>
              </w:rPr>
            </w:pPr>
            <w:r w:rsidRPr="00DC72E6">
              <w:rPr>
                <w:rStyle w:val="CEAGraphTitle"/>
                <w:color w:val="00B050"/>
                <w:szCs w:val="17"/>
              </w:rPr>
              <w:t>Notwithstanding the first subparagraph, insurance and reinsurance undertakings shall not assume that bonds covering the best estimate of insurance obligations to which the matching adjustment or the volatility adjustment is applied, are sold.</w:t>
            </w:r>
          </w:p>
          <w:p w14:paraId="1B7FCEB2" w14:textId="7447763D" w:rsidR="00EB1F0B" w:rsidRPr="004D71F5" w:rsidRDefault="00EB1F0B" w:rsidP="004D71F5">
            <w:pPr>
              <w:pStyle w:val="Odsekzoznamu"/>
              <w:spacing w:line="240" w:lineRule="auto"/>
              <w:ind w:left="360"/>
              <w:jc w:val="left"/>
              <w:rPr>
                <w:rStyle w:val="CEAGraphTitle"/>
                <w:color w:val="7030A0"/>
                <w:szCs w:val="17"/>
              </w:rPr>
            </w:pPr>
          </w:p>
        </w:tc>
        <w:tc>
          <w:tcPr>
            <w:tcW w:w="3187" w:type="dxa"/>
          </w:tcPr>
          <w:p w14:paraId="112946ED" w14:textId="77777777" w:rsidR="00213E1C" w:rsidRPr="00184CBF" w:rsidRDefault="00213E1C" w:rsidP="00F511DF">
            <w:pPr>
              <w:pStyle w:val="Odsekzoznamu"/>
              <w:spacing w:line="240" w:lineRule="auto"/>
              <w:ind w:left="360"/>
              <w:jc w:val="left"/>
              <w:rPr>
                <w:rStyle w:val="CEAGraphTitle"/>
                <w:color w:val="FF0000"/>
                <w:szCs w:val="17"/>
              </w:rPr>
            </w:pPr>
          </w:p>
        </w:tc>
        <w:tc>
          <w:tcPr>
            <w:tcW w:w="3683" w:type="dxa"/>
          </w:tcPr>
          <w:p w14:paraId="7792B7C7" w14:textId="77777777" w:rsidR="00213E1C" w:rsidRDefault="00213E1C" w:rsidP="00EF5C5E">
            <w:pPr>
              <w:rPr>
                <w:rStyle w:val="CEAGraphTitle"/>
              </w:rPr>
            </w:pPr>
          </w:p>
        </w:tc>
      </w:tr>
      <w:tr w:rsidR="00EC1AD5" w:rsidRPr="00184CBF" w14:paraId="30B656FA" w14:textId="77777777" w:rsidTr="00285883">
        <w:trPr>
          <w:trHeight w:val="784"/>
        </w:trPr>
        <w:tc>
          <w:tcPr>
            <w:tcW w:w="4112" w:type="dxa"/>
          </w:tcPr>
          <w:p w14:paraId="3F62779B" w14:textId="77777777" w:rsidR="00EC1AD5" w:rsidRPr="00184CBF" w:rsidRDefault="00EC1AD5" w:rsidP="00EC1AD5">
            <w:pPr>
              <w:rPr>
                <w:rStyle w:val="CEAGraphTitle"/>
                <w:szCs w:val="17"/>
              </w:rPr>
            </w:pPr>
          </w:p>
        </w:tc>
        <w:tc>
          <w:tcPr>
            <w:tcW w:w="3969" w:type="dxa"/>
          </w:tcPr>
          <w:p w14:paraId="502C9977" w14:textId="77777777" w:rsidR="00EC1AD5" w:rsidRPr="00EC1AD5" w:rsidRDefault="00EC1AD5" w:rsidP="00C409D0">
            <w:pPr>
              <w:pStyle w:val="Odsekzoznamu"/>
              <w:numPr>
                <w:ilvl w:val="0"/>
                <w:numId w:val="36"/>
              </w:numPr>
              <w:spacing w:line="240" w:lineRule="auto"/>
              <w:jc w:val="left"/>
              <w:rPr>
                <w:rStyle w:val="CEAGraphTitle"/>
                <w:color w:val="00B050"/>
                <w:szCs w:val="17"/>
              </w:rPr>
            </w:pPr>
            <w:r w:rsidRPr="00EC1AD5">
              <w:rPr>
                <w:rStyle w:val="CEAGraphTitle"/>
                <w:color w:val="00B050"/>
                <w:szCs w:val="17"/>
              </w:rPr>
              <w:t>For the purpose of paragraph 5, the cash outflows shall include all of the following:</w:t>
            </w:r>
          </w:p>
          <w:p w14:paraId="5A085D8B" w14:textId="77777777" w:rsidR="00EC1AD5" w:rsidRPr="00EC1AD5" w:rsidRDefault="00EC1AD5" w:rsidP="00EC1AD5">
            <w:pPr>
              <w:pStyle w:val="Odsekzoznamu"/>
              <w:numPr>
                <w:ilvl w:val="0"/>
                <w:numId w:val="5"/>
              </w:numPr>
              <w:spacing w:line="240" w:lineRule="auto"/>
              <w:jc w:val="left"/>
              <w:rPr>
                <w:rStyle w:val="CEAGraphTitle"/>
                <w:color w:val="00B050"/>
                <w:szCs w:val="17"/>
              </w:rPr>
            </w:pPr>
            <w:r w:rsidRPr="00EC1AD5">
              <w:rPr>
                <w:rStyle w:val="CEAGraphTitle"/>
                <w:color w:val="00B050"/>
                <w:szCs w:val="17"/>
              </w:rPr>
              <w:t xml:space="preserve">Cash outflows related to claims, expenses, taxes and other outgoing payments within the contract boundary of the best estimate of life technical provisions; </w:t>
            </w:r>
          </w:p>
          <w:p w14:paraId="0DF98C3E" w14:textId="77777777" w:rsidR="00EC1AD5" w:rsidRPr="00EC1AD5" w:rsidRDefault="00EC1AD5" w:rsidP="00EC1AD5">
            <w:pPr>
              <w:pStyle w:val="Odsekzoznamu"/>
              <w:numPr>
                <w:ilvl w:val="0"/>
                <w:numId w:val="5"/>
              </w:numPr>
              <w:spacing w:line="240" w:lineRule="auto"/>
              <w:jc w:val="left"/>
              <w:rPr>
                <w:rStyle w:val="CEAGraphTitle"/>
                <w:color w:val="00B050"/>
                <w:szCs w:val="17"/>
              </w:rPr>
            </w:pPr>
            <w:r w:rsidRPr="00EC1AD5">
              <w:rPr>
                <w:rStyle w:val="CEAGraphTitle"/>
                <w:color w:val="00B050"/>
                <w:szCs w:val="17"/>
              </w:rPr>
              <w:t xml:space="preserve">Cash outflows related to claims, expenses, taxes and other outgoing payments corresponding to obligations related to the premiums referred to in </w:t>
            </w:r>
            <w:r w:rsidRPr="00EC1AD5">
              <w:rPr>
                <w:rStyle w:val="CEAGraphTitle"/>
                <w:color w:val="00B050"/>
                <w:szCs w:val="17"/>
              </w:rPr>
              <w:lastRenderedPageBreak/>
              <w:t>paragraph 6(d);</w:t>
            </w:r>
          </w:p>
          <w:p w14:paraId="3985EBD5" w14:textId="77777777" w:rsidR="00EC1AD5" w:rsidRPr="00EC1AD5" w:rsidRDefault="00EC1AD5" w:rsidP="00EC1AD5">
            <w:pPr>
              <w:pStyle w:val="Odsekzoznamu"/>
              <w:numPr>
                <w:ilvl w:val="0"/>
                <w:numId w:val="5"/>
              </w:numPr>
              <w:spacing w:line="240" w:lineRule="auto"/>
              <w:jc w:val="left"/>
              <w:rPr>
                <w:rStyle w:val="CEAGraphTitle"/>
                <w:color w:val="00B050"/>
                <w:szCs w:val="17"/>
              </w:rPr>
            </w:pPr>
            <w:r w:rsidRPr="00EC1AD5">
              <w:rPr>
                <w:rStyle w:val="CEAGraphTitle"/>
                <w:color w:val="00B050"/>
                <w:szCs w:val="17"/>
              </w:rPr>
              <w:t>Cash outflows arising from margin calls on investment in derivatives;</w:t>
            </w:r>
          </w:p>
          <w:p w14:paraId="61B524E4" w14:textId="77777777" w:rsidR="00EC1AD5" w:rsidRPr="00EC1AD5" w:rsidRDefault="00EC1AD5" w:rsidP="00EC1AD5">
            <w:pPr>
              <w:pStyle w:val="Odsekzoznamu"/>
              <w:numPr>
                <w:ilvl w:val="0"/>
                <w:numId w:val="5"/>
              </w:numPr>
              <w:spacing w:line="240" w:lineRule="auto"/>
              <w:jc w:val="left"/>
              <w:rPr>
                <w:rStyle w:val="CEAGraphTitle"/>
                <w:color w:val="00B050"/>
                <w:szCs w:val="17"/>
              </w:rPr>
            </w:pPr>
            <w:r w:rsidRPr="00EC1AD5">
              <w:rPr>
                <w:rStyle w:val="CEAGraphTitle"/>
                <w:color w:val="00B050"/>
                <w:szCs w:val="17"/>
              </w:rPr>
              <w:t>Cash outflows arising from repurchase agreements and similar arrangements;</w:t>
            </w:r>
          </w:p>
          <w:p w14:paraId="3F935AD6" w14:textId="7D5528D9" w:rsidR="00EC1AD5" w:rsidRPr="00EC1AD5" w:rsidRDefault="00EC1AD5" w:rsidP="00EC1AD5">
            <w:pPr>
              <w:spacing w:line="240" w:lineRule="auto"/>
              <w:jc w:val="left"/>
              <w:rPr>
                <w:rStyle w:val="CEAGraphTitle"/>
                <w:color w:val="00B050"/>
                <w:szCs w:val="17"/>
              </w:rPr>
            </w:pPr>
            <w:r w:rsidRPr="00EC1AD5">
              <w:rPr>
                <w:rStyle w:val="CEAGraphTitle"/>
                <w:color w:val="00B050"/>
                <w:szCs w:val="17"/>
              </w:rPr>
              <w:t>Cash outflows arising from other liabilities of the insurance or reinsurance undertaking, including dividend payments on equity capital, coupon payments and repayment on fixed-income instruments.</w:t>
            </w:r>
          </w:p>
        </w:tc>
        <w:tc>
          <w:tcPr>
            <w:tcW w:w="3187" w:type="dxa"/>
          </w:tcPr>
          <w:p w14:paraId="1310A24E" w14:textId="77777777" w:rsidR="00EC1AD5" w:rsidRPr="00184CBF" w:rsidRDefault="00EC1AD5" w:rsidP="00EC1AD5">
            <w:pPr>
              <w:pStyle w:val="Odsekzoznamu"/>
              <w:spacing w:line="240" w:lineRule="auto"/>
              <w:ind w:left="360"/>
              <w:jc w:val="left"/>
              <w:rPr>
                <w:rStyle w:val="CEAGraphTitle"/>
                <w:color w:val="FF0000"/>
                <w:szCs w:val="17"/>
              </w:rPr>
            </w:pPr>
          </w:p>
        </w:tc>
        <w:tc>
          <w:tcPr>
            <w:tcW w:w="3683" w:type="dxa"/>
          </w:tcPr>
          <w:p w14:paraId="002F46A8" w14:textId="77777777" w:rsidR="00EC1AD5" w:rsidRDefault="00EC1AD5" w:rsidP="00EC1AD5">
            <w:pPr>
              <w:rPr>
                <w:rStyle w:val="CEAGraphTitle"/>
              </w:rPr>
            </w:pPr>
          </w:p>
        </w:tc>
      </w:tr>
      <w:tr w:rsidR="00EC1AD5" w:rsidRPr="00184CBF" w14:paraId="7EE80A90" w14:textId="77777777" w:rsidTr="00285883">
        <w:trPr>
          <w:trHeight w:val="784"/>
        </w:trPr>
        <w:tc>
          <w:tcPr>
            <w:tcW w:w="4112" w:type="dxa"/>
          </w:tcPr>
          <w:p w14:paraId="359611BE" w14:textId="77777777" w:rsidR="00EC1AD5" w:rsidRPr="00184CBF" w:rsidRDefault="00EC1AD5" w:rsidP="00EC1AD5">
            <w:pPr>
              <w:rPr>
                <w:rStyle w:val="CEAGraphTitle"/>
                <w:szCs w:val="17"/>
              </w:rPr>
            </w:pPr>
          </w:p>
        </w:tc>
        <w:tc>
          <w:tcPr>
            <w:tcW w:w="3969" w:type="dxa"/>
          </w:tcPr>
          <w:p w14:paraId="027FC62B" w14:textId="77777777" w:rsidR="00E13ED3" w:rsidRPr="00E13ED3" w:rsidRDefault="00E13ED3" w:rsidP="00E13ED3">
            <w:pPr>
              <w:spacing w:line="240" w:lineRule="auto"/>
              <w:jc w:val="left"/>
              <w:rPr>
                <w:rStyle w:val="CEAGraphTitle"/>
                <w:b/>
                <w:bCs/>
                <w:color w:val="00B050"/>
              </w:rPr>
            </w:pPr>
            <w:r w:rsidRPr="00E13ED3">
              <w:rPr>
                <w:rStyle w:val="CEAGraphTitle"/>
                <w:b/>
                <w:bCs/>
                <w:color w:val="00B050"/>
              </w:rPr>
              <w:t>[LIQUIDITY APPROACH]</w:t>
            </w:r>
          </w:p>
          <w:p w14:paraId="4718EC9F" w14:textId="77777777" w:rsidR="00E13ED3" w:rsidRPr="00E13ED3" w:rsidRDefault="00E13ED3" w:rsidP="00E13ED3">
            <w:pPr>
              <w:spacing w:line="240" w:lineRule="auto"/>
              <w:jc w:val="left"/>
              <w:rPr>
                <w:rStyle w:val="CEAGraphTitle"/>
                <w:color w:val="00B050"/>
                <w:szCs w:val="17"/>
              </w:rPr>
            </w:pPr>
          </w:p>
          <w:p w14:paraId="593370F3" w14:textId="679480AA" w:rsidR="00EC1AD5" w:rsidRPr="00EC1AD5" w:rsidRDefault="008142D0" w:rsidP="00C409D0">
            <w:pPr>
              <w:pStyle w:val="Odsekzoznamu"/>
              <w:numPr>
                <w:ilvl w:val="0"/>
                <w:numId w:val="36"/>
              </w:numPr>
              <w:spacing w:line="240" w:lineRule="auto"/>
              <w:jc w:val="left"/>
              <w:rPr>
                <w:rStyle w:val="CEAGraphTitle"/>
                <w:color w:val="00B050"/>
                <w:szCs w:val="17"/>
              </w:rPr>
            </w:pPr>
            <w:r w:rsidRPr="008142D0">
              <w:rPr>
                <w:rStyle w:val="CEAGraphTitle"/>
                <w:color w:val="00B050"/>
                <w:szCs w:val="17"/>
              </w:rPr>
              <w:t>For the purpose of paragraph 5, the liquidity test under stressed conditions shall be based on the same assumptions, cash inflows and outflows as in paragraphs 6 and 7, subject to the stress assumptions set out in the following paragraphs. In addition, the capital requirement for operational risk, calculated in accordance with Article 204, shall be assumed to be an instantaneous cash outflow arising at the beginning of the time horizon.</w:t>
            </w:r>
          </w:p>
        </w:tc>
        <w:tc>
          <w:tcPr>
            <w:tcW w:w="3187" w:type="dxa"/>
          </w:tcPr>
          <w:p w14:paraId="25810CB2" w14:textId="77777777" w:rsidR="00EC1AD5" w:rsidRPr="00184CBF" w:rsidRDefault="00EC1AD5" w:rsidP="00EC1AD5">
            <w:pPr>
              <w:pStyle w:val="Odsekzoznamu"/>
              <w:spacing w:line="240" w:lineRule="auto"/>
              <w:ind w:left="360"/>
              <w:jc w:val="left"/>
              <w:rPr>
                <w:rStyle w:val="CEAGraphTitle"/>
                <w:color w:val="FF0000"/>
                <w:szCs w:val="17"/>
              </w:rPr>
            </w:pPr>
          </w:p>
        </w:tc>
        <w:tc>
          <w:tcPr>
            <w:tcW w:w="3683" w:type="dxa"/>
          </w:tcPr>
          <w:p w14:paraId="62D0CA26" w14:textId="77777777" w:rsidR="00EC1AD5" w:rsidRDefault="00EC1AD5" w:rsidP="00EC1AD5">
            <w:pPr>
              <w:rPr>
                <w:rStyle w:val="CEAGraphTitle"/>
              </w:rPr>
            </w:pPr>
          </w:p>
        </w:tc>
      </w:tr>
      <w:tr w:rsidR="008142D0" w:rsidRPr="00184CBF" w14:paraId="7750FDED" w14:textId="77777777" w:rsidTr="00285883">
        <w:trPr>
          <w:trHeight w:val="784"/>
        </w:trPr>
        <w:tc>
          <w:tcPr>
            <w:tcW w:w="4112" w:type="dxa"/>
          </w:tcPr>
          <w:p w14:paraId="64D3454C" w14:textId="77777777" w:rsidR="008142D0" w:rsidRPr="00184CBF" w:rsidRDefault="008142D0" w:rsidP="00EC1AD5">
            <w:pPr>
              <w:rPr>
                <w:rStyle w:val="CEAGraphTitle"/>
                <w:szCs w:val="17"/>
              </w:rPr>
            </w:pPr>
          </w:p>
        </w:tc>
        <w:tc>
          <w:tcPr>
            <w:tcW w:w="3969" w:type="dxa"/>
          </w:tcPr>
          <w:p w14:paraId="4E8903E2" w14:textId="61B2FCDD" w:rsidR="00E13ED3" w:rsidRPr="00E13ED3" w:rsidRDefault="00E13ED3" w:rsidP="00E13ED3">
            <w:pPr>
              <w:spacing w:line="240" w:lineRule="auto"/>
              <w:jc w:val="left"/>
              <w:rPr>
                <w:rStyle w:val="CEAGraphTitle"/>
                <w:b/>
                <w:bCs/>
                <w:color w:val="00B050"/>
              </w:rPr>
            </w:pPr>
            <w:r w:rsidRPr="00E13ED3">
              <w:rPr>
                <w:rStyle w:val="CEAGraphTitle"/>
                <w:b/>
                <w:bCs/>
                <w:color w:val="00B050"/>
              </w:rPr>
              <w:t>[LIQUIDITY APPROACH]</w:t>
            </w:r>
          </w:p>
          <w:p w14:paraId="3730CC0B" w14:textId="05E8C98E" w:rsidR="007B6928" w:rsidRPr="007B6928" w:rsidRDefault="007B6928" w:rsidP="00C409D0">
            <w:pPr>
              <w:pStyle w:val="Odsekzoznamu"/>
              <w:numPr>
                <w:ilvl w:val="0"/>
                <w:numId w:val="36"/>
              </w:numPr>
              <w:spacing w:line="240" w:lineRule="auto"/>
              <w:jc w:val="left"/>
              <w:rPr>
                <w:rStyle w:val="CEAGraphTitle"/>
                <w:color w:val="00B050"/>
                <w:szCs w:val="17"/>
              </w:rPr>
            </w:pPr>
            <w:r w:rsidRPr="007B6928">
              <w:rPr>
                <w:rStyle w:val="CEAGraphTitle"/>
                <w:color w:val="00B050"/>
                <w:szCs w:val="17"/>
              </w:rPr>
              <w:t xml:space="preserve">For each asset referred to in paragraph 6(a) and revenue referred to in paragraph 6(b), the insurance or reinsurance undertaking shall calculate the loss in basic own fund stemming from the application of each relevant module and submodule of the Basic Solvency Capital Requirement referred to in Title I, Chapter 5, Sections V and VI, taking into account the relevant correlation parameters set out in this Regulation and in Annex IV of Directive 2009/138/EC. </w:t>
            </w:r>
          </w:p>
          <w:p w14:paraId="6610A640" w14:textId="77777777" w:rsidR="007B6928" w:rsidRPr="007B6928" w:rsidRDefault="007B6928" w:rsidP="007B6928">
            <w:pPr>
              <w:pStyle w:val="Odsekzoznamu"/>
              <w:spacing w:line="240" w:lineRule="auto"/>
              <w:ind w:left="360"/>
              <w:jc w:val="left"/>
              <w:rPr>
                <w:rStyle w:val="CEAGraphTitle"/>
                <w:color w:val="00B050"/>
                <w:szCs w:val="17"/>
              </w:rPr>
            </w:pPr>
          </w:p>
          <w:p w14:paraId="181660F5" w14:textId="0020D254" w:rsidR="008142D0" w:rsidRPr="007B6928" w:rsidRDefault="007B6928" w:rsidP="007B6928">
            <w:pPr>
              <w:pStyle w:val="Odsekzoznamu"/>
              <w:spacing w:line="240" w:lineRule="auto"/>
              <w:ind w:left="360"/>
              <w:jc w:val="left"/>
              <w:rPr>
                <w:rStyle w:val="CEAGraphTitle"/>
                <w:color w:val="00B050"/>
                <w:szCs w:val="17"/>
              </w:rPr>
            </w:pPr>
            <w:r w:rsidRPr="007B6928">
              <w:rPr>
                <w:rStyle w:val="CEAGraphTitle"/>
                <w:color w:val="00B050"/>
                <w:szCs w:val="17"/>
              </w:rPr>
              <w:lastRenderedPageBreak/>
              <w:t>For the purpose of the liquidity test, the stressed value of each asset referred to in paragraph 6(a) and revenue referred to in paragraph 6(b) shall be assumed to permanently decrease by an amount equal to 80% of the absolute value of the loss in basic own fund calculated in accordance with the first subparagraph</w:t>
            </w:r>
            <w:r>
              <w:rPr>
                <w:rStyle w:val="CEAGraphTitle"/>
                <w:color w:val="00B050"/>
                <w:szCs w:val="17"/>
              </w:rPr>
              <w:t>.</w:t>
            </w:r>
          </w:p>
        </w:tc>
        <w:tc>
          <w:tcPr>
            <w:tcW w:w="3187" w:type="dxa"/>
          </w:tcPr>
          <w:p w14:paraId="2D926382" w14:textId="77777777" w:rsidR="008142D0" w:rsidRPr="00184CBF" w:rsidRDefault="008142D0" w:rsidP="00EC1AD5">
            <w:pPr>
              <w:pStyle w:val="Odsekzoznamu"/>
              <w:spacing w:line="240" w:lineRule="auto"/>
              <w:ind w:left="360"/>
              <w:jc w:val="left"/>
              <w:rPr>
                <w:rStyle w:val="CEAGraphTitle"/>
                <w:color w:val="FF0000"/>
                <w:szCs w:val="17"/>
              </w:rPr>
            </w:pPr>
          </w:p>
        </w:tc>
        <w:tc>
          <w:tcPr>
            <w:tcW w:w="3683" w:type="dxa"/>
          </w:tcPr>
          <w:p w14:paraId="64003729" w14:textId="77777777" w:rsidR="008142D0" w:rsidRDefault="008142D0" w:rsidP="00EC1AD5">
            <w:pPr>
              <w:rPr>
                <w:rStyle w:val="CEAGraphTitle"/>
              </w:rPr>
            </w:pPr>
          </w:p>
        </w:tc>
      </w:tr>
      <w:tr w:rsidR="007B6928" w:rsidRPr="00184CBF" w14:paraId="7EB1D4DD" w14:textId="77777777" w:rsidTr="00285883">
        <w:trPr>
          <w:trHeight w:val="784"/>
        </w:trPr>
        <w:tc>
          <w:tcPr>
            <w:tcW w:w="4112" w:type="dxa"/>
          </w:tcPr>
          <w:p w14:paraId="7ABB0D77" w14:textId="77777777" w:rsidR="007B6928" w:rsidRPr="00184CBF" w:rsidRDefault="007B6928" w:rsidP="00EC1AD5">
            <w:pPr>
              <w:rPr>
                <w:rStyle w:val="CEAGraphTitle"/>
                <w:szCs w:val="17"/>
              </w:rPr>
            </w:pPr>
          </w:p>
        </w:tc>
        <w:tc>
          <w:tcPr>
            <w:tcW w:w="3969" w:type="dxa"/>
          </w:tcPr>
          <w:p w14:paraId="59A87B44" w14:textId="5E52D136" w:rsidR="00E13ED3" w:rsidRPr="00E13ED3" w:rsidRDefault="00E13ED3" w:rsidP="00E13ED3">
            <w:pPr>
              <w:spacing w:line="240" w:lineRule="auto"/>
              <w:jc w:val="left"/>
              <w:rPr>
                <w:rStyle w:val="CEAGraphTitle"/>
                <w:b/>
                <w:bCs/>
                <w:color w:val="00B050"/>
              </w:rPr>
            </w:pPr>
            <w:r w:rsidRPr="00E13ED3">
              <w:rPr>
                <w:rStyle w:val="CEAGraphTitle"/>
                <w:b/>
                <w:bCs/>
                <w:color w:val="00B050"/>
              </w:rPr>
              <w:t>[LIQUIDITY APPROACH]</w:t>
            </w:r>
          </w:p>
          <w:p w14:paraId="75007C72" w14:textId="37DAA2E8" w:rsidR="007B6928" w:rsidRPr="007B6928" w:rsidRDefault="00DF0CC1" w:rsidP="00C409D0">
            <w:pPr>
              <w:pStyle w:val="Odsekzoznamu"/>
              <w:numPr>
                <w:ilvl w:val="0"/>
                <w:numId w:val="36"/>
              </w:numPr>
              <w:spacing w:line="240" w:lineRule="auto"/>
              <w:jc w:val="left"/>
              <w:rPr>
                <w:rStyle w:val="CEAGraphTitle"/>
                <w:color w:val="00B050"/>
                <w:szCs w:val="17"/>
              </w:rPr>
            </w:pPr>
            <w:r w:rsidRPr="00DF0CC1">
              <w:rPr>
                <w:rStyle w:val="CEAGraphTitle"/>
                <w:color w:val="00B050"/>
                <w:szCs w:val="17"/>
              </w:rPr>
              <w:t>For the purpose of determining reinvestment revenues or losses referred to in paragraph 6(e) under stress, the term structure of interest rates shall be decreased in accordance with Article 167.</w:t>
            </w:r>
          </w:p>
        </w:tc>
        <w:tc>
          <w:tcPr>
            <w:tcW w:w="3187" w:type="dxa"/>
          </w:tcPr>
          <w:p w14:paraId="2EB3291C" w14:textId="77777777" w:rsidR="007B6928" w:rsidRPr="00184CBF" w:rsidRDefault="007B6928" w:rsidP="00EC1AD5">
            <w:pPr>
              <w:pStyle w:val="Odsekzoznamu"/>
              <w:spacing w:line="240" w:lineRule="auto"/>
              <w:ind w:left="360"/>
              <w:jc w:val="left"/>
              <w:rPr>
                <w:rStyle w:val="CEAGraphTitle"/>
                <w:color w:val="FF0000"/>
                <w:szCs w:val="17"/>
              </w:rPr>
            </w:pPr>
          </w:p>
        </w:tc>
        <w:tc>
          <w:tcPr>
            <w:tcW w:w="3683" w:type="dxa"/>
          </w:tcPr>
          <w:p w14:paraId="2A3CEF37" w14:textId="77777777" w:rsidR="007B6928" w:rsidRDefault="007B6928" w:rsidP="00EC1AD5">
            <w:pPr>
              <w:rPr>
                <w:rStyle w:val="CEAGraphTitle"/>
              </w:rPr>
            </w:pPr>
          </w:p>
        </w:tc>
      </w:tr>
      <w:tr w:rsidR="00DF0CC1" w:rsidRPr="00184CBF" w14:paraId="0821959D" w14:textId="77777777" w:rsidTr="00285883">
        <w:trPr>
          <w:trHeight w:val="784"/>
        </w:trPr>
        <w:tc>
          <w:tcPr>
            <w:tcW w:w="4112" w:type="dxa"/>
          </w:tcPr>
          <w:p w14:paraId="548FC576" w14:textId="77777777" w:rsidR="00DF0CC1" w:rsidRPr="00184CBF" w:rsidRDefault="00DF0CC1" w:rsidP="00EC1AD5">
            <w:pPr>
              <w:rPr>
                <w:rStyle w:val="CEAGraphTitle"/>
                <w:szCs w:val="17"/>
              </w:rPr>
            </w:pPr>
          </w:p>
        </w:tc>
        <w:tc>
          <w:tcPr>
            <w:tcW w:w="3969" w:type="dxa"/>
          </w:tcPr>
          <w:p w14:paraId="66ADBF25" w14:textId="4E4124D4" w:rsidR="00E13ED3" w:rsidRPr="00E13ED3" w:rsidRDefault="00E13ED3" w:rsidP="00E13ED3">
            <w:pPr>
              <w:spacing w:line="240" w:lineRule="auto"/>
              <w:jc w:val="left"/>
              <w:rPr>
                <w:rStyle w:val="CEAGraphTitle"/>
                <w:b/>
                <w:bCs/>
                <w:color w:val="00B050"/>
              </w:rPr>
            </w:pPr>
            <w:r w:rsidRPr="00E13ED3">
              <w:rPr>
                <w:rStyle w:val="CEAGraphTitle"/>
                <w:b/>
                <w:bCs/>
                <w:color w:val="00B050"/>
              </w:rPr>
              <w:t>[LIQUIDITY APPROACH]</w:t>
            </w:r>
          </w:p>
          <w:p w14:paraId="1F53247C" w14:textId="38DBE35A" w:rsidR="00243F1E" w:rsidRPr="00243F1E" w:rsidRDefault="00243F1E" w:rsidP="00C409D0">
            <w:pPr>
              <w:pStyle w:val="Odsekzoznamu"/>
              <w:numPr>
                <w:ilvl w:val="0"/>
                <w:numId w:val="36"/>
              </w:numPr>
              <w:spacing w:line="240" w:lineRule="auto"/>
              <w:jc w:val="left"/>
              <w:rPr>
                <w:rStyle w:val="CEAGraphTitle"/>
                <w:color w:val="00B050"/>
                <w:szCs w:val="17"/>
              </w:rPr>
            </w:pPr>
            <w:r w:rsidRPr="00243F1E">
              <w:rPr>
                <w:rStyle w:val="CEAGraphTitle"/>
                <w:color w:val="00B050"/>
                <w:szCs w:val="17"/>
              </w:rPr>
              <w:t xml:space="preserve">The increase in the margin calls referred to in paragraph 7(c), and in cash outflows stemming from arrangements referred to in 7(d), shall be calculated based on the following assumptions: </w:t>
            </w:r>
          </w:p>
          <w:p w14:paraId="53AB5913" w14:textId="32B2FD91" w:rsidR="00243F1E" w:rsidRPr="003E3167" w:rsidRDefault="00243F1E" w:rsidP="00C409D0">
            <w:pPr>
              <w:pStyle w:val="Odsekzoznamu"/>
              <w:numPr>
                <w:ilvl w:val="0"/>
                <w:numId w:val="37"/>
              </w:numPr>
              <w:spacing w:line="240" w:lineRule="auto"/>
              <w:jc w:val="left"/>
              <w:rPr>
                <w:rStyle w:val="CEAGraphTitle"/>
                <w:color w:val="00B050"/>
                <w:szCs w:val="17"/>
              </w:rPr>
            </w:pPr>
            <w:r w:rsidRPr="003E3167">
              <w:rPr>
                <w:rStyle w:val="CEAGraphTitle"/>
                <w:color w:val="00B050"/>
                <w:szCs w:val="17"/>
              </w:rPr>
              <w:t xml:space="preserve">Where an increase in cash outflows would stem from a decrease in the value of the underlying asset, the undertaking shall assume that the value of that underlying asset permanently decreases by an amount equal to 80% of the absolute value of the loss in basic own funds calculated in accordance with the second sub-paragraph; </w:t>
            </w:r>
          </w:p>
          <w:p w14:paraId="6F85184C" w14:textId="273DF7AE" w:rsidR="00243F1E" w:rsidRPr="003E3167" w:rsidRDefault="00243F1E" w:rsidP="00C409D0">
            <w:pPr>
              <w:pStyle w:val="Odsekzoznamu"/>
              <w:numPr>
                <w:ilvl w:val="0"/>
                <w:numId w:val="37"/>
              </w:numPr>
              <w:spacing w:line="240" w:lineRule="auto"/>
              <w:jc w:val="left"/>
              <w:rPr>
                <w:rStyle w:val="CEAGraphTitle"/>
                <w:color w:val="00B050"/>
                <w:szCs w:val="17"/>
              </w:rPr>
            </w:pPr>
            <w:r w:rsidRPr="003E3167">
              <w:rPr>
                <w:rStyle w:val="CEAGraphTitle"/>
                <w:color w:val="00B050"/>
                <w:szCs w:val="17"/>
              </w:rPr>
              <w:t xml:space="preserve">Where an increase in cash outflows would stem from an increase in the value of the underlying asset, the undertaking shall assume that the value of that underlying asset </w:t>
            </w:r>
            <w:r w:rsidRPr="003E3167">
              <w:rPr>
                <w:rStyle w:val="CEAGraphTitle"/>
                <w:color w:val="00B050"/>
                <w:szCs w:val="17"/>
              </w:rPr>
              <w:lastRenderedPageBreak/>
              <w:t xml:space="preserve">permanently decreases by an amount equal to 80% of the absolute value of the loss in basic own funds stemming from an increase in the term structure of interest rates as set out in Article 166. </w:t>
            </w:r>
          </w:p>
          <w:p w14:paraId="6002191D" w14:textId="77777777" w:rsidR="00243F1E" w:rsidRPr="00243F1E" w:rsidRDefault="00243F1E" w:rsidP="00243F1E">
            <w:pPr>
              <w:pStyle w:val="Odsekzoznamu"/>
              <w:spacing w:line="240" w:lineRule="auto"/>
              <w:ind w:left="360"/>
              <w:jc w:val="left"/>
              <w:rPr>
                <w:rStyle w:val="CEAGraphTitle"/>
                <w:color w:val="00B050"/>
                <w:szCs w:val="17"/>
              </w:rPr>
            </w:pPr>
          </w:p>
          <w:p w14:paraId="2A972BFE" w14:textId="4B8A50F7" w:rsidR="00DF0CC1" w:rsidRPr="00243F1E" w:rsidRDefault="00243F1E" w:rsidP="005B6956">
            <w:pPr>
              <w:spacing w:line="240" w:lineRule="auto"/>
              <w:ind w:left="360"/>
              <w:jc w:val="left"/>
              <w:rPr>
                <w:rStyle w:val="CEAGraphTitle"/>
                <w:color w:val="00B050"/>
                <w:szCs w:val="17"/>
              </w:rPr>
            </w:pPr>
            <w:r w:rsidRPr="00243F1E">
              <w:rPr>
                <w:rStyle w:val="CEAGraphTitle"/>
                <w:color w:val="00B050"/>
                <w:szCs w:val="17"/>
              </w:rPr>
              <w:t>For the purpose of point (a), the insurance or reinsurance undertaking shall calculate the loss in basic own fund stemming from the application of each relevant module and submodule of the Basic Solvency Capital Requirement referred to in Title I, Chapter 5, Sections V and VI to the underlying assets, taking into account the correlation parameters referred to in Article 164(3) and in Annex IV of Directive 2009/138/EC.</w:t>
            </w:r>
          </w:p>
        </w:tc>
        <w:tc>
          <w:tcPr>
            <w:tcW w:w="3187" w:type="dxa"/>
          </w:tcPr>
          <w:p w14:paraId="047F66E0" w14:textId="77777777" w:rsidR="00DF0CC1" w:rsidRPr="00184CBF" w:rsidRDefault="00DF0CC1" w:rsidP="00EC1AD5">
            <w:pPr>
              <w:pStyle w:val="Odsekzoznamu"/>
              <w:spacing w:line="240" w:lineRule="auto"/>
              <w:ind w:left="360"/>
              <w:jc w:val="left"/>
              <w:rPr>
                <w:rStyle w:val="CEAGraphTitle"/>
                <w:color w:val="FF0000"/>
                <w:szCs w:val="17"/>
              </w:rPr>
            </w:pPr>
          </w:p>
        </w:tc>
        <w:tc>
          <w:tcPr>
            <w:tcW w:w="3683" w:type="dxa"/>
          </w:tcPr>
          <w:p w14:paraId="269A4A50" w14:textId="77777777" w:rsidR="00DF0CC1" w:rsidRDefault="00DF0CC1" w:rsidP="00EC1AD5">
            <w:pPr>
              <w:rPr>
                <w:rStyle w:val="CEAGraphTitle"/>
              </w:rPr>
            </w:pPr>
          </w:p>
        </w:tc>
      </w:tr>
      <w:tr w:rsidR="00F31CC2" w:rsidRPr="00184CBF" w14:paraId="5E744F19" w14:textId="77777777" w:rsidTr="00285883">
        <w:trPr>
          <w:trHeight w:val="784"/>
        </w:trPr>
        <w:tc>
          <w:tcPr>
            <w:tcW w:w="4112" w:type="dxa"/>
          </w:tcPr>
          <w:p w14:paraId="4A383EB6" w14:textId="77777777" w:rsidR="00F31CC2" w:rsidRPr="00184CBF" w:rsidRDefault="00F31CC2" w:rsidP="00EC1AD5">
            <w:pPr>
              <w:rPr>
                <w:rStyle w:val="CEAGraphTitle"/>
                <w:szCs w:val="17"/>
              </w:rPr>
            </w:pPr>
          </w:p>
        </w:tc>
        <w:tc>
          <w:tcPr>
            <w:tcW w:w="3969" w:type="dxa"/>
          </w:tcPr>
          <w:p w14:paraId="5B87F665" w14:textId="3AE779D3" w:rsidR="00E13ED3" w:rsidRPr="00E13ED3" w:rsidRDefault="00E13ED3" w:rsidP="00E13ED3">
            <w:pPr>
              <w:spacing w:line="240" w:lineRule="auto"/>
              <w:jc w:val="left"/>
              <w:rPr>
                <w:rStyle w:val="CEAGraphTitle"/>
                <w:b/>
                <w:bCs/>
                <w:color w:val="00B050"/>
              </w:rPr>
            </w:pPr>
            <w:r w:rsidRPr="00E13ED3">
              <w:rPr>
                <w:rStyle w:val="CEAGraphTitle"/>
                <w:b/>
                <w:bCs/>
                <w:color w:val="00B050"/>
              </w:rPr>
              <w:t>[LIQUIDITY APPROACH]</w:t>
            </w:r>
          </w:p>
          <w:p w14:paraId="2908D6BE" w14:textId="122CCB82" w:rsidR="00F31CC2" w:rsidRPr="00F31CC2" w:rsidRDefault="00F31CC2" w:rsidP="00C409D0">
            <w:pPr>
              <w:pStyle w:val="Odsekzoznamu"/>
              <w:numPr>
                <w:ilvl w:val="0"/>
                <w:numId w:val="36"/>
              </w:numPr>
              <w:spacing w:line="240" w:lineRule="auto"/>
              <w:jc w:val="left"/>
              <w:rPr>
                <w:rStyle w:val="CEAGraphTitle"/>
                <w:color w:val="00B050"/>
                <w:szCs w:val="17"/>
              </w:rPr>
            </w:pPr>
            <w:r w:rsidRPr="00F31CC2">
              <w:rPr>
                <w:rStyle w:val="CEAGraphTitle"/>
                <w:color w:val="00B050"/>
                <w:szCs w:val="17"/>
              </w:rPr>
              <w:t xml:space="preserve">For the purpose of estimating stressed cash inflows referred to in paragraph 6, points (c) and (d), as well as stressed cash outflows referred to in paragraph 7(a) and 7(b), the insurance or reinsurance undertaking shall take into account 80% of the sum of the effect of applying each submodule of the Basic Solvency Capital Requirement referred to in Title I, Chapter 5 on those cash inflows, where the effect is a decrease in net cash inflows for a given year over the time horizon of the test. </w:t>
            </w:r>
          </w:p>
          <w:p w14:paraId="53230E04" w14:textId="77777777" w:rsidR="00F31CC2" w:rsidRPr="00F31CC2" w:rsidRDefault="00F31CC2" w:rsidP="005B6956">
            <w:pPr>
              <w:pStyle w:val="Odsekzoznamu"/>
              <w:spacing w:line="240" w:lineRule="auto"/>
              <w:ind w:left="360"/>
              <w:jc w:val="left"/>
              <w:rPr>
                <w:rStyle w:val="CEAGraphTitle"/>
                <w:color w:val="00B050"/>
                <w:szCs w:val="17"/>
              </w:rPr>
            </w:pPr>
          </w:p>
          <w:p w14:paraId="02DD84E0" w14:textId="77777777" w:rsidR="00F31CC2" w:rsidRPr="005B6956" w:rsidRDefault="00F31CC2" w:rsidP="00745B52">
            <w:pPr>
              <w:spacing w:line="240" w:lineRule="auto"/>
              <w:ind w:left="360"/>
              <w:jc w:val="left"/>
              <w:rPr>
                <w:rStyle w:val="CEAGraphTitle"/>
                <w:color w:val="00B050"/>
                <w:szCs w:val="17"/>
              </w:rPr>
            </w:pPr>
            <w:r w:rsidRPr="005B6956">
              <w:rPr>
                <w:rStyle w:val="CEAGraphTitle"/>
                <w:color w:val="00B050"/>
                <w:szCs w:val="17"/>
              </w:rPr>
              <w:t xml:space="preserve">In relation to the lapse risk sub-module referred to in Article 142, the insurance or reinsurance undertaking </w:t>
            </w:r>
            <w:r w:rsidRPr="005B6956">
              <w:rPr>
                <w:rStyle w:val="CEAGraphTitle"/>
                <w:color w:val="00B050"/>
                <w:szCs w:val="17"/>
              </w:rPr>
              <w:lastRenderedPageBreak/>
              <w:t>shall apply the scenario which would result in the larger decrease in the amount of undiscounted net cash inflows over the time horizon of the test:</w:t>
            </w:r>
          </w:p>
          <w:p w14:paraId="073F3B8D" w14:textId="49CD2C39" w:rsidR="00F31CC2" w:rsidRPr="00F31CC2" w:rsidRDefault="000339F7" w:rsidP="00C409D0">
            <w:pPr>
              <w:pStyle w:val="Odsekzoznamu"/>
              <w:numPr>
                <w:ilvl w:val="0"/>
                <w:numId w:val="38"/>
              </w:numPr>
              <w:spacing w:line="240" w:lineRule="auto"/>
              <w:jc w:val="left"/>
              <w:rPr>
                <w:rStyle w:val="CEAGraphTitle"/>
                <w:color w:val="00B050"/>
                <w:szCs w:val="17"/>
              </w:rPr>
            </w:pPr>
            <w:r>
              <w:rPr>
                <w:rStyle w:val="CEAGraphTitle"/>
                <w:color w:val="00B050"/>
                <w:szCs w:val="17"/>
              </w:rPr>
              <w:t>a</w:t>
            </w:r>
            <w:r w:rsidR="00F31CC2" w:rsidRPr="00F31CC2">
              <w:rPr>
                <w:rStyle w:val="CEAGraphTitle"/>
                <w:color w:val="00B050"/>
                <w:szCs w:val="17"/>
              </w:rPr>
              <w:t xml:space="preserve"> permanent increase in lapse rates pursuant paragraph 2 of that Article </w:t>
            </w:r>
          </w:p>
          <w:p w14:paraId="1FDC5037" w14:textId="6347EFBC" w:rsidR="00F31CC2" w:rsidRPr="00F31CC2" w:rsidRDefault="00F31CC2" w:rsidP="00C409D0">
            <w:pPr>
              <w:pStyle w:val="Odsekzoznamu"/>
              <w:numPr>
                <w:ilvl w:val="0"/>
                <w:numId w:val="38"/>
              </w:numPr>
              <w:spacing w:line="240" w:lineRule="auto"/>
              <w:jc w:val="left"/>
              <w:rPr>
                <w:rStyle w:val="CEAGraphTitle"/>
                <w:color w:val="00B050"/>
                <w:szCs w:val="17"/>
              </w:rPr>
            </w:pPr>
            <w:r w:rsidRPr="00F31CC2">
              <w:rPr>
                <w:rStyle w:val="CEAGraphTitle"/>
                <w:color w:val="00B050"/>
                <w:szCs w:val="17"/>
              </w:rPr>
              <w:t>a mass lapse event pursuant to paragraph 4 of that Article.</w:t>
            </w:r>
          </w:p>
          <w:p w14:paraId="6CAF0B7A" w14:textId="77777777" w:rsidR="00F31CC2" w:rsidRPr="000B3E9B" w:rsidRDefault="00F31CC2" w:rsidP="000B3E9B">
            <w:pPr>
              <w:spacing w:line="240" w:lineRule="auto"/>
              <w:ind w:left="360"/>
              <w:jc w:val="left"/>
              <w:rPr>
                <w:rStyle w:val="CEAGraphTitle"/>
                <w:color w:val="00B050"/>
                <w:szCs w:val="17"/>
              </w:rPr>
            </w:pPr>
            <w:r w:rsidRPr="000B3E9B">
              <w:rPr>
                <w:rStyle w:val="CEAGraphTitle"/>
                <w:color w:val="00B050"/>
                <w:szCs w:val="17"/>
              </w:rPr>
              <w:t>In relation to the SLT health lapse risk sub-module referred to in Article 159, the insurance or reinsurance undertaking shall apply the scenario which would result in the larger decrease in the amount of undiscounted net cash inflows over the time horizon of the test:</w:t>
            </w:r>
          </w:p>
          <w:p w14:paraId="1258431B" w14:textId="73D4302E" w:rsidR="00F31CC2" w:rsidRPr="009508BC" w:rsidRDefault="009508BC" w:rsidP="00C409D0">
            <w:pPr>
              <w:pStyle w:val="Odsekzoznamu"/>
              <w:numPr>
                <w:ilvl w:val="0"/>
                <w:numId w:val="39"/>
              </w:numPr>
              <w:spacing w:line="240" w:lineRule="auto"/>
              <w:jc w:val="left"/>
              <w:rPr>
                <w:rStyle w:val="CEAGraphTitle"/>
                <w:color w:val="00B050"/>
                <w:szCs w:val="17"/>
              </w:rPr>
            </w:pPr>
            <w:r w:rsidRPr="009508BC">
              <w:rPr>
                <w:rStyle w:val="CEAGraphTitle"/>
                <w:color w:val="00B050"/>
                <w:szCs w:val="17"/>
              </w:rPr>
              <w:t xml:space="preserve">a </w:t>
            </w:r>
            <w:r w:rsidR="00F31CC2" w:rsidRPr="009508BC">
              <w:rPr>
                <w:rStyle w:val="CEAGraphTitle"/>
                <w:color w:val="00B050"/>
                <w:szCs w:val="17"/>
              </w:rPr>
              <w:t xml:space="preserve">permanent increase in lapse rates pursuant paragraph 2 of that Article </w:t>
            </w:r>
          </w:p>
          <w:p w14:paraId="372007DF" w14:textId="77777777" w:rsidR="001B552F" w:rsidRPr="001B552F" w:rsidRDefault="001B552F" w:rsidP="00C409D0">
            <w:pPr>
              <w:pStyle w:val="Odsekzoznamu"/>
              <w:numPr>
                <w:ilvl w:val="0"/>
                <w:numId w:val="39"/>
              </w:numPr>
              <w:spacing w:line="240" w:lineRule="auto"/>
              <w:jc w:val="left"/>
              <w:rPr>
                <w:rStyle w:val="CEAGraphTitle"/>
                <w:color w:val="00B050"/>
                <w:szCs w:val="17"/>
              </w:rPr>
            </w:pPr>
            <w:r w:rsidRPr="001B552F">
              <w:rPr>
                <w:rStyle w:val="CEAGraphTitle"/>
                <w:color w:val="00B050"/>
                <w:szCs w:val="17"/>
              </w:rPr>
              <w:t>a mass lapse event pursuant to paragraph 4 of that Article.</w:t>
            </w:r>
          </w:p>
          <w:p w14:paraId="6ACAA521" w14:textId="7CBE4E62" w:rsidR="00F31CC2" w:rsidRPr="00794849" w:rsidRDefault="001B552F" w:rsidP="00794849">
            <w:pPr>
              <w:spacing w:line="240" w:lineRule="auto"/>
              <w:ind w:left="360"/>
              <w:jc w:val="left"/>
              <w:rPr>
                <w:rStyle w:val="CEAGraphTitle"/>
                <w:color w:val="00B050"/>
                <w:szCs w:val="17"/>
              </w:rPr>
            </w:pPr>
            <w:r w:rsidRPr="00794849">
              <w:rPr>
                <w:rStyle w:val="CEAGraphTitle"/>
                <w:color w:val="00B050"/>
                <w:szCs w:val="17"/>
              </w:rPr>
              <w:t>For the purpose of this paragraph, ‘net cash inflows’ for a given year shall mean the difference between cash inflows and cash outflows for that given year</w:t>
            </w:r>
          </w:p>
        </w:tc>
        <w:tc>
          <w:tcPr>
            <w:tcW w:w="3187" w:type="dxa"/>
          </w:tcPr>
          <w:p w14:paraId="7B2DDB18" w14:textId="77777777" w:rsidR="00F31CC2" w:rsidRPr="00184CBF" w:rsidRDefault="00F31CC2" w:rsidP="00EC1AD5">
            <w:pPr>
              <w:pStyle w:val="Odsekzoznamu"/>
              <w:spacing w:line="240" w:lineRule="auto"/>
              <w:ind w:left="360"/>
              <w:jc w:val="left"/>
              <w:rPr>
                <w:rStyle w:val="CEAGraphTitle"/>
                <w:color w:val="FF0000"/>
                <w:szCs w:val="17"/>
              </w:rPr>
            </w:pPr>
          </w:p>
        </w:tc>
        <w:tc>
          <w:tcPr>
            <w:tcW w:w="3683" w:type="dxa"/>
          </w:tcPr>
          <w:p w14:paraId="293B2E84" w14:textId="77777777" w:rsidR="00F31CC2" w:rsidRDefault="00F31CC2" w:rsidP="00EC1AD5">
            <w:pPr>
              <w:rPr>
                <w:rStyle w:val="CEAGraphTitle"/>
              </w:rPr>
            </w:pPr>
          </w:p>
        </w:tc>
      </w:tr>
    </w:tbl>
    <w:p w14:paraId="651380AC" w14:textId="74951A98" w:rsidR="00481B33" w:rsidRPr="00184CBF" w:rsidRDefault="00481B33" w:rsidP="00D658BF">
      <w:pPr>
        <w:ind w:left="-993"/>
        <w:rPr>
          <w:rStyle w:val="CEAGraphTitle"/>
        </w:rPr>
      </w:pPr>
    </w:p>
    <w:p w14:paraId="172A3215" w14:textId="48D002A8" w:rsidR="00D658BF" w:rsidRPr="00184CBF" w:rsidRDefault="00D658BF" w:rsidP="00D658BF">
      <w:pPr>
        <w:ind w:left="-993"/>
        <w:rPr>
          <w:rStyle w:val="CEAGraphTitle"/>
        </w:rPr>
      </w:pPr>
    </w:p>
    <w:p w14:paraId="650B2E18" w14:textId="483D441C" w:rsidR="003E2194" w:rsidRDefault="003E2194">
      <w:pPr>
        <w:spacing w:after="200" w:line="276" w:lineRule="auto"/>
        <w:jc w:val="left"/>
        <w:rPr>
          <w:rStyle w:val="CEAGraphTitle"/>
          <w:b/>
          <w:bCs/>
          <w:color w:val="7030A0"/>
          <w:u w:val="single"/>
        </w:rPr>
      </w:pPr>
    </w:p>
    <w:bookmarkEnd w:id="0"/>
    <w:p w14:paraId="2E68DFF1" w14:textId="0A78A5BC" w:rsidR="003E2194" w:rsidRPr="008C7BEE" w:rsidRDefault="003E2194" w:rsidP="00E808E2">
      <w:pPr>
        <w:rPr>
          <w:rStyle w:val="CEAGraphTitle"/>
          <w:b/>
          <w:color w:val="00B050"/>
          <w:u w:val="single"/>
        </w:rPr>
      </w:pPr>
    </w:p>
    <w:sectPr w:rsidR="003E2194" w:rsidRPr="008C7BEE" w:rsidSect="00481B33">
      <w:headerReference w:type="default" r:id="rId11"/>
      <w:footerReference w:type="default" r:id="rId12"/>
      <w:pgSz w:w="16839" w:h="11907" w:orient="landscape" w:code="9"/>
      <w:pgMar w:top="1418" w:right="2410" w:bottom="902"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62F0" w14:textId="77777777" w:rsidR="00C409D0" w:rsidRDefault="00C409D0">
      <w:pPr>
        <w:spacing w:line="240" w:lineRule="auto"/>
      </w:pPr>
      <w:r>
        <w:separator/>
      </w:r>
    </w:p>
  </w:endnote>
  <w:endnote w:type="continuationSeparator" w:id="0">
    <w:p w14:paraId="6CAE5FFC" w14:textId="77777777" w:rsidR="00C409D0" w:rsidRDefault="00C409D0">
      <w:pPr>
        <w:spacing w:line="240" w:lineRule="auto"/>
      </w:pPr>
      <w:r>
        <w:continuationSeparator/>
      </w:r>
    </w:p>
  </w:endnote>
  <w:endnote w:type="continuationNotice" w:id="1">
    <w:p w14:paraId="75EE98A2" w14:textId="77777777" w:rsidR="00C409D0" w:rsidRDefault="00C40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156440"/>
      <w:docPartObj>
        <w:docPartGallery w:val="Page Numbers (Bottom of Page)"/>
        <w:docPartUnique/>
      </w:docPartObj>
    </w:sdtPr>
    <w:sdtEndPr>
      <w:rPr>
        <w:noProof/>
      </w:rPr>
    </w:sdtEndPr>
    <w:sdtContent>
      <w:p w14:paraId="4663EBE6" w14:textId="5E986C1F" w:rsidR="00A03A48" w:rsidRDefault="00A03A48">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702D5924" w14:textId="7DBDD387" w:rsidR="009654A1" w:rsidRPr="00CD51F6" w:rsidRDefault="00431ACC" w:rsidP="00EF4577">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09831" w14:textId="77777777" w:rsidR="00C409D0" w:rsidRDefault="00C409D0">
      <w:pPr>
        <w:spacing w:line="240" w:lineRule="auto"/>
      </w:pPr>
      <w:r>
        <w:separator/>
      </w:r>
    </w:p>
  </w:footnote>
  <w:footnote w:type="continuationSeparator" w:id="0">
    <w:p w14:paraId="3A3C565A" w14:textId="77777777" w:rsidR="00C409D0" w:rsidRDefault="00C409D0">
      <w:pPr>
        <w:spacing w:line="240" w:lineRule="auto"/>
      </w:pPr>
      <w:r>
        <w:continuationSeparator/>
      </w:r>
    </w:p>
  </w:footnote>
  <w:footnote w:type="continuationNotice" w:id="1">
    <w:p w14:paraId="49267688" w14:textId="77777777" w:rsidR="00C409D0" w:rsidRDefault="00C409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5921" w14:textId="72E8D0CB" w:rsidR="009654A1" w:rsidRPr="00C866F0" w:rsidRDefault="007F1AC9" w:rsidP="000846C0">
    <w:pPr>
      <w:pStyle w:val="Noparagraphstyle"/>
      <w:jc w:val="right"/>
      <w:rPr>
        <w:rFonts w:ascii="Verdana" w:hAnsi="Verdana"/>
        <w:b/>
        <w:sz w:val="20"/>
        <w:szCs w:val="20"/>
      </w:rPr>
    </w:pPr>
    <w:r w:rsidRPr="00C866F0">
      <w:rPr>
        <w:rFonts w:ascii="Verdana" w:hAnsi="Verdana"/>
        <w:b/>
        <w:sz w:val="20"/>
        <w:szCs w:val="20"/>
      </w:rPr>
      <w:t xml:space="preserve">Long term equity </w:t>
    </w:r>
  </w:p>
  <w:p w14:paraId="236DC8BC" w14:textId="6921D0D8" w:rsidR="007F1AC9" w:rsidRPr="00C866F0" w:rsidRDefault="007F1AC9" w:rsidP="00A03A48">
    <w:pPr>
      <w:pStyle w:val="Noparagraphstyle"/>
      <w:jc w:val="right"/>
      <w:rPr>
        <w:rFonts w:ascii="Verdana" w:hAnsi="Verdana"/>
        <w:b/>
        <w:sz w:val="20"/>
        <w:szCs w:val="20"/>
      </w:rPr>
    </w:pPr>
    <w:r w:rsidRPr="00C866F0">
      <w:rPr>
        <w:rFonts w:ascii="Verdana" w:hAnsi="Verdana"/>
        <w:b/>
        <w:sz w:val="20"/>
        <w:szCs w:val="20"/>
      </w:rPr>
      <w:t>Comparison of criteria</w:t>
    </w:r>
    <w:r w:rsidR="00C866F0">
      <w:rPr>
        <w:rFonts w:ascii="Verdana" w:hAnsi="Verdana"/>
        <w:b/>
        <w:bCs/>
        <w:sz w:val="20"/>
        <w:szCs w:val="20"/>
      </w:rPr>
      <w:t xml:space="preserve"> </w:t>
    </w:r>
    <w:r w:rsidR="00E505BF">
      <w:rPr>
        <w:rFonts w:ascii="Verdana" w:hAnsi="Verdana"/>
        <w:b/>
        <w:bCs/>
        <w:sz w:val="20"/>
        <w:szCs w:val="20"/>
      </w:rPr>
      <w:t>currently under discussion</w:t>
    </w:r>
    <w:r w:rsidR="00C866F0" w:rsidRPr="00C866F0">
      <w:rPr>
        <w:rFonts w:ascii="Verdana" w:hAnsi="Verdana"/>
        <w:b/>
        <w:bCs/>
        <w:sz w:val="20"/>
        <w:szCs w:val="20"/>
      </w:rPr>
      <w:t xml:space="preserve"> </w:t>
    </w:r>
  </w:p>
  <w:p w14:paraId="702D5922" w14:textId="77777777" w:rsidR="009654A1" w:rsidRPr="00CD51F6" w:rsidRDefault="009176FF" w:rsidP="000846C0">
    <w:pPr>
      <w:pStyle w:val="Noparagraphstyle"/>
      <w:jc w:val="right"/>
      <w:rPr>
        <w:rFonts w:ascii="Arial" w:hAnsi="Arial" w:cs="Arial"/>
        <w:i/>
        <w:iCs/>
        <w:color w:val="034EA2"/>
      </w:rPr>
    </w:pPr>
    <w:r>
      <w:tab/>
    </w:r>
  </w:p>
  <w:p w14:paraId="702D5923" w14:textId="77777777" w:rsidR="009654A1" w:rsidRPr="007349E1" w:rsidRDefault="009176FF" w:rsidP="007349E1">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7216" behindDoc="0" locked="0" layoutInCell="1" allowOverlap="1" wp14:anchorId="702D5925" wp14:editId="702D5926">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ECF"/>
    <w:multiLevelType w:val="hybridMultilevel"/>
    <w:tmpl w:val="937210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A129F"/>
    <w:multiLevelType w:val="hybridMultilevel"/>
    <w:tmpl w:val="0A12AFFC"/>
    <w:lvl w:ilvl="0" w:tplc="94200AAE">
      <w:start w:val="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129C1E88"/>
    <w:multiLevelType w:val="hybridMultilevel"/>
    <w:tmpl w:val="AA46B0A0"/>
    <w:lvl w:ilvl="0" w:tplc="2A8A5B9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97EA6"/>
    <w:multiLevelType w:val="hybridMultilevel"/>
    <w:tmpl w:val="E7D6AF16"/>
    <w:lvl w:ilvl="0" w:tplc="C2D6442E">
      <w:start w:val="6"/>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C34E1"/>
    <w:multiLevelType w:val="hybridMultilevel"/>
    <w:tmpl w:val="AFBA12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B64A70"/>
    <w:multiLevelType w:val="hybridMultilevel"/>
    <w:tmpl w:val="8AF8CF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D643F"/>
    <w:multiLevelType w:val="hybridMultilevel"/>
    <w:tmpl w:val="2C062624"/>
    <w:lvl w:ilvl="0" w:tplc="0EDEDD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F2E73"/>
    <w:multiLevelType w:val="hybridMultilevel"/>
    <w:tmpl w:val="D8DCEFF0"/>
    <w:lvl w:ilvl="0" w:tplc="E382A1F6">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1C157D03"/>
    <w:multiLevelType w:val="multilevel"/>
    <w:tmpl w:val="E4F2D32C"/>
    <w:styleLink w:val="CurrentList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1F5164"/>
    <w:multiLevelType w:val="hybridMultilevel"/>
    <w:tmpl w:val="57884D58"/>
    <w:lvl w:ilvl="0" w:tplc="418AAA2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E6FE3"/>
    <w:multiLevelType w:val="hybridMultilevel"/>
    <w:tmpl w:val="77706C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67320"/>
    <w:multiLevelType w:val="hybridMultilevel"/>
    <w:tmpl w:val="4EE2AC86"/>
    <w:lvl w:ilvl="0" w:tplc="51A8FB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8473CB"/>
    <w:multiLevelType w:val="hybridMultilevel"/>
    <w:tmpl w:val="E4F2D32C"/>
    <w:lvl w:ilvl="0" w:tplc="78BC63F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21079"/>
    <w:multiLevelType w:val="hybridMultilevel"/>
    <w:tmpl w:val="465A7CEC"/>
    <w:lvl w:ilvl="0" w:tplc="A686CE2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1773C5"/>
    <w:multiLevelType w:val="hybridMultilevel"/>
    <w:tmpl w:val="7BEA5422"/>
    <w:lvl w:ilvl="0" w:tplc="D0E222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5B123A"/>
    <w:multiLevelType w:val="hybridMultilevel"/>
    <w:tmpl w:val="EC38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F194A"/>
    <w:multiLevelType w:val="hybridMultilevel"/>
    <w:tmpl w:val="CCE28808"/>
    <w:lvl w:ilvl="0" w:tplc="FC7CECC2">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60252B"/>
    <w:multiLevelType w:val="hybridMultilevel"/>
    <w:tmpl w:val="32A4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D16D2"/>
    <w:multiLevelType w:val="hybridMultilevel"/>
    <w:tmpl w:val="C2E2E0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A8426A"/>
    <w:multiLevelType w:val="hybridMultilevel"/>
    <w:tmpl w:val="217A899A"/>
    <w:lvl w:ilvl="0" w:tplc="682247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732292"/>
    <w:multiLevelType w:val="hybridMultilevel"/>
    <w:tmpl w:val="72C8F93A"/>
    <w:lvl w:ilvl="0" w:tplc="793EC1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7C1DC3"/>
    <w:multiLevelType w:val="hybridMultilevel"/>
    <w:tmpl w:val="D7046268"/>
    <w:lvl w:ilvl="0" w:tplc="3F006AB2">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4" w15:restartNumberingAfterBreak="0">
    <w:nsid w:val="468814B4"/>
    <w:multiLevelType w:val="hybridMultilevel"/>
    <w:tmpl w:val="86562D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9C760E"/>
    <w:multiLevelType w:val="hybridMultilevel"/>
    <w:tmpl w:val="D28E1BCE"/>
    <w:lvl w:ilvl="0" w:tplc="4A8893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718C1"/>
    <w:multiLevelType w:val="hybridMultilevel"/>
    <w:tmpl w:val="D7DE0D9A"/>
    <w:lvl w:ilvl="0" w:tplc="015EE79A">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7274A1"/>
    <w:multiLevelType w:val="hybridMultilevel"/>
    <w:tmpl w:val="18444CE2"/>
    <w:lvl w:ilvl="0" w:tplc="B51432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21308F"/>
    <w:multiLevelType w:val="hybridMultilevel"/>
    <w:tmpl w:val="15F6D1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3F0CA5"/>
    <w:multiLevelType w:val="hybridMultilevel"/>
    <w:tmpl w:val="452E7E82"/>
    <w:lvl w:ilvl="0" w:tplc="1AE4165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81331"/>
    <w:multiLevelType w:val="hybridMultilevel"/>
    <w:tmpl w:val="21C62182"/>
    <w:lvl w:ilvl="0" w:tplc="31889ECA">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6B0055"/>
    <w:multiLevelType w:val="hybridMultilevel"/>
    <w:tmpl w:val="A2BA2322"/>
    <w:lvl w:ilvl="0" w:tplc="13E816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278E5"/>
    <w:multiLevelType w:val="hybridMultilevel"/>
    <w:tmpl w:val="34620886"/>
    <w:lvl w:ilvl="0" w:tplc="A3D6D7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4F29E1"/>
    <w:multiLevelType w:val="hybridMultilevel"/>
    <w:tmpl w:val="CC5EAF1A"/>
    <w:lvl w:ilvl="0" w:tplc="0472E3C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336ECC"/>
    <w:multiLevelType w:val="hybridMultilevel"/>
    <w:tmpl w:val="CCE61396"/>
    <w:lvl w:ilvl="0" w:tplc="CB228390">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A606FB"/>
    <w:multiLevelType w:val="hybridMultilevel"/>
    <w:tmpl w:val="9892A340"/>
    <w:lvl w:ilvl="0" w:tplc="661CAB0C">
      <w:start w:val="6"/>
      <w:numFmt w:val="low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4B52E3"/>
    <w:multiLevelType w:val="hybridMultilevel"/>
    <w:tmpl w:val="38660D9E"/>
    <w:lvl w:ilvl="0" w:tplc="054EED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4A1156"/>
    <w:multiLevelType w:val="hybridMultilevel"/>
    <w:tmpl w:val="1EBEAD70"/>
    <w:lvl w:ilvl="0" w:tplc="6024A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61710">
    <w:abstractNumId w:val="34"/>
  </w:num>
  <w:num w:numId="2" w16cid:durableId="294453613">
    <w:abstractNumId w:val="2"/>
  </w:num>
  <w:num w:numId="3" w16cid:durableId="607157739">
    <w:abstractNumId w:val="23"/>
  </w:num>
  <w:num w:numId="4" w16cid:durableId="1863781744">
    <w:abstractNumId w:val="37"/>
  </w:num>
  <w:num w:numId="5" w16cid:durableId="1838184318">
    <w:abstractNumId w:val="15"/>
  </w:num>
  <w:num w:numId="6" w16cid:durableId="1578439335">
    <w:abstractNumId w:val="21"/>
  </w:num>
  <w:num w:numId="7" w16cid:durableId="947664396">
    <w:abstractNumId w:val="28"/>
  </w:num>
  <w:num w:numId="8" w16cid:durableId="34156746">
    <w:abstractNumId w:val="12"/>
  </w:num>
  <w:num w:numId="9" w16cid:durableId="692802333">
    <w:abstractNumId w:val="20"/>
  </w:num>
  <w:num w:numId="10" w16cid:durableId="789277260">
    <w:abstractNumId w:val="19"/>
  </w:num>
  <w:num w:numId="11" w16cid:durableId="250165255">
    <w:abstractNumId w:val="24"/>
  </w:num>
  <w:num w:numId="12" w16cid:durableId="928083031">
    <w:abstractNumId w:val="35"/>
  </w:num>
  <w:num w:numId="13" w16cid:durableId="451948848">
    <w:abstractNumId w:val="22"/>
  </w:num>
  <w:num w:numId="14" w16cid:durableId="1244608487">
    <w:abstractNumId w:val="26"/>
  </w:num>
  <w:num w:numId="15" w16cid:durableId="2088502103">
    <w:abstractNumId w:val="36"/>
  </w:num>
  <w:num w:numId="16" w16cid:durableId="920795857">
    <w:abstractNumId w:val="1"/>
  </w:num>
  <w:num w:numId="17" w16cid:durableId="1426003032">
    <w:abstractNumId w:val="25"/>
  </w:num>
  <w:num w:numId="18" w16cid:durableId="438912760">
    <w:abstractNumId w:val="38"/>
  </w:num>
  <w:num w:numId="19" w16cid:durableId="114451963">
    <w:abstractNumId w:val="4"/>
  </w:num>
  <w:num w:numId="20" w16cid:durableId="2081950150">
    <w:abstractNumId w:val="30"/>
  </w:num>
  <w:num w:numId="21" w16cid:durableId="678852610">
    <w:abstractNumId w:val="3"/>
  </w:num>
  <w:num w:numId="22" w16cid:durableId="585922715">
    <w:abstractNumId w:val="33"/>
  </w:num>
  <w:num w:numId="23" w16cid:durableId="1629898703">
    <w:abstractNumId w:val="13"/>
  </w:num>
  <w:num w:numId="24" w16cid:durableId="1656834636">
    <w:abstractNumId w:val="32"/>
  </w:num>
  <w:num w:numId="25" w16cid:durableId="1481341619">
    <w:abstractNumId w:val="8"/>
  </w:num>
  <w:num w:numId="26" w16cid:durableId="174150980">
    <w:abstractNumId w:val="7"/>
  </w:num>
  <w:num w:numId="27" w16cid:durableId="982927076">
    <w:abstractNumId w:val="31"/>
  </w:num>
  <w:num w:numId="28" w16cid:durableId="1480926777">
    <w:abstractNumId w:val="11"/>
  </w:num>
  <w:num w:numId="29" w16cid:durableId="267201646">
    <w:abstractNumId w:val="16"/>
  </w:num>
  <w:num w:numId="30" w16cid:durableId="897938927">
    <w:abstractNumId w:val="18"/>
  </w:num>
  <w:num w:numId="31" w16cid:durableId="1235815900">
    <w:abstractNumId w:val="27"/>
  </w:num>
  <w:num w:numId="32" w16cid:durableId="1733230945">
    <w:abstractNumId w:val="5"/>
  </w:num>
  <w:num w:numId="33" w16cid:durableId="864749185">
    <w:abstractNumId w:val="9"/>
  </w:num>
  <w:num w:numId="34" w16cid:durableId="1261719178">
    <w:abstractNumId w:val="14"/>
  </w:num>
  <w:num w:numId="35" w16cid:durableId="568737165">
    <w:abstractNumId w:val="10"/>
  </w:num>
  <w:num w:numId="36" w16cid:durableId="1317302754">
    <w:abstractNumId w:val="17"/>
  </w:num>
  <w:num w:numId="37" w16cid:durableId="1461142541">
    <w:abstractNumId w:val="6"/>
  </w:num>
  <w:num w:numId="38" w16cid:durableId="1906640870">
    <w:abstractNumId w:val="0"/>
  </w:num>
  <w:num w:numId="39" w16cid:durableId="280694541">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0413"/>
    <w:rsid w:val="0000431A"/>
    <w:rsid w:val="00004F9F"/>
    <w:rsid w:val="000115A2"/>
    <w:rsid w:val="00024AAD"/>
    <w:rsid w:val="00026DDA"/>
    <w:rsid w:val="000339F7"/>
    <w:rsid w:val="00037C4C"/>
    <w:rsid w:val="00044F92"/>
    <w:rsid w:val="0004582D"/>
    <w:rsid w:val="00064456"/>
    <w:rsid w:val="0007375C"/>
    <w:rsid w:val="000A32CF"/>
    <w:rsid w:val="000A7A61"/>
    <w:rsid w:val="000B30CC"/>
    <w:rsid w:val="000B3E9B"/>
    <w:rsid w:val="000B40E9"/>
    <w:rsid w:val="000C0295"/>
    <w:rsid w:val="000E3E04"/>
    <w:rsid w:val="000F56D8"/>
    <w:rsid w:val="00106F6E"/>
    <w:rsid w:val="001126A0"/>
    <w:rsid w:val="00134E15"/>
    <w:rsid w:val="00162C28"/>
    <w:rsid w:val="00184CBF"/>
    <w:rsid w:val="001918B9"/>
    <w:rsid w:val="00192098"/>
    <w:rsid w:val="00194B89"/>
    <w:rsid w:val="001A7AC4"/>
    <w:rsid w:val="001B475E"/>
    <w:rsid w:val="001B552F"/>
    <w:rsid w:val="001B6E21"/>
    <w:rsid w:val="001B74C6"/>
    <w:rsid w:val="001C15A4"/>
    <w:rsid w:val="001C2332"/>
    <w:rsid w:val="001C2342"/>
    <w:rsid w:val="001C41DA"/>
    <w:rsid w:val="001E0E85"/>
    <w:rsid w:val="001E5FD6"/>
    <w:rsid w:val="001F5A23"/>
    <w:rsid w:val="002100F7"/>
    <w:rsid w:val="00213E1C"/>
    <w:rsid w:val="00220D77"/>
    <w:rsid w:val="00224A55"/>
    <w:rsid w:val="002254B9"/>
    <w:rsid w:val="0023532C"/>
    <w:rsid w:val="00243F1E"/>
    <w:rsid w:val="002551B3"/>
    <w:rsid w:val="002629C7"/>
    <w:rsid w:val="00285883"/>
    <w:rsid w:val="00291BC9"/>
    <w:rsid w:val="002B64A0"/>
    <w:rsid w:val="002D44D6"/>
    <w:rsid w:val="002D750A"/>
    <w:rsid w:val="002E2EFB"/>
    <w:rsid w:val="002E4069"/>
    <w:rsid w:val="002F5F90"/>
    <w:rsid w:val="00300C61"/>
    <w:rsid w:val="00314CF8"/>
    <w:rsid w:val="003179EA"/>
    <w:rsid w:val="00323506"/>
    <w:rsid w:val="00327082"/>
    <w:rsid w:val="00344469"/>
    <w:rsid w:val="003636D2"/>
    <w:rsid w:val="0038025E"/>
    <w:rsid w:val="0038086A"/>
    <w:rsid w:val="00381D8B"/>
    <w:rsid w:val="00391554"/>
    <w:rsid w:val="003938F5"/>
    <w:rsid w:val="003B5C7A"/>
    <w:rsid w:val="003C25D0"/>
    <w:rsid w:val="003C3B4D"/>
    <w:rsid w:val="003C560C"/>
    <w:rsid w:val="003C7ECE"/>
    <w:rsid w:val="003E0A0C"/>
    <w:rsid w:val="003E2194"/>
    <w:rsid w:val="003E3167"/>
    <w:rsid w:val="003F0866"/>
    <w:rsid w:val="003F1EFB"/>
    <w:rsid w:val="004003B0"/>
    <w:rsid w:val="004060A5"/>
    <w:rsid w:val="004231D4"/>
    <w:rsid w:val="00431ACC"/>
    <w:rsid w:val="00435BD3"/>
    <w:rsid w:val="00436660"/>
    <w:rsid w:val="00440FEE"/>
    <w:rsid w:val="00441A66"/>
    <w:rsid w:val="004520DA"/>
    <w:rsid w:val="00454335"/>
    <w:rsid w:val="00467657"/>
    <w:rsid w:val="0047053C"/>
    <w:rsid w:val="00470C4F"/>
    <w:rsid w:val="00471523"/>
    <w:rsid w:val="00480D39"/>
    <w:rsid w:val="00481B33"/>
    <w:rsid w:val="0049025C"/>
    <w:rsid w:val="004907F0"/>
    <w:rsid w:val="004A42D6"/>
    <w:rsid w:val="004A733D"/>
    <w:rsid w:val="004B0535"/>
    <w:rsid w:val="004B366E"/>
    <w:rsid w:val="004B4648"/>
    <w:rsid w:val="004C5FA6"/>
    <w:rsid w:val="004D71F5"/>
    <w:rsid w:val="0050206D"/>
    <w:rsid w:val="005056DB"/>
    <w:rsid w:val="00505741"/>
    <w:rsid w:val="005059E6"/>
    <w:rsid w:val="00507782"/>
    <w:rsid w:val="0051559F"/>
    <w:rsid w:val="0052188F"/>
    <w:rsid w:val="00524DA0"/>
    <w:rsid w:val="005650C4"/>
    <w:rsid w:val="005704E4"/>
    <w:rsid w:val="00580031"/>
    <w:rsid w:val="00585862"/>
    <w:rsid w:val="005A5154"/>
    <w:rsid w:val="005A64D1"/>
    <w:rsid w:val="005A7734"/>
    <w:rsid w:val="005A7EB3"/>
    <w:rsid w:val="005B6956"/>
    <w:rsid w:val="005C3484"/>
    <w:rsid w:val="005D4D89"/>
    <w:rsid w:val="005E1530"/>
    <w:rsid w:val="005E6939"/>
    <w:rsid w:val="005F739A"/>
    <w:rsid w:val="00615B1A"/>
    <w:rsid w:val="006171F3"/>
    <w:rsid w:val="00644E79"/>
    <w:rsid w:val="00656E06"/>
    <w:rsid w:val="006864D4"/>
    <w:rsid w:val="00686BA9"/>
    <w:rsid w:val="006964CF"/>
    <w:rsid w:val="006A141D"/>
    <w:rsid w:val="006A59C4"/>
    <w:rsid w:val="006C40E8"/>
    <w:rsid w:val="006C51FA"/>
    <w:rsid w:val="006D3367"/>
    <w:rsid w:val="006D448B"/>
    <w:rsid w:val="006D51C5"/>
    <w:rsid w:val="006E4F81"/>
    <w:rsid w:val="006F515F"/>
    <w:rsid w:val="00705BD9"/>
    <w:rsid w:val="00711C44"/>
    <w:rsid w:val="00721FC3"/>
    <w:rsid w:val="00731806"/>
    <w:rsid w:val="007354A8"/>
    <w:rsid w:val="0074132D"/>
    <w:rsid w:val="00742705"/>
    <w:rsid w:val="00745B52"/>
    <w:rsid w:val="00752984"/>
    <w:rsid w:val="00764FD5"/>
    <w:rsid w:val="00767039"/>
    <w:rsid w:val="007771D7"/>
    <w:rsid w:val="00794849"/>
    <w:rsid w:val="007A07F0"/>
    <w:rsid w:val="007B13BB"/>
    <w:rsid w:val="007B6928"/>
    <w:rsid w:val="007D0D40"/>
    <w:rsid w:val="007D12C7"/>
    <w:rsid w:val="007D158C"/>
    <w:rsid w:val="007D7EAA"/>
    <w:rsid w:val="007E758F"/>
    <w:rsid w:val="007F1AC9"/>
    <w:rsid w:val="008018B3"/>
    <w:rsid w:val="008142D0"/>
    <w:rsid w:val="00851EC0"/>
    <w:rsid w:val="00856DBD"/>
    <w:rsid w:val="00861A48"/>
    <w:rsid w:val="00874EB4"/>
    <w:rsid w:val="00880E5D"/>
    <w:rsid w:val="008A7BC9"/>
    <w:rsid w:val="008C20EF"/>
    <w:rsid w:val="008C471B"/>
    <w:rsid w:val="008C7BEE"/>
    <w:rsid w:val="008D2C6A"/>
    <w:rsid w:val="008D594D"/>
    <w:rsid w:val="008D7158"/>
    <w:rsid w:val="008E09E5"/>
    <w:rsid w:val="008F4D5F"/>
    <w:rsid w:val="009022FB"/>
    <w:rsid w:val="00903E4A"/>
    <w:rsid w:val="0091121A"/>
    <w:rsid w:val="009176FF"/>
    <w:rsid w:val="00926318"/>
    <w:rsid w:val="00930851"/>
    <w:rsid w:val="009350CE"/>
    <w:rsid w:val="009379AD"/>
    <w:rsid w:val="009460E1"/>
    <w:rsid w:val="009508BC"/>
    <w:rsid w:val="00950B24"/>
    <w:rsid w:val="00960EF7"/>
    <w:rsid w:val="00962ADF"/>
    <w:rsid w:val="009757D2"/>
    <w:rsid w:val="00975B57"/>
    <w:rsid w:val="009803E5"/>
    <w:rsid w:val="009935D1"/>
    <w:rsid w:val="009A0C17"/>
    <w:rsid w:val="009A161C"/>
    <w:rsid w:val="009A4023"/>
    <w:rsid w:val="009B3236"/>
    <w:rsid w:val="009C0B4D"/>
    <w:rsid w:val="009C5890"/>
    <w:rsid w:val="009D52F5"/>
    <w:rsid w:val="009E6E02"/>
    <w:rsid w:val="009F2EAD"/>
    <w:rsid w:val="00A00275"/>
    <w:rsid w:val="00A03A48"/>
    <w:rsid w:val="00A04BA2"/>
    <w:rsid w:val="00A07CB7"/>
    <w:rsid w:val="00A17787"/>
    <w:rsid w:val="00A30F1C"/>
    <w:rsid w:val="00A3519F"/>
    <w:rsid w:val="00A37062"/>
    <w:rsid w:val="00A415BC"/>
    <w:rsid w:val="00A42901"/>
    <w:rsid w:val="00A556E4"/>
    <w:rsid w:val="00A55F1A"/>
    <w:rsid w:val="00A64734"/>
    <w:rsid w:val="00AB2C78"/>
    <w:rsid w:val="00AB4594"/>
    <w:rsid w:val="00AC3863"/>
    <w:rsid w:val="00AC3B3D"/>
    <w:rsid w:val="00AC4373"/>
    <w:rsid w:val="00AC59C6"/>
    <w:rsid w:val="00AD438C"/>
    <w:rsid w:val="00AE5517"/>
    <w:rsid w:val="00AE5988"/>
    <w:rsid w:val="00AF17C1"/>
    <w:rsid w:val="00AF2871"/>
    <w:rsid w:val="00B05B51"/>
    <w:rsid w:val="00B2546E"/>
    <w:rsid w:val="00B3544C"/>
    <w:rsid w:val="00B35B71"/>
    <w:rsid w:val="00B3749C"/>
    <w:rsid w:val="00B376A3"/>
    <w:rsid w:val="00B42874"/>
    <w:rsid w:val="00B42903"/>
    <w:rsid w:val="00B60FC7"/>
    <w:rsid w:val="00B661D8"/>
    <w:rsid w:val="00B749B3"/>
    <w:rsid w:val="00B75294"/>
    <w:rsid w:val="00B84125"/>
    <w:rsid w:val="00B912BB"/>
    <w:rsid w:val="00B92729"/>
    <w:rsid w:val="00B967EE"/>
    <w:rsid w:val="00BA33AB"/>
    <w:rsid w:val="00BB54E8"/>
    <w:rsid w:val="00BC3369"/>
    <w:rsid w:val="00BC41FA"/>
    <w:rsid w:val="00C00BFF"/>
    <w:rsid w:val="00C14B8C"/>
    <w:rsid w:val="00C16F88"/>
    <w:rsid w:val="00C20CF9"/>
    <w:rsid w:val="00C409D0"/>
    <w:rsid w:val="00C44877"/>
    <w:rsid w:val="00C57D40"/>
    <w:rsid w:val="00C602BB"/>
    <w:rsid w:val="00C7447E"/>
    <w:rsid w:val="00C819CE"/>
    <w:rsid w:val="00C866F0"/>
    <w:rsid w:val="00CA17B9"/>
    <w:rsid w:val="00CA4A18"/>
    <w:rsid w:val="00CB0B9C"/>
    <w:rsid w:val="00CC6049"/>
    <w:rsid w:val="00CD35C4"/>
    <w:rsid w:val="00CD7E71"/>
    <w:rsid w:val="00CF67C9"/>
    <w:rsid w:val="00D0359A"/>
    <w:rsid w:val="00D04A50"/>
    <w:rsid w:val="00D14FD7"/>
    <w:rsid w:val="00D22337"/>
    <w:rsid w:val="00D335E1"/>
    <w:rsid w:val="00D4742E"/>
    <w:rsid w:val="00D55AAD"/>
    <w:rsid w:val="00D61964"/>
    <w:rsid w:val="00D658BF"/>
    <w:rsid w:val="00D7786B"/>
    <w:rsid w:val="00D779C2"/>
    <w:rsid w:val="00D81CC8"/>
    <w:rsid w:val="00D85B0D"/>
    <w:rsid w:val="00D926AA"/>
    <w:rsid w:val="00DA074D"/>
    <w:rsid w:val="00DA4060"/>
    <w:rsid w:val="00DB1A6D"/>
    <w:rsid w:val="00DC2EEC"/>
    <w:rsid w:val="00DC72E6"/>
    <w:rsid w:val="00DD5796"/>
    <w:rsid w:val="00DE2F5E"/>
    <w:rsid w:val="00DF0CC1"/>
    <w:rsid w:val="00E11E3A"/>
    <w:rsid w:val="00E13ED3"/>
    <w:rsid w:val="00E1481C"/>
    <w:rsid w:val="00E268DA"/>
    <w:rsid w:val="00E33642"/>
    <w:rsid w:val="00E36575"/>
    <w:rsid w:val="00E44312"/>
    <w:rsid w:val="00E47C16"/>
    <w:rsid w:val="00E505BF"/>
    <w:rsid w:val="00E53DAE"/>
    <w:rsid w:val="00E56C1D"/>
    <w:rsid w:val="00E713E8"/>
    <w:rsid w:val="00E75760"/>
    <w:rsid w:val="00E808E2"/>
    <w:rsid w:val="00E83BF9"/>
    <w:rsid w:val="00E922B1"/>
    <w:rsid w:val="00E96B79"/>
    <w:rsid w:val="00EA1ACB"/>
    <w:rsid w:val="00EA3B0E"/>
    <w:rsid w:val="00EA4F03"/>
    <w:rsid w:val="00EA7208"/>
    <w:rsid w:val="00EB1F0B"/>
    <w:rsid w:val="00EB4067"/>
    <w:rsid w:val="00EC01D6"/>
    <w:rsid w:val="00EC1AD5"/>
    <w:rsid w:val="00EE1123"/>
    <w:rsid w:val="00EE1C1F"/>
    <w:rsid w:val="00EF5C5E"/>
    <w:rsid w:val="00F137C4"/>
    <w:rsid w:val="00F177F9"/>
    <w:rsid w:val="00F21F26"/>
    <w:rsid w:val="00F25FE6"/>
    <w:rsid w:val="00F31CC2"/>
    <w:rsid w:val="00F34848"/>
    <w:rsid w:val="00F36046"/>
    <w:rsid w:val="00F41262"/>
    <w:rsid w:val="00F47666"/>
    <w:rsid w:val="00F511DF"/>
    <w:rsid w:val="00F53289"/>
    <w:rsid w:val="00F544CB"/>
    <w:rsid w:val="00F6068B"/>
    <w:rsid w:val="00F6447F"/>
    <w:rsid w:val="00F75689"/>
    <w:rsid w:val="00F8705B"/>
    <w:rsid w:val="00F9262F"/>
    <w:rsid w:val="00FA0274"/>
    <w:rsid w:val="00FA3DAD"/>
    <w:rsid w:val="00FA4DAB"/>
    <w:rsid w:val="00FB51E4"/>
    <w:rsid w:val="00FD21FA"/>
    <w:rsid w:val="00FD23B6"/>
    <w:rsid w:val="00FE39F7"/>
    <w:rsid w:val="00FF1CFE"/>
    <w:rsid w:val="00FF6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591B"/>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7787"/>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rsid w:val="009176FF"/>
    <w:pPr>
      <w:tabs>
        <w:tab w:val="center" w:pos="4320"/>
        <w:tab w:val="right" w:pos="8640"/>
      </w:tabs>
    </w:pPr>
  </w:style>
  <w:style w:type="character" w:customStyle="1" w:styleId="PtaChar">
    <w:name w:val="Päta Char"/>
    <w:basedOn w:val="Predvolenpsmoodseku"/>
    <w:link w:val="Pta"/>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table" w:styleId="Mriekatabuky">
    <w:name w:val="Table Grid"/>
    <w:basedOn w:val="Normlnatabuka"/>
    <w:uiPriority w:val="59"/>
    <w:rsid w:val="004B4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0B30CC"/>
    <w:pPr>
      <w:ind w:left="720"/>
      <w:contextualSpacing/>
    </w:pPr>
  </w:style>
  <w:style w:type="numbering" w:customStyle="1" w:styleId="CurrentList1">
    <w:name w:val="Current List1"/>
    <w:uiPriority w:val="99"/>
    <w:rsid w:val="00F5328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05263-4147-415F-BCD2-2B4768F5EFF4}">
  <ds:schemaRefs>
    <ds:schemaRef ds:uri="http://schemas.openxmlformats.org/officeDocument/2006/bibliography"/>
  </ds:schemaRefs>
</ds:datastoreItem>
</file>

<file path=customXml/itemProps2.xml><?xml version="1.0" encoding="utf-8"?>
<ds:datastoreItem xmlns:ds="http://schemas.openxmlformats.org/officeDocument/2006/customXml" ds:itemID="{71D7A0EA-14CF-4487-AFCD-561CDD8E319F}">
  <ds:schemaRefs>
    <ds:schemaRef ds:uri="http://schemas.openxmlformats.org/package/2006/metadata/core-properties"/>
    <ds:schemaRef ds:uri="d352728d-c7aa-455d-bd83-40fe44122be8"/>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4.xml><?xml version="1.0" encoding="utf-8"?>
<ds:datastoreItem xmlns:ds="http://schemas.openxmlformats.org/officeDocument/2006/customXml" ds:itemID="{D7625BCC-314E-4449-9A07-2B5DB6CF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6624</Words>
  <Characters>37763</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Comparison on LTE criteria between EC, EP, IE</vt:lpstr>
    </vt:vector>
  </TitlesOfParts>
  <Company>Insurance Europe</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on LTE criteria between EC, EP, IE</dc:title>
  <dc:creator>Insurance Europe</dc:creator>
  <cp:lastModifiedBy>jozef.bachnicek</cp:lastModifiedBy>
  <cp:revision>2</cp:revision>
  <dcterms:created xsi:type="dcterms:W3CDTF">2022-08-12T07:19:00Z</dcterms:created>
  <dcterms:modified xsi:type="dcterms:W3CDTF">2022-08-12T07:19:00Z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