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697A" w14:textId="77777777" w:rsidR="00F764D1" w:rsidRPr="00F764D1" w:rsidRDefault="00F764D1" w:rsidP="00F764D1">
      <w:pPr>
        <w:rPr>
          <w:b/>
          <w:bCs/>
          <w:sz w:val="17"/>
          <w:szCs w:val="17"/>
        </w:rPr>
      </w:pPr>
      <w:r w:rsidRPr="00F764D1">
        <w:rPr>
          <w:b/>
          <w:bCs/>
          <w:sz w:val="17"/>
          <w:szCs w:val="17"/>
        </w:rPr>
        <w:t>Assessment of French Presidency draft compromise on Reporting and Disclosure and Quality of Supervision (assessment as compared to the EC proposals)</w:t>
      </w:r>
    </w:p>
    <w:p w14:paraId="771C19D3" w14:textId="77777777" w:rsidR="00F764D1" w:rsidRPr="00F764D1" w:rsidRDefault="00F764D1" w:rsidP="00F764D1">
      <w:pPr>
        <w:rPr>
          <w:b/>
          <w:bCs/>
          <w:sz w:val="17"/>
          <w:szCs w:val="17"/>
        </w:rPr>
      </w:pPr>
    </w:p>
    <w:p w14:paraId="0C17AFD0" w14:textId="77777777" w:rsidR="00F764D1" w:rsidRPr="00F764D1" w:rsidRDefault="00F764D1" w:rsidP="00F764D1">
      <w:pPr>
        <w:pStyle w:val="Odsekzoznamu"/>
        <w:numPr>
          <w:ilvl w:val="0"/>
          <w:numId w:val="4"/>
        </w:numPr>
        <w:spacing w:line="288" w:lineRule="auto"/>
        <w:jc w:val="both"/>
        <w:rPr>
          <w:rFonts w:ascii="Verdana" w:eastAsia="Times New Roman" w:hAnsi="Verdana"/>
          <w:b/>
          <w:bCs/>
          <w:sz w:val="17"/>
          <w:szCs w:val="17"/>
          <w:lang w:val="en-GB"/>
        </w:rPr>
      </w:pPr>
      <w:r w:rsidRPr="00F764D1">
        <w:rPr>
          <w:rFonts w:ascii="Verdana" w:eastAsia="Times New Roman" w:hAnsi="Verdana"/>
          <w:b/>
          <w:bCs/>
          <w:sz w:val="17"/>
          <w:szCs w:val="17"/>
          <w:lang w:val="en-GB"/>
        </w:rPr>
        <w:t xml:space="preserve">Reporting and disclosure </w:t>
      </w:r>
    </w:p>
    <w:p w14:paraId="03C0714B" w14:textId="77777777" w:rsidR="00F764D1" w:rsidRPr="00F764D1" w:rsidRDefault="00F764D1" w:rsidP="00F764D1">
      <w:pPr>
        <w:rPr>
          <w:rFonts w:eastAsiaTheme="minorHAnsi"/>
          <w:sz w:val="17"/>
          <w:szCs w:val="17"/>
        </w:rPr>
      </w:pPr>
    </w:p>
    <w:p w14:paraId="08C6FC9A" w14:textId="77777777" w:rsidR="00F764D1" w:rsidRPr="00F764D1" w:rsidRDefault="00F764D1" w:rsidP="00F764D1">
      <w:pPr>
        <w:rPr>
          <w:sz w:val="17"/>
          <w:szCs w:val="17"/>
        </w:rPr>
      </w:pPr>
      <w:r w:rsidRPr="00F764D1">
        <w:rPr>
          <w:sz w:val="17"/>
          <w:szCs w:val="17"/>
        </w:rPr>
        <w:t xml:space="preserve">Overall, the compromise is very much in line with the Slovenian Presidency Compromise. Main points below. </w:t>
      </w:r>
    </w:p>
    <w:p w14:paraId="54D555D1" w14:textId="77777777" w:rsidR="00F764D1" w:rsidRPr="00F764D1" w:rsidRDefault="00F764D1" w:rsidP="00F764D1">
      <w:pPr>
        <w:rPr>
          <w:sz w:val="17"/>
          <w:szCs w:val="17"/>
        </w:rPr>
      </w:pPr>
    </w:p>
    <w:p w14:paraId="174A23C5" w14:textId="77777777" w:rsidR="00F764D1" w:rsidRPr="00F764D1" w:rsidRDefault="00F764D1" w:rsidP="00F764D1">
      <w:pPr>
        <w:rPr>
          <w:sz w:val="17"/>
          <w:szCs w:val="17"/>
        </w:rPr>
      </w:pPr>
    </w:p>
    <w:p w14:paraId="124B052D" w14:textId="77777777" w:rsidR="00F764D1" w:rsidRPr="00F764D1" w:rsidRDefault="00F764D1" w:rsidP="00F764D1">
      <w:pPr>
        <w:rPr>
          <w:sz w:val="17"/>
          <w:szCs w:val="17"/>
        </w:rPr>
      </w:pPr>
      <w:r w:rsidRPr="00F764D1">
        <w:rPr>
          <w:sz w:val="17"/>
          <w:szCs w:val="17"/>
        </w:rPr>
        <w:t>External audit requirement (</w:t>
      </w:r>
      <w:r w:rsidRPr="00F764D1">
        <w:rPr>
          <w:color w:val="FF0000"/>
          <w:sz w:val="17"/>
          <w:szCs w:val="17"/>
        </w:rPr>
        <w:t>negative</w:t>
      </w:r>
      <w:r w:rsidRPr="00F764D1">
        <w:rPr>
          <w:sz w:val="17"/>
          <w:szCs w:val="17"/>
        </w:rPr>
        <w:t xml:space="preserve">): </w:t>
      </w:r>
    </w:p>
    <w:p w14:paraId="63124332" w14:textId="77777777" w:rsidR="00F764D1" w:rsidRPr="00F764D1" w:rsidRDefault="00F764D1" w:rsidP="00F764D1">
      <w:pPr>
        <w:pStyle w:val="Odsekzoznamu"/>
        <w:numPr>
          <w:ilvl w:val="0"/>
          <w:numId w:val="5"/>
        </w:numPr>
        <w:spacing w:line="288" w:lineRule="auto"/>
        <w:jc w:val="both"/>
        <w:rPr>
          <w:rFonts w:ascii="Verdana" w:eastAsia="Times New Roman" w:hAnsi="Verdana"/>
          <w:sz w:val="17"/>
          <w:szCs w:val="17"/>
          <w:lang w:val="en-GB"/>
        </w:rPr>
      </w:pPr>
      <w:r w:rsidRPr="00F764D1">
        <w:rPr>
          <w:rFonts w:ascii="Verdana" w:eastAsia="Times New Roman" w:hAnsi="Verdana"/>
          <w:sz w:val="17"/>
          <w:szCs w:val="17"/>
          <w:lang w:val="en-GB"/>
        </w:rPr>
        <w:t xml:space="preserve">MS can extend to LRPU/captives </w:t>
      </w:r>
    </w:p>
    <w:p w14:paraId="4EA8C9AD" w14:textId="77777777" w:rsidR="00F764D1" w:rsidRPr="00F764D1" w:rsidRDefault="00F764D1" w:rsidP="00F764D1">
      <w:pPr>
        <w:pStyle w:val="Odsekzoznamu"/>
        <w:numPr>
          <w:ilvl w:val="0"/>
          <w:numId w:val="5"/>
        </w:numPr>
        <w:spacing w:line="288" w:lineRule="auto"/>
        <w:jc w:val="both"/>
        <w:rPr>
          <w:rFonts w:ascii="Verdana" w:eastAsia="Times New Roman" w:hAnsi="Verdana"/>
          <w:sz w:val="17"/>
          <w:szCs w:val="17"/>
          <w:lang w:val="en-GB"/>
        </w:rPr>
      </w:pPr>
      <w:r w:rsidRPr="00F764D1">
        <w:rPr>
          <w:rFonts w:ascii="Verdana" w:eastAsia="Times New Roman" w:hAnsi="Verdana"/>
          <w:sz w:val="17"/>
          <w:szCs w:val="17"/>
          <w:lang w:val="en-GB"/>
        </w:rPr>
        <w:t>MS can extend the scope further beyond the balance sheet disclosed as part of the SFCR (recital 30)</w:t>
      </w:r>
    </w:p>
    <w:p w14:paraId="3C4DDCFF" w14:textId="77777777" w:rsidR="00F764D1" w:rsidRPr="00F764D1" w:rsidRDefault="00F764D1" w:rsidP="00F764D1">
      <w:pPr>
        <w:rPr>
          <w:rFonts w:eastAsiaTheme="minorHAnsi"/>
          <w:sz w:val="17"/>
          <w:szCs w:val="17"/>
        </w:rPr>
      </w:pPr>
    </w:p>
    <w:p w14:paraId="1223F2BD" w14:textId="77777777" w:rsidR="00F764D1" w:rsidRPr="00F764D1" w:rsidRDefault="00F764D1" w:rsidP="00F764D1">
      <w:pPr>
        <w:rPr>
          <w:sz w:val="17"/>
          <w:szCs w:val="17"/>
        </w:rPr>
      </w:pPr>
      <w:r w:rsidRPr="00F764D1">
        <w:rPr>
          <w:sz w:val="17"/>
          <w:szCs w:val="17"/>
        </w:rPr>
        <w:t>Change of deadlines in exceptional circumstances (</w:t>
      </w:r>
      <w:r w:rsidRPr="00F764D1">
        <w:rPr>
          <w:color w:val="FFC000"/>
          <w:sz w:val="17"/>
          <w:szCs w:val="17"/>
        </w:rPr>
        <w:t>neutral</w:t>
      </w:r>
      <w:r w:rsidRPr="00F764D1">
        <w:rPr>
          <w:sz w:val="17"/>
          <w:szCs w:val="17"/>
        </w:rPr>
        <w:t>)</w:t>
      </w:r>
    </w:p>
    <w:p w14:paraId="0823F6CF" w14:textId="77777777" w:rsidR="00F764D1" w:rsidRPr="00F764D1" w:rsidRDefault="00F764D1" w:rsidP="00F764D1">
      <w:pPr>
        <w:pStyle w:val="Odsekzoznamu"/>
        <w:numPr>
          <w:ilvl w:val="0"/>
          <w:numId w:val="6"/>
        </w:numPr>
        <w:spacing w:line="288" w:lineRule="auto"/>
        <w:jc w:val="both"/>
        <w:rPr>
          <w:rFonts w:ascii="Verdana" w:eastAsia="Times New Roman" w:hAnsi="Verdana"/>
          <w:sz w:val="17"/>
          <w:szCs w:val="17"/>
          <w:lang w:val="en-GB"/>
        </w:rPr>
      </w:pPr>
      <w:r w:rsidRPr="00F764D1">
        <w:rPr>
          <w:rFonts w:ascii="Verdana" w:eastAsia="Times New Roman" w:hAnsi="Verdana"/>
          <w:sz w:val="17"/>
          <w:szCs w:val="17"/>
          <w:lang w:val="en-GB"/>
        </w:rPr>
        <w:t xml:space="preserve">not EC but </w:t>
      </w:r>
      <w:r w:rsidRPr="00F764D1">
        <w:rPr>
          <w:rFonts w:ascii="Verdana" w:eastAsia="Times New Roman" w:hAnsi="Verdana"/>
          <w:b/>
          <w:bCs/>
          <w:sz w:val="17"/>
          <w:szCs w:val="17"/>
          <w:lang w:val="en-GB"/>
        </w:rPr>
        <w:t>NSAs will be empowered to extend deadlines</w:t>
      </w:r>
      <w:r w:rsidRPr="00F764D1">
        <w:rPr>
          <w:rFonts w:ascii="Verdana" w:eastAsia="Times New Roman" w:hAnsi="Verdana"/>
          <w:sz w:val="17"/>
          <w:szCs w:val="17"/>
          <w:lang w:val="en-GB"/>
        </w:rPr>
        <w:t xml:space="preserve">, after </w:t>
      </w:r>
      <w:r w:rsidRPr="00F764D1">
        <w:rPr>
          <w:rFonts w:ascii="Verdana" w:eastAsia="Times New Roman" w:hAnsi="Verdana"/>
          <w:b/>
          <w:bCs/>
          <w:sz w:val="17"/>
          <w:szCs w:val="17"/>
          <w:lang w:val="en-GB"/>
        </w:rPr>
        <w:t>EIOPA declares</w:t>
      </w:r>
      <w:r w:rsidRPr="00F764D1">
        <w:rPr>
          <w:rFonts w:ascii="Verdana" w:eastAsia="Times New Roman" w:hAnsi="Verdana"/>
          <w:sz w:val="17"/>
          <w:szCs w:val="17"/>
          <w:lang w:val="en-GB"/>
        </w:rPr>
        <w:t xml:space="preserve"> an operations-disrupting event (</w:t>
      </w:r>
      <w:r w:rsidRPr="00F764D1">
        <w:rPr>
          <w:rFonts w:ascii="Verdana" w:eastAsia="Times New Roman" w:hAnsi="Verdana"/>
          <w:b/>
          <w:bCs/>
          <w:sz w:val="17"/>
          <w:szCs w:val="17"/>
          <w:lang w:val="en-GB"/>
        </w:rPr>
        <w:t>extraordinary circumstances</w:t>
      </w:r>
      <w:r w:rsidRPr="00F764D1">
        <w:rPr>
          <w:rFonts w:ascii="Verdana" w:eastAsia="Times New Roman" w:hAnsi="Verdana"/>
          <w:sz w:val="17"/>
          <w:szCs w:val="17"/>
          <w:lang w:val="en-GB"/>
        </w:rPr>
        <w:t>) (new para in Art 35b (4)/recital 19)</w:t>
      </w:r>
    </w:p>
    <w:p w14:paraId="66C014E0" w14:textId="77777777" w:rsidR="00F764D1" w:rsidRPr="00F764D1" w:rsidRDefault="00F764D1" w:rsidP="00F764D1">
      <w:pPr>
        <w:rPr>
          <w:rFonts w:eastAsiaTheme="minorHAnsi"/>
          <w:sz w:val="17"/>
          <w:szCs w:val="17"/>
        </w:rPr>
      </w:pPr>
    </w:p>
    <w:p w14:paraId="71EDBF9F" w14:textId="77777777" w:rsidR="00F764D1" w:rsidRPr="00F764D1" w:rsidRDefault="00F764D1" w:rsidP="00F764D1">
      <w:pPr>
        <w:rPr>
          <w:sz w:val="17"/>
          <w:szCs w:val="17"/>
        </w:rPr>
      </w:pPr>
      <w:r w:rsidRPr="00F764D1">
        <w:rPr>
          <w:sz w:val="17"/>
          <w:szCs w:val="17"/>
        </w:rPr>
        <w:t>Standard formula requirement for internal model companies</w:t>
      </w:r>
    </w:p>
    <w:p w14:paraId="48DD2654" w14:textId="77777777" w:rsidR="00F764D1" w:rsidRPr="00F764D1" w:rsidRDefault="00F764D1" w:rsidP="00F764D1">
      <w:pPr>
        <w:pStyle w:val="Odsekzoznamu"/>
        <w:numPr>
          <w:ilvl w:val="0"/>
          <w:numId w:val="7"/>
        </w:numPr>
        <w:spacing w:line="288" w:lineRule="auto"/>
        <w:jc w:val="both"/>
        <w:rPr>
          <w:rFonts w:ascii="Verdana" w:eastAsia="Times New Roman" w:hAnsi="Verdana"/>
          <w:sz w:val="17"/>
          <w:szCs w:val="17"/>
          <w:lang w:val="en-GB"/>
        </w:rPr>
      </w:pPr>
      <w:r w:rsidRPr="00F764D1">
        <w:rPr>
          <w:rFonts w:ascii="Verdana" w:eastAsia="Times New Roman" w:hAnsi="Verdana"/>
          <w:sz w:val="17"/>
          <w:szCs w:val="17"/>
          <w:lang w:val="en-GB"/>
        </w:rPr>
        <w:t>The requirement for IM companies to report SF numbers remains (</w:t>
      </w:r>
      <w:r w:rsidRPr="00F764D1">
        <w:rPr>
          <w:rFonts w:ascii="Verdana" w:eastAsia="Times New Roman" w:hAnsi="Verdana"/>
          <w:color w:val="FF0000"/>
          <w:sz w:val="17"/>
          <w:szCs w:val="17"/>
          <w:lang w:val="en-GB"/>
        </w:rPr>
        <w:t>negative</w:t>
      </w:r>
      <w:r w:rsidRPr="00F764D1">
        <w:rPr>
          <w:rFonts w:ascii="Verdana" w:eastAsia="Times New Roman" w:hAnsi="Verdana"/>
          <w:sz w:val="17"/>
          <w:szCs w:val="17"/>
          <w:lang w:val="en-GB"/>
        </w:rPr>
        <w:t>)</w:t>
      </w:r>
    </w:p>
    <w:p w14:paraId="6714502F" w14:textId="77777777" w:rsidR="00F764D1" w:rsidRPr="00F764D1" w:rsidRDefault="00F764D1" w:rsidP="00F764D1">
      <w:pPr>
        <w:pStyle w:val="Odsekzoznamu"/>
        <w:numPr>
          <w:ilvl w:val="0"/>
          <w:numId w:val="7"/>
        </w:numPr>
        <w:spacing w:line="288" w:lineRule="auto"/>
        <w:jc w:val="both"/>
        <w:rPr>
          <w:rFonts w:ascii="Verdana" w:eastAsia="Times New Roman" w:hAnsi="Verdana"/>
          <w:sz w:val="17"/>
          <w:szCs w:val="17"/>
          <w:lang w:val="en-GB"/>
        </w:rPr>
      </w:pPr>
      <w:r w:rsidRPr="00F764D1">
        <w:rPr>
          <w:rFonts w:ascii="Verdana" w:eastAsia="Times New Roman" w:hAnsi="Verdana"/>
          <w:sz w:val="17"/>
          <w:szCs w:val="17"/>
          <w:lang w:val="en-GB"/>
        </w:rPr>
        <w:t>Annual calculation of the solvency capital requirement in accordance with the standard formula capital requirements (recital 44) (</w:t>
      </w:r>
      <w:r w:rsidRPr="00F764D1">
        <w:rPr>
          <w:rFonts w:ascii="Verdana" w:eastAsia="Times New Roman" w:hAnsi="Verdana"/>
          <w:color w:val="00B050"/>
          <w:sz w:val="17"/>
          <w:szCs w:val="17"/>
          <w:lang w:val="en-GB"/>
        </w:rPr>
        <w:t>positive</w:t>
      </w:r>
      <w:r w:rsidRPr="00F764D1">
        <w:rPr>
          <w:rFonts w:ascii="Verdana" w:eastAsia="Times New Roman" w:hAnsi="Verdana"/>
          <w:sz w:val="17"/>
          <w:szCs w:val="17"/>
          <w:lang w:val="en-GB"/>
        </w:rPr>
        <w:t>)</w:t>
      </w:r>
    </w:p>
    <w:p w14:paraId="11551BF4" w14:textId="77777777" w:rsidR="00F764D1" w:rsidRPr="00F764D1" w:rsidRDefault="00F764D1" w:rsidP="00F764D1">
      <w:pPr>
        <w:rPr>
          <w:rFonts w:eastAsiaTheme="minorHAnsi"/>
          <w:sz w:val="17"/>
          <w:szCs w:val="17"/>
        </w:rPr>
      </w:pPr>
    </w:p>
    <w:p w14:paraId="091E234E" w14:textId="77777777" w:rsidR="00F764D1" w:rsidRPr="00F764D1" w:rsidRDefault="00F764D1" w:rsidP="00F764D1">
      <w:pPr>
        <w:rPr>
          <w:sz w:val="17"/>
          <w:szCs w:val="17"/>
        </w:rPr>
      </w:pPr>
      <w:r w:rsidRPr="00F764D1">
        <w:rPr>
          <w:sz w:val="17"/>
          <w:szCs w:val="17"/>
        </w:rPr>
        <w:t>Delete the capacity of exemption on an item-by-item basis (</w:t>
      </w:r>
      <w:r w:rsidRPr="00F764D1">
        <w:rPr>
          <w:color w:val="00B050"/>
          <w:sz w:val="17"/>
          <w:szCs w:val="17"/>
        </w:rPr>
        <w:t>positive</w:t>
      </w:r>
      <w:r w:rsidRPr="00F764D1">
        <w:rPr>
          <w:sz w:val="17"/>
          <w:szCs w:val="17"/>
        </w:rPr>
        <w:t>)</w:t>
      </w:r>
    </w:p>
    <w:p w14:paraId="643D1BA2" w14:textId="77777777" w:rsidR="00F764D1" w:rsidRPr="00F764D1" w:rsidRDefault="00F764D1" w:rsidP="00F764D1">
      <w:pPr>
        <w:pStyle w:val="Odsekzoznamu"/>
        <w:numPr>
          <w:ilvl w:val="0"/>
          <w:numId w:val="7"/>
        </w:numPr>
        <w:spacing w:line="288" w:lineRule="auto"/>
        <w:jc w:val="both"/>
        <w:rPr>
          <w:rFonts w:ascii="Verdana" w:eastAsia="Times New Roman" w:hAnsi="Verdana"/>
          <w:sz w:val="17"/>
          <w:szCs w:val="17"/>
          <w:lang w:val="en-GB"/>
        </w:rPr>
      </w:pPr>
      <w:r w:rsidRPr="00F764D1">
        <w:rPr>
          <w:rFonts w:ascii="Verdana" w:eastAsia="Times New Roman" w:hAnsi="Verdana"/>
          <w:sz w:val="17"/>
          <w:szCs w:val="17"/>
          <w:lang w:val="en-GB"/>
        </w:rPr>
        <w:t>The following text is removed from Article 35a (2)</w:t>
      </w:r>
    </w:p>
    <w:p w14:paraId="175A0DD1" w14:textId="77777777" w:rsidR="00F764D1" w:rsidRPr="00F764D1" w:rsidRDefault="00F764D1" w:rsidP="00F764D1">
      <w:pPr>
        <w:pStyle w:val="Odsekzoznamu"/>
        <w:spacing w:line="288" w:lineRule="auto"/>
        <w:jc w:val="both"/>
        <w:rPr>
          <w:rFonts w:ascii="Verdana" w:hAnsi="Verdana"/>
          <w:i/>
          <w:iCs/>
          <w:strike/>
          <w:sz w:val="17"/>
          <w:szCs w:val="17"/>
          <w:lang w:val="en-GB"/>
        </w:rPr>
      </w:pPr>
      <w:r w:rsidRPr="00F764D1">
        <w:rPr>
          <w:rFonts w:ascii="Verdana" w:hAnsi="Verdana"/>
          <w:b/>
          <w:bCs/>
          <w:i/>
          <w:iCs/>
          <w:strike/>
          <w:sz w:val="17"/>
          <w:szCs w:val="17"/>
        </w:rPr>
        <w:t>Supervisory authorities shall not exempt from reporting, on an item-by-item basis, insurance or reinsurance undertakings that are part of a group within the meaning of Article 212(1), point (c), unless the undertaking can demonstrate to the satisfaction of the supervisory authority that reporting on an item-by-item basis is inappropriate, given the nature, scale and complexity of the risks inherent in the business of the group and taking into account the objective of financial stability.</w:t>
      </w:r>
    </w:p>
    <w:p w14:paraId="74D0B6FB" w14:textId="77777777" w:rsidR="00F764D1" w:rsidRPr="00F764D1" w:rsidRDefault="00F764D1" w:rsidP="00F764D1">
      <w:pPr>
        <w:rPr>
          <w:strike/>
          <w:sz w:val="17"/>
          <w:szCs w:val="17"/>
        </w:rPr>
      </w:pPr>
    </w:p>
    <w:p w14:paraId="0608B3E6" w14:textId="77777777" w:rsidR="00F764D1" w:rsidRPr="00F764D1" w:rsidRDefault="00F764D1" w:rsidP="00F764D1">
      <w:pPr>
        <w:pStyle w:val="Odsekzoznamu"/>
        <w:spacing w:line="288" w:lineRule="auto"/>
        <w:jc w:val="both"/>
        <w:rPr>
          <w:rFonts w:ascii="Verdana" w:hAnsi="Verdana"/>
          <w:b/>
          <w:bCs/>
          <w:sz w:val="17"/>
          <w:szCs w:val="17"/>
        </w:rPr>
      </w:pPr>
    </w:p>
    <w:p w14:paraId="16EA23A6" w14:textId="5F737D90" w:rsidR="00F764D1" w:rsidRDefault="00F764D1">
      <w:pPr>
        <w:spacing w:after="200" w:line="276" w:lineRule="auto"/>
        <w:jc w:val="left"/>
        <w:rPr>
          <w:strike/>
          <w:sz w:val="17"/>
          <w:szCs w:val="17"/>
        </w:rPr>
      </w:pPr>
      <w:r>
        <w:rPr>
          <w:strike/>
          <w:sz w:val="17"/>
          <w:szCs w:val="17"/>
        </w:rPr>
        <w:br w:type="page"/>
      </w:r>
    </w:p>
    <w:p w14:paraId="6CA4EE9A" w14:textId="77777777" w:rsidR="00F764D1" w:rsidRPr="00F764D1" w:rsidRDefault="00F764D1" w:rsidP="00F764D1">
      <w:pPr>
        <w:rPr>
          <w:strike/>
          <w:sz w:val="17"/>
          <w:szCs w:val="17"/>
        </w:rPr>
      </w:pPr>
    </w:p>
    <w:p w14:paraId="2F664769" w14:textId="77777777" w:rsidR="00F764D1" w:rsidRPr="00F764D1" w:rsidRDefault="00F764D1" w:rsidP="00F764D1">
      <w:pPr>
        <w:pStyle w:val="Odsekzoznamu"/>
        <w:numPr>
          <w:ilvl w:val="0"/>
          <w:numId w:val="4"/>
        </w:numPr>
        <w:spacing w:line="288" w:lineRule="auto"/>
        <w:jc w:val="both"/>
        <w:rPr>
          <w:rFonts w:ascii="Verdana" w:eastAsia="Times New Roman" w:hAnsi="Verdana"/>
          <w:b/>
          <w:bCs/>
          <w:sz w:val="17"/>
          <w:szCs w:val="17"/>
          <w:lang w:val="en-GB"/>
        </w:rPr>
      </w:pPr>
      <w:r w:rsidRPr="00F764D1">
        <w:rPr>
          <w:rFonts w:ascii="Verdana" w:eastAsia="Times New Roman" w:hAnsi="Verdana"/>
          <w:b/>
          <w:bCs/>
          <w:sz w:val="17"/>
          <w:szCs w:val="17"/>
          <w:lang w:val="en-GB"/>
        </w:rPr>
        <w:t xml:space="preserve">Quality of supervision </w:t>
      </w:r>
    </w:p>
    <w:p w14:paraId="01CE5227" w14:textId="77777777" w:rsidR="00F764D1" w:rsidRPr="00F764D1" w:rsidRDefault="00F764D1" w:rsidP="00F764D1">
      <w:pPr>
        <w:rPr>
          <w:rFonts w:eastAsiaTheme="minorHAnsi"/>
          <w:strike/>
          <w:sz w:val="17"/>
          <w:szCs w:val="17"/>
        </w:rPr>
      </w:pPr>
    </w:p>
    <w:p w14:paraId="63324ED3" w14:textId="77777777" w:rsidR="00F764D1" w:rsidRPr="00F764D1" w:rsidRDefault="00F764D1" w:rsidP="00F764D1">
      <w:pPr>
        <w:autoSpaceDE w:val="0"/>
        <w:autoSpaceDN w:val="0"/>
        <w:rPr>
          <w:color w:val="000000"/>
          <w:sz w:val="17"/>
          <w:szCs w:val="17"/>
        </w:rPr>
      </w:pPr>
      <w:r w:rsidRPr="00F764D1">
        <w:rPr>
          <w:color w:val="000000"/>
          <w:sz w:val="17"/>
          <w:szCs w:val="17"/>
        </w:rPr>
        <w:t xml:space="preserve">Inclusion of the principle of proportionality for submission of information to Member States. </w:t>
      </w:r>
      <w:r w:rsidRPr="00F764D1">
        <w:rPr>
          <w:sz w:val="17"/>
          <w:szCs w:val="17"/>
        </w:rPr>
        <w:t>(</w:t>
      </w:r>
      <w:r w:rsidRPr="00F764D1">
        <w:rPr>
          <w:color w:val="00B050"/>
          <w:sz w:val="17"/>
          <w:szCs w:val="17"/>
        </w:rPr>
        <w:t>positive</w:t>
      </w:r>
      <w:r w:rsidRPr="00F764D1">
        <w:rPr>
          <w:sz w:val="17"/>
          <w:szCs w:val="17"/>
        </w:rPr>
        <w:t>)</w:t>
      </w:r>
    </w:p>
    <w:p w14:paraId="1C06D863" w14:textId="77777777" w:rsidR="00F764D1" w:rsidRPr="00F764D1" w:rsidRDefault="00F764D1" w:rsidP="00F764D1">
      <w:pPr>
        <w:pStyle w:val="Odsekzoznamu"/>
        <w:numPr>
          <w:ilvl w:val="0"/>
          <w:numId w:val="7"/>
        </w:numPr>
        <w:spacing w:line="288" w:lineRule="auto"/>
        <w:jc w:val="both"/>
        <w:rPr>
          <w:rFonts w:ascii="Verdana" w:eastAsia="Times New Roman" w:hAnsi="Verdana"/>
          <w:sz w:val="17"/>
          <w:szCs w:val="17"/>
        </w:rPr>
      </w:pPr>
      <w:r w:rsidRPr="00F764D1">
        <w:rPr>
          <w:rFonts w:ascii="Verdana" w:eastAsia="Times New Roman" w:hAnsi="Verdana"/>
          <w:sz w:val="17"/>
          <w:szCs w:val="17"/>
          <w:lang w:val="en-GB"/>
        </w:rPr>
        <w:t>There is an explicit reference added to the principle of proportionality in Art 35(1)</w:t>
      </w:r>
    </w:p>
    <w:p w14:paraId="4DA80F60" w14:textId="77777777" w:rsidR="00F764D1" w:rsidRPr="00F764D1" w:rsidRDefault="00F764D1" w:rsidP="00F764D1">
      <w:pPr>
        <w:pStyle w:val="Odsekzoznamu"/>
        <w:spacing w:line="288" w:lineRule="auto"/>
        <w:jc w:val="both"/>
        <w:rPr>
          <w:rFonts w:ascii="Verdana" w:hAnsi="Verdana"/>
          <w:sz w:val="17"/>
          <w:szCs w:val="17"/>
          <w:highlight w:val="yellow"/>
        </w:rPr>
      </w:pPr>
    </w:p>
    <w:p w14:paraId="4362C5AB" w14:textId="77777777" w:rsidR="00F764D1" w:rsidRPr="00F764D1" w:rsidRDefault="00F764D1" w:rsidP="00F764D1">
      <w:pPr>
        <w:rPr>
          <w:sz w:val="17"/>
          <w:szCs w:val="17"/>
        </w:rPr>
      </w:pPr>
      <w:r w:rsidRPr="00F764D1">
        <w:rPr>
          <w:sz w:val="17"/>
          <w:szCs w:val="17"/>
        </w:rPr>
        <w:t>EIOPA to develop guidelines on how to determine an undertaking is relevant for financial stability (</w:t>
      </w:r>
      <w:r w:rsidRPr="00F764D1">
        <w:rPr>
          <w:color w:val="FF0000"/>
          <w:sz w:val="17"/>
          <w:szCs w:val="17"/>
        </w:rPr>
        <w:t>negative</w:t>
      </w:r>
      <w:r w:rsidRPr="00F764D1">
        <w:rPr>
          <w:sz w:val="17"/>
          <w:szCs w:val="17"/>
        </w:rPr>
        <w:t>)</w:t>
      </w:r>
    </w:p>
    <w:p w14:paraId="3F460B43" w14:textId="77777777" w:rsidR="00F764D1" w:rsidRPr="00F764D1" w:rsidRDefault="00F764D1" w:rsidP="00F764D1">
      <w:pPr>
        <w:pStyle w:val="Odsekzoznamu"/>
        <w:numPr>
          <w:ilvl w:val="0"/>
          <w:numId w:val="7"/>
        </w:numPr>
        <w:spacing w:line="288" w:lineRule="auto"/>
        <w:jc w:val="both"/>
        <w:rPr>
          <w:rFonts w:ascii="Verdana" w:eastAsia="Times New Roman" w:hAnsi="Verdana"/>
          <w:sz w:val="17"/>
          <w:szCs w:val="17"/>
          <w:lang w:val="en-GB"/>
        </w:rPr>
      </w:pPr>
      <w:r w:rsidRPr="00F764D1">
        <w:rPr>
          <w:rFonts w:ascii="Verdana" w:eastAsia="Times New Roman" w:hAnsi="Verdana"/>
          <w:sz w:val="17"/>
          <w:szCs w:val="17"/>
          <w:lang w:val="en-GB"/>
        </w:rPr>
        <w:t>EIOPA is asked to prepare guidelines to further specify the methods to be used when determining which insurance and reinsurance undertakings are relevant for the financial stability of the financial systems in the Union (Art 56 (b))</w:t>
      </w:r>
    </w:p>
    <w:p w14:paraId="7D2AD085" w14:textId="77777777" w:rsidR="00F764D1" w:rsidRPr="00F764D1" w:rsidRDefault="00F764D1" w:rsidP="00F764D1">
      <w:pPr>
        <w:autoSpaceDE w:val="0"/>
        <w:autoSpaceDN w:val="0"/>
        <w:rPr>
          <w:rFonts w:eastAsiaTheme="minorHAnsi"/>
          <w:color w:val="000000"/>
          <w:sz w:val="17"/>
          <w:szCs w:val="17"/>
        </w:rPr>
      </w:pPr>
    </w:p>
    <w:p w14:paraId="6E8E6D95" w14:textId="77777777" w:rsidR="00F764D1" w:rsidRPr="00F764D1" w:rsidRDefault="00F764D1" w:rsidP="00F764D1">
      <w:pPr>
        <w:autoSpaceDE w:val="0"/>
        <w:autoSpaceDN w:val="0"/>
        <w:rPr>
          <w:color w:val="000000"/>
          <w:sz w:val="17"/>
          <w:szCs w:val="17"/>
        </w:rPr>
      </w:pPr>
      <w:r w:rsidRPr="00F764D1">
        <w:rPr>
          <w:color w:val="000000"/>
          <w:sz w:val="17"/>
          <w:szCs w:val="17"/>
        </w:rPr>
        <w:t xml:space="preserve">Removal of double reference to inclusion of system of governance </w:t>
      </w:r>
      <w:r w:rsidRPr="00F764D1">
        <w:rPr>
          <w:sz w:val="17"/>
          <w:szCs w:val="17"/>
        </w:rPr>
        <w:t>(</w:t>
      </w:r>
      <w:r w:rsidRPr="00F764D1">
        <w:rPr>
          <w:color w:val="00B050"/>
          <w:sz w:val="17"/>
          <w:szCs w:val="17"/>
        </w:rPr>
        <w:t>positive</w:t>
      </w:r>
      <w:r w:rsidRPr="00F764D1">
        <w:rPr>
          <w:sz w:val="17"/>
          <w:szCs w:val="17"/>
        </w:rPr>
        <w:t>)</w:t>
      </w:r>
    </w:p>
    <w:p w14:paraId="690EE34A" w14:textId="77777777" w:rsidR="00F764D1" w:rsidRPr="00F764D1" w:rsidRDefault="00F764D1" w:rsidP="00F764D1">
      <w:pPr>
        <w:pStyle w:val="Odsekzoznamu"/>
        <w:numPr>
          <w:ilvl w:val="0"/>
          <w:numId w:val="7"/>
        </w:numPr>
        <w:autoSpaceDE w:val="0"/>
        <w:autoSpaceDN w:val="0"/>
        <w:spacing w:line="288" w:lineRule="auto"/>
        <w:jc w:val="both"/>
        <w:rPr>
          <w:rFonts w:ascii="Verdana" w:eastAsia="Times New Roman" w:hAnsi="Verdana"/>
          <w:color w:val="000000"/>
          <w:sz w:val="17"/>
          <w:szCs w:val="17"/>
        </w:rPr>
      </w:pPr>
      <w:r w:rsidRPr="00F764D1">
        <w:rPr>
          <w:rFonts w:ascii="Verdana" w:eastAsia="Times New Roman" w:hAnsi="Verdana"/>
          <w:color w:val="000000"/>
          <w:sz w:val="17"/>
          <w:szCs w:val="17"/>
        </w:rPr>
        <w:t xml:space="preserve">Deletion of paragraph 14 </w:t>
      </w:r>
      <w:r w:rsidRPr="00F764D1">
        <w:rPr>
          <w:rFonts w:ascii="Verdana" w:eastAsia="Times New Roman" w:hAnsi="Verdana"/>
          <w:color w:val="000000"/>
          <w:sz w:val="17"/>
          <w:szCs w:val="17"/>
          <w:lang w:val="en-GB"/>
        </w:rPr>
        <w:t>proposed by the EC (</w:t>
      </w:r>
      <w:r w:rsidRPr="00F764D1">
        <w:rPr>
          <w:rFonts w:ascii="Verdana" w:eastAsia="Times New Roman" w:hAnsi="Verdana"/>
          <w:color w:val="000000"/>
          <w:sz w:val="17"/>
          <w:szCs w:val="17"/>
        </w:rPr>
        <w:t xml:space="preserve">regarding article 30(2) of the directive), </w:t>
      </w:r>
      <w:r w:rsidRPr="00F764D1">
        <w:rPr>
          <w:rFonts w:ascii="Verdana" w:eastAsia="Times New Roman" w:hAnsi="Verdana"/>
          <w:color w:val="000000"/>
          <w:sz w:val="17"/>
          <w:szCs w:val="17"/>
          <w:lang w:val="en-GB"/>
        </w:rPr>
        <w:t>because</w:t>
      </w:r>
      <w:r w:rsidRPr="00F764D1">
        <w:rPr>
          <w:rFonts w:ascii="Verdana" w:eastAsia="Times New Roman" w:hAnsi="Verdana"/>
          <w:color w:val="000000"/>
          <w:sz w:val="17"/>
          <w:szCs w:val="17"/>
        </w:rPr>
        <w:t xml:space="preserve"> the provision regarding the inclusion of the system of governance is financial supervision is already covered in the currently existing regulation (</w:t>
      </w:r>
      <w:r w:rsidRPr="00F764D1">
        <w:rPr>
          <w:rFonts w:ascii="Verdana" w:eastAsia="Times New Roman" w:hAnsi="Verdana"/>
          <w:color w:val="000000"/>
          <w:sz w:val="17"/>
          <w:szCs w:val="17"/>
          <w:lang w:val="en-GB"/>
        </w:rPr>
        <w:t>A</w:t>
      </w:r>
      <w:r w:rsidRPr="00F764D1">
        <w:rPr>
          <w:rFonts w:ascii="Verdana" w:eastAsia="Times New Roman" w:hAnsi="Verdana"/>
          <w:color w:val="000000"/>
          <w:sz w:val="17"/>
          <w:szCs w:val="17"/>
        </w:rPr>
        <w:t xml:space="preserve">rt 36 of the directive). </w:t>
      </w:r>
    </w:p>
    <w:p w14:paraId="7B3278F4" w14:textId="77777777" w:rsidR="00F764D1" w:rsidRPr="00F764D1" w:rsidRDefault="00F764D1" w:rsidP="00F764D1">
      <w:pPr>
        <w:autoSpaceDE w:val="0"/>
        <w:autoSpaceDN w:val="0"/>
        <w:rPr>
          <w:rFonts w:eastAsiaTheme="minorHAnsi"/>
          <w:color w:val="000000"/>
          <w:sz w:val="17"/>
          <w:szCs w:val="17"/>
        </w:rPr>
      </w:pPr>
    </w:p>
    <w:p w14:paraId="5A571822" w14:textId="77777777" w:rsidR="00F764D1" w:rsidRPr="00F764D1" w:rsidRDefault="00F764D1" w:rsidP="00F764D1">
      <w:pPr>
        <w:rPr>
          <w:rFonts w:cs="Calibri"/>
          <w:sz w:val="17"/>
          <w:szCs w:val="17"/>
        </w:rPr>
      </w:pPr>
      <w:r w:rsidRPr="00F764D1">
        <w:rPr>
          <w:color w:val="000000"/>
          <w:sz w:val="17"/>
          <w:szCs w:val="17"/>
        </w:rPr>
        <w:t xml:space="preserve">Requirement to inform NSA when person running undertaking or key function holder is replaced </w:t>
      </w:r>
      <w:r w:rsidRPr="00F764D1">
        <w:rPr>
          <w:sz w:val="17"/>
          <w:szCs w:val="17"/>
        </w:rPr>
        <w:t>(</w:t>
      </w:r>
      <w:r w:rsidRPr="00F764D1">
        <w:rPr>
          <w:color w:val="FF0000"/>
          <w:sz w:val="17"/>
          <w:szCs w:val="17"/>
        </w:rPr>
        <w:t>negative</w:t>
      </w:r>
      <w:r w:rsidRPr="00F764D1">
        <w:rPr>
          <w:sz w:val="17"/>
          <w:szCs w:val="17"/>
        </w:rPr>
        <w:t>)</w:t>
      </w:r>
    </w:p>
    <w:p w14:paraId="5A45B4FB" w14:textId="77777777" w:rsidR="00F764D1" w:rsidRPr="00F764D1" w:rsidRDefault="00F764D1" w:rsidP="00F764D1">
      <w:pPr>
        <w:pStyle w:val="Odsekzoznamu"/>
        <w:numPr>
          <w:ilvl w:val="0"/>
          <w:numId w:val="7"/>
        </w:numPr>
        <w:autoSpaceDE w:val="0"/>
        <w:autoSpaceDN w:val="0"/>
        <w:spacing w:line="288" w:lineRule="auto"/>
        <w:jc w:val="both"/>
        <w:rPr>
          <w:rFonts w:ascii="Verdana" w:eastAsia="Times New Roman" w:hAnsi="Verdana"/>
          <w:color w:val="000000"/>
          <w:sz w:val="17"/>
          <w:szCs w:val="17"/>
        </w:rPr>
      </w:pPr>
      <w:r w:rsidRPr="00F764D1">
        <w:rPr>
          <w:rFonts w:ascii="Verdana" w:eastAsia="Times New Roman" w:hAnsi="Verdana"/>
          <w:color w:val="000000"/>
          <w:sz w:val="17"/>
          <w:szCs w:val="17"/>
        </w:rPr>
        <w:t>Specification that insurers shall inform the supervision authority in case of replacement of a person running the undertaking or a key function holder (</w:t>
      </w:r>
      <w:r w:rsidRPr="00F764D1">
        <w:rPr>
          <w:rFonts w:ascii="Verdana" w:eastAsia="Times New Roman" w:hAnsi="Verdana"/>
          <w:color w:val="000000"/>
          <w:sz w:val="17"/>
          <w:szCs w:val="17"/>
          <w:lang w:val="en-GB"/>
        </w:rPr>
        <w:t>Art 42((2))</w:t>
      </w:r>
      <w:r w:rsidRPr="00F764D1">
        <w:rPr>
          <w:rFonts w:ascii="Verdana" w:eastAsia="Times New Roman" w:hAnsi="Verdana"/>
          <w:color w:val="000000"/>
          <w:sz w:val="17"/>
          <w:szCs w:val="17"/>
        </w:rPr>
        <w:t xml:space="preserve">. </w:t>
      </w:r>
    </w:p>
    <w:p w14:paraId="3F3CD8DA" w14:textId="77777777" w:rsidR="00F764D1" w:rsidRPr="00F764D1" w:rsidRDefault="00F764D1" w:rsidP="00F764D1">
      <w:pPr>
        <w:rPr>
          <w:rFonts w:eastAsiaTheme="minorHAnsi"/>
          <w:strike/>
          <w:sz w:val="17"/>
          <w:szCs w:val="17"/>
        </w:rPr>
      </w:pPr>
    </w:p>
    <w:p w14:paraId="38C7D101" w14:textId="513E608F" w:rsidR="0016089A" w:rsidRPr="00F764D1" w:rsidRDefault="0016089A" w:rsidP="00F764D1">
      <w:pPr>
        <w:rPr>
          <w:sz w:val="17"/>
          <w:szCs w:val="17"/>
        </w:rPr>
      </w:pPr>
    </w:p>
    <w:p w14:paraId="610B2A7C" w14:textId="694D8EFD" w:rsidR="008E38C2" w:rsidRPr="00F764D1" w:rsidRDefault="008E38C2" w:rsidP="00F764D1">
      <w:pPr>
        <w:rPr>
          <w:sz w:val="17"/>
          <w:szCs w:val="17"/>
        </w:rPr>
      </w:pPr>
    </w:p>
    <w:p w14:paraId="6793D08A" w14:textId="77777777" w:rsidR="008E38C2" w:rsidRPr="00F764D1" w:rsidRDefault="008E38C2" w:rsidP="00F764D1">
      <w:pPr>
        <w:rPr>
          <w:sz w:val="17"/>
          <w:szCs w:val="17"/>
        </w:rPr>
      </w:pPr>
    </w:p>
    <w:sectPr w:rsidR="008E38C2" w:rsidRPr="00F764D1" w:rsidSect="0016089A">
      <w:headerReference w:type="even" r:id="rId11"/>
      <w:headerReference w:type="default" r:id="rId12"/>
      <w:footerReference w:type="even" r:id="rId13"/>
      <w:footerReference w:type="default" r:id="rId14"/>
      <w:headerReference w:type="first" r:id="rId15"/>
      <w:footerReference w:type="first" r:id="rId16"/>
      <w:pgSz w:w="11907" w:h="16839" w:code="9"/>
      <w:pgMar w:top="2410" w:right="907" w:bottom="1253" w:left="1418" w:header="709" w:footer="1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080D" w14:textId="77777777" w:rsidR="00F653B0" w:rsidRDefault="00F653B0" w:rsidP="0016089A">
      <w:pPr>
        <w:spacing w:line="240" w:lineRule="auto"/>
      </w:pPr>
      <w:r>
        <w:separator/>
      </w:r>
    </w:p>
  </w:endnote>
  <w:endnote w:type="continuationSeparator" w:id="0">
    <w:p w14:paraId="5A2A52AA" w14:textId="77777777" w:rsidR="00F653B0" w:rsidRDefault="00F653B0" w:rsidP="0016089A">
      <w:pPr>
        <w:spacing w:line="240" w:lineRule="auto"/>
      </w:pPr>
      <w:r>
        <w:continuationSeparator/>
      </w:r>
    </w:p>
  </w:endnote>
  <w:endnote w:type="continuationNotice" w:id="1">
    <w:p w14:paraId="5CEC0ADA" w14:textId="77777777" w:rsidR="00F764D1" w:rsidRDefault="00F764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Frutiger LT Std 45 Light">
    <w:altName w:val="Leelawadee UI Semilight"/>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E032" w14:textId="77777777" w:rsidR="004361E4" w:rsidRDefault="004361E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0AA7" w14:textId="77777777" w:rsidR="00621E4E" w:rsidRPr="008E38C2" w:rsidRDefault="00E20C68" w:rsidP="00E20C68">
    <w:pPr>
      <w:framePr w:w="708" w:h="391" w:hRule="exact" w:hSpace="181" w:wrap="around" w:vAnchor="page" w:hAnchor="page" w:x="10320" w:y="16111" w:anchorLock="1"/>
      <w:jc w:val="right"/>
      <w:rPr>
        <w:rFonts w:cs="Tahoma"/>
        <w:color w:val="002957"/>
        <w:sz w:val="16"/>
        <w:szCs w:val="14"/>
      </w:rPr>
    </w:pPr>
    <w:r w:rsidRPr="008E38C2">
      <w:rPr>
        <w:rFonts w:cs="Tahoma"/>
        <w:color w:val="002957"/>
        <w:sz w:val="14"/>
        <w:szCs w:val="12"/>
      </w:rPr>
      <w:fldChar w:fldCharType="begin"/>
    </w:r>
    <w:r w:rsidRPr="008E38C2">
      <w:rPr>
        <w:rFonts w:cs="Tahoma"/>
        <w:color w:val="002957"/>
        <w:sz w:val="14"/>
        <w:szCs w:val="12"/>
      </w:rPr>
      <w:instrText xml:space="preserve"> PAGE   \* MERGEFORMAT </w:instrText>
    </w:r>
    <w:r w:rsidRPr="008E38C2">
      <w:rPr>
        <w:rFonts w:cs="Tahoma"/>
        <w:color w:val="002957"/>
        <w:sz w:val="14"/>
        <w:szCs w:val="12"/>
      </w:rPr>
      <w:fldChar w:fldCharType="separate"/>
    </w:r>
    <w:r w:rsidR="002D5146" w:rsidRPr="008E38C2">
      <w:rPr>
        <w:rFonts w:cs="Tahoma"/>
        <w:noProof/>
        <w:color w:val="002957"/>
        <w:sz w:val="14"/>
        <w:szCs w:val="12"/>
      </w:rPr>
      <w:t>2</w:t>
    </w:r>
    <w:r w:rsidRPr="008E38C2">
      <w:rPr>
        <w:rFonts w:cs="Tahoma"/>
        <w:noProof/>
        <w:color w:val="002957"/>
        <w:sz w:val="14"/>
        <w:szCs w:val="12"/>
      </w:rPr>
      <w:fldChar w:fldCharType="end"/>
    </w:r>
  </w:p>
  <w:p w14:paraId="55F780C8" w14:textId="77777777" w:rsidR="00621E4E" w:rsidRPr="0089179F" w:rsidRDefault="00621E4E" w:rsidP="00621E4E">
    <w:pPr>
      <w:tabs>
        <w:tab w:val="right" w:pos="10260"/>
      </w:tabs>
      <w:autoSpaceDE w:val="0"/>
      <w:autoSpaceDN w:val="0"/>
      <w:adjustRightInd w:val="0"/>
      <w:ind w:right="23"/>
      <w:jc w:val="right"/>
      <w:textAlignment w:val="center"/>
      <w:rPr>
        <w:color w:val="000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97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4111"/>
    </w:tblGrid>
    <w:tr w:rsidR="00C0076E" w14:paraId="2FCD7D2F" w14:textId="77777777" w:rsidTr="004A40C4">
      <w:tc>
        <w:tcPr>
          <w:tcW w:w="5675" w:type="dxa"/>
        </w:tcPr>
        <w:p w14:paraId="00FC5EB9" w14:textId="77777777" w:rsidR="00C0076E" w:rsidRPr="004A40C4" w:rsidRDefault="00C0076E" w:rsidP="004A40C4">
          <w:pPr>
            <w:pStyle w:val="CEAFooterauthorinfo"/>
            <w:ind w:left="0"/>
            <w:rPr>
              <w:b w:val="0"/>
              <w:color w:val="002957"/>
              <w:sz w:val="14"/>
              <w:szCs w:val="14"/>
              <w:lang w:val="fr-BE"/>
            </w:rPr>
          </w:pPr>
          <w:r w:rsidRPr="004A40C4">
            <w:rPr>
              <w:b w:val="0"/>
              <w:color w:val="002957"/>
              <w:sz w:val="14"/>
              <w:szCs w:val="14"/>
              <w:lang w:val="fr-BE"/>
            </w:rPr>
            <w:t>Prudential Team •</w:t>
          </w:r>
        </w:p>
        <w:p w14:paraId="6CCA7E3A" w14:textId="77777777" w:rsidR="00C0076E" w:rsidRPr="00353714" w:rsidRDefault="00C0076E" w:rsidP="004A40C4">
          <w:pPr>
            <w:pStyle w:val="CEAFooterauthorinfo"/>
            <w:ind w:left="0"/>
            <w:rPr>
              <w:b w:val="0"/>
              <w:color w:val="002957"/>
              <w:sz w:val="14"/>
              <w:szCs w:val="14"/>
              <w:lang w:val="fr-BE"/>
            </w:rPr>
          </w:pPr>
          <w:r w:rsidRPr="00353714">
            <w:rPr>
              <w:b w:val="0"/>
              <w:color w:val="002957"/>
              <w:sz w:val="14"/>
              <w:szCs w:val="14"/>
              <w:lang w:val="fr-BE"/>
            </w:rPr>
            <w:t xml:space="preserve">Insurance Europe aisbl </w:t>
          </w:r>
          <w:r w:rsidRPr="00CE6BD9">
            <w:rPr>
              <w:b w:val="0"/>
              <w:color w:val="002957"/>
              <w:sz w:val="14"/>
              <w:szCs w:val="14"/>
              <w:lang w:val="pt-PT"/>
            </w:rPr>
            <w:t>•</w:t>
          </w:r>
          <w:r w:rsidRPr="00353714">
            <w:rPr>
              <w:b w:val="0"/>
              <w:color w:val="002957"/>
              <w:sz w:val="14"/>
              <w:szCs w:val="14"/>
              <w:lang w:val="fr-BE"/>
            </w:rPr>
            <w:t xml:space="preserve"> Rue du Champ de Mars 2</w:t>
          </w:r>
          <w:r>
            <w:rPr>
              <w:b w:val="0"/>
              <w:color w:val="002957"/>
              <w:sz w:val="14"/>
              <w:szCs w:val="14"/>
              <w:lang w:val="fr-BE"/>
            </w:rPr>
            <w:t>3</w:t>
          </w:r>
          <w:r w:rsidRPr="00353714">
            <w:rPr>
              <w:b w:val="0"/>
              <w:color w:val="002957"/>
              <w:sz w:val="14"/>
              <w:szCs w:val="14"/>
              <w:lang w:val="fr-BE"/>
            </w:rPr>
            <w:t xml:space="preserve">, </w:t>
          </w:r>
          <w:r>
            <w:rPr>
              <w:b w:val="0"/>
              <w:color w:val="002957"/>
              <w:sz w:val="14"/>
              <w:szCs w:val="14"/>
              <w:lang w:val="fr-BE"/>
            </w:rPr>
            <w:t>B-1050 Brussels</w:t>
          </w:r>
        </w:p>
        <w:p w14:paraId="7D0DC67A" w14:textId="482101E9" w:rsidR="00C0076E" w:rsidRPr="00C0076E" w:rsidRDefault="00C0076E" w:rsidP="004A40C4">
          <w:pPr>
            <w:pStyle w:val="CEAFooterauthorinfo"/>
            <w:ind w:left="0"/>
            <w:rPr>
              <w:b w:val="0"/>
              <w:color w:val="002957"/>
              <w:sz w:val="14"/>
              <w:szCs w:val="14"/>
              <w:lang w:val="pt-PT"/>
            </w:rPr>
          </w:pPr>
          <w:r>
            <w:rPr>
              <w:b w:val="0"/>
              <w:color w:val="002957"/>
              <w:sz w:val="14"/>
              <w:szCs w:val="14"/>
              <w:lang w:val="pt-PT"/>
            </w:rPr>
            <w:t>Tel:  • E-mail: prudential@insuranceeurope.eu</w:t>
          </w:r>
        </w:p>
      </w:tc>
      <w:tc>
        <w:tcPr>
          <w:tcW w:w="4111" w:type="dxa"/>
        </w:tcPr>
        <w:p w14:paraId="14843AB9" w14:textId="261C0F9C" w:rsidR="00C0076E" w:rsidRDefault="00F15E1B" w:rsidP="004A40C4">
          <w:pPr>
            <w:pStyle w:val="CEAFooterauthorinfo"/>
            <w:ind w:left="0"/>
            <w:jc w:val="left"/>
            <w:rPr>
              <w:b w:val="0"/>
              <w:color w:val="002957"/>
              <w:sz w:val="14"/>
              <w:szCs w:val="14"/>
            </w:rPr>
          </w:pPr>
          <w:r w:rsidRPr="00F15E1B">
            <w:rPr>
              <w:b w:val="0"/>
              <w:color w:val="002957"/>
              <w:sz w:val="14"/>
              <w:szCs w:val="14"/>
            </w:rPr>
            <w:t>© Insurance Europe. Confidential, internal document. Not for distribution, all rights reserved.</w:t>
          </w:r>
        </w:p>
      </w:tc>
    </w:tr>
  </w:tbl>
  <w:p w14:paraId="52B6B284" w14:textId="77777777" w:rsidR="00C0076E" w:rsidRDefault="00C0076E" w:rsidP="00621E4E">
    <w:pPr>
      <w:pStyle w:val="CEAFooterauthorinfo"/>
      <w:ind w:left="0"/>
      <w:rPr>
        <w:rFonts w:cs="Frutiger LT Std 55 Roman"/>
        <w:b w:val="0"/>
        <w:color w:val="82C55B"/>
        <w:sz w:val="14"/>
        <w:szCs w:val="14"/>
        <w:lang w:val="pt-PT"/>
      </w:rPr>
    </w:pPr>
  </w:p>
  <w:p w14:paraId="3CB87459" w14:textId="35532B73" w:rsidR="00776725" w:rsidRPr="00DD395E" w:rsidRDefault="00776725" w:rsidP="00621E4E">
    <w:pPr>
      <w:pStyle w:val="CEAFooterauthorinfo"/>
      <w:ind w:left="0"/>
      <w:rPr>
        <w:rFonts w:cs="Frutiger LT Std 55 Roman"/>
        <w:b w:val="0"/>
        <w:color w:val="82C55B"/>
        <w:sz w:val="14"/>
        <w:szCs w:val="14"/>
        <w:lang w:val="pt-PT"/>
      </w:rPr>
    </w:pPr>
    <w:r w:rsidRPr="00DD395E">
      <w:rPr>
        <w:rFonts w:cs="Frutiger LT Std 55 Roman"/>
        <w:b w:val="0"/>
        <w:color w:val="82C55B"/>
        <w:sz w:val="14"/>
        <w:szCs w:val="14"/>
        <w:lang w:val="pt-PT"/>
      </w:rPr>
      <w:t>www.insuranceeurope.eu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02F1" w14:textId="77777777" w:rsidR="00F653B0" w:rsidRDefault="00F653B0" w:rsidP="0016089A">
      <w:pPr>
        <w:spacing w:line="240" w:lineRule="auto"/>
      </w:pPr>
      <w:r>
        <w:separator/>
      </w:r>
    </w:p>
  </w:footnote>
  <w:footnote w:type="continuationSeparator" w:id="0">
    <w:p w14:paraId="3157CD4B" w14:textId="77777777" w:rsidR="00F653B0" w:rsidRDefault="00F653B0" w:rsidP="0016089A">
      <w:pPr>
        <w:spacing w:line="240" w:lineRule="auto"/>
      </w:pPr>
      <w:r>
        <w:continuationSeparator/>
      </w:r>
    </w:p>
  </w:footnote>
  <w:footnote w:type="continuationNotice" w:id="1">
    <w:p w14:paraId="68BCAF3F" w14:textId="77777777" w:rsidR="00F764D1" w:rsidRDefault="00F764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8E0F" w14:textId="77777777" w:rsidR="004361E4" w:rsidRDefault="004361E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DB8D" w14:textId="77777777" w:rsidR="00621E4E" w:rsidRPr="000846C0" w:rsidRDefault="00621E4E" w:rsidP="00621E4E">
    <w:pPr>
      <w:pStyle w:val="Noparagraphstyle"/>
      <w:jc w:val="right"/>
      <w:rPr>
        <w:sz w:val="18"/>
        <w:szCs w:val="18"/>
      </w:rPr>
    </w:pPr>
  </w:p>
  <w:p w14:paraId="74718C28" w14:textId="77777777" w:rsidR="00621E4E" w:rsidRPr="00CE6BD9" w:rsidRDefault="001C366D" w:rsidP="00621E4E">
    <w:pPr>
      <w:pStyle w:val="Noparagraphstyle"/>
      <w:jc w:val="right"/>
      <w:rPr>
        <w:rFonts w:ascii="Arial" w:hAnsi="Arial" w:cs="Arial"/>
        <w:i/>
        <w:iCs/>
        <w:color w:val="034EA2"/>
      </w:rPr>
    </w:pPr>
    <w:r>
      <w:tab/>
    </w:r>
  </w:p>
  <w:p w14:paraId="431AD5DD" w14:textId="77777777" w:rsidR="00621E4E" w:rsidRDefault="001C366D" w:rsidP="00621E4E">
    <w:pPr>
      <w:pStyle w:val="Hlavika"/>
      <w:tabs>
        <w:tab w:val="clear" w:pos="4320"/>
        <w:tab w:val="clear" w:pos="8640"/>
        <w:tab w:val="center" w:pos="0"/>
        <w:tab w:val="right" w:pos="10440"/>
      </w:tabs>
      <w:jc w:val="right"/>
      <w:rPr>
        <w:b/>
        <w:color w:val="034EA2"/>
        <w:sz w:val="40"/>
        <w:szCs w:val="40"/>
      </w:rPr>
    </w:pPr>
    <w:r w:rsidRPr="00763D6E">
      <w:rPr>
        <w:b/>
        <w:noProof/>
        <w:sz w:val="40"/>
        <w:szCs w:val="40"/>
        <w:lang w:val="en-US"/>
      </w:rPr>
      <w:drawing>
        <wp:anchor distT="0" distB="0" distL="114300" distR="114300" simplePos="0" relativeHeight="251658241" behindDoc="0" locked="0" layoutInCell="1" allowOverlap="1" wp14:anchorId="42212B25" wp14:editId="0D81137F">
          <wp:simplePos x="0" y="0"/>
          <wp:positionH relativeFrom="page">
            <wp:posOffset>521970</wp:posOffset>
          </wp:positionH>
          <wp:positionV relativeFrom="page">
            <wp:posOffset>521970</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Pr="005C0D74">
      <w:rPr>
        <w:b/>
        <w:color w:val="034EA2"/>
        <w:sz w:val="28"/>
        <w:szCs w:val="28"/>
      </w:rPr>
      <w:t xml:space="preserve"> </w:t>
    </w:r>
  </w:p>
  <w:p w14:paraId="778B5886" w14:textId="77777777" w:rsidR="00621E4E" w:rsidRDefault="00621E4E" w:rsidP="00621E4E">
    <w:pPr>
      <w:pStyle w:val="Noparagraphsty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7B76" w14:textId="77777777" w:rsidR="00621E4E" w:rsidRPr="00CE615B" w:rsidRDefault="001C366D" w:rsidP="00621E4E">
    <w:pPr>
      <w:pStyle w:val="Noparagraphstyle"/>
      <w:tabs>
        <w:tab w:val="left" w:pos="-1800"/>
      </w:tabs>
      <w:jc w:val="right"/>
      <w:rPr>
        <w:rFonts w:ascii="Verdana" w:hAnsi="Verdana"/>
        <w:sz w:val="22"/>
        <w:szCs w:val="22"/>
      </w:rPr>
    </w:pPr>
    <w:r w:rsidRPr="00CE615B">
      <w:rPr>
        <w:rFonts w:ascii="Verdana" w:hAnsi="Verdana"/>
        <w:sz w:val="18"/>
        <w:szCs w:val="18"/>
      </w:rPr>
      <w:br/>
    </w:r>
  </w:p>
  <w:p w14:paraId="0DB4CF59" w14:textId="7DE05A54" w:rsidR="00621E4E" w:rsidRPr="00CF35FD" w:rsidRDefault="001B3EA9" w:rsidP="004361E4">
    <w:pPr>
      <w:pStyle w:val="Noparagraphstyle"/>
      <w:tabs>
        <w:tab w:val="left" w:pos="-1800"/>
      </w:tabs>
      <w:jc w:val="right"/>
      <w:rPr>
        <w:b/>
        <w:color w:val="002957"/>
        <w:sz w:val="36"/>
        <w:szCs w:val="36"/>
      </w:rPr>
    </w:pPr>
    <w:r>
      <w:rPr>
        <w:rFonts w:ascii="Verdana" w:hAnsi="Verdana"/>
        <w:color w:val="002957"/>
        <w:sz w:val="36"/>
        <w:szCs w:val="36"/>
      </w:rPr>
      <w:t>Memo for</w:t>
    </w:r>
    <w:r w:rsidR="001C366D" w:rsidRPr="00CF35FD">
      <w:rPr>
        <w:b/>
        <w:noProof/>
        <w:color w:val="002957"/>
        <w:sz w:val="36"/>
        <w:szCs w:val="36"/>
        <w:lang w:val="en-US"/>
      </w:rPr>
      <w:drawing>
        <wp:anchor distT="0" distB="0" distL="114300" distR="114300" simplePos="0" relativeHeight="251658240" behindDoc="0" locked="0" layoutInCell="1" allowOverlap="1" wp14:anchorId="73A57463" wp14:editId="2D6EE75D">
          <wp:simplePos x="0" y="0"/>
          <wp:positionH relativeFrom="page">
            <wp:posOffset>523875</wp:posOffset>
          </wp:positionH>
          <wp:positionV relativeFrom="page">
            <wp:posOffset>523875</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004361E4">
      <w:rPr>
        <w:rFonts w:ascii="Verdana" w:hAnsi="Verdana"/>
        <w:color w:val="002957"/>
        <w:sz w:val="36"/>
        <w:szCs w:val="36"/>
      </w:rPr>
      <w:t xml:space="preserve"> information</w:t>
    </w:r>
  </w:p>
  <w:p w14:paraId="6C833C81" w14:textId="2CBC8E84" w:rsidR="00875154" w:rsidRDefault="00875154" w:rsidP="00875154">
    <w:pPr>
      <w:jc w:val="right"/>
      <w:rPr>
        <w:b/>
        <w:i/>
        <w:color w:val="002957"/>
        <w:sz w:val="32"/>
        <w:szCs w:val="32"/>
      </w:rPr>
    </w:pPr>
  </w:p>
  <w:p w14:paraId="01B52364" w14:textId="77777777" w:rsidR="00621E4E" w:rsidRPr="002A5F53" w:rsidRDefault="00621E4E" w:rsidP="00621E4E">
    <w:pPr>
      <w:pStyle w:val="CEADocumentTitle"/>
      <w:tabs>
        <w:tab w:val="clear" w:pos="10440"/>
      </w:tabs>
      <w:rPr>
        <w:b w:val="0"/>
        <w:color w:val="002957"/>
        <w:sz w:val="36"/>
        <w:szCs w:val="36"/>
      </w:rPr>
    </w:pPr>
  </w:p>
  <w:p w14:paraId="1D1B76FE" w14:textId="77777777" w:rsidR="00BB76FB" w:rsidRPr="00CE6BD9" w:rsidRDefault="00BB76FB" w:rsidP="00875154">
    <w:pPr>
      <w:pStyle w:val="CEADraft"/>
      <w:jc w:val="both"/>
      <w:rPr>
        <w:color w:val="auto"/>
      </w:rPr>
    </w:pPr>
    <w:bookmarkStart w:id="0" w:name="Draft1st"/>
    <w:bookmarkEnd w:id="0"/>
  </w:p>
  <w:p w14:paraId="41B0A293" w14:textId="77777777" w:rsidR="00621E4E" w:rsidRPr="00CE6BD9" w:rsidRDefault="00621E4E" w:rsidP="00621E4E">
    <w:pPr>
      <w:pStyle w:val="BodyText-CEA"/>
      <w:jc w:val="left"/>
    </w:pPr>
    <w:bookmarkStart w:id="1" w:name="Header"/>
  </w:p>
  <w:tbl>
    <w:tblPr>
      <w:tblW w:w="0" w:type="auto"/>
      <w:tblInd w:w="-1026" w:type="dxa"/>
      <w:tblLook w:val="04A0" w:firstRow="1" w:lastRow="0" w:firstColumn="1" w:lastColumn="0" w:noHBand="0" w:noVBand="1"/>
    </w:tblPr>
    <w:tblGrid>
      <w:gridCol w:w="1012"/>
      <w:gridCol w:w="9596"/>
    </w:tblGrid>
    <w:tr w:rsidR="00621E4E" w14:paraId="50F6D303" w14:textId="77777777" w:rsidTr="00621E4E">
      <w:trPr>
        <w:trHeight w:val="289"/>
      </w:trPr>
      <w:tc>
        <w:tcPr>
          <w:tcW w:w="992" w:type="dxa"/>
        </w:tcPr>
        <w:p w14:paraId="3059CA01" w14:textId="77777777" w:rsidR="00621E4E" w:rsidRPr="00CE6BD9" w:rsidRDefault="001C366D" w:rsidP="00621E4E">
          <w:pPr>
            <w:pStyle w:val="CEALabel"/>
            <w:rPr>
              <w:b w:val="0"/>
              <w:color w:val="002957"/>
              <w:sz w:val="17"/>
              <w:szCs w:val="17"/>
            </w:rPr>
          </w:pPr>
          <w:r w:rsidRPr="00CE6BD9">
            <w:rPr>
              <w:b w:val="0"/>
              <w:color w:val="002957"/>
              <w:sz w:val="17"/>
              <w:szCs w:val="17"/>
            </w:rPr>
            <w:t>To:</w:t>
          </w:r>
        </w:p>
      </w:tc>
      <w:tc>
        <w:tcPr>
          <w:tcW w:w="9837" w:type="dxa"/>
        </w:tcPr>
        <w:p w14:paraId="7FA751B7" w14:textId="4B763EF2" w:rsidR="00621E4E" w:rsidRPr="001D1C85" w:rsidRDefault="00610C71" w:rsidP="004A40C4">
          <w:pPr>
            <w:ind w:left="-90"/>
            <w:jc w:val="left"/>
            <w:rPr>
              <w:color w:val="002957"/>
              <w:sz w:val="17"/>
              <w:szCs w:val="17"/>
            </w:rPr>
          </w:pPr>
          <w:r>
            <w:rPr>
              <w:color w:val="002957"/>
              <w:sz w:val="17"/>
              <w:szCs w:val="17"/>
            </w:rPr>
            <w:t>Solvency II WG</w:t>
          </w:r>
        </w:p>
      </w:tc>
    </w:tr>
    <w:tr w:rsidR="00621E4E" w14:paraId="1B5225C1" w14:textId="77777777" w:rsidTr="00621E4E">
      <w:trPr>
        <w:trHeight w:hRule="exact" w:val="288"/>
      </w:trPr>
      <w:tc>
        <w:tcPr>
          <w:tcW w:w="992" w:type="dxa"/>
          <w:vAlign w:val="center"/>
        </w:tcPr>
        <w:p w14:paraId="280A0BE8" w14:textId="77777777" w:rsidR="00621E4E" w:rsidRPr="00CE6BD9" w:rsidRDefault="001C366D" w:rsidP="00621E4E">
          <w:pPr>
            <w:pStyle w:val="CEALabel"/>
            <w:rPr>
              <w:b w:val="0"/>
              <w:color w:val="002957"/>
              <w:sz w:val="17"/>
              <w:szCs w:val="17"/>
            </w:rPr>
          </w:pPr>
          <w:r w:rsidRPr="00CE6BD9">
            <w:rPr>
              <w:b w:val="0"/>
              <w:color w:val="002957"/>
              <w:sz w:val="17"/>
              <w:szCs w:val="17"/>
            </w:rPr>
            <w:t>From:</w:t>
          </w:r>
        </w:p>
      </w:tc>
      <w:tc>
        <w:tcPr>
          <w:tcW w:w="9837" w:type="dxa"/>
        </w:tcPr>
        <w:p w14:paraId="247799C0" w14:textId="0D671D29" w:rsidR="00621E4E" w:rsidRPr="001D1C85" w:rsidRDefault="00610C71" w:rsidP="004A40C4">
          <w:pPr>
            <w:tabs>
              <w:tab w:val="left" w:pos="1755"/>
            </w:tabs>
            <w:ind w:left="-90"/>
            <w:jc w:val="left"/>
            <w:rPr>
              <w:color w:val="002957"/>
              <w:sz w:val="17"/>
              <w:szCs w:val="17"/>
            </w:rPr>
          </w:pPr>
          <w:bookmarkStart w:id="2" w:name="AuthSep"/>
          <w:bookmarkEnd w:id="2"/>
          <w:r>
            <w:rPr>
              <w:color w:val="002957"/>
              <w:sz w:val="17"/>
              <w:szCs w:val="17"/>
            </w:rPr>
            <w:t>Prudential Team</w:t>
          </w:r>
          <w:r w:rsidR="00923157">
            <w:rPr>
              <w:color w:val="002957"/>
              <w:sz w:val="17"/>
              <w:szCs w:val="17"/>
            </w:rPr>
            <w:t xml:space="preserve"> </w:t>
          </w:r>
          <w:r w:rsidR="00D022CF">
            <w:rPr>
              <w:color w:val="002957"/>
              <w:sz w:val="17"/>
              <w:szCs w:val="17"/>
            </w:rPr>
            <w:t>[CoAuthorsText]</w:t>
          </w:r>
        </w:p>
      </w:tc>
    </w:tr>
    <w:tr w:rsidR="00621E4E" w14:paraId="774D3266" w14:textId="77777777" w:rsidTr="00621E4E">
      <w:trPr>
        <w:trHeight w:hRule="exact" w:val="288"/>
      </w:trPr>
      <w:tc>
        <w:tcPr>
          <w:tcW w:w="992" w:type="dxa"/>
          <w:vAlign w:val="center"/>
        </w:tcPr>
        <w:p w14:paraId="397F3022" w14:textId="77777777" w:rsidR="00621E4E" w:rsidRPr="00CE6BD9" w:rsidRDefault="001C366D" w:rsidP="00621E4E">
          <w:pPr>
            <w:pStyle w:val="CEALabel"/>
            <w:rPr>
              <w:b w:val="0"/>
              <w:color w:val="002957"/>
              <w:sz w:val="17"/>
              <w:szCs w:val="17"/>
            </w:rPr>
          </w:pPr>
          <w:r w:rsidRPr="00CE6BD9">
            <w:rPr>
              <w:b w:val="0"/>
              <w:color w:val="002957"/>
              <w:sz w:val="17"/>
              <w:szCs w:val="17"/>
            </w:rPr>
            <w:t>cc:</w:t>
          </w:r>
        </w:p>
      </w:tc>
      <w:tc>
        <w:tcPr>
          <w:tcW w:w="9837" w:type="dxa"/>
        </w:tcPr>
        <w:p w14:paraId="5F666C14" w14:textId="3A42F153" w:rsidR="00621E4E" w:rsidRPr="001D1C85" w:rsidRDefault="00621E4E" w:rsidP="004A40C4">
          <w:pPr>
            <w:ind w:left="-90"/>
            <w:jc w:val="left"/>
            <w:rPr>
              <w:color w:val="002957"/>
              <w:sz w:val="17"/>
              <w:szCs w:val="17"/>
            </w:rPr>
          </w:pPr>
        </w:p>
      </w:tc>
    </w:tr>
    <w:tr w:rsidR="00621E4E" w14:paraId="15FE1C48" w14:textId="77777777" w:rsidTr="00621E4E">
      <w:trPr>
        <w:trHeight w:hRule="exact" w:val="288"/>
      </w:trPr>
      <w:tc>
        <w:tcPr>
          <w:tcW w:w="992" w:type="dxa"/>
          <w:vAlign w:val="center"/>
        </w:tcPr>
        <w:p w14:paraId="67936BE9" w14:textId="77777777" w:rsidR="00621E4E" w:rsidRPr="00CE6BD9" w:rsidRDefault="001C366D" w:rsidP="00621E4E">
          <w:pPr>
            <w:pStyle w:val="CEALabel"/>
            <w:rPr>
              <w:b w:val="0"/>
              <w:color w:val="002957"/>
              <w:sz w:val="17"/>
              <w:szCs w:val="17"/>
            </w:rPr>
          </w:pPr>
          <w:r w:rsidRPr="00CE6BD9">
            <w:rPr>
              <w:b w:val="0"/>
              <w:color w:val="002957"/>
              <w:sz w:val="17"/>
              <w:szCs w:val="17"/>
            </w:rPr>
            <w:t>Date:</w:t>
          </w:r>
        </w:p>
      </w:tc>
      <w:tc>
        <w:tcPr>
          <w:tcW w:w="9837" w:type="dxa"/>
        </w:tcPr>
        <w:p w14:paraId="1D9FC966" w14:textId="6B24E16C" w:rsidR="00621E4E" w:rsidRPr="001D1C85" w:rsidRDefault="00610C71" w:rsidP="004A40C4">
          <w:pPr>
            <w:ind w:left="-90"/>
            <w:jc w:val="left"/>
            <w:rPr>
              <w:color w:val="002957"/>
              <w:sz w:val="17"/>
              <w:szCs w:val="17"/>
            </w:rPr>
          </w:pPr>
          <w:r>
            <w:rPr>
              <w:color w:val="002957"/>
              <w:sz w:val="17"/>
              <w:szCs w:val="17"/>
            </w:rPr>
            <w:t>23-02-2022</w:t>
          </w:r>
        </w:p>
      </w:tc>
    </w:tr>
    <w:tr w:rsidR="00621E4E" w14:paraId="71D95BA4" w14:textId="77777777" w:rsidTr="00621E4E">
      <w:trPr>
        <w:trHeight w:hRule="exact" w:val="288"/>
      </w:trPr>
      <w:tc>
        <w:tcPr>
          <w:tcW w:w="992" w:type="dxa"/>
          <w:vAlign w:val="center"/>
        </w:tcPr>
        <w:p w14:paraId="508FC1E8" w14:textId="77777777" w:rsidR="00621E4E" w:rsidRPr="00CE6BD9" w:rsidRDefault="001C366D" w:rsidP="00621E4E">
          <w:pPr>
            <w:pStyle w:val="CEALabel"/>
            <w:rPr>
              <w:b w:val="0"/>
              <w:color w:val="002957"/>
              <w:sz w:val="17"/>
              <w:szCs w:val="17"/>
            </w:rPr>
          </w:pPr>
          <w:r w:rsidRPr="00CE6BD9">
            <w:rPr>
              <w:b w:val="0"/>
              <w:color w:val="002957"/>
              <w:sz w:val="17"/>
              <w:szCs w:val="17"/>
            </w:rPr>
            <w:t>Reference:</w:t>
          </w:r>
        </w:p>
      </w:tc>
      <w:tc>
        <w:tcPr>
          <w:tcW w:w="9837" w:type="dxa"/>
        </w:tcPr>
        <w:sdt>
          <w:sdtPr>
            <w:rPr>
              <w:color w:val="002957"/>
              <w:sz w:val="17"/>
              <w:szCs w:val="17"/>
            </w:rPr>
            <w:id w:val="-1487076316"/>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16BE8AC2-BC04-484A-AE5F-6753D3DE5469}"/>
          </w:sdtPr>
          <w:sdtEndPr/>
          <w:sdtContent>
            <w:p w14:paraId="360ED39F" w14:textId="04EF3E9A" w:rsidR="00621E4E" w:rsidRPr="001D1C85" w:rsidRDefault="00F764D1" w:rsidP="004A40C4">
              <w:pPr>
                <w:ind w:left="-90"/>
                <w:jc w:val="left"/>
                <w:rPr>
                  <w:color w:val="002957"/>
                  <w:sz w:val="17"/>
                  <w:szCs w:val="17"/>
                </w:rPr>
              </w:pPr>
              <w:r w:rsidRPr="008C7EEE">
                <w:rPr>
                  <w:rStyle w:val="Zstupntext"/>
                </w:rPr>
                <w:t>Click or tap here to enter text.</w:t>
              </w:r>
            </w:p>
          </w:sdtContent>
        </w:sdt>
      </w:tc>
    </w:tr>
    <w:tr w:rsidR="00621E4E" w14:paraId="0277A5AC" w14:textId="7C28D1F2" w:rsidTr="00621E4E">
      <w:trPr>
        <w:trHeight w:hRule="exact" w:val="288"/>
      </w:trPr>
      <w:tc>
        <w:tcPr>
          <w:tcW w:w="992" w:type="dxa"/>
          <w:vAlign w:val="center"/>
        </w:tcPr>
        <w:p w14:paraId="3A9D9D76" w14:textId="77777777" w:rsidR="00621E4E" w:rsidRPr="00CE6BD9" w:rsidRDefault="00621E4E" w:rsidP="00621E4E">
          <w:pPr>
            <w:pStyle w:val="CEALabel"/>
            <w:rPr>
              <w:b w:val="0"/>
              <w:color w:val="002957"/>
              <w:sz w:val="17"/>
              <w:szCs w:val="17"/>
            </w:rPr>
          </w:pPr>
        </w:p>
      </w:tc>
      <w:tc>
        <w:tcPr>
          <w:tcW w:w="9837" w:type="dxa"/>
        </w:tcPr>
        <w:p w14:paraId="4BAE8D83" w14:textId="77777777" w:rsidR="00621E4E" w:rsidRPr="001D1C85" w:rsidRDefault="00621E4E" w:rsidP="004A40C4">
          <w:pPr>
            <w:ind w:left="-90"/>
            <w:jc w:val="left"/>
            <w:rPr>
              <w:color w:val="002957"/>
              <w:sz w:val="17"/>
              <w:szCs w:val="17"/>
            </w:rPr>
          </w:pPr>
        </w:p>
      </w:tc>
    </w:tr>
    <w:tr w:rsidR="00621E4E" w14:paraId="3C6A10CF" w14:textId="77777777" w:rsidTr="00621E4E">
      <w:trPr>
        <w:trHeight w:hRule="exact" w:val="288"/>
      </w:trPr>
      <w:tc>
        <w:tcPr>
          <w:tcW w:w="992" w:type="dxa"/>
          <w:vAlign w:val="center"/>
        </w:tcPr>
        <w:p w14:paraId="431B6B1C" w14:textId="77777777" w:rsidR="00621E4E" w:rsidRPr="00CE6BD9" w:rsidRDefault="001C366D" w:rsidP="00621E4E">
          <w:pPr>
            <w:pStyle w:val="CEALabel"/>
            <w:rPr>
              <w:b w:val="0"/>
              <w:color w:val="002957"/>
              <w:sz w:val="17"/>
              <w:szCs w:val="17"/>
            </w:rPr>
          </w:pPr>
          <w:r w:rsidRPr="00CE6BD9">
            <w:rPr>
              <w:b w:val="0"/>
              <w:color w:val="002957"/>
              <w:sz w:val="17"/>
              <w:szCs w:val="17"/>
            </w:rPr>
            <w:t>Subject:</w:t>
          </w:r>
        </w:p>
      </w:tc>
      <w:tc>
        <w:tcPr>
          <w:tcW w:w="9837" w:type="dxa"/>
        </w:tcPr>
        <w:p w14:paraId="0DE8F0C9" w14:textId="1F847593" w:rsidR="00621E4E" w:rsidRPr="00CE6BD9" w:rsidRDefault="00026191" w:rsidP="004A40C4">
          <w:pPr>
            <w:pStyle w:val="CEASubjectLine"/>
            <w:ind w:left="-90"/>
            <w:jc w:val="left"/>
            <w:rPr>
              <w:b w:val="0"/>
              <w:color w:val="002957"/>
              <w:sz w:val="17"/>
              <w:szCs w:val="17"/>
            </w:rPr>
          </w:pPr>
          <w:sdt>
            <w:sdtPr>
              <w:rPr>
                <w:b w:val="0"/>
                <w:color w:val="002957"/>
                <w:sz w:val="17"/>
                <w:szCs w:val="17"/>
              </w:rPr>
              <w:alias w:val="Title"/>
              <w:tag w:val=""/>
              <w:id w:val="1845366650"/>
              <w:placeholder>
                <w:docPart w:val="584EF38CAE9A4F80AF2F6FA01859F6AD"/>
              </w:placeholder>
              <w:dataBinding w:prefixMappings="xmlns:ns0='http://purl.org/dc/elements/1.1/' xmlns:ns1='http://schemas.openxmlformats.org/package/2006/metadata/core-properties' " w:xpath="/ns1:coreProperties[1]/ns0:title[1]" w:storeItemID="{6C3C8BC8-F283-45AE-878A-BAB7291924A1}"/>
              <w:text/>
            </w:sdtPr>
            <w:sdtEndPr/>
            <w:sdtContent>
              <w:r w:rsidR="008D77C9">
                <w:rPr>
                  <w:b w:val="0"/>
                  <w:color w:val="002957"/>
                  <w:sz w:val="17"/>
                  <w:szCs w:val="17"/>
                </w:rPr>
                <w:t>Assessment of French Presidency draft compromise on Reporting and Disclosure and Quality of Supervision</w:t>
              </w:r>
            </w:sdtContent>
          </w:sdt>
          <w:bookmarkEnd w:id="1"/>
        </w:p>
      </w:tc>
    </w:tr>
  </w:tbl>
  <w:p w14:paraId="4C139B1B" w14:textId="77777777" w:rsidR="00621E4E" w:rsidRPr="00CE6BD9" w:rsidRDefault="00621E4E" w:rsidP="00621E4E">
    <w:pPr>
      <w:pStyle w:val="Noparagraphstyle"/>
      <w:rPr>
        <w:rFonts w:ascii="Verdana" w:hAnsi="Verdana" w:cs="Arial"/>
        <w:i/>
        <w:iCs/>
        <w:color w:val="034EA2"/>
      </w:rPr>
    </w:pPr>
  </w:p>
  <w:p w14:paraId="273246B5" w14:textId="77777777" w:rsidR="00621E4E" w:rsidRDefault="00621E4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4EF"/>
    <w:multiLevelType w:val="hybridMultilevel"/>
    <w:tmpl w:val="CEB6CD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1054071E"/>
    <w:multiLevelType w:val="hybridMultilevel"/>
    <w:tmpl w:val="EBE65710"/>
    <w:lvl w:ilvl="0" w:tplc="A0240652">
      <w:start w:val="165"/>
      <w:numFmt w:val="bullet"/>
      <w:pStyle w:val="CEABullet-Level2"/>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 w15:restartNumberingAfterBreak="0">
    <w:nsid w:val="15674BEA"/>
    <w:multiLevelType w:val="hybridMultilevel"/>
    <w:tmpl w:val="31B8C0E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447E4D85"/>
    <w:multiLevelType w:val="hybridMultilevel"/>
    <w:tmpl w:val="36024468"/>
    <w:lvl w:ilvl="0" w:tplc="37180294">
      <w:start w:val="165"/>
      <w:numFmt w:val="bullet"/>
      <w:pStyle w:val="CEABullet-Level3"/>
      <w:lvlText w:val=""/>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4" w15:restartNumberingAfterBreak="0">
    <w:nsid w:val="491B59CE"/>
    <w:multiLevelType w:val="hybridMultilevel"/>
    <w:tmpl w:val="E38CFF20"/>
    <w:lvl w:ilvl="0" w:tplc="20000001">
      <w:start w:val="1"/>
      <w:numFmt w:val="bullet"/>
      <w:lvlText w:val=""/>
      <w:lvlJc w:val="left"/>
      <w:pPr>
        <w:ind w:left="770" w:hanging="360"/>
      </w:pPr>
      <w:rPr>
        <w:rFonts w:ascii="Symbol" w:hAnsi="Symbol" w:hint="default"/>
      </w:rPr>
    </w:lvl>
    <w:lvl w:ilvl="1" w:tplc="20000003">
      <w:start w:val="1"/>
      <w:numFmt w:val="bullet"/>
      <w:lvlText w:val="o"/>
      <w:lvlJc w:val="left"/>
      <w:pPr>
        <w:ind w:left="1490" w:hanging="360"/>
      </w:pPr>
      <w:rPr>
        <w:rFonts w:ascii="Courier New" w:hAnsi="Courier New" w:cs="Courier New" w:hint="default"/>
      </w:rPr>
    </w:lvl>
    <w:lvl w:ilvl="2" w:tplc="20000005">
      <w:start w:val="1"/>
      <w:numFmt w:val="bullet"/>
      <w:lvlText w:val=""/>
      <w:lvlJc w:val="left"/>
      <w:pPr>
        <w:ind w:left="2210" w:hanging="360"/>
      </w:pPr>
      <w:rPr>
        <w:rFonts w:ascii="Wingdings" w:hAnsi="Wingdings" w:hint="default"/>
      </w:rPr>
    </w:lvl>
    <w:lvl w:ilvl="3" w:tplc="20000001">
      <w:start w:val="1"/>
      <w:numFmt w:val="bullet"/>
      <w:lvlText w:val=""/>
      <w:lvlJc w:val="left"/>
      <w:pPr>
        <w:ind w:left="2930" w:hanging="360"/>
      </w:pPr>
      <w:rPr>
        <w:rFonts w:ascii="Symbol" w:hAnsi="Symbol" w:hint="default"/>
      </w:rPr>
    </w:lvl>
    <w:lvl w:ilvl="4" w:tplc="20000003">
      <w:start w:val="1"/>
      <w:numFmt w:val="bullet"/>
      <w:lvlText w:val="o"/>
      <w:lvlJc w:val="left"/>
      <w:pPr>
        <w:ind w:left="3650" w:hanging="360"/>
      </w:pPr>
      <w:rPr>
        <w:rFonts w:ascii="Courier New" w:hAnsi="Courier New" w:cs="Courier New" w:hint="default"/>
      </w:rPr>
    </w:lvl>
    <w:lvl w:ilvl="5" w:tplc="20000005">
      <w:start w:val="1"/>
      <w:numFmt w:val="bullet"/>
      <w:lvlText w:val=""/>
      <w:lvlJc w:val="left"/>
      <w:pPr>
        <w:ind w:left="4370" w:hanging="360"/>
      </w:pPr>
      <w:rPr>
        <w:rFonts w:ascii="Wingdings" w:hAnsi="Wingdings" w:hint="default"/>
      </w:rPr>
    </w:lvl>
    <w:lvl w:ilvl="6" w:tplc="20000001">
      <w:start w:val="1"/>
      <w:numFmt w:val="bullet"/>
      <w:lvlText w:val=""/>
      <w:lvlJc w:val="left"/>
      <w:pPr>
        <w:ind w:left="5090" w:hanging="360"/>
      </w:pPr>
      <w:rPr>
        <w:rFonts w:ascii="Symbol" w:hAnsi="Symbol" w:hint="default"/>
      </w:rPr>
    </w:lvl>
    <w:lvl w:ilvl="7" w:tplc="20000003">
      <w:start w:val="1"/>
      <w:numFmt w:val="bullet"/>
      <w:lvlText w:val="o"/>
      <w:lvlJc w:val="left"/>
      <w:pPr>
        <w:ind w:left="5810" w:hanging="360"/>
      </w:pPr>
      <w:rPr>
        <w:rFonts w:ascii="Courier New" w:hAnsi="Courier New" w:cs="Courier New" w:hint="default"/>
      </w:rPr>
    </w:lvl>
    <w:lvl w:ilvl="8" w:tplc="20000005">
      <w:start w:val="1"/>
      <w:numFmt w:val="bullet"/>
      <w:lvlText w:val=""/>
      <w:lvlJc w:val="left"/>
      <w:pPr>
        <w:ind w:left="6530" w:hanging="360"/>
      </w:pPr>
      <w:rPr>
        <w:rFonts w:ascii="Wingdings" w:hAnsi="Wingdings" w:hint="default"/>
      </w:rPr>
    </w:lvl>
  </w:abstractNum>
  <w:abstractNum w:abstractNumId="5" w15:restartNumberingAfterBreak="0">
    <w:nsid w:val="645724BA"/>
    <w:multiLevelType w:val="hybridMultilevel"/>
    <w:tmpl w:val="C696F602"/>
    <w:lvl w:ilvl="0" w:tplc="8E560A7E">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 w15:restartNumberingAfterBreak="0">
    <w:nsid w:val="699E2B88"/>
    <w:multiLevelType w:val="hybridMultilevel"/>
    <w:tmpl w:val="636CBA02"/>
    <w:lvl w:ilvl="0" w:tplc="2CF65F2A">
      <w:start w:val="165"/>
      <w:numFmt w:val="bullet"/>
      <w:pStyle w:val="CEABullet-Level1"/>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35"/>
    <w:rsid w:val="00026191"/>
    <w:rsid w:val="00091055"/>
    <w:rsid w:val="000E550B"/>
    <w:rsid w:val="001208A8"/>
    <w:rsid w:val="0016089A"/>
    <w:rsid w:val="00164389"/>
    <w:rsid w:val="00165AC7"/>
    <w:rsid w:val="001969B9"/>
    <w:rsid w:val="001B3EA9"/>
    <w:rsid w:val="001C366D"/>
    <w:rsid w:val="001E1BFA"/>
    <w:rsid w:val="00296BA5"/>
    <w:rsid w:val="002A15F4"/>
    <w:rsid w:val="002C28DB"/>
    <w:rsid w:val="002D5146"/>
    <w:rsid w:val="00305888"/>
    <w:rsid w:val="00312ECE"/>
    <w:rsid w:val="00320D8E"/>
    <w:rsid w:val="00353714"/>
    <w:rsid w:val="003838CB"/>
    <w:rsid w:val="0039100B"/>
    <w:rsid w:val="003C4ABD"/>
    <w:rsid w:val="004361E4"/>
    <w:rsid w:val="00440FEE"/>
    <w:rsid w:val="004422F0"/>
    <w:rsid w:val="004879F6"/>
    <w:rsid w:val="004A40C4"/>
    <w:rsid w:val="004C72D7"/>
    <w:rsid w:val="004D2FA2"/>
    <w:rsid w:val="004D6E3B"/>
    <w:rsid w:val="00560FB7"/>
    <w:rsid w:val="005C7563"/>
    <w:rsid w:val="005F16C2"/>
    <w:rsid w:val="00610C71"/>
    <w:rsid w:val="00621E4E"/>
    <w:rsid w:val="0068406E"/>
    <w:rsid w:val="006D7516"/>
    <w:rsid w:val="007649E7"/>
    <w:rsid w:val="00773632"/>
    <w:rsid w:val="00776725"/>
    <w:rsid w:val="00782038"/>
    <w:rsid w:val="007A65C7"/>
    <w:rsid w:val="007B5B03"/>
    <w:rsid w:val="0082235C"/>
    <w:rsid w:val="0083203B"/>
    <w:rsid w:val="00836D1B"/>
    <w:rsid w:val="00841EDC"/>
    <w:rsid w:val="00875154"/>
    <w:rsid w:val="0089626C"/>
    <w:rsid w:val="008D77C9"/>
    <w:rsid w:val="008E38C2"/>
    <w:rsid w:val="00923157"/>
    <w:rsid w:val="009832AC"/>
    <w:rsid w:val="009C463D"/>
    <w:rsid w:val="00A63735"/>
    <w:rsid w:val="00AC2A32"/>
    <w:rsid w:val="00AC359E"/>
    <w:rsid w:val="00AD08D3"/>
    <w:rsid w:val="00B33451"/>
    <w:rsid w:val="00BB76FB"/>
    <w:rsid w:val="00C0076E"/>
    <w:rsid w:val="00C35B4A"/>
    <w:rsid w:val="00C9321B"/>
    <w:rsid w:val="00C933FE"/>
    <w:rsid w:val="00D022CF"/>
    <w:rsid w:val="00D64BF8"/>
    <w:rsid w:val="00DA2E9F"/>
    <w:rsid w:val="00DD2A9E"/>
    <w:rsid w:val="00DD395E"/>
    <w:rsid w:val="00E20C68"/>
    <w:rsid w:val="00E50282"/>
    <w:rsid w:val="00E5293A"/>
    <w:rsid w:val="00E61E51"/>
    <w:rsid w:val="00ED6DE9"/>
    <w:rsid w:val="00F01ACD"/>
    <w:rsid w:val="00F15E1B"/>
    <w:rsid w:val="00F21C1F"/>
    <w:rsid w:val="00F653B0"/>
    <w:rsid w:val="00F764D1"/>
    <w:rsid w:val="00F8705B"/>
    <w:rsid w:val="00FC1F52"/>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D5F03"/>
  <w15:docId w15:val="{77ACB4BE-1A28-4E54-A291-37EDB0C4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089A"/>
    <w:pPr>
      <w:spacing w:after="0" w:line="288" w:lineRule="auto"/>
      <w:jc w:val="both"/>
    </w:pPr>
    <w:rPr>
      <w:rFonts w:ascii="Verdana" w:eastAsia="Times New Roman" w:hAnsi="Verdana" w:cs="Times New Roman"/>
      <w:sz w:val="20"/>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6089A"/>
    <w:pPr>
      <w:tabs>
        <w:tab w:val="center" w:pos="4320"/>
        <w:tab w:val="right" w:pos="8640"/>
      </w:tabs>
    </w:pPr>
  </w:style>
  <w:style w:type="character" w:customStyle="1" w:styleId="HlavikaChar">
    <w:name w:val="Hlavička Char"/>
    <w:basedOn w:val="Predvolenpsmoodseku"/>
    <w:link w:val="Hlavika"/>
    <w:semiHidden/>
    <w:rsid w:val="0016089A"/>
    <w:rPr>
      <w:rFonts w:ascii="Verdana" w:eastAsia="Times New Roman" w:hAnsi="Verdana" w:cs="Times New Roman"/>
      <w:sz w:val="20"/>
      <w:szCs w:val="24"/>
      <w:lang w:val="en-GB"/>
    </w:rPr>
  </w:style>
  <w:style w:type="paragraph" w:styleId="Pta">
    <w:name w:val="footer"/>
    <w:basedOn w:val="Normlny"/>
    <w:link w:val="PtaChar"/>
    <w:semiHidden/>
    <w:rsid w:val="0016089A"/>
    <w:pPr>
      <w:tabs>
        <w:tab w:val="center" w:pos="4320"/>
        <w:tab w:val="right" w:pos="8640"/>
      </w:tabs>
    </w:pPr>
  </w:style>
  <w:style w:type="character" w:customStyle="1" w:styleId="PtaChar">
    <w:name w:val="Päta Char"/>
    <w:basedOn w:val="Predvolenpsmoodseku"/>
    <w:link w:val="Pta"/>
    <w:semiHidden/>
    <w:rsid w:val="0016089A"/>
    <w:rPr>
      <w:rFonts w:ascii="Verdana" w:eastAsia="Times New Roman" w:hAnsi="Verdana" w:cs="Times New Roman"/>
      <w:sz w:val="20"/>
      <w:szCs w:val="24"/>
      <w:lang w:val="en-GB"/>
    </w:rPr>
  </w:style>
  <w:style w:type="paragraph" w:customStyle="1" w:styleId="Noparagraphstyle">
    <w:name w:val="[No paragraph style]"/>
    <w:semiHidden/>
    <w:rsid w:val="0016089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6089A"/>
  </w:style>
  <w:style w:type="paragraph" w:customStyle="1" w:styleId="BodyText-CEA">
    <w:name w:val="Body Text - CEA"/>
    <w:basedOn w:val="Normlny"/>
    <w:semiHidden/>
    <w:rsid w:val="0016089A"/>
    <w:pPr>
      <w:autoSpaceDE w:val="0"/>
      <w:autoSpaceDN w:val="0"/>
      <w:adjustRightInd w:val="0"/>
      <w:spacing w:line="24" w:lineRule="atLeast"/>
      <w:jc w:val="right"/>
      <w:textAlignment w:val="center"/>
    </w:pPr>
    <w:rPr>
      <w:rFonts w:cs="Arial"/>
      <w:b/>
      <w:color w:val="034EA2"/>
      <w:w w:val="90"/>
      <w:sz w:val="16"/>
      <w:szCs w:val="16"/>
    </w:rPr>
  </w:style>
  <w:style w:type="character" w:styleId="Zstupntext">
    <w:name w:val="Placeholder Text"/>
    <w:basedOn w:val="Predvolenpsmoodseku"/>
    <w:uiPriority w:val="99"/>
    <w:semiHidden/>
    <w:rsid w:val="0016089A"/>
    <w:rPr>
      <w:color w:val="808080"/>
    </w:rPr>
  </w:style>
  <w:style w:type="paragraph" w:customStyle="1" w:styleId="CEADraft">
    <w:name w:val="CEA Draft"/>
    <w:basedOn w:val="Normlny"/>
    <w:semiHidden/>
    <w:qFormat/>
    <w:rsid w:val="0016089A"/>
    <w:pPr>
      <w:jc w:val="right"/>
    </w:pPr>
    <w:rPr>
      <w:rFonts w:cs="Arial"/>
      <w:b/>
      <w:color w:val="034EA2"/>
      <w:sz w:val="32"/>
      <w:szCs w:val="40"/>
    </w:rPr>
  </w:style>
  <w:style w:type="paragraph" w:customStyle="1" w:styleId="CEAFooterauthorinfo">
    <w:name w:val="CEA Footer (author info)"/>
    <w:basedOn w:val="Normlny"/>
    <w:semiHidden/>
    <w:qFormat/>
    <w:rsid w:val="0016089A"/>
    <w:pPr>
      <w:autoSpaceDE w:val="0"/>
      <w:autoSpaceDN w:val="0"/>
      <w:adjustRightInd w:val="0"/>
      <w:ind w:left="546"/>
      <w:textAlignment w:val="center"/>
    </w:pPr>
    <w:rPr>
      <w:rFonts w:cs="Arial"/>
      <w:b/>
      <w:color w:val="034EA2"/>
      <w:sz w:val="16"/>
      <w:szCs w:val="16"/>
    </w:rPr>
  </w:style>
  <w:style w:type="paragraph" w:customStyle="1" w:styleId="CEALabel">
    <w:name w:val="CEA Label"/>
    <w:basedOn w:val="Normlny"/>
    <w:semiHidden/>
    <w:qFormat/>
    <w:rsid w:val="0016089A"/>
    <w:pPr>
      <w:tabs>
        <w:tab w:val="right" w:pos="360"/>
        <w:tab w:val="left" w:pos="540"/>
      </w:tabs>
      <w:autoSpaceDE w:val="0"/>
      <w:autoSpaceDN w:val="0"/>
      <w:adjustRightInd w:val="0"/>
      <w:spacing w:before="30"/>
      <w:jc w:val="right"/>
      <w:textAlignment w:val="center"/>
    </w:pPr>
    <w:rPr>
      <w:rFonts w:cs="Arial"/>
      <w:b/>
      <w:color w:val="034EA2"/>
      <w:spacing w:val="-4"/>
      <w:w w:val="90"/>
      <w:sz w:val="16"/>
      <w:szCs w:val="16"/>
    </w:rPr>
  </w:style>
  <w:style w:type="paragraph" w:customStyle="1" w:styleId="CEASubjectLine">
    <w:name w:val="CEA Subject Line"/>
    <w:basedOn w:val="Normlny"/>
    <w:semiHidden/>
    <w:qFormat/>
    <w:rsid w:val="0016089A"/>
    <w:rPr>
      <w:rFonts w:cs="Arial"/>
      <w:b/>
      <w:szCs w:val="20"/>
    </w:rPr>
  </w:style>
  <w:style w:type="paragraph" w:customStyle="1" w:styleId="CEADocumentTitle">
    <w:name w:val="CEA Document Title"/>
    <w:basedOn w:val="Hlavika"/>
    <w:semiHidden/>
    <w:qFormat/>
    <w:rsid w:val="0016089A"/>
    <w:pPr>
      <w:tabs>
        <w:tab w:val="clear" w:pos="4320"/>
        <w:tab w:val="clear" w:pos="8640"/>
        <w:tab w:val="center" w:pos="0"/>
        <w:tab w:val="right" w:pos="10440"/>
      </w:tabs>
      <w:jc w:val="right"/>
    </w:pPr>
    <w:rPr>
      <w:b/>
      <w:noProof/>
      <w:color w:val="034EA2"/>
      <w:sz w:val="40"/>
      <w:szCs w:val="40"/>
      <w:lang w:eastAsia="nl-NL"/>
    </w:rPr>
  </w:style>
  <w:style w:type="paragraph" w:customStyle="1" w:styleId="CEAStandardHeading">
    <w:name w:val="CEA Standard Heading"/>
    <w:basedOn w:val="Normlny"/>
    <w:qFormat/>
    <w:rsid w:val="0016089A"/>
    <w:pPr>
      <w:autoSpaceDE w:val="0"/>
      <w:autoSpaceDN w:val="0"/>
      <w:adjustRightInd w:val="0"/>
      <w:textAlignment w:val="center"/>
    </w:pPr>
    <w:rPr>
      <w:rFonts w:cs="Arial"/>
      <w:color w:val="002957"/>
      <w:szCs w:val="22"/>
    </w:rPr>
  </w:style>
  <w:style w:type="paragraph" w:styleId="Textbubliny">
    <w:name w:val="Balloon Text"/>
    <w:basedOn w:val="Normlny"/>
    <w:link w:val="TextbublinyChar"/>
    <w:uiPriority w:val="99"/>
    <w:semiHidden/>
    <w:unhideWhenUsed/>
    <w:rsid w:val="0016089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6089A"/>
    <w:rPr>
      <w:rFonts w:ascii="Tahoma" w:eastAsia="Times New Roman" w:hAnsi="Tahoma" w:cs="Tahoma"/>
      <w:sz w:val="16"/>
      <w:szCs w:val="16"/>
      <w:lang w:val="en-GB"/>
    </w:rPr>
  </w:style>
  <w:style w:type="paragraph" w:customStyle="1" w:styleId="CEABullet-Level1">
    <w:name w:val="CEA Bullet - Level 1"/>
    <w:basedOn w:val="Normlny"/>
    <w:qFormat/>
    <w:rsid w:val="001969B9"/>
    <w:pPr>
      <w:numPr>
        <w:numId w:val="1"/>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1969B9"/>
    <w:pPr>
      <w:numPr>
        <w:numId w:val="2"/>
      </w:numPr>
    </w:pPr>
  </w:style>
  <w:style w:type="paragraph" w:customStyle="1" w:styleId="CEABullet-Level3">
    <w:name w:val="CEA Bullet - Level 3"/>
    <w:basedOn w:val="Normlny"/>
    <w:qFormat/>
    <w:rsid w:val="001969B9"/>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1969B9"/>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969B9"/>
    <w:pPr>
      <w:jc w:val="right"/>
    </w:pPr>
    <w:rPr>
      <w:rFonts w:cs="Frutiger LT Std 55 Roman"/>
      <w:b/>
      <w:color w:val="0032FF"/>
      <w:sz w:val="40"/>
      <w:szCs w:val="40"/>
    </w:rPr>
  </w:style>
  <w:style w:type="paragraph" w:customStyle="1" w:styleId="CEAFootnote">
    <w:name w:val="CEA Footnote"/>
    <w:basedOn w:val="Normlny"/>
    <w:semiHidden/>
    <w:qFormat/>
    <w:rsid w:val="001969B9"/>
    <w:pPr>
      <w:spacing w:line="240" w:lineRule="auto"/>
    </w:pPr>
    <w:rPr>
      <w:sz w:val="16"/>
    </w:rPr>
  </w:style>
  <w:style w:type="character" w:customStyle="1" w:styleId="CEAGraphTitle">
    <w:name w:val="CEA Graph Title"/>
    <w:uiPriority w:val="1"/>
    <w:qFormat/>
    <w:rsid w:val="001969B9"/>
    <w:rPr>
      <w:rFonts w:ascii="Verdana" w:hAnsi="Verdana"/>
      <w:smallCaps w:val="0"/>
      <w:sz w:val="19"/>
      <w:lang w:val="en-GB"/>
    </w:rPr>
  </w:style>
  <w:style w:type="character" w:customStyle="1" w:styleId="CEAGraphX">
    <w:name w:val="CEA Graph X"/>
    <w:uiPriority w:val="1"/>
    <w:qFormat/>
    <w:rsid w:val="001969B9"/>
    <w:rPr>
      <w:rFonts w:ascii="Verdana" w:hAnsi="Verdana"/>
      <w:smallCaps/>
      <w:sz w:val="19"/>
      <w:lang w:val="en-GB"/>
    </w:rPr>
  </w:style>
  <w:style w:type="paragraph" w:customStyle="1" w:styleId="CEAPositionPaperTitle">
    <w:name w:val="CEA Position Paper Title"/>
    <w:basedOn w:val="Normlny"/>
    <w:semiHidden/>
    <w:qFormat/>
    <w:rsid w:val="001969B9"/>
    <w:pPr>
      <w:ind w:left="-27"/>
    </w:pPr>
    <w:rPr>
      <w:b/>
      <w:color w:val="034EA2"/>
      <w:sz w:val="32"/>
      <w:szCs w:val="32"/>
    </w:rPr>
  </w:style>
  <w:style w:type="paragraph" w:customStyle="1" w:styleId="CEAPressReleaseSubtitle">
    <w:name w:val="CEA Press Release Subtitle"/>
    <w:basedOn w:val="Normlny"/>
    <w:semiHidden/>
    <w:qFormat/>
    <w:rsid w:val="001969B9"/>
    <w:rPr>
      <w:sz w:val="22"/>
      <w:szCs w:val="22"/>
    </w:rPr>
  </w:style>
  <w:style w:type="paragraph" w:customStyle="1" w:styleId="CEAPressReleaseTitle">
    <w:name w:val="CEA Press Release Title"/>
    <w:basedOn w:val="Normlny"/>
    <w:semiHidden/>
    <w:qFormat/>
    <w:rsid w:val="001969B9"/>
    <w:pPr>
      <w:autoSpaceDE w:val="0"/>
      <w:autoSpaceDN w:val="0"/>
      <w:adjustRightInd w:val="0"/>
      <w:spacing w:line="240" w:lineRule="auto"/>
    </w:pPr>
    <w:rPr>
      <w:rFonts w:ascii="Frutiger LT Com 45 Light" w:hAnsi="Frutiger LT Com 45 Light"/>
      <w:b/>
      <w:color w:val="034EA2"/>
      <w:sz w:val="36"/>
      <w:szCs w:val="36"/>
    </w:rPr>
  </w:style>
  <w:style w:type="table" w:styleId="Mriekatabuky">
    <w:name w:val="Table Grid"/>
    <w:basedOn w:val="Normlnatabuka"/>
    <w:uiPriority w:val="59"/>
    <w:rsid w:val="00C0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F764D1"/>
    <w:pPr>
      <w:spacing w:line="240" w:lineRule="auto"/>
      <w:ind w:left="720"/>
      <w:jc w:val="left"/>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766074">
      <w:bodyDiv w:val="1"/>
      <w:marLeft w:val="0"/>
      <w:marRight w:val="0"/>
      <w:marTop w:val="0"/>
      <w:marBottom w:val="0"/>
      <w:divBdr>
        <w:top w:val="none" w:sz="0" w:space="0" w:color="auto"/>
        <w:left w:val="none" w:sz="0" w:space="0" w:color="auto"/>
        <w:bottom w:val="none" w:sz="0" w:space="0" w:color="auto"/>
        <w:right w:val="none" w:sz="0" w:space="0" w:color="auto"/>
      </w:divBdr>
    </w:div>
    <w:div w:id="134073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4EF38CAE9A4F80AF2F6FA01859F6AD"/>
        <w:category>
          <w:name w:val="General"/>
          <w:gallery w:val="placeholder"/>
        </w:category>
        <w:types>
          <w:type w:val="bbPlcHdr"/>
        </w:types>
        <w:behaviors>
          <w:behavior w:val="content"/>
        </w:behaviors>
        <w:guid w:val="{728CBCCC-8DFB-4F0E-A3A0-D9B9750E4ED6}"/>
      </w:docPartPr>
      <w:docPartBody>
        <w:p w:rsidR="00D92B7A" w:rsidRDefault="005F6EC7" w:rsidP="005F6EC7">
          <w:pPr>
            <w:pStyle w:val="584EF38CAE9A4F80AF2F6FA01859F6AD"/>
          </w:pPr>
          <w:r w:rsidRPr="00714930">
            <w:rPr>
              <w:rStyle w:val="Zstupntext"/>
            </w:rPr>
            <w:t>[Reference]</w:t>
          </w:r>
        </w:p>
      </w:docPartBody>
    </w:docPart>
    <w:docPart>
      <w:docPartPr>
        <w:name w:val="DefaultPlaceholder_-1854013440"/>
        <w:category>
          <w:name w:val="General"/>
          <w:gallery w:val="placeholder"/>
        </w:category>
        <w:types>
          <w:type w:val="bbPlcHdr"/>
        </w:types>
        <w:behaviors>
          <w:behavior w:val="content"/>
        </w:behaviors>
        <w:guid w:val="{350E5685-6C96-4FE6-872F-19F6FA4E2ADB}"/>
      </w:docPartPr>
      <w:docPartBody>
        <w:p w:rsidR="003278DF" w:rsidRDefault="005901AA">
          <w:r w:rsidRPr="008C7EE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Frutiger LT Std 45 Light">
    <w:altName w:val="Leelawadee UI Semilight"/>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EC7"/>
    <w:rsid w:val="00125A37"/>
    <w:rsid w:val="00157260"/>
    <w:rsid w:val="001F0766"/>
    <w:rsid w:val="003278DF"/>
    <w:rsid w:val="003C10C7"/>
    <w:rsid w:val="003E28DA"/>
    <w:rsid w:val="004427E9"/>
    <w:rsid w:val="0054070F"/>
    <w:rsid w:val="005901AA"/>
    <w:rsid w:val="005D21B1"/>
    <w:rsid w:val="005F6EC7"/>
    <w:rsid w:val="006704B4"/>
    <w:rsid w:val="00756109"/>
    <w:rsid w:val="00931FEF"/>
    <w:rsid w:val="00981EE1"/>
    <w:rsid w:val="009A5F5F"/>
    <w:rsid w:val="009D348E"/>
    <w:rsid w:val="009E0A14"/>
    <w:rsid w:val="00A467DB"/>
    <w:rsid w:val="00A47A5F"/>
    <w:rsid w:val="00AB1078"/>
    <w:rsid w:val="00B16236"/>
    <w:rsid w:val="00B17031"/>
    <w:rsid w:val="00BC5215"/>
    <w:rsid w:val="00C67B6A"/>
    <w:rsid w:val="00C96AA8"/>
    <w:rsid w:val="00CC0E72"/>
    <w:rsid w:val="00CF4325"/>
    <w:rsid w:val="00D92B7A"/>
    <w:rsid w:val="00DE0B96"/>
    <w:rsid w:val="00E30A5C"/>
    <w:rsid w:val="00F674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5901AA"/>
    <w:rPr>
      <w:color w:val="808080"/>
    </w:rPr>
  </w:style>
  <w:style w:type="paragraph" w:customStyle="1" w:styleId="584EF38CAE9A4F80AF2F6FA01859F6AD">
    <w:name w:val="584EF38CAE9A4F80AF2F6FA01859F6AD"/>
    <w:rsid w:val="005F6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2" ma:contentTypeDescription="Published Documents Content types for Insurance Europe" ma:contentTypeScope="" ma:versionID="684735056240bbc18f54e74bba908b1f">
  <xsd:schema xmlns:xsd="http://www.w3.org/2001/XMLSchema" xmlns:xs="http://www.w3.org/2001/XMLSchema" xmlns:p="http://schemas.microsoft.com/office/2006/metadata/properties" xmlns:ns2="d352728d-c7aa-455d-bd83-40fe44122be8" targetNamespace="http://schemas.microsoft.com/office/2006/metadata/properties" ma:root="true" ma:fieldsID="7318338eec0ffa23ad0f6e13c74328bf"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adline xmlns="d352728d-c7aa-455d-bd83-40fe44122be8" xsi:nil="true"/>
    <Type_x0020_of_x0020_document xmlns="d352728d-c7aa-455d-bd83-40fe44122be8" xsi:nil="true"/>
    <Type_x0020_of_x0020_memo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Props1.xml><?xml version="1.0" encoding="utf-8"?>
<ds:datastoreItem xmlns:ds="http://schemas.openxmlformats.org/officeDocument/2006/customXml" ds:itemID="{DFBBD9E2-18B1-4CE2-BC33-768DF3C5D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E09D75-F009-4B9E-BD47-BE2B6EEE60FD}">
  <ds:schemaRefs>
    <ds:schemaRef ds:uri="http://schemas.openxmlformats.org/officeDocument/2006/bibliography"/>
  </ds:schemaRefs>
</ds:datastoreItem>
</file>

<file path=customXml/itemProps3.xml><?xml version="1.0" encoding="utf-8"?>
<ds:datastoreItem xmlns:ds="http://schemas.openxmlformats.org/officeDocument/2006/customXml" ds:itemID="{80D543F7-D990-4A6E-8CB8-19DE2D01605D}">
  <ds:schemaRefs>
    <ds:schemaRef ds:uri="http://schemas.microsoft.com/sharepoint/v3/contenttype/forms"/>
  </ds:schemaRefs>
</ds:datastoreItem>
</file>

<file path=customXml/itemProps4.xml><?xml version="1.0" encoding="utf-8"?>
<ds:datastoreItem xmlns:ds="http://schemas.openxmlformats.org/officeDocument/2006/customXml" ds:itemID="{16BE8AC2-BC04-484A-AE5F-6753D3DE5469}">
  <ds:schemaRefs>
    <ds:schemaRef ds:uri="http://www.w3.org/XML/1998/namespace"/>
    <ds:schemaRef ds:uri="http://schemas.microsoft.com/office/2006/documentManagement/types"/>
    <ds:schemaRef ds:uri="d352728d-c7aa-455d-bd83-40fe44122be8"/>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412</Words>
  <Characters>2354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Insurance Europe</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French Presidency draft compromise on Reporting and Disclosure and Quality of Supervision</dc:title>
  <dc:subject/>
  <dc:creator>Insurance Europe</dc:creator>
  <cp:keywords/>
  <cp:lastModifiedBy>jozef.bachnicek</cp:lastModifiedBy>
  <cp:revision>2</cp:revision>
  <dcterms:created xsi:type="dcterms:W3CDTF">2022-02-23T09:52:00Z</dcterms:created>
  <dcterms:modified xsi:type="dcterms:W3CDTF">2022-02-23T09:52:00Z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0x0101007A2A1B97D27D6A4C90B6022E1624614C</vt:lpwstr>
  </property>
  <property fmtid="{D5CDD505-2E9C-101B-9397-08002B2CF9AE}" pid="3" name="_dlc_DocIdItemGuid">
    <vt:lpwstr>807015e5-4965-44a9-a54b-51b6e9b5700a</vt:lpwstr>
  </property>
  <property fmtid="{D5CDD505-2E9C-101B-9397-08002B2CF9AE}" pid="4" name="Order">
    <vt:r8>7197200</vt:r8>
  </property>
  <property fmtid="{D5CDD505-2E9C-101B-9397-08002B2CF9AE}" pid="5" name="Year">
    <vt:lpwstr>2022</vt:lpwstr>
  </property>
  <property fmtid="{D5CDD505-2E9C-101B-9397-08002B2CF9AE}" pid="6" name="xd_Signature">
    <vt:bool>false</vt:bool>
  </property>
  <property fmtid="{D5CDD505-2E9C-101B-9397-08002B2CF9AE}" pid="7" name="xd_ProgID">
    <vt:lpwstr/>
  </property>
  <property fmtid="{D5CDD505-2E9C-101B-9397-08002B2CF9AE}" pid="8" name="Reference">
    <vt:lpwstr>ECO-SLV-22-084</vt:lpwstr>
  </property>
  <property fmtid="{D5CDD505-2E9C-101B-9397-08002B2CF9AE}" pid="9" name="ComplianceAssetId">
    <vt:lpwstr/>
  </property>
  <property fmtid="{D5CDD505-2E9C-101B-9397-08002B2CF9AE}" pid="10" name="TemplateUrl">
    <vt:lpwstr/>
  </property>
  <property fmtid="{D5CDD505-2E9C-101B-9397-08002B2CF9AE}" pid="11" name="Document type">
    <vt:lpwstr>Memo for Info</vt:lpwstr>
  </property>
  <property fmtid="{D5CDD505-2E9C-101B-9397-08002B2CF9AE}" pid="12" name="_ExtendedDescription">
    <vt:lpwstr/>
  </property>
  <property fmtid="{D5CDD505-2E9C-101B-9397-08002B2CF9AE}" pid="13" name="TriggerFlowInfo">
    <vt:lpwstr/>
  </property>
</Properties>
</file>