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9136" w14:textId="54F28392" w:rsidR="00C606E5" w:rsidRDefault="00C606E5" w:rsidP="00C606E5">
      <w:pPr>
        <w:shd w:val="clear" w:color="auto" w:fill="DBE5F1" w:themeFill="accent1" w:themeFillTint="33"/>
        <w:ind w:left="-284" w:right="-2015" w:firstLine="142"/>
        <w:rPr>
          <w:b/>
          <w:bCs/>
        </w:rPr>
      </w:pPr>
      <w:r>
        <w:rPr>
          <w:b/>
          <w:bCs/>
        </w:rPr>
        <w:t>Detailed assessment of Solvency II Amendments</w:t>
      </w:r>
      <w:r w:rsidR="00FF30EE">
        <w:rPr>
          <w:b/>
          <w:bCs/>
        </w:rPr>
        <w:t xml:space="preserve"> </w:t>
      </w:r>
      <w:r w:rsidR="007056BF">
        <w:rPr>
          <w:b/>
          <w:bCs/>
        </w:rPr>
        <w:t>59</w:t>
      </w:r>
      <w:r w:rsidR="00333450">
        <w:rPr>
          <w:b/>
          <w:bCs/>
        </w:rPr>
        <w:t>7-804</w:t>
      </w:r>
    </w:p>
    <w:p w14:paraId="4A249AA2" w14:textId="56623D8E" w:rsidR="00C606E5" w:rsidRPr="00614849" w:rsidRDefault="00C606E5" w:rsidP="00C606E5">
      <w:pPr>
        <w:autoSpaceDE w:val="0"/>
        <w:autoSpaceDN w:val="0"/>
        <w:adjustRightInd w:val="0"/>
        <w:rPr>
          <w:szCs w:val="17"/>
        </w:rPr>
      </w:pPr>
    </w:p>
    <w:tbl>
      <w:tblPr>
        <w:tblStyle w:val="Mriekatabuky"/>
        <w:tblW w:w="14743" w:type="dxa"/>
        <w:tblInd w:w="-176" w:type="dxa"/>
        <w:tblLayout w:type="fixed"/>
        <w:tblLook w:val="04A0" w:firstRow="1" w:lastRow="0" w:firstColumn="1" w:lastColumn="0" w:noHBand="0" w:noVBand="1"/>
      </w:tblPr>
      <w:tblGrid>
        <w:gridCol w:w="679"/>
        <w:gridCol w:w="1866"/>
        <w:gridCol w:w="5964"/>
        <w:gridCol w:w="1865"/>
        <w:gridCol w:w="2483"/>
        <w:gridCol w:w="1886"/>
      </w:tblGrid>
      <w:tr w:rsidR="00B451B6" w:rsidRPr="002F01EF" w14:paraId="4C7983AA" w14:textId="77777777" w:rsidTr="00AB3B37">
        <w:trPr>
          <w:trHeight w:val="499"/>
        </w:trPr>
        <w:tc>
          <w:tcPr>
            <w:tcW w:w="679" w:type="dxa"/>
            <w:shd w:val="clear" w:color="auto" w:fill="595959" w:themeFill="text1" w:themeFillTint="A6"/>
            <w:vAlign w:val="center"/>
          </w:tcPr>
          <w:p w14:paraId="794D26C5" w14:textId="77777777" w:rsidR="00C606E5" w:rsidRPr="002F01EF" w:rsidRDefault="00C606E5" w:rsidP="00AB3B37">
            <w:pPr>
              <w:jc w:val="center"/>
              <w:rPr>
                <w:b/>
                <w:color w:val="FFFFFF" w:themeColor="background1"/>
                <w:szCs w:val="17"/>
              </w:rPr>
            </w:pPr>
            <w:r w:rsidRPr="002F01EF">
              <w:rPr>
                <w:b/>
                <w:color w:val="FFFFFF" w:themeColor="background1"/>
                <w:szCs w:val="17"/>
              </w:rPr>
              <w:t>AM number</w:t>
            </w:r>
          </w:p>
        </w:tc>
        <w:tc>
          <w:tcPr>
            <w:tcW w:w="1866" w:type="dxa"/>
            <w:shd w:val="clear" w:color="auto" w:fill="595959" w:themeFill="text1" w:themeFillTint="A6"/>
            <w:vAlign w:val="center"/>
          </w:tcPr>
          <w:p w14:paraId="1FD53F51" w14:textId="77777777" w:rsidR="00C606E5" w:rsidRPr="002F01EF" w:rsidRDefault="00C606E5" w:rsidP="00AB3B37">
            <w:pPr>
              <w:jc w:val="center"/>
              <w:rPr>
                <w:b/>
                <w:color w:val="FFFFFF" w:themeColor="background1"/>
                <w:szCs w:val="17"/>
              </w:rPr>
            </w:pPr>
            <w:r w:rsidRPr="002F01EF">
              <w:rPr>
                <w:b/>
                <w:color w:val="FFFFFF" w:themeColor="background1"/>
                <w:szCs w:val="17"/>
              </w:rPr>
              <w:t>Recital/Article Number</w:t>
            </w:r>
          </w:p>
        </w:tc>
        <w:tc>
          <w:tcPr>
            <w:tcW w:w="5964" w:type="dxa"/>
            <w:shd w:val="clear" w:color="auto" w:fill="595959" w:themeFill="text1" w:themeFillTint="A6"/>
            <w:vAlign w:val="center"/>
          </w:tcPr>
          <w:p w14:paraId="52EAC1B1" w14:textId="77777777" w:rsidR="00C606E5" w:rsidRPr="002F01EF" w:rsidRDefault="00C606E5" w:rsidP="00AB3B37">
            <w:pPr>
              <w:jc w:val="center"/>
              <w:rPr>
                <w:b/>
                <w:color w:val="FFFFFF" w:themeColor="background1"/>
                <w:szCs w:val="17"/>
              </w:rPr>
            </w:pPr>
            <w:r w:rsidRPr="002F01EF">
              <w:rPr>
                <w:b/>
                <w:color w:val="FFFFFF" w:themeColor="background1"/>
                <w:szCs w:val="17"/>
              </w:rPr>
              <w:t>Amendment description</w:t>
            </w:r>
          </w:p>
        </w:tc>
        <w:tc>
          <w:tcPr>
            <w:tcW w:w="1865" w:type="dxa"/>
            <w:shd w:val="clear" w:color="auto" w:fill="595959" w:themeFill="text1" w:themeFillTint="A6"/>
            <w:vAlign w:val="center"/>
          </w:tcPr>
          <w:p w14:paraId="13159725" w14:textId="77777777" w:rsidR="00C606E5" w:rsidRPr="002F01EF" w:rsidRDefault="00C606E5" w:rsidP="00AB3B37">
            <w:pPr>
              <w:jc w:val="center"/>
              <w:rPr>
                <w:b/>
                <w:color w:val="FFFFFF" w:themeColor="background1"/>
                <w:szCs w:val="17"/>
              </w:rPr>
            </w:pPr>
            <w:r w:rsidRPr="002F01EF">
              <w:rPr>
                <w:b/>
                <w:color w:val="FFFFFF" w:themeColor="background1"/>
                <w:szCs w:val="17"/>
              </w:rPr>
              <w:t>Proposed by</w:t>
            </w:r>
          </w:p>
        </w:tc>
        <w:tc>
          <w:tcPr>
            <w:tcW w:w="2483" w:type="dxa"/>
            <w:shd w:val="clear" w:color="auto" w:fill="595959" w:themeFill="text1" w:themeFillTint="A6"/>
            <w:vAlign w:val="center"/>
          </w:tcPr>
          <w:p w14:paraId="3E5412E0" w14:textId="77777777" w:rsidR="00C606E5" w:rsidRPr="002F01EF" w:rsidRDefault="00C606E5" w:rsidP="00AB3B37">
            <w:pPr>
              <w:jc w:val="center"/>
              <w:rPr>
                <w:b/>
                <w:color w:val="FFFFFF" w:themeColor="background1"/>
                <w:szCs w:val="17"/>
              </w:rPr>
            </w:pPr>
            <w:r w:rsidRPr="002F01EF">
              <w:rPr>
                <w:b/>
                <w:color w:val="FFFFFF" w:themeColor="background1"/>
                <w:szCs w:val="17"/>
              </w:rPr>
              <w:t>Area</w:t>
            </w:r>
          </w:p>
        </w:tc>
        <w:tc>
          <w:tcPr>
            <w:tcW w:w="1886" w:type="dxa"/>
            <w:shd w:val="clear" w:color="auto" w:fill="595959" w:themeFill="text1" w:themeFillTint="A6"/>
            <w:vAlign w:val="center"/>
          </w:tcPr>
          <w:p w14:paraId="3A64EA33" w14:textId="77777777" w:rsidR="00C606E5" w:rsidRPr="002F01EF" w:rsidRDefault="00C606E5" w:rsidP="00AB3B37">
            <w:pPr>
              <w:jc w:val="center"/>
              <w:rPr>
                <w:b/>
                <w:color w:val="FFFFFF" w:themeColor="background1"/>
                <w:szCs w:val="17"/>
              </w:rPr>
            </w:pPr>
            <w:r w:rsidRPr="002F01EF">
              <w:rPr>
                <w:b/>
                <w:color w:val="FFFFFF" w:themeColor="background1"/>
                <w:szCs w:val="17"/>
              </w:rPr>
              <w:t>Assessment</w:t>
            </w:r>
          </w:p>
        </w:tc>
      </w:tr>
      <w:tr w:rsidR="0072026D" w:rsidRPr="002F01EF" w14:paraId="59461D46" w14:textId="77777777" w:rsidTr="00AB3B37">
        <w:trPr>
          <w:trHeight w:val="499"/>
        </w:trPr>
        <w:tc>
          <w:tcPr>
            <w:tcW w:w="679" w:type="dxa"/>
            <w:shd w:val="clear" w:color="auto" w:fill="auto"/>
            <w:vAlign w:val="center"/>
          </w:tcPr>
          <w:p w14:paraId="5F765979" w14:textId="589C5501" w:rsidR="0072026D" w:rsidRPr="002F01EF" w:rsidRDefault="0072026D" w:rsidP="00AB3B37">
            <w:pPr>
              <w:jc w:val="center"/>
              <w:rPr>
                <w:bCs/>
                <w:szCs w:val="17"/>
              </w:rPr>
            </w:pPr>
            <w:r w:rsidRPr="002F01EF">
              <w:rPr>
                <w:bCs/>
                <w:szCs w:val="17"/>
              </w:rPr>
              <w:t>597</w:t>
            </w:r>
            <w:r w:rsidR="00EB17B9" w:rsidRPr="002F01EF">
              <w:rPr>
                <w:bCs/>
                <w:szCs w:val="17"/>
              </w:rPr>
              <w:t>, 598, 599, 600</w:t>
            </w:r>
          </w:p>
        </w:tc>
        <w:tc>
          <w:tcPr>
            <w:tcW w:w="1866" w:type="dxa"/>
            <w:shd w:val="clear" w:color="auto" w:fill="auto"/>
            <w:vAlign w:val="center"/>
          </w:tcPr>
          <w:p w14:paraId="4579B768" w14:textId="77777777" w:rsidR="004756B1" w:rsidRPr="002F01EF" w:rsidRDefault="004756B1" w:rsidP="00AB3B37">
            <w:pPr>
              <w:jc w:val="center"/>
            </w:pPr>
            <w:r w:rsidRPr="002F01EF">
              <w:rPr>
                <w:rStyle w:val="HideTWBExt"/>
              </w:rPr>
              <w:t>&lt;Article2&gt;</w:t>
            </w:r>
            <w:r w:rsidRPr="002F01EF">
              <w:t>Article 78 – point 3 a (new)</w:t>
            </w:r>
            <w:r w:rsidRPr="002F01EF">
              <w:rPr>
                <w:rStyle w:val="HideTWBExt"/>
              </w:rPr>
              <w:t>&lt;/Article2&gt;</w:t>
            </w:r>
          </w:p>
          <w:p w14:paraId="5A535391" w14:textId="77777777" w:rsidR="0072026D" w:rsidRPr="002F01EF" w:rsidRDefault="0072026D" w:rsidP="00AB3B37">
            <w:pPr>
              <w:jc w:val="center"/>
              <w:rPr>
                <w:bCs/>
                <w:szCs w:val="17"/>
              </w:rPr>
            </w:pPr>
          </w:p>
        </w:tc>
        <w:tc>
          <w:tcPr>
            <w:tcW w:w="5964" w:type="dxa"/>
            <w:shd w:val="clear" w:color="auto" w:fill="auto"/>
          </w:tcPr>
          <w:p w14:paraId="49B9CEFF" w14:textId="27BC70B1" w:rsidR="0072026D" w:rsidRPr="002F01EF" w:rsidRDefault="004756B1" w:rsidP="00AB3B37">
            <w:pPr>
              <w:jc w:val="left"/>
              <w:rPr>
                <w:bCs/>
                <w:szCs w:val="17"/>
              </w:rPr>
            </w:pPr>
            <w:r w:rsidRPr="002F01EF">
              <w:rPr>
                <w:bCs/>
                <w:szCs w:val="17"/>
              </w:rPr>
              <w:t xml:space="preserve">Added </w:t>
            </w:r>
            <w:r w:rsidR="00FF71B7" w:rsidRPr="002F01EF">
              <w:rPr>
                <w:bCs/>
                <w:szCs w:val="17"/>
              </w:rPr>
              <w:t xml:space="preserve">to ‘other elements to take into account when calculating TP’: </w:t>
            </w:r>
            <w:r w:rsidR="0014530C" w:rsidRPr="002F01EF">
              <w:rPr>
                <w:bCs/>
                <w:szCs w:val="17"/>
              </w:rPr>
              <w:t>qualitative/quantitative estimates of risk of loss or adverse changes in liabilities resulting from inadequate</w:t>
            </w:r>
            <w:r w:rsidR="009F6E71" w:rsidRPr="002F01EF">
              <w:rPr>
                <w:bCs/>
                <w:szCs w:val="17"/>
              </w:rPr>
              <w:t xml:space="preserve"> pricing/provisioning assumptions due to external/internal factors, including sustainability risks</w:t>
            </w:r>
          </w:p>
        </w:tc>
        <w:tc>
          <w:tcPr>
            <w:tcW w:w="1865" w:type="dxa"/>
            <w:shd w:val="clear" w:color="auto" w:fill="auto"/>
            <w:vAlign w:val="center"/>
          </w:tcPr>
          <w:p w14:paraId="7846E6FF" w14:textId="11804298" w:rsidR="0072026D" w:rsidRPr="002F01EF" w:rsidRDefault="00754041" w:rsidP="00AB3B37">
            <w:pPr>
              <w:jc w:val="center"/>
              <w:rPr>
                <w:bCs/>
                <w:szCs w:val="17"/>
              </w:rPr>
            </w:pPr>
            <w:proofErr w:type="spellStart"/>
            <w:r w:rsidRPr="002F01EF">
              <w:rPr>
                <w:bCs/>
                <w:szCs w:val="17"/>
              </w:rPr>
              <w:t>Lalucq</w:t>
            </w:r>
            <w:proofErr w:type="spellEnd"/>
            <w:r w:rsidR="00EB17B9" w:rsidRPr="002F01EF">
              <w:rPr>
                <w:bCs/>
                <w:szCs w:val="17"/>
              </w:rPr>
              <w:t>/Tang/Hahn/MacManus</w:t>
            </w:r>
          </w:p>
        </w:tc>
        <w:tc>
          <w:tcPr>
            <w:tcW w:w="2483" w:type="dxa"/>
            <w:shd w:val="clear" w:color="auto" w:fill="auto"/>
            <w:vAlign w:val="center"/>
          </w:tcPr>
          <w:p w14:paraId="5318C716" w14:textId="084EB99D" w:rsidR="0072026D" w:rsidRPr="002F01EF" w:rsidRDefault="009F6E71" w:rsidP="00AB3B37">
            <w:pPr>
              <w:jc w:val="center"/>
              <w:rPr>
                <w:bCs/>
                <w:szCs w:val="17"/>
              </w:rPr>
            </w:pPr>
            <w:r w:rsidRPr="002F01EF">
              <w:rPr>
                <w:bCs/>
                <w:szCs w:val="17"/>
              </w:rPr>
              <w:t>BE/Technical provisions/Sustainability</w:t>
            </w:r>
          </w:p>
        </w:tc>
        <w:tc>
          <w:tcPr>
            <w:tcW w:w="1886" w:type="dxa"/>
            <w:shd w:val="clear" w:color="auto" w:fill="auto"/>
            <w:vAlign w:val="center"/>
          </w:tcPr>
          <w:p w14:paraId="789A79F8" w14:textId="6DCC8980" w:rsidR="0072026D" w:rsidRPr="002F01EF" w:rsidRDefault="00AB3B37" w:rsidP="00AB3B37">
            <w:pPr>
              <w:jc w:val="center"/>
              <w:rPr>
                <w:bCs/>
                <w:szCs w:val="17"/>
              </w:rPr>
            </w:pPr>
            <w:r w:rsidRPr="002F01EF">
              <w:rPr>
                <w:b/>
                <w:color w:val="FF0000"/>
                <w:szCs w:val="17"/>
              </w:rPr>
              <w:t>Negative</w:t>
            </w:r>
          </w:p>
        </w:tc>
      </w:tr>
      <w:tr w:rsidR="0072026D" w:rsidRPr="002F01EF" w14:paraId="2FEBCFE9" w14:textId="77777777" w:rsidTr="00AB3B37">
        <w:trPr>
          <w:trHeight w:val="499"/>
        </w:trPr>
        <w:tc>
          <w:tcPr>
            <w:tcW w:w="679" w:type="dxa"/>
            <w:shd w:val="clear" w:color="auto" w:fill="auto"/>
            <w:vAlign w:val="center"/>
          </w:tcPr>
          <w:p w14:paraId="3109DA15" w14:textId="519D02A0" w:rsidR="0072026D" w:rsidRPr="002F01EF" w:rsidRDefault="00E26870" w:rsidP="00AB3B37">
            <w:pPr>
              <w:jc w:val="center"/>
              <w:rPr>
                <w:bCs/>
                <w:szCs w:val="17"/>
              </w:rPr>
            </w:pPr>
            <w:r w:rsidRPr="002F01EF">
              <w:rPr>
                <w:bCs/>
                <w:szCs w:val="17"/>
              </w:rPr>
              <w:t>601</w:t>
            </w:r>
          </w:p>
        </w:tc>
        <w:tc>
          <w:tcPr>
            <w:tcW w:w="1866" w:type="dxa"/>
            <w:shd w:val="clear" w:color="auto" w:fill="auto"/>
            <w:vAlign w:val="center"/>
          </w:tcPr>
          <w:p w14:paraId="3562CFDC" w14:textId="77777777" w:rsidR="00F45A08" w:rsidRPr="002E30E3" w:rsidRDefault="00F45A08" w:rsidP="00AB3B37">
            <w:pPr>
              <w:jc w:val="center"/>
              <w:rPr>
                <w:lang w:val="fr-BE"/>
              </w:rPr>
            </w:pPr>
            <w:r w:rsidRPr="002E30E3">
              <w:rPr>
                <w:rStyle w:val="HideTWBExt"/>
                <w:lang w:val="fr-BE"/>
              </w:rPr>
              <w:t>&lt;Article2&gt;</w:t>
            </w:r>
            <w:r w:rsidRPr="002E30E3">
              <w:rPr>
                <w:lang w:val="fr-BE"/>
              </w:rPr>
              <w:t>Article 86 – paragraph 1 – point b – point i</w:t>
            </w:r>
            <w:r w:rsidRPr="002E30E3">
              <w:rPr>
                <w:rStyle w:val="HideTWBExt"/>
                <w:lang w:val="fr-BE"/>
              </w:rPr>
              <w:t>&lt;/Article2&gt;</w:t>
            </w:r>
          </w:p>
          <w:p w14:paraId="6200264D" w14:textId="77777777" w:rsidR="0072026D" w:rsidRPr="002E30E3" w:rsidRDefault="0072026D" w:rsidP="00AB3B37">
            <w:pPr>
              <w:jc w:val="center"/>
              <w:rPr>
                <w:szCs w:val="17"/>
                <w:lang w:val="fr-BE"/>
              </w:rPr>
            </w:pPr>
          </w:p>
        </w:tc>
        <w:tc>
          <w:tcPr>
            <w:tcW w:w="5964" w:type="dxa"/>
            <w:shd w:val="clear" w:color="auto" w:fill="auto"/>
          </w:tcPr>
          <w:p w14:paraId="3ACA4D89" w14:textId="4C2BCFAA" w:rsidR="0072026D" w:rsidRPr="002F01EF" w:rsidRDefault="00F45A08" w:rsidP="00AB3B37">
            <w:pPr>
              <w:jc w:val="left"/>
              <w:rPr>
                <w:bCs/>
                <w:szCs w:val="17"/>
              </w:rPr>
            </w:pPr>
            <w:r w:rsidRPr="002F01EF">
              <w:rPr>
                <w:bCs/>
                <w:szCs w:val="17"/>
              </w:rPr>
              <w:t xml:space="preserve">Added ‘in line with market consistent </w:t>
            </w:r>
            <w:r w:rsidR="007126D2" w:rsidRPr="002F01EF">
              <w:rPr>
                <w:bCs/>
                <w:szCs w:val="17"/>
              </w:rPr>
              <w:t xml:space="preserve">valuation principle’ </w:t>
            </w:r>
            <w:r w:rsidR="00AA211E" w:rsidRPr="002F01EF">
              <w:rPr>
                <w:bCs/>
                <w:szCs w:val="17"/>
              </w:rPr>
              <w:t>(Provision to adopt DA/ITS)</w:t>
            </w:r>
          </w:p>
        </w:tc>
        <w:tc>
          <w:tcPr>
            <w:tcW w:w="1865" w:type="dxa"/>
            <w:shd w:val="clear" w:color="auto" w:fill="auto"/>
            <w:vAlign w:val="center"/>
          </w:tcPr>
          <w:p w14:paraId="7E0D5A61" w14:textId="22A837C8" w:rsidR="0072026D" w:rsidRPr="002F01EF" w:rsidRDefault="002C0044" w:rsidP="00AB3B37">
            <w:pPr>
              <w:jc w:val="center"/>
              <w:rPr>
                <w:bCs/>
                <w:szCs w:val="17"/>
              </w:rPr>
            </w:pPr>
            <w:proofErr w:type="spellStart"/>
            <w:r w:rsidRPr="002F01EF">
              <w:rPr>
                <w:bCs/>
                <w:szCs w:val="17"/>
              </w:rPr>
              <w:t>Heinäluoma</w:t>
            </w:r>
            <w:proofErr w:type="spellEnd"/>
            <w:r w:rsidRPr="002F01EF">
              <w:rPr>
                <w:bCs/>
                <w:szCs w:val="17"/>
              </w:rPr>
              <w:t xml:space="preserve">, Tang, Fernández, </w:t>
            </w:r>
            <w:proofErr w:type="spellStart"/>
            <w:r w:rsidRPr="002F01EF">
              <w:rPr>
                <w:bCs/>
                <w:szCs w:val="17"/>
              </w:rPr>
              <w:t>Lalucq</w:t>
            </w:r>
            <w:proofErr w:type="spellEnd"/>
          </w:p>
        </w:tc>
        <w:tc>
          <w:tcPr>
            <w:tcW w:w="2483" w:type="dxa"/>
            <w:shd w:val="clear" w:color="auto" w:fill="auto"/>
            <w:vAlign w:val="center"/>
          </w:tcPr>
          <w:p w14:paraId="615144BB" w14:textId="682D6BDF" w:rsidR="0072026D" w:rsidRPr="002F01EF" w:rsidRDefault="000B3441" w:rsidP="00AB3B37">
            <w:pPr>
              <w:jc w:val="center"/>
              <w:rPr>
                <w:bCs/>
                <w:szCs w:val="17"/>
              </w:rPr>
            </w:pPr>
            <w:r w:rsidRPr="002F01EF">
              <w:rPr>
                <w:bCs/>
                <w:szCs w:val="17"/>
              </w:rPr>
              <w:t>E</w:t>
            </w:r>
            <w:r w:rsidR="00F45A08" w:rsidRPr="002F01EF">
              <w:rPr>
                <w:bCs/>
                <w:szCs w:val="17"/>
              </w:rPr>
              <w:t>xtrapolation</w:t>
            </w:r>
          </w:p>
        </w:tc>
        <w:tc>
          <w:tcPr>
            <w:tcW w:w="1886" w:type="dxa"/>
            <w:shd w:val="clear" w:color="auto" w:fill="auto"/>
            <w:vAlign w:val="center"/>
          </w:tcPr>
          <w:p w14:paraId="05C69FC4" w14:textId="08CBCB90" w:rsidR="0072026D" w:rsidRPr="002F01EF" w:rsidRDefault="00AB3B37" w:rsidP="00AB3B37">
            <w:pPr>
              <w:jc w:val="center"/>
              <w:rPr>
                <w:bCs/>
                <w:szCs w:val="17"/>
              </w:rPr>
            </w:pPr>
            <w:r w:rsidRPr="002F01EF">
              <w:rPr>
                <w:b/>
                <w:color w:val="808080" w:themeColor="background1" w:themeShade="80"/>
                <w:szCs w:val="17"/>
              </w:rPr>
              <w:t>Neutral</w:t>
            </w:r>
          </w:p>
        </w:tc>
      </w:tr>
      <w:tr w:rsidR="0072026D" w:rsidRPr="002F01EF" w14:paraId="390E10A3" w14:textId="77777777" w:rsidTr="00AB3B37">
        <w:trPr>
          <w:trHeight w:val="499"/>
        </w:trPr>
        <w:tc>
          <w:tcPr>
            <w:tcW w:w="679" w:type="dxa"/>
            <w:shd w:val="clear" w:color="auto" w:fill="auto"/>
            <w:vAlign w:val="center"/>
          </w:tcPr>
          <w:p w14:paraId="70D372AA" w14:textId="3993D654" w:rsidR="0072026D" w:rsidRPr="002F01EF" w:rsidRDefault="00AA211E" w:rsidP="00AB3B37">
            <w:pPr>
              <w:jc w:val="center"/>
              <w:rPr>
                <w:bCs/>
                <w:szCs w:val="17"/>
              </w:rPr>
            </w:pPr>
            <w:r w:rsidRPr="002F01EF">
              <w:rPr>
                <w:bCs/>
                <w:szCs w:val="17"/>
              </w:rPr>
              <w:t>602</w:t>
            </w:r>
          </w:p>
        </w:tc>
        <w:tc>
          <w:tcPr>
            <w:tcW w:w="1866" w:type="dxa"/>
            <w:shd w:val="clear" w:color="auto" w:fill="auto"/>
            <w:vAlign w:val="center"/>
          </w:tcPr>
          <w:p w14:paraId="2202CD88" w14:textId="77777777" w:rsidR="0068766C" w:rsidRPr="002F01EF" w:rsidRDefault="0068766C" w:rsidP="00AB3B37">
            <w:pPr>
              <w:jc w:val="center"/>
            </w:pPr>
            <w:r w:rsidRPr="002F01EF">
              <w:rPr>
                <w:rStyle w:val="HideTWBExt"/>
              </w:rPr>
              <w:t>&lt;Article2&gt;</w:t>
            </w:r>
            <w:r w:rsidRPr="002F01EF">
              <w:t>Article 86 – paragraph 1 – point d</w:t>
            </w:r>
            <w:r w:rsidRPr="002F01EF">
              <w:rPr>
                <w:rStyle w:val="HideTWBExt"/>
              </w:rPr>
              <w:t>&lt;/Article2&gt;</w:t>
            </w:r>
          </w:p>
          <w:p w14:paraId="7AE2DF9C" w14:textId="77777777" w:rsidR="0072026D" w:rsidRPr="002F01EF" w:rsidRDefault="0072026D" w:rsidP="00AB3B37">
            <w:pPr>
              <w:jc w:val="center"/>
              <w:rPr>
                <w:bCs/>
                <w:szCs w:val="17"/>
              </w:rPr>
            </w:pPr>
          </w:p>
        </w:tc>
        <w:tc>
          <w:tcPr>
            <w:tcW w:w="5964" w:type="dxa"/>
            <w:shd w:val="clear" w:color="auto" w:fill="auto"/>
          </w:tcPr>
          <w:p w14:paraId="6CA96D9D" w14:textId="23FBE811" w:rsidR="0072026D" w:rsidRPr="002F01EF" w:rsidRDefault="0068766C" w:rsidP="00AB3B37">
            <w:pPr>
              <w:jc w:val="left"/>
              <w:rPr>
                <w:bCs/>
                <w:szCs w:val="17"/>
              </w:rPr>
            </w:pPr>
            <w:r w:rsidRPr="002F01EF">
              <w:rPr>
                <w:bCs/>
                <w:szCs w:val="17"/>
              </w:rPr>
              <w:t>CoC should not be lower than 5%</w:t>
            </w:r>
          </w:p>
        </w:tc>
        <w:tc>
          <w:tcPr>
            <w:tcW w:w="1865" w:type="dxa"/>
            <w:shd w:val="clear" w:color="auto" w:fill="auto"/>
            <w:vAlign w:val="center"/>
          </w:tcPr>
          <w:p w14:paraId="3ADF094F" w14:textId="00A8BC92" w:rsidR="0072026D" w:rsidRPr="002F01EF" w:rsidRDefault="009C32B6" w:rsidP="00AB3B37">
            <w:pPr>
              <w:jc w:val="center"/>
              <w:rPr>
                <w:bCs/>
                <w:szCs w:val="17"/>
              </w:rPr>
            </w:pPr>
            <w:proofErr w:type="spellStart"/>
            <w:r w:rsidRPr="002F01EF">
              <w:rPr>
                <w:bCs/>
                <w:szCs w:val="17"/>
              </w:rPr>
              <w:t>Heinäluoma</w:t>
            </w:r>
            <w:proofErr w:type="spellEnd"/>
            <w:r w:rsidRPr="002F01EF">
              <w:rPr>
                <w:bCs/>
                <w:szCs w:val="17"/>
              </w:rPr>
              <w:t xml:space="preserve">, Tang, Fernández, </w:t>
            </w:r>
            <w:proofErr w:type="spellStart"/>
            <w:r w:rsidRPr="002F01EF">
              <w:rPr>
                <w:bCs/>
                <w:szCs w:val="17"/>
              </w:rPr>
              <w:t>Lalucq</w:t>
            </w:r>
            <w:proofErr w:type="spellEnd"/>
          </w:p>
        </w:tc>
        <w:tc>
          <w:tcPr>
            <w:tcW w:w="2483" w:type="dxa"/>
            <w:shd w:val="clear" w:color="auto" w:fill="auto"/>
            <w:vAlign w:val="center"/>
          </w:tcPr>
          <w:p w14:paraId="1974FD7C" w14:textId="53C0A703" w:rsidR="0072026D" w:rsidRPr="002F01EF" w:rsidRDefault="0068766C" w:rsidP="00AB3B37">
            <w:pPr>
              <w:jc w:val="center"/>
              <w:rPr>
                <w:bCs/>
                <w:szCs w:val="17"/>
              </w:rPr>
            </w:pPr>
            <w:r w:rsidRPr="002F01EF">
              <w:rPr>
                <w:bCs/>
                <w:szCs w:val="17"/>
              </w:rPr>
              <w:t>Risk Margin</w:t>
            </w:r>
          </w:p>
        </w:tc>
        <w:tc>
          <w:tcPr>
            <w:tcW w:w="1886" w:type="dxa"/>
            <w:shd w:val="clear" w:color="auto" w:fill="auto"/>
            <w:vAlign w:val="center"/>
          </w:tcPr>
          <w:p w14:paraId="382D3319" w14:textId="4BC615CD" w:rsidR="0072026D" w:rsidRPr="002F01EF" w:rsidRDefault="00AB3B37" w:rsidP="00AB3B37">
            <w:pPr>
              <w:jc w:val="center"/>
              <w:rPr>
                <w:bCs/>
                <w:szCs w:val="17"/>
              </w:rPr>
            </w:pPr>
            <w:r w:rsidRPr="002F01EF">
              <w:rPr>
                <w:b/>
                <w:color w:val="FF0000"/>
                <w:szCs w:val="17"/>
              </w:rPr>
              <w:t>Negative</w:t>
            </w:r>
          </w:p>
        </w:tc>
      </w:tr>
      <w:tr w:rsidR="0072026D" w:rsidRPr="002F01EF" w14:paraId="2BDAFB2D" w14:textId="77777777" w:rsidTr="00AB3B37">
        <w:trPr>
          <w:trHeight w:val="499"/>
        </w:trPr>
        <w:tc>
          <w:tcPr>
            <w:tcW w:w="679" w:type="dxa"/>
            <w:shd w:val="clear" w:color="auto" w:fill="auto"/>
            <w:vAlign w:val="center"/>
          </w:tcPr>
          <w:p w14:paraId="61CE32E1" w14:textId="44977450" w:rsidR="0072026D" w:rsidRPr="002F01EF" w:rsidRDefault="00DD1ECA" w:rsidP="00AB3B37">
            <w:pPr>
              <w:jc w:val="center"/>
              <w:rPr>
                <w:bCs/>
                <w:szCs w:val="17"/>
              </w:rPr>
            </w:pPr>
            <w:r w:rsidRPr="002F01EF">
              <w:rPr>
                <w:bCs/>
                <w:szCs w:val="17"/>
              </w:rPr>
              <w:t>603</w:t>
            </w:r>
            <w:r w:rsidR="008E37D3" w:rsidRPr="002F01EF">
              <w:rPr>
                <w:bCs/>
                <w:szCs w:val="17"/>
              </w:rPr>
              <w:t>, 604, 605, 606</w:t>
            </w:r>
          </w:p>
        </w:tc>
        <w:tc>
          <w:tcPr>
            <w:tcW w:w="1866" w:type="dxa"/>
            <w:shd w:val="clear" w:color="auto" w:fill="auto"/>
            <w:vAlign w:val="center"/>
          </w:tcPr>
          <w:p w14:paraId="3E82C6AB" w14:textId="25C0FFEE" w:rsidR="0072026D" w:rsidRPr="0092408F" w:rsidRDefault="00B9697E" w:rsidP="00AB3B37">
            <w:pPr>
              <w:jc w:val="center"/>
              <w:rPr>
                <w:bCs/>
                <w:szCs w:val="17"/>
                <w:lang w:val="fr-FR"/>
              </w:rPr>
            </w:pPr>
            <w:r w:rsidRPr="0092408F">
              <w:rPr>
                <w:lang w:val="fr-FR"/>
              </w:rPr>
              <w:t>Article 86 – paragraph 1 – point i – point iii</w:t>
            </w:r>
          </w:p>
        </w:tc>
        <w:tc>
          <w:tcPr>
            <w:tcW w:w="5964" w:type="dxa"/>
            <w:shd w:val="clear" w:color="auto" w:fill="auto"/>
          </w:tcPr>
          <w:p w14:paraId="3A0C5B4C" w14:textId="065D97B6" w:rsidR="0072026D" w:rsidRPr="002F01EF" w:rsidRDefault="00B9697E" w:rsidP="00AB3B37">
            <w:pPr>
              <w:jc w:val="left"/>
              <w:rPr>
                <w:bCs/>
                <w:szCs w:val="17"/>
              </w:rPr>
            </w:pPr>
            <w:r w:rsidRPr="002F01EF">
              <w:rPr>
                <w:bCs/>
                <w:szCs w:val="17"/>
              </w:rPr>
              <w:t>Deleted</w:t>
            </w:r>
            <w:r w:rsidR="0025091F" w:rsidRPr="002F01EF">
              <w:rPr>
                <w:bCs/>
                <w:szCs w:val="17"/>
              </w:rPr>
              <w:t xml:space="preserve">: </w:t>
            </w:r>
            <w:r w:rsidR="00C930EB" w:rsidRPr="002F01EF">
              <w:rPr>
                <w:bCs/>
                <w:i/>
                <w:iCs/>
                <w:szCs w:val="17"/>
              </w:rPr>
              <w:t>“</w:t>
            </w:r>
            <w:r w:rsidR="0025091F" w:rsidRPr="002F01EF">
              <w:rPr>
                <w:bCs/>
                <w:i/>
                <w:iCs/>
                <w:szCs w:val="17"/>
              </w:rPr>
              <w:t>(iii)</w:t>
            </w:r>
            <w:r w:rsidR="0025091F" w:rsidRPr="002F01EF">
              <w:rPr>
                <w:bCs/>
                <w:i/>
                <w:iCs/>
                <w:szCs w:val="17"/>
              </w:rPr>
              <w:tab/>
              <w:t>for each relevant asset class, the percentage of the spread that represents the portion attributable to a realistic assessment of expected losses or unexpected credit or other risks of the assets as referred to in Article 77</w:t>
            </w:r>
            <w:proofErr w:type="gramStart"/>
            <w:r w:rsidR="0025091F" w:rsidRPr="002F01EF">
              <w:rPr>
                <w:bCs/>
                <w:i/>
                <w:iCs/>
                <w:szCs w:val="17"/>
              </w:rPr>
              <w:t>d(</w:t>
            </w:r>
            <w:proofErr w:type="gramEnd"/>
            <w:r w:rsidR="0025091F" w:rsidRPr="002F01EF">
              <w:rPr>
                <w:bCs/>
                <w:i/>
                <w:iCs/>
                <w:szCs w:val="17"/>
              </w:rPr>
              <w:t>3);</w:t>
            </w:r>
            <w:r w:rsidR="00C930EB" w:rsidRPr="002F01EF">
              <w:rPr>
                <w:bCs/>
                <w:i/>
                <w:iCs/>
                <w:szCs w:val="17"/>
              </w:rPr>
              <w:t>”</w:t>
            </w:r>
          </w:p>
        </w:tc>
        <w:tc>
          <w:tcPr>
            <w:tcW w:w="1865" w:type="dxa"/>
            <w:shd w:val="clear" w:color="auto" w:fill="auto"/>
            <w:vAlign w:val="center"/>
          </w:tcPr>
          <w:p w14:paraId="07174FE6" w14:textId="6B0B1B48" w:rsidR="0072026D" w:rsidRPr="002E30E3" w:rsidRDefault="00B9697E" w:rsidP="00AB3B37">
            <w:pPr>
              <w:jc w:val="center"/>
              <w:rPr>
                <w:szCs w:val="17"/>
                <w:lang w:val="it-IT"/>
              </w:rPr>
            </w:pPr>
            <w:r w:rsidRPr="002E30E3">
              <w:rPr>
                <w:szCs w:val="17"/>
                <w:lang w:val="it-IT"/>
              </w:rPr>
              <w:t>Zanni, Grant, Rinaldi</w:t>
            </w:r>
            <w:r w:rsidR="008E37D3" w:rsidRPr="002E30E3">
              <w:rPr>
                <w:szCs w:val="17"/>
                <w:lang w:val="it-IT"/>
              </w:rPr>
              <w:t>/Castaldo/Calenda/Fitto</w:t>
            </w:r>
          </w:p>
        </w:tc>
        <w:tc>
          <w:tcPr>
            <w:tcW w:w="2483" w:type="dxa"/>
            <w:shd w:val="clear" w:color="auto" w:fill="auto"/>
            <w:vAlign w:val="center"/>
          </w:tcPr>
          <w:p w14:paraId="2460E381" w14:textId="144EF127" w:rsidR="0072026D" w:rsidRPr="002F01EF" w:rsidRDefault="00C930EB" w:rsidP="00AB3B37">
            <w:pPr>
              <w:jc w:val="center"/>
              <w:rPr>
                <w:bCs/>
                <w:szCs w:val="17"/>
              </w:rPr>
            </w:pPr>
            <w:r w:rsidRPr="002F01EF">
              <w:rPr>
                <w:bCs/>
                <w:szCs w:val="17"/>
              </w:rPr>
              <w:t>VA</w:t>
            </w:r>
          </w:p>
        </w:tc>
        <w:tc>
          <w:tcPr>
            <w:tcW w:w="1886" w:type="dxa"/>
            <w:shd w:val="clear" w:color="auto" w:fill="auto"/>
            <w:vAlign w:val="center"/>
          </w:tcPr>
          <w:p w14:paraId="34048123" w14:textId="7D20F446" w:rsidR="0072026D" w:rsidRPr="002F01EF" w:rsidRDefault="00AB3B37" w:rsidP="00AB3B37">
            <w:pPr>
              <w:jc w:val="center"/>
              <w:rPr>
                <w:bCs/>
                <w:szCs w:val="17"/>
              </w:rPr>
            </w:pPr>
            <w:r w:rsidRPr="002F01EF">
              <w:rPr>
                <w:b/>
                <w:color w:val="00B050"/>
                <w:szCs w:val="17"/>
              </w:rPr>
              <w:t>Positive</w:t>
            </w:r>
          </w:p>
        </w:tc>
      </w:tr>
      <w:tr w:rsidR="0072026D" w:rsidRPr="002F01EF" w14:paraId="16EEAB21" w14:textId="77777777" w:rsidTr="00AB3B37">
        <w:trPr>
          <w:trHeight w:val="499"/>
        </w:trPr>
        <w:tc>
          <w:tcPr>
            <w:tcW w:w="679" w:type="dxa"/>
            <w:shd w:val="clear" w:color="auto" w:fill="auto"/>
            <w:vAlign w:val="center"/>
          </w:tcPr>
          <w:p w14:paraId="30B23AF3" w14:textId="716178E3" w:rsidR="0072026D" w:rsidRPr="002F01EF" w:rsidRDefault="00C22988" w:rsidP="00AB3B37">
            <w:pPr>
              <w:jc w:val="center"/>
              <w:rPr>
                <w:bCs/>
                <w:szCs w:val="17"/>
              </w:rPr>
            </w:pPr>
            <w:r w:rsidRPr="002F01EF">
              <w:rPr>
                <w:bCs/>
                <w:szCs w:val="17"/>
              </w:rPr>
              <w:t>607</w:t>
            </w:r>
          </w:p>
        </w:tc>
        <w:tc>
          <w:tcPr>
            <w:tcW w:w="1866" w:type="dxa"/>
            <w:shd w:val="clear" w:color="auto" w:fill="auto"/>
            <w:vAlign w:val="center"/>
          </w:tcPr>
          <w:p w14:paraId="408C54FE" w14:textId="1604CC66" w:rsidR="0072026D" w:rsidRPr="0092408F" w:rsidRDefault="00C22988" w:rsidP="00AB3B37">
            <w:pPr>
              <w:jc w:val="center"/>
              <w:rPr>
                <w:bCs/>
                <w:szCs w:val="17"/>
                <w:lang w:val="fr-FR"/>
              </w:rPr>
            </w:pPr>
            <w:r w:rsidRPr="0092408F">
              <w:rPr>
                <w:lang w:val="fr-FR"/>
              </w:rPr>
              <w:t>Article 86 – paragraph 1 – point i – point iii</w:t>
            </w:r>
          </w:p>
        </w:tc>
        <w:tc>
          <w:tcPr>
            <w:tcW w:w="5964" w:type="dxa"/>
            <w:shd w:val="clear" w:color="auto" w:fill="auto"/>
          </w:tcPr>
          <w:p w14:paraId="62A57082" w14:textId="15FF0230" w:rsidR="0072026D" w:rsidRPr="002F01EF" w:rsidRDefault="00C22988" w:rsidP="00AB3B37">
            <w:pPr>
              <w:jc w:val="left"/>
              <w:rPr>
                <w:bCs/>
                <w:szCs w:val="17"/>
              </w:rPr>
            </w:pPr>
            <w:r w:rsidRPr="002F01EF">
              <w:rPr>
                <w:bCs/>
                <w:szCs w:val="17"/>
              </w:rPr>
              <w:t xml:space="preserve">Specified that it should be the ‘long term average’ spread and </w:t>
            </w:r>
            <w:r w:rsidR="002608DC" w:rsidRPr="002F01EF">
              <w:rPr>
                <w:bCs/>
                <w:szCs w:val="17"/>
              </w:rPr>
              <w:t>that it should be consistent with the definition of the fundamental spread in Art 77</w:t>
            </w:r>
            <w:proofErr w:type="gramStart"/>
            <w:r w:rsidR="002608DC" w:rsidRPr="002F01EF">
              <w:rPr>
                <w:bCs/>
                <w:szCs w:val="17"/>
              </w:rPr>
              <w:t>c(</w:t>
            </w:r>
            <w:proofErr w:type="gramEnd"/>
            <w:r w:rsidR="002608DC" w:rsidRPr="002F01EF">
              <w:rPr>
                <w:bCs/>
                <w:szCs w:val="17"/>
              </w:rPr>
              <w:t>2)</w:t>
            </w:r>
          </w:p>
        </w:tc>
        <w:tc>
          <w:tcPr>
            <w:tcW w:w="1865" w:type="dxa"/>
            <w:shd w:val="clear" w:color="auto" w:fill="auto"/>
            <w:vAlign w:val="center"/>
          </w:tcPr>
          <w:p w14:paraId="7FDA1C11" w14:textId="1D002AAB" w:rsidR="0072026D" w:rsidRPr="002F01EF" w:rsidRDefault="00C22988" w:rsidP="00AB3B37">
            <w:pPr>
              <w:jc w:val="center"/>
              <w:rPr>
                <w:bCs/>
                <w:szCs w:val="17"/>
              </w:rPr>
            </w:pPr>
            <w:proofErr w:type="spellStart"/>
            <w:r w:rsidRPr="002F01EF">
              <w:rPr>
                <w:bCs/>
                <w:szCs w:val="17"/>
              </w:rPr>
              <w:t>Gualmini</w:t>
            </w:r>
            <w:proofErr w:type="spellEnd"/>
          </w:p>
        </w:tc>
        <w:tc>
          <w:tcPr>
            <w:tcW w:w="2483" w:type="dxa"/>
            <w:shd w:val="clear" w:color="auto" w:fill="auto"/>
            <w:vAlign w:val="center"/>
          </w:tcPr>
          <w:p w14:paraId="6D73A724" w14:textId="51228E64" w:rsidR="0072026D" w:rsidRPr="002F01EF" w:rsidRDefault="00C22988" w:rsidP="00AB3B37">
            <w:pPr>
              <w:jc w:val="center"/>
              <w:rPr>
                <w:bCs/>
                <w:szCs w:val="17"/>
              </w:rPr>
            </w:pPr>
            <w:r w:rsidRPr="002F01EF">
              <w:rPr>
                <w:bCs/>
                <w:szCs w:val="17"/>
              </w:rPr>
              <w:t>VA</w:t>
            </w:r>
          </w:p>
        </w:tc>
        <w:tc>
          <w:tcPr>
            <w:tcW w:w="1886" w:type="dxa"/>
            <w:shd w:val="clear" w:color="auto" w:fill="auto"/>
            <w:vAlign w:val="center"/>
          </w:tcPr>
          <w:p w14:paraId="08E010BC" w14:textId="5F666A20" w:rsidR="0072026D" w:rsidRPr="002F01EF" w:rsidRDefault="00E05108" w:rsidP="00AB3B37">
            <w:pPr>
              <w:jc w:val="center"/>
              <w:rPr>
                <w:bCs/>
                <w:szCs w:val="17"/>
              </w:rPr>
            </w:pPr>
            <w:r w:rsidRPr="002F01EF">
              <w:rPr>
                <w:b/>
                <w:color w:val="00B050"/>
                <w:szCs w:val="17"/>
              </w:rPr>
              <w:t>Positive</w:t>
            </w:r>
          </w:p>
        </w:tc>
      </w:tr>
      <w:tr w:rsidR="0072026D" w:rsidRPr="002F01EF" w14:paraId="62E13326" w14:textId="77777777" w:rsidTr="00AB3B37">
        <w:trPr>
          <w:trHeight w:val="499"/>
        </w:trPr>
        <w:tc>
          <w:tcPr>
            <w:tcW w:w="679" w:type="dxa"/>
            <w:shd w:val="clear" w:color="auto" w:fill="auto"/>
            <w:vAlign w:val="center"/>
          </w:tcPr>
          <w:p w14:paraId="0D998055" w14:textId="24F68420" w:rsidR="0072026D" w:rsidRPr="002F01EF" w:rsidRDefault="002608DC" w:rsidP="00AB3B37">
            <w:pPr>
              <w:jc w:val="center"/>
              <w:rPr>
                <w:bCs/>
                <w:szCs w:val="17"/>
              </w:rPr>
            </w:pPr>
            <w:r w:rsidRPr="002F01EF">
              <w:rPr>
                <w:bCs/>
                <w:szCs w:val="17"/>
              </w:rPr>
              <w:t>608</w:t>
            </w:r>
            <w:r w:rsidR="00C3259F" w:rsidRPr="002F01EF">
              <w:rPr>
                <w:bCs/>
                <w:szCs w:val="17"/>
              </w:rPr>
              <w:t>, 609, 610</w:t>
            </w:r>
            <w:r w:rsidR="002A4AE5" w:rsidRPr="002F01EF">
              <w:rPr>
                <w:bCs/>
                <w:szCs w:val="17"/>
              </w:rPr>
              <w:t>, 611</w:t>
            </w:r>
          </w:p>
        </w:tc>
        <w:tc>
          <w:tcPr>
            <w:tcW w:w="1866" w:type="dxa"/>
            <w:shd w:val="clear" w:color="auto" w:fill="auto"/>
            <w:vAlign w:val="center"/>
          </w:tcPr>
          <w:p w14:paraId="54DCEE08" w14:textId="3813450D" w:rsidR="0072026D" w:rsidRPr="002F01EF" w:rsidRDefault="00130DBA" w:rsidP="00AB3B37">
            <w:pPr>
              <w:jc w:val="center"/>
              <w:rPr>
                <w:bCs/>
                <w:szCs w:val="17"/>
              </w:rPr>
            </w:pPr>
            <w:r w:rsidRPr="002F01EF">
              <w:t>Article 92 – paragraph 1a – subparagraph 1</w:t>
            </w:r>
          </w:p>
        </w:tc>
        <w:tc>
          <w:tcPr>
            <w:tcW w:w="5964" w:type="dxa"/>
            <w:shd w:val="clear" w:color="auto" w:fill="auto"/>
          </w:tcPr>
          <w:p w14:paraId="3AA488BD" w14:textId="2481D752" w:rsidR="0072026D" w:rsidRPr="002F01EF" w:rsidRDefault="000E6E73" w:rsidP="00AB3B37">
            <w:pPr>
              <w:jc w:val="left"/>
              <w:rPr>
                <w:bCs/>
                <w:szCs w:val="17"/>
              </w:rPr>
            </w:pPr>
            <w:r w:rsidRPr="002F01EF">
              <w:rPr>
                <w:bCs/>
                <w:szCs w:val="17"/>
              </w:rPr>
              <w:t xml:space="preserve">Added </w:t>
            </w:r>
            <w:r w:rsidR="00E444BF" w:rsidRPr="002F01EF">
              <w:rPr>
                <w:bCs/>
                <w:i/>
                <w:iCs/>
                <w:szCs w:val="17"/>
              </w:rPr>
              <w:t>(ii) the market risk module to be applied by (re)insurers to the participations in credit and financial institutions not deducted pursuant to this Article.</w:t>
            </w:r>
          </w:p>
        </w:tc>
        <w:tc>
          <w:tcPr>
            <w:tcW w:w="1865" w:type="dxa"/>
            <w:shd w:val="clear" w:color="auto" w:fill="auto"/>
            <w:vAlign w:val="center"/>
          </w:tcPr>
          <w:p w14:paraId="551EA0B6" w14:textId="532DBE73" w:rsidR="0072026D" w:rsidRPr="005036B9" w:rsidRDefault="002608DC" w:rsidP="00AB3B37">
            <w:pPr>
              <w:jc w:val="center"/>
              <w:rPr>
                <w:bCs/>
                <w:szCs w:val="17"/>
                <w:lang w:val="es-ES"/>
              </w:rPr>
            </w:pPr>
            <w:r w:rsidRPr="005036B9">
              <w:rPr>
                <w:bCs/>
                <w:szCs w:val="17"/>
                <w:lang w:val="es-ES"/>
              </w:rPr>
              <w:t>Gualmini</w:t>
            </w:r>
            <w:r w:rsidR="00C3259F" w:rsidRPr="005036B9">
              <w:rPr>
                <w:bCs/>
                <w:szCs w:val="17"/>
                <w:lang w:val="es-ES"/>
              </w:rPr>
              <w:t xml:space="preserve">/ Zanni, Grant, Rinaldi/Tajani, </w:t>
            </w:r>
            <w:r w:rsidR="002A4AE5" w:rsidRPr="005036B9">
              <w:rPr>
                <w:bCs/>
                <w:szCs w:val="17"/>
                <w:lang w:val="es-ES"/>
              </w:rPr>
              <w:t>Dorfmann, Martusciello/Castaldo</w:t>
            </w:r>
          </w:p>
        </w:tc>
        <w:tc>
          <w:tcPr>
            <w:tcW w:w="2483" w:type="dxa"/>
            <w:shd w:val="clear" w:color="auto" w:fill="auto"/>
            <w:vAlign w:val="center"/>
          </w:tcPr>
          <w:p w14:paraId="13084F18" w14:textId="0836676B" w:rsidR="0072026D" w:rsidRPr="002F01EF" w:rsidRDefault="00C16367" w:rsidP="00AB3B37">
            <w:pPr>
              <w:jc w:val="center"/>
              <w:rPr>
                <w:bCs/>
                <w:szCs w:val="17"/>
              </w:rPr>
            </w:pPr>
            <w:r w:rsidRPr="002F01EF">
              <w:rPr>
                <w:bCs/>
                <w:szCs w:val="17"/>
              </w:rPr>
              <w:t>Treatment of participations in financ</w:t>
            </w:r>
            <w:r w:rsidR="00C3259F" w:rsidRPr="002F01EF">
              <w:rPr>
                <w:bCs/>
                <w:szCs w:val="17"/>
              </w:rPr>
              <w:t>ial/credit institutions</w:t>
            </w:r>
          </w:p>
        </w:tc>
        <w:tc>
          <w:tcPr>
            <w:tcW w:w="1886" w:type="dxa"/>
            <w:shd w:val="clear" w:color="auto" w:fill="auto"/>
            <w:vAlign w:val="center"/>
          </w:tcPr>
          <w:p w14:paraId="40CF118D" w14:textId="6B9048E2" w:rsidR="0072026D" w:rsidRPr="002F01EF" w:rsidRDefault="00C3259F" w:rsidP="00AB3B37">
            <w:pPr>
              <w:jc w:val="center"/>
              <w:rPr>
                <w:bCs/>
                <w:szCs w:val="17"/>
              </w:rPr>
            </w:pPr>
            <w:r w:rsidRPr="002F01EF">
              <w:rPr>
                <w:b/>
                <w:color w:val="808080" w:themeColor="background1" w:themeShade="80"/>
                <w:szCs w:val="17"/>
              </w:rPr>
              <w:t>Neutral</w:t>
            </w:r>
          </w:p>
        </w:tc>
      </w:tr>
      <w:tr w:rsidR="00954D94" w:rsidRPr="002F01EF" w14:paraId="1B7B4996" w14:textId="77777777" w:rsidTr="00AB3B37">
        <w:trPr>
          <w:trHeight w:val="499"/>
        </w:trPr>
        <w:tc>
          <w:tcPr>
            <w:tcW w:w="679" w:type="dxa"/>
            <w:shd w:val="clear" w:color="auto" w:fill="auto"/>
            <w:vAlign w:val="center"/>
          </w:tcPr>
          <w:p w14:paraId="777243A4" w14:textId="0361D038" w:rsidR="00954D94" w:rsidRPr="002F01EF" w:rsidRDefault="00954D94" w:rsidP="00AB3B37">
            <w:pPr>
              <w:jc w:val="center"/>
              <w:rPr>
                <w:bCs/>
                <w:szCs w:val="17"/>
              </w:rPr>
            </w:pPr>
            <w:r w:rsidRPr="002F01EF">
              <w:rPr>
                <w:bCs/>
                <w:szCs w:val="17"/>
              </w:rPr>
              <w:t>612</w:t>
            </w:r>
          </w:p>
        </w:tc>
        <w:tc>
          <w:tcPr>
            <w:tcW w:w="1866" w:type="dxa"/>
            <w:shd w:val="clear" w:color="auto" w:fill="auto"/>
            <w:vAlign w:val="center"/>
          </w:tcPr>
          <w:p w14:paraId="3482A00F" w14:textId="77777777" w:rsidR="00954D94" w:rsidRPr="002F01EF" w:rsidRDefault="00954D94" w:rsidP="00AB3B37">
            <w:pPr>
              <w:jc w:val="center"/>
            </w:pPr>
            <w:r w:rsidRPr="002F01EF">
              <w:rPr>
                <w:rStyle w:val="HideTWBExt"/>
              </w:rPr>
              <w:t>&lt;Article2&gt;</w:t>
            </w:r>
            <w:r w:rsidRPr="002F01EF">
              <w:t>Article 92 – paragraph 1a – subparagraph 1</w:t>
            </w:r>
            <w:r w:rsidRPr="002F01EF">
              <w:rPr>
                <w:rStyle w:val="HideTWBExt"/>
              </w:rPr>
              <w:t>&lt;/Article2&gt;</w:t>
            </w:r>
          </w:p>
          <w:p w14:paraId="7599D593" w14:textId="77777777" w:rsidR="00954D94" w:rsidRPr="002F01EF" w:rsidRDefault="00954D94" w:rsidP="00AB3B37">
            <w:pPr>
              <w:jc w:val="center"/>
              <w:rPr>
                <w:bCs/>
                <w:szCs w:val="17"/>
              </w:rPr>
            </w:pPr>
          </w:p>
        </w:tc>
        <w:tc>
          <w:tcPr>
            <w:tcW w:w="5964" w:type="dxa"/>
            <w:shd w:val="clear" w:color="auto" w:fill="auto"/>
          </w:tcPr>
          <w:p w14:paraId="29A350EE" w14:textId="38230BDE" w:rsidR="00954D94" w:rsidRPr="002F01EF" w:rsidRDefault="00954D94" w:rsidP="00AB3B37">
            <w:pPr>
              <w:jc w:val="left"/>
              <w:rPr>
                <w:bCs/>
                <w:szCs w:val="17"/>
              </w:rPr>
            </w:pPr>
            <w:r w:rsidRPr="002F01EF">
              <w:rPr>
                <w:bCs/>
                <w:szCs w:val="17"/>
              </w:rPr>
              <w:lastRenderedPageBreak/>
              <w:t xml:space="preserve">Added </w:t>
            </w:r>
            <w:r w:rsidRPr="002F01EF">
              <w:rPr>
                <w:bCs/>
                <w:i/>
                <w:iCs/>
                <w:szCs w:val="17"/>
              </w:rPr>
              <w:t>(ii) the risk-weighted adjustment to be applied to non-deducted participations pursuant to this Article.</w:t>
            </w:r>
          </w:p>
        </w:tc>
        <w:tc>
          <w:tcPr>
            <w:tcW w:w="1865" w:type="dxa"/>
            <w:shd w:val="clear" w:color="auto" w:fill="auto"/>
            <w:vAlign w:val="center"/>
          </w:tcPr>
          <w:p w14:paraId="79647CEB" w14:textId="407E8547" w:rsidR="00954D94" w:rsidRPr="002F01EF" w:rsidRDefault="00954D94" w:rsidP="00AB3B37">
            <w:pPr>
              <w:jc w:val="center"/>
              <w:rPr>
                <w:bCs/>
                <w:szCs w:val="17"/>
              </w:rPr>
            </w:pPr>
            <w:r w:rsidRPr="002F01EF">
              <w:rPr>
                <w:bCs/>
                <w:szCs w:val="17"/>
              </w:rPr>
              <w:t>Calenda</w:t>
            </w:r>
          </w:p>
        </w:tc>
        <w:tc>
          <w:tcPr>
            <w:tcW w:w="2483" w:type="dxa"/>
            <w:shd w:val="clear" w:color="auto" w:fill="auto"/>
            <w:vAlign w:val="center"/>
          </w:tcPr>
          <w:p w14:paraId="1F1947FF" w14:textId="0977679A" w:rsidR="00954D94" w:rsidRPr="002F01EF" w:rsidRDefault="00954D94" w:rsidP="00AB3B37">
            <w:pPr>
              <w:jc w:val="center"/>
              <w:rPr>
                <w:bCs/>
                <w:szCs w:val="17"/>
              </w:rPr>
            </w:pPr>
            <w:r w:rsidRPr="002F01EF">
              <w:rPr>
                <w:bCs/>
                <w:szCs w:val="17"/>
              </w:rPr>
              <w:t xml:space="preserve">Treatment of participations in financial/credit </w:t>
            </w:r>
            <w:r w:rsidRPr="002F01EF">
              <w:rPr>
                <w:bCs/>
                <w:szCs w:val="17"/>
              </w:rPr>
              <w:lastRenderedPageBreak/>
              <w:t>institutions</w:t>
            </w:r>
          </w:p>
        </w:tc>
        <w:tc>
          <w:tcPr>
            <w:tcW w:w="1886" w:type="dxa"/>
            <w:shd w:val="clear" w:color="auto" w:fill="auto"/>
            <w:vAlign w:val="center"/>
          </w:tcPr>
          <w:p w14:paraId="27EBC898" w14:textId="1224446F" w:rsidR="00954D94" w:rsidRPr="002F01EF" w:rsidRDefault="00954D94" w:rsidP="00AB3B37">
            <w:pPr>
              <w:jc w:val="center"/>
              <w:rPr>
                <w:bCs/>
                <w:szCs w:val="17"/>
              </w:rPr>
            </w:pPr>
            <w:r w:rsidRPr="002F01EF">
              <w:rPr>
                <w:b/>
                <w:color w:val="808080" w:themeColor="background1" w:themeShade="80"/>
                <w:szCs w:val="17"/>
              </w:rPr>
              <w:lastRenderedPageBreak/>
              <w:t>Neutral</w:t>
            </w:r>
          </w:p>
        </w:tc>
      </w:tr>
      <w:tr w:rsidR="00954D94" w:rsidRPr="002F01EF" w14:paraId="5F45075B" w14:textId="77777777" w:rsidTr="00AB3B37">
        <w:trPr>
          <w:trHeight w:val="499"/>
        </w:trPr>
        <w:tc>
          <w:tcPr>
            <w:tcW w:w="679" w:type="dxa"/>
            <w:shd w:val="clear" w:color="auto" w:fill="auto"/>
            <w:vAlign w:val="center"/>
          </w:tcPr>
          <w:p w14:paraId="7877CC11" w14:textId="56CFE465" w:rsidR="00954D94" w:rsidRPr="002F01EF" w:rsidRDefault="006F76B0" w:rsidP="00AB3B37">
            <w:pPr>
              <w:jc w:val="center"/>
              <w:rPr>
                <w:bCs/>
                <w:szCs w:val="17"/>
              </w:rPr>
            </w:pPr>
            <w:r w:rsidRPr="002F01EF">
              <w:rPr>
                <w:bCs/>
                <w:szCs w:val="17"/>
              </w:rPr>
              <w:t>613</w:t>
            </w:r>
          </w:p>
        </w:tc>
        <w:tc>
          <w:tcPr>
            <w:tcW w:w="1866" w:type="dxa"/>
            <w:shd w:val="clear" w:color="auto" w:fill="auto"/>
            <w:vAlign w:val="center"/>
          </w:tcPr>
          <w:p w14:paraId="3B8A5037" w14:textId="77777777" w:rsidR="006F76B0" w:rsidRPr="002E30E3" w:rsidRDefault="006F76B0" w:rsidP="00AB3B37">
            <w:pPr>
              <w:jc w:val="center"/>
              <w:rPr>
                <w:lang w:val="fr-BE"/>
              </w:rPr>
            </w:pPr>
            <w:r w:rsidRPr="002E30E3">
              <w:rPr>
                <w:rStyle w:val="HideTWBExt"/>
                <w:lang w:val="fr-BE"/>
              </w:rPr>
              <w:t>&lt;Article2&gt;</w:t>
            </w:r>
            <w:r w:rsidRPr="002E30E3">
              <w:rPr>
                <w:lang w:val="fr-BE"/>
              </w:rPr>
              <w:t>Article 92 – paragraph 1a – subparagraph 2 – point (i)</w:t>
            </w:r>
            <w:r w:rsidRPr="002E30E3">
              <w:rPr>
                <w:rStyle w:val="HideTWBExt"/>
                <w:lang w:val="fr-BE"/>
              </w:rPr>
              <w:t>&lt;/Article2&gt;</w:t>
            </w:r>
          </w:p>
          <w:p w14:paraId="26DCA5D5" w14:textId="77777777" w:rsidR="00954D94" w:rsidRPr="002E30E3" w:rsidRDefault="00954D94" w:rsidP="00AB3B37">
            <w:pPr>
              <w:jc w:val="center"/>
              <w:rPr>
                <w:szCs w:val="17"/>
                <w:lang w:val="fr-BE"/>
              </w:rPr>
            </w:pPr>
          </w:p>
        </w:tc>
        <w:tc>
          <w:tcPr>
            <w:tcW w:w="5964" w:type="dxa"/>
            <w:shd w:val="clear" w:color="auto" w:fill="auto"/>
          </w:tcPr>
          <w:p w14:paraId="79D2A761" w14:textId="2F9100BA" w:rsidR="00954D94" w:rsidRPr="002F01EF" w:rsidRDefault="006F76B0" w:rsidP="00AB3B37">
            <w:pPr>
              <w:jc w:val="left"/>
              <w:rPr>
                <w:bCs/>
                <w:szCs w:val="17"/>
              </w:rPr>
            </w:pPr>
            <w:r w:rsidRPr="002F01EF">
              <w:rPr>
                <w:bCs/>
                <w:szCs w:val="17"/>
              </w:rPr>
              <w:t xml:space="preserve">Editorial: </w:t>
            </w:r>
            <w:r w:rsidR="00AF1757" w:rsidRPr="002F01EF">
              <w:rPr>
                <w:bCs/>
                <w:szCs w:val="17"/>
              </w:rPr>
              <w:t>changed reference to Art 228</w:t>
            </w:r>
            <w:r w:rsidR="00AF1757" w:rsidRPr="002F01EF">
              <w:rPr>
                <w:b/>
                <w:szCs w:val="17"/>
              </w:rPr>
              <w:t>(5)</w:t>
            </w:r>
          </w:p>
        </w:tc>
        <w:tc>
          <w:tcPr>
            <w:tcW w:w="1865" w:type="dxa"/>
            <w:shd w:val="clear" w:color="auto" w:fill="auto"/>
            <w:vAlign w:val="center"/>
          </w:tcPr>
          <w:p w14:paraId="216C2DA0" w14:textId="11044A0C" w:rsidR="00954D94" w:rsidRPr="002F01EF" w:rsidRDefault="00AF1757" w:rsidP="00AB3B37">
            <w:pPr>
              <w:jc w:val="center"/>
              <w:rPr>
                <w:bCs/>
                <w:szCs w:val="17"/>
              </w:rPr>
            </w:pPr>
            <w:proofErr w:type="spellStart"/>
            <w:r w:rsidRPr="002F01EF">
              <w:rPr>
                <w:bCs/>
                <w:szCs w:val="17"/>
              </w:rPr>
              <w:t>Gualmini</w:t>
            </w:r>
            <w:proofErr w:type="spellEnd"/>
          </w:p>
        </w:tc>
        <w:tc>
          <w:tcPr>
            <w:tcW w:w="2483" w:type="dxa"/>
            <w:shd w:val="clear" w:color="auto" w:fill="auto"/>
            <w:vAlign w:val="center"/>
          </w:tcPr>
          <w:p w14:paraId="4E1F107E" w14:textId="346DB3A4" w:rsidR="00954D94" w:rsidRPr="002F01EF" w:rsidRDefault="00AF1757" w:rsidP="00AB3B37">
            <w:pPr>
              <w:jc w:val="center"/>
              <w:rPr>
                <w:bCs/>
                <w:szCs w:val="17"/>
              </w:rPr>
            </w:pPr>
            <w:r w:rsidRPr="002F01EF">
              <w:rPr>
                <w:bCs/>
                <w:szCs w:val="17"/>
              </w:rPr>
              <w:t>Editorial</w:t>
            </w:r>
          </w:p>
        </w:tc>
        <w:tc>
          <w:tcPr>
            <w:tcW w:w="1886" w:type="dxa"/>
            <w:shd w:val="clear" w:color="auto" w:fill="auto"/>
            <w:vAlign w:val="center"/>
          </w:tcPr>
          <w:p w14:paraId="18C8828D" w14:textId="77777777" w:rsidR="00954D94" w:rsidRPr="002F01EF" w:rsidRDefault="00954D94" w:rsidP="00AB3B37">
            <w:pPr>
              <w:jc w:val="center"/>
              <w:rPr>
                <w:bCs/>
                <w:szCs w:val="17"/>
              </w:rPr>
            </w:pPr>
          </w:p>
        </w:tc>
      </w:tr>
      <w:tr w:rsidR="00954D94" w:rsidRPr="002F01EF" w14:paraId="10BB9277" w14:textId="77777777" w:rsidTr="00AB3B37">
        <w:trPr>
          <w:trHeight w:val="499"/>
        </w:trPr>
        <w:tc>
          <w:tcPr>
            <w:tcW w:w="679" w:type="dxa"/>
            <w:shd w:val="clear" w:color="auto" w:fill="auto"/>
            <w:vAlign w:val="center"/>
          </w:tcPr>
          <w:p w14:paraId="22DAA0FE" w14:textId="1B966493" w:rsidR="00954D94" w:rsidRPr="002F01EF" w:rsidRDefault="00AF1757" w:rsidP="00AB3B37">
            <w:pPr>
              <w:jc w:val="center"/>
              <w:rPr>
                <w:bCs/>
                <w:szCs w:val="17"/>
              </w:rPr>
            </w:pPr>
            <w:r w:rsidRPr="002F01EF">
              <w:rPr>
                <w:bCs/>
                <w:szCs w:val="17"/>
              </w:rPr>
              <w:t>614</w:t>
            </w:r>
          </w:p>
        </w:tc>
        <w:tc>
          <w:tcPr>
            <w:tcW w:w="1866" w:type="dxa"/>
            <w:shd w:val="clear" w:color="auto" w:fill="auto"/>
            <w:vAlign w:val="center"/>
          </w:tcPr>
          <w:p w14:paraId="3241BC53" w14:textId="77777777" w:rsidR="00F85BC0" w:rsidRPr="002F01EF" w:rsidRDefault="00F85BC0" w:rsidP="00AB3B37">
            <w:pPr>
              <w:jc w:val="center"/>
            </w:pPr>
            <w:r w:rsidRPr="002F01EF">
              <w:rPr>
                <w:rStyle w:val="HideTWBExt"/>
              </w:rPr>
              <w:t>&lt;Article2&gt;</w:t>
            </w:r>
            <w:r w:rsidRPr="002F01EF">
              <w:t>Article 92 – paragraph 1b (new)</w:t>
            </w:r>
            <w:r w:rsidRPr="002F01EF">
              <w:rPr>
                <w:rStyle w:val="HideTWBExt"/>
              </w:rPr>
              <w:t>&lt;/Article2&gt;</w:t>
            </w:r>
          </w:p>
          <w:p w14:paraId="385F0338" w14:textId="77777777" w:rsidR="00954D94" w:rsidRPr="002F01EF" w:rsidRDefault="00954D94" w:rsidP="00AB3B37">
            <w:pPr>
              <w:jc w:val="center"/>
              <w:rPr>
                <w:bCs/>
                <w:szCs w:val="17"/>
              </w:rPr>
            </w:pPr>
          </w:p>
        </w:tc>
        <w:tc>
          <w:tcPr>
            <w:tcW w:w="5964" w:type="dxa"/>
            <w:shd w:val="clear" w:color="auto" w:fill="auto"/>
          </w:tcPr>
          <w:p w14:paraId="300B581B" w14:textId="6A71AEC0" w:rsidR="00954D94" w:rsidRPr="002F01EF" w:rsidRDefault="009D5FC4" w:rsidP="00AB3B37">
            <w:pPr>
              <w:jc w:val="left"/>
              <w:rPr>
                <w:bCs/>
                <w:szCs w:val="17"/>
              </w:rPr>
            </w:pPr>
            <w:r w:rsidRPr="002F01EF">
              <w:rPr>
                <w:bCs/>
                <w:szCs w:val="17"/>
              </w:rPr>
              <w:t xml:space="preserve">Adding </w:t>
            </w:r>
            <w:r w:rsidR="00C74710" w:rsidRPr="002F01EF">
              <w:rPr>
                <w:bCs/>
                <w:szCs w:val="17"/>
              </w:rPr>
              <w:t xml:space="preserve">provision allowing the insurer not to deduct the participation in credit/financial institution </w:t>
            </w:r>
            <w:r w:rsidR="00DF62C6" w:rsidRPr="002F01EF">
              <w:rPr>
                <w:bCs/>
                <w:szCs w:val="17"/>
              </w:rPr>
              <w:t>when conditions are met. (participation &lt; 20%</w:t>
            </w:r>
            <w:r w:rsidR="0062620F" w:rsidRPr="002F01EF">
              <w:rPr>
                <w:bCs/>
                <w:szCs w:val="17"/>
              </w:rPr>
              <w:t xml:space="preserve"> of capital or voting rights of the credit/financial institution; credit/fin institutio</w:t>
            </w:r>
            <w:r w:rsidR="00827D2A" w:rsidRPr="002F01EF">
              <w:rPr>
                <w:bCs/>
                <w:szCs w:val="17"/>
              </w:rPr>
              <w:t xml:space="preserve">n’s transferrable securities </w:t>
            </w:r>
            <w:r w:rsidR="00067FDE" w:rsidRPr="002F01EF">
              <w:rPr>
                <w:bCs/>
                <w:szCs w:val="17"/>
              </w:rPr>
              <w:t>are admitted to be traded on regulated market)</w:t>
            </w:r>
          </w:p>
        </w:tc>
        <w:tc>
          <w:tcPr>
            <w:tcW w:w="1865" w:type="dxa"/>
            <w:shd w:val="clear" w:color="auto" w:fill="auto"/>
            <w:vAlign w:val="center"/>
          </w:tcPr>
          <w:p w14:paraId="3E3FD8B4" w14:textId="66A5AD34" w:rsidR="00954D94" w:rsidRPr="002F01EF" w:rsidRDefault="00F85BC0" w:rsidP="00AB3B37">
            <w:pPr>
              <w:jc w:val="center"/>
              <w:rPr>
                <w:bCs/>
                <w:szCs w:val="17"/>
              </w:rPr>
            </w:pPr>
            <w:proofErr w:type="spellStart"/>
            <w:r w:rsidRPr="002F01EF">
              <w:rPr>
                <w:bCs/>
                <w:szCs w:val="17"/>
              </w:rPr>
              <w:t>Gualmini</w:t>
            </w:r>
            <w:proofErr w:type="spellEnd"/>
          </w:p>
        </w:tc>
        <w:tc>
          <w:tcPr>
            <w:tcW w:w="2483" w:type="dxa"/>
            <w:shd w:val="clear" w:color="auto" w:fill="auto"/>
            <w:vAlign w:val="center"/>
          </w:tcPr>
          <w:p w14:paraId="32694383" w14:textId="6811B5EF" w:rsidR="00954D94" w:rsidRPr="002F01EF" w:rsidRDefault="00F85BC0" w:rsidP="00AB3B37">
            <w:pPr>
              <w:jc w:val="center"/>
              <w:rPr>
                <w:bCs/>
                <w:szCs w:val="17"/>
              </w:rPr>
            </w:pPr>
            <w:r w:rsidRPr="002F01EF">
              <w:rPr>
                <w:bCs/>
                <w:szCs w:val="17"/>
              </w:rPr>
              <w:t>Treatment of participations in financial/credit institutions</w:t>
            </w:r>
          </w:p>
        </w:tc>
        <w:tc>
          <w:tcPr>
            <w:tcW w:w="1886" w:type="dxa"/>
            <w:shd w:val="clear" w:color="auto" w:fill="auto"/>
            <w:vAlign w:val="center"/>
          </w:tcPr>
          <w:p w14:paraId="0B4FD56E" w14:textId="7EDD7F7E" w:rsidR="00954D94" w:rsidRPr="002F01EF" w:rsidRDefault="00633005" w:rsidP="00AB3B37">
            <w:pPr>
              <w:jc w:val="center"/>
              <w:rPr>
                <w:bCs/>
                <w:szCs w:val="17"/>
              </w:rPr>
            </w:pPr>
            <w:r w:rsidRPr="002F01EF">
              <w:rPr>
                <w:b/>
                <w:color w:val="808080" w:themeColor="background1" w:themeShade="80"/>
                <w:szCs w:val="17"/>
              </w:rPr>
              <w:t>Neutral</w:t>
            </w:r>
          </w:p>
        </w:tc>
      </w:tr>
      <w:tr w:rsidR="00954D94" w:rsidRPr="002F01EF" w14:paraId="7AB11A1C" w14:textId="77777777" w:rsidTr="00AB3B37">
        <w:trPr>
          <w:trHeight w:val="499"/>
        </w:trPr>
        <w:tc>
          <w:tcPr>
            <w:tcW w:w="679" w:type="dxa"/>
            <w:shd w:val="clear" w:color="auto" w:fill="auto"/>
            <w:vAlign w:val="center"/>
          </w:tcPr>
          <w:p w14:paraId="6B2A0462" w14:textId="2133BCD8" w:rsidR="00954D94" w:rsidRPr="002F01EF" w:rsidRDefault="00067FDE" w:rsidP="00AB3B37">
            <w:pPr>
              <w:jc w:val="center"/>
              <w:rPr>
                <w:bCs/>
                <w:szCs w:val="17"/>
              </w:rPr>
            </w:pPr>
            <w:r w:rsidRPr="002F01EF">
              <w:rPr>
                <w:bCs/>
                <w:szCs w:val="17"/>
              </w:rPr>
              <w:t>615</w:t>
            </w:r>
            <w:r w:rsidR="00BB021F" w:rsidRPr="002F01EF">
              <w:rPr>
                <w:bCs/>
                <w:szCs w:val="17"/>
              </w:rPr>
              <w:t>, 617</w:t>
            </w:r>
          </w:p>
        </w:tc>
        <w:tc>
          <w:tcPr>
            <w:tcW w:w="1866" w:type="dxa"/>
            <w:shd w:val="clear" w:color="auto" w:fill="auto"/>
            <w:vAlign w:val="center"/>
          </w:tcPr>
          <w:p w14:paraId="205ADD9B" w14:textId="021FD67D" w:rsidR="00C73C6A" w:rsidRPr="0092408F" w:rsidRDefault="00C73C6A" w:rsidP="00AB3B37">
            <w:pPr>
              <w:jc w:val="center"/>
              <w:rPr>
                <w:lang w:val="fr-FR"/>
              </w:rPr>
            </w:pPr>
            <w:r w:rsidRPr="0092408F">
              <w:rPr>
                <w:rStyle w:val="HideTWBExt"/>
                <w:lang w:val="fr-FR"/>
              </w:rPr>
              <w:t>&lt;Article2&gt;</w:t>
            </w:r>
            <w:r w:rsidRPr="0092408F">
              <w:rPr>
                <w:lang w:val="fr-FR"/>
              </w:rPr>
              <w:t>Article 101 – paragraph 4 – subparagraph 2 a (new)</w:t>
            </w:r>
            <w:r w:rsidRPr="0092408F">
              <w:rPr>
                <w:rStyle w:val="HideTWBExt"/>
                <w:lang w:val="fr-FR"/>
              </w:rPr>
              <w:t>&lt;/Article2&gt;</w:t>
            </w:r>
          </w:p>
          <w:p w14:paraId="45F72048" w14:textId="77777777" w:rsidR="00954D94" w:rsidRPr="0092408F" w:rsidRDefault="00954D94" w:rsidP="00AB3B37">
            <w:pPr>
              <w:jc w:val="center"/>
              <w:rPr>
                <w:bCs/>
                <w:szCs w:val="17"/>
                <w:lang w:val="fr-FR"/>
              </w:rPr>
            </w:pPr>
          </w:p>
        </w:tc>
        <w:tc>
          <w:tcPr>
            <w:tcW w:w="5964" w:type="dxa"/>
            <w:shd w:val="clear" w:color="auto" w:fill="auto"/>
          </w:tcPr>
          <w:p w14:paraId="349E4D96" w14:textId="3498FE12" w:rsidR="00954D94" w:rsidRPr="002F01EF" w:rsidRDefault="003D2C93" w:rsidP="00AB3B37">
            <w:pPr>
              <w:jc w:val="left"/>
              <w:rPr>
                <w:bCs/>
                <w:szCs w:val="17"/>
              </w:rPr>
            </w:pPr>
            <w:r w:rsidRPr="002F01EF">
              <w:rPr>
                <w:bCs/>
                <w:szCs w:val="17"/>
              </w:rPr>
              <w:t xml:space="preserve">Added </w:t>
            </w:r>
            <w:r w:rsidR="006B3B1A" w:rsidRPr="002F01EF">
              <w:rPr>
                <w:bCs/>
                <w:szCs w:val="17"/>
              </w:rPr>
              <w:t xml:space="preserve">that market risk shall include sustainability risks stemming from current/prospective </w:t>
            </w:r>
            <w:r w:rsidR="005F6905" w:rsidRPr="002F01EF">
              <w:rPr>
                <w:bCs/>
                <w:szCs w:val="17"/>
              </w:rPr>
              <w:t>impacts of climate related factors on the undertaking, its clients</w:t>
            </w:r>
            <w:r w:rsidR="002271F0" w:rsidRPr="002F01EF">
              <w:rPr>
                <w:bCs/>
                <w:szCs w:val="17"/>
              </w:rPr>
              <w:t xml:space="preserve"> or invested assets</w:t>
            </w:r>
            <w:r w:rsidR="00BB021F" w:rsidRPr="002F01EF">
              <w:rPr>
                <w:bCs/>
                <w:szCs w:val="17"/>
              </w:rPr>
              <w:t>, specifically covering risks related to fossil fuel</w:t>
            </w:r>
            <w:r w:rsidR="002271F0" w:rsidRPr="002F01EF">
              <w:rPr>
                <w:bCs/>
                <w:szCs w:val="17"/>
              </w:rPr>
              <w:t>. It includes both phys</w:t>
            </w:r>
            <w:r w:rsidR="001342B8" w:rsidRPr="002F01EF">
              <w:rPr>
                <w:bCs/>
                <w:szCs w:val="17"/>
              </w:rPr>
              <w:t>ical</w:t>
            </w:r>
            <w:r w:rsidR="002271F0" w:rsidRPr="002F01EF">
              <w:rPr>
                <w:bCs/>
                <w:szCs w:val="17"/>
              </w:rPr>
              <w:t xml:space="preserve"> and transition risk</w:t>
            </w:r>
          </w:p>
        </w:tc>
        <w:tc>
          <w:tcPr>
            <w:tcW w:w="1865" w:type="dxa"/>
            <w:shd w:val="clear" w:color="auto" w:fill="auto"/>
            <w:vAlign w:val="center"/>
          </w:tcPr>
          <w:p w14:paraId="38134EC1" w14:textId="19E172EF" w:rsidR="00954D94" w:rsidRPr="002F01EF" w:rsidRDefault="00C73C6A" w:rsidP="00AB3B37">
            <w:pPr>
              <w:jc w:val="center"/>
              <w:rPr>
                <w:bCs/>
                <w:szCs w:val="17"/>
              </w:rPr>
            </w:pPr>
            <w:proofErr w:type="spellStart"/>
            <w:r w:rsidRPr="002F01EF">
              <w:rPr>
                <w:bCs/>
                <w:szCs w:val="17"/>
              </w:rPr>
              <w:t>Lalucq</w:t>
            </w:r>
            <w:proofErr w:type="spellEnd"/>
            <w:r w:rsidR="00E26AFE" w:rsidRPr="002F01EF">
              <w:rPr>
                <w:bCs/>
                <w:szCs w:val="17"/>
              </w:rPr>
              <w:t>/</w:t>
            </w:r>
            <w:r w:rsidR="00BB021F" w:rsidRPr="002F01EF">
              <w:rPr>
                <w:bCs/>
                <w:szCs w:val="17"/>
              </w:rPr>
              <w:t>MacManus</w:t>
            </w:r>
          </w:p>
        </w:tc>
        <w:tc>
          <w:tcPr>
            <w:tcW w:w="2483" w:type="dxa"/>
            <w:shd w:val="clear" w:color="auto" w:fill="auto"/>
            <w:vAlign w:val="center"/>
          </w:tcPr>
          <w:p w14:paraId="57C12518" w14:textId="0DD22C99" w:rsidR="00954D94" w:rsidRPr="002F01EF" w:rsidRDefault="002271F0" w:rsidP="00AB3B37">
            <w:pPr>
              <w:jc w:val="center"/>
              <w:rPr>
                <w:bCs/>
                <w:szCs w:val="17"/>
              </w:rPr>
            </w:pPr>
            <w:r w:rsidRPr="002F01EF">
              <w:rPr>
                <w:bCs/>
                <w:szCs w:val="17"/>
              </w:rPr>
              <w:t>SCR calculation/Sustainability</w:t>
            </w:r>
          </w:p>
        </w:tc>
        <w:tc>
          <w:tcPr>
            <w:tcW w:w="1886" w:type="dxa"/>
            <w:shd w:val="clear" w:color="auto" w:fill="auto"/>
            <w:vAlign w:val="center"/>
          </w:tcPr>
          <w:p w14:paraId="27B8E189" w14:textId="6F0AF80A" w:rsidR="00954D94" w:rsidRPr="002F01EF" w:rsidRDefault="003B3892" w:rsidP="00AB3B37">
            <w:pPr>
              <w:jc w:val="center"/>
              <w:rPr>
                <w:b/>
                <w:color w:val="FF0000"/>
                <w:szCs w:val="17"/>
              </w:rPr>
            </w:pPr>
            <w:r w:rsidRPr="002F01EF">
              <w:rPr>
                <w:b/>
                <w:color w:val="FF0000"/>
                <w:szCs w:val="17"/>
              </w:rPr>
              <w:t>Neg</w:t>
            </w:r>
            <w:r w:rsidR="008857F3" w:rsidRPr="002F01EF">
              <w:rPr>
                <w:b/>
                <w:color w:val="FF0000"/>
                <w:szCs w:val="17"/>
              </w:rPr>
              <w:t>ative</w:t>
            </w:r>
            <w:r w:rsidR="00317B58" w:rsidRPr="002F01EF">
              <w:rPr>
                <w:b/>
                <w:color w:val="FF0000"/>
                <w:szCs w:val="17"/>
              </w:rPr>
              <w:t xml:space="preserve"> (if not risk-based)</w:t>
            </w:r>
          </w:p>
        </w:tc>
      </w:tr>
      <w:tr w:rsidR="00AF1757" w:rsidRPr="002F01EF" w14:paraId="3DE241F9" w14:textId="77777777" w:rsidTr="00AB3B37">
        <w:trPr>
          <w:trHeight w:val="499"/>
        </w:trPr>
        <w:tc>
          <w:tcPr>
            <w:tcW w:w="679" w:type="dxa"/>
            <w:shd w:val="clear" w:color="auto" w:fill="auto"/>
            <w:vAlign w:val="center"/>
          </w:tcPr>
          <w:p w14:paraId="631EE2A5" w14:textId="77227DF4" w:rsidR="00AF1757" w:rsidRPr="002F01EF" w:rsidRDefault="00A87E90" w:rsidP="00AB3B37">
            <w:pPr>
              <w:jc w:val="center"/>
              <w:rPr>
                <w:bCs/>
                <w:szCs w:val="17"/>
              </w:rPr>
            </w:pPr>
            <w:r w:rsidRPr="002F01EF">
              <w:rPr>
                <w:bCs/>
                <w:szCs w:val="17"/>
              </w:rPr>
              <w:t>616</w:t>
            </w:r>
          </w:p>
        </w:tc>
        <w:tc>
          <w:tcPr>
            <w:tcW w:w="1866" w:type="dxa"/>
            <w:shd w:val="clear" w:color="auto" w:fill="auto"/>
            <w:vAlign w:val="center"/>
          </w:tcPr>
          <w:p w14:paraId="37986F87" w14:textId="77777777" w:rsidR="000863E3" w:rsidRPr="0092408F" w:rsidRDefault="000863E3" w:rsidP="00AB3B37">
            <w:pPr>
              <w:jc w:val="center"/>
              <w:rPr>
                <w:lang w:val="fr-FR"/>
              </w:rPr>
            </w:pPr>
            <w:r w:rsidRPr="0092408F">
              <w:rPr>
                <w:rStyle w:val="HideTWBExt"/>
                <w:lang w:val="fr-FR"/>
              </w:rPr>
              <w:t>&lt;Article2&gt;</w:t>
            </w:r>
            <w:r w:rsidRPr="0092408F">
              <w:rPr>
                <w:lang w:val="fr-FR"/>
              </w:rPr>
              <w:t>Article 101 – paragraph 4 – subparagraph 2 a (new)</w:t>
            </w:r>
            <w:r w:rsidRPr="0092408F">
              <w:rPr>
                <w:rStyle w:val="HideTWBExt"/>
                <w:lang w:val="fr-FR"/>
              </w:rPr>
              <w:t>&lt;/Article2&gt;</w:t>
            </w:r>
          </w:p>
          <w:p w14:paraId="32E9C529" w14:textId="77777777" w:rsidR="00AF1757" w:rsidRPr="0092408F" w:rsidRDefault="00AF1757" w:rsidP="00AB3B37">
            <w:pPr>
              <w:jc w:val="center"/>
              <w:rPr>
                <w:bCs/>
                <w:szCs w:val="17"/>
                <w:lang w:val="fr-FR"/>
              </w:rPr>
            </w:pPr>
          </w:p>
        </w:tc>
        <w:tc>
          <w:tcPr>
            <w:tcW w:w="5964" w:type="dxa"/>
            <w:shd w:val="clear" w:color="auto" w:fill="auto"/>
          </w:tcPr>
          <w:p w14:paraId="4D3D7AFA" w14:textId="6F917610" w:rsidR="00AF1757" w:rsidRPr="002F01EF" w:rsidRDefault="000863E3" w:rsidP="00AB3B37">
            <w:pPr>
              <w:jc w:val="left"/>
              <w:rPr>
                <w:bCs/>
                <w:szCs w:val="17"/>
              </w:rPr>
            </w:pPr>
            <w:r w:rsidRPr="002F01EF">
              <w:rPr>
                <w:bCs/>
                <w:szCs w:val="17"/>
              </w:rPr>
              <w:t>Added that market risk shall include sustainability risks stemming from current/prospective impacts of climate related factors on the undertaking, its clients or invested assets</w:t>
            </w:r>
            <w:r w:rsidR="00302441" w:rsidRPr="002F01EF">
              <w:rPr>
                <w:bCs/>
                <w:szCs w:val="17"/>
              </w:rPr>
              <w:t xml:space="preserve">, specifically covering risks related to </w:t>
            </w:r>
            <w:r w:rsidR="006F5750" w:rsidRPr="002F01EF">
              <w:rPr>
                <w:bCs/>
                <w:szCs w:val="17"/>
              </w:rPr>
              <w:t>fossil fuel sector</w:t>
            </w:r>
            <w:r w:rsidRPr="002F01EF">
              <w:rPr>
                <w:bCs/>
                <w:szCs w:val="17"/>
              </w:rPr>
              <w:t>.</w:t>
            </w:r>
            <w:r w:rsidR="006F5750" w:rsidRPr="002F01EF">
              <w:rPr>
                <w:bCs/>
                <w:szCs w:val="17"/>
              </w:rPr>
              <w:t xml:space="preserve"> These risks can stem from a high prospect of assets becoming stranded due to global transition</w:t>
            </w:r>
            <w:r w:rsidR="00475205" w:rsidRPr="002F01EF">
              <w:rPr>
                <w:bCs/>
                <w:szCs w:val="17"/>
              </w:rPr>
              <w:t xml:space="preserve">, away from fossil fuels, or from </w:t>
            </w:r>
            <w:r w:rsidR="008B6F57" w:rsidRPr="002F01EF">
              <w:rPr>
                <w:bCs/>
                <w:szCs w:val="17"/>
              </w:rPr>
              <w:t>increased risks of climate related events (forest fires/floods). And Climate risk is deemed to be especially high when a company fails to adhere to its transition plan</w:t>
            </w:r>
          </w:p>
        </w:tc>
        <w:tc>
          <w:tcPr>
            <w:tcW w:w="1865" w:type="dxa"/>
            <w:shd w:val="clear" w:color="auto" w:fill="auto"/>
            <w:vAlign w:val="center"/>
          </w:tcPr>
          <w:p w14:paraId="4AA3B4CB" w14:textId="27C34D97" w:rsidR="00AF1757" w:rsidRPr="002F01EF" w:rsidRDefault="000863E3" w:rsidP="00AB3B37">
            <w:pPr>
              <w:jc w:val="center"/>
              <w:rPr>
                <w:bCs/>
                <w:szCs w:val="17"/>
              </w:rPr>
            </w:pPr>
            <w:r w:rsidRPr="002F01EF">
              <w:rPr>
                <w:bCs/>
                <w:szCs w:val="17"/>
              </w:rPr>
              <w:t>Tang</w:t>
            </w:r>
          </w:p>
        </w:tc>
        <w:tc>
          <w:tcPr>
            <w:tcW w:w="2483" w:type="dxa"/>
            <w:shd w:val="clear" w:color="auto" w:fill="auto"/>
            <w:vAlign w:val="center"/>
          </w:tcPr>
          <w:p w14:paraId="055B9FC6" w14:textId="0770E73D" w:rsidR="00AF1757" w:rsidRPr="002F01EF" w:rsidRDefault="008B6F57" w:rsidP="00AB3B37">
            <w:pPr>
              <w:jc w:val="center"/>
              <w:rPr>
                <w:bCs/>
                <w:szCs w:val="17"/>
              </w:rPr>
            </w:pPr>
            <w:r w:rsidRPr="002F01EF">
              <w:rPr>
                <w:bCs/>
                <w:szCs w:val="17"/>
              </w:rPr>
              <w:t>SCR</w:t>
            </w:r>
            <w:r w:rsidR="00AF68CE" w:rsidRPr="002F01EF">
              <w:rPr>
                <w:bCs/>
                <w:szCs w:val="17"/>
              </w:rPr>
              <w:t xml:space="preserve"> calculation/Sustainability</w:t>
            </w:r>
          </w:p>
        </w:tc>
        <w:tc>
          <w:tcPr>
            <w:tcW w:w="1886" w:type="dxa"/>
            <w:shd w:val="clear" w:color="auto" w:fill="auto"/>
            <w:vAlign w:val="center"/>
          </w:tcPr>
          <w:p w14:paraId="270D221C" w14:textId="608C514A" w:rsidR="00AF1757" w:rsidRPr="002F01EF" w:rsidRDefault="00AF68CE" w:rsidP="00AB3B37">
            <w:pPr>
              <w:jc w:val="center"/>
              <w:rPr>
                <w:b/>
                <w:color w:val="FF0000"/>
                <w:szCs w:val="17"/>
              </w:rPr>
            </w:pPr>
            <w:r w:rsidRPr="002F01EF">
              <w:rPr>
                <w:b/>
                <w:color w:val="FF0000"/>
                <w:szCs w:val="17"/>
              </w:rPr>
              <w:t>Negative</w:t>
            </w:r>
            <w:r w:rsidR="00317B58" w:rsidRPr="002F01EF">
              <w:rPr>
                <w:b/>
                <w:color w:val="FF0000"/>
                <w:szCs w:val="17"/>
              </w:rPr>
              <w:t xml:space="preserve"> (if not risk-based)</w:t>
            </w:r>
          </w:p>
        </w:tc>
      </w:tr>
      <w:tr w:rsidR="00AF1757" w:rsidRPr="002F01EF" w14:paraId="3A8C7FB8" w14:textId="77777777" w:rsidTr="00AB3B37">
        <w:trPr>
          <w:trHeight w:val="499"/>
        </w:trPr>
        <w:tc>
          <w:tcPr>
            <w:tcW w:w="679" w:type="dxa"/>
            <w:shd w:val="clear" w:color="auto" w:fill="auto"/>
            <w:vAlign w:val="center"/>
          </w:tcPr>
          <w:p w14:paraId="1EE4BF55" w14:textId="2DDAA54E" w:rsidR="00AF1757" w:rsidRPr="002F01EF" w:rsidRDefault="00BB021F" w:rsidP="00AB3B37">
            <w:pPr>
              <w:jc w:val="center"/>
              <w:rPr>
                <w:bCs/>
                <w:szCs w:val="17"/>
              </w:rPr>
            </w:pPr>
            <w:r w:rsidRPr="002F01EF">
              <w:rPr>
                <w:bCs/>
                <w:szCs w:val="17"/>
              </w:rPr>
              <w:t>618</w:t>
            </w:r>
          </w:p>
        </w:tc>
        <w:tc>
          <w:tcPr>
            <w:tcW w:w="1866" w:type="dxa"/>
            <w:shd w:val="clear" w:color="auto" w:fill="auto"/>
            <w:vAlign w:val="center"/>
          </w:tcPr>
          <w:p w14:paraId="67B5E142" w14:textId="77777777" w:rsidR="008140BC" w:rsidRPr="0092408F" w:rsidRDefault="008140BC" w:rsidP="00AB3B37">
            <w:pPr>
              <w:jc w:val="center"/>
              <w:rPr>
                <w:lang w:val="fr-FR"/>
              </w:rPr>
            </w:pPr>
            <w:r w:rsidRPr="0092408F">
              <w:rPr>
                <w:rStyle w:val="HideTWBExt"/>
                <w:lang w:val="fr-FR"/>
              </w:rPr>
              <w:t>&lt;Article2&gt;</w:t>
            </w:r>
            <w:r w:rsidRPr="0092408F">
              <w:rPr>
                <w:lang w:val="fr-FR"/>
              </w:rPr>
              <w:t>Article 105 – paragraph 5 – subparagraph 1 a (new)</w:t>
            </w:r>
            <w:r w:rsidRPr="0092408F">
              <w:rPr>
                <w:rStyle w:val="HideTWBExt"/>
                <w:lang w:val="fr-FR"/>
              </w:rPr>
              <w:t>&lt;/Article2&gt;</w:t>
            </w:r>
          </w:p>
          <w:p w14:paraId="488CDA3F" w14:textId="77777777" w:rsidR="00AF1757" w:rsidRPr="0092408F" w:rsidRDefault="00AF1757" w:rsidP="00AB3B37">
            <w:pPr>
              <w:jc w:val="center"/>
              <w:rPr>
                <w:bCs/>
                <w:szCs w:val="17"/>
                <w:lang w:val="fr-FR"/>
              </w:rPr>
            </w:pPr>
          </w:p>
        </w:tc>
        <w:tc>
          <w:tcPr>
            <w:tcW w:w="5964" w:type="dxa"/>
            <w:shd w:val="clear" w:color="auto" w:fill="auto"/>
          </w:tcPr>
          <w:p w14:paraId="5E9D8FD5" w14:textId="7533C7A5" w:rsidR="00AF1757" w:rsidRPr="002F01EF" w:rsidRDefault="00336413" w:rsidP="00AB3B37">
            <w:pPr>
              <w:jc w:val="left"/>
              <w:rPr>
                <w:bCs/>
                <w:szCs w:val="17"/>
              </w:rPr>
            </w:pPr>
            <w:r w:rsidRPr="002F01EF">
              <w:rPr>
                <w:bCs/>
                <w:szCs w:val="17"/>
              </w:rPr>
              <w:t>Market risk shall also reflect sustainability risk stemming from climate change</w:t>
            </w:r>
            <w:r w:rsidR="003E68FC" w:rsidRPr="002F01EF">
              <w:rPr>
                <w:bCs/>
                <w:szCs w:val="17"/>
              </w:rPr>
              <w:t>. It shall include the impact of the risk on undertakings/customers/assets. It shall include both physical and transition risk</w:t>
            </w:r>
          </w:p>
        </w:tc>
        <w:tc>
          <w:tcPr>
            <w:tcW w:w="1865" w:type="dxa"/>
            <w:shd w:val="clear" w:color="auto" w:fill="auto"/>
            <w:vAlign w:val="center"/>
          </w:tcPr>
          <w:p w14:paraId="5DA3BC43" w14:textId="1AB230F1" w:rsidR="00AF1757" w:rsidRPr="002F01EF" w:rsidRDefault="008140BC" w:rsidP="00AB3B37">
            <w:pPr>
              <w:jc w:val="center"/>
              <w:rPr>
                <w:bCs/>
                <w:szCs w:val="17"/>
              </w:rPr>
            </w:pPr>
            <w:r w:rsidRPr="002F01EF">
              <w:rPr>
                <w:bCs/>
                <w:szCs w:val="17"/>
              </w:rPr>
              <w:t>Hahn</w:t>
            </w:r>
          </w:p>
        </w:tc>
        <w:tc>
          <w:tcPr>
            <w:tcW w:w="2483" w:type="dxa"/>
            <w:shd w:val="clear" w:color="auto" w:fill="auto"/>
            <w:vAlign w:val="center"/>
          </w:tcPr>
          <w:p w14:paraId="6D7A4708" w14:textId="308CABEA" w:rsidR="00AF1757" w:rsidRPr="002F01EF" w:rsidRDefault="00805DCA" w:rsidP="00AB3B37">
            <w:pPr>
              <w:jc w:val="center"/>
              <w:rPr>
                <w:bCs/>
                <w:szCs w:val="17"/>
              </w:rPr>
            </w:pPr>
            <w:r w:rsidRPr="002F01EF">
              <w:rPr>
                <w:bCs/>
                <w:szCs w:val="17"/>
              </w:rPr>
              <w:t>SCR calculation/Sustainability</w:t>
            </w:r>
          </w:p>
        </w:tc>
        <w:tc>
          <w:tcPr>
            <w:tcW w:w="1886" w:type="dxa"/>
            <w:shd w:val="clear" w:color="auto" w:fill="auto"/>
            <w:vAlign w:val="center"/>
          </w:tcPr>
          <w:p w14:paraId="0703DEF1" w14:textId="22D4FF7F" w:rsidR="00AF1757" w:rsidRPr="002F01EF" w:rsidRDefault="007A37DB" w:rsidP="00AB3B37">
            <w:pPr>
              <w:jc w:val="center"/>
              <w:rPr>
                <w:b/>
                <w:color w:val="FF0000"/>
                <w:szCs w:val="17"/>
              </w:rPr>
            </w:pPr>
            <w:r w:rsidRPr="002F01EF">
              <w:rPr>
                <w:b/>
                <w:color w:val="FF0000"/>
                <w:szCs w:val="17"/>
              </w:rPr>
              <w:t>Negative</w:t>
            </w:r>
            <w:r w:rsidR="00317B58" w:rsidRPr="002F01EF">
              <w:rPr>
                <w:b/>
                <w:color w:val="FF0000"/>
                <w:szCs w:val="17"/>
              </w:rPr>
              <w:t xml:space="preserve"> (if not risk-based)</w:t>
            </w:r>
          </w:p>
        </w:tc>
      </w:tr>
      <w:tr w:rsidR="00AF1757" w:rsidRPr="002F01EF" w14:paraId="187955B8" w14:textId="77777777" w:rsidTr="00AB3B37">
        <w:trPr>
          <w:trHeight w:val="499"/>
        </w:trPr>
        <w:tc>
          <w:tcPr>
            <w:tcW w:w="679" w:type="dxa"/>
            <w:shd w:val="clear" w:color="auto" w:fill="auto"/>
            <w:vAlign w:val="center"/>
          </w:tcPr>
          <w:p w14:paraId="42C9FF40" w14:textId="63382DDB" w:rsidR="00AF1757" w:rsidRPr="002F01EF" w:rsidRDefault="00805DCA" w:rsidP="00AB3B37">
            <w:pPr>
              <w:jc w:val="center"/>
              <w:rPr>
                <w:bCs/>
                <w:szCs w:val="17"/>
              </w:rPr>
            </w:pPr>
            <w:r w:rsidRPr="002F01EF">
              <w:rPr>
                <w:bCs/>
                <w:szCs w:val="17"/>
              </w:rPr>
              <w:t>619</w:t>
            </w:r>
          </w:p>
        </w:tc>
        <w:tc>
          <w:tcPr>
            <w:tcW w:w="1866" w:type="dxa"/>
            <w:shd w:val="clear" w:color="auto" w:fill="auto"/>
            <w:vAlign w:val="center"/>
          </w:tcPr>
          <w:p w14:paraId="452995E7" w14:textId="77777777" w:rsidR="001C13DF" w:rsidRPr="0092408F" w:rsidRDefault="001C13DF" w:rsidP="00AB3B37">
            <w:pPr>
              <w:jc w:val="center"/>
              <w:rPr>
                <w:lang w:val="fr-FR"/>
              </w:rPr>
            </w:pPr>
            <w:r w:rsidRPr="0092408F">
              <w:rPr>
                <w:rStyle w:val="HideTWBExt"/>
                <w:lang w:val="fr-FR"/>
              </w:rPr>
              <w:t>&lt;Article2&gt;</w:t>
            </w:r>
            <w:r w:rsidRPr="0092408F">
              <w:rPr>
                <w:lang w:val="fr-FR"/>
              </w:rPr>
              <w:t xml:space="preserve">Article 105 – paragraph 5 – subparagraph 2 a </w:t>
            </w:r>
            <w:r w:rsidRPr="0092408F">
              <w:rPr>
                <w:lang w:val="fr-FR"/>
              </w:rPr>
              <w:lastRenderedPageBreak/>
              <w:t>(new)</w:t>
            </w:r>
            <w:r w:rsidRPr="0092408F">
              <w:rPr>
                <w:rStyle w:val="HideTWBExt"/>
                <w:lang w:val="fr-FR"/>
              </w:rPr>
              <w:t>&lt;/Article2&gt;</w:t>
            </w:r>
          </w:p>
          <w:p w14:paraId="5A520208" w14:textId="77777777" w:rsidR="00AF1757" w:rsidRPr="0092408F" w:rsidRDefault="00AF1757" w:rsidP="00AB3B37">
            <w:pPr>
              <w:jc w:val="center"/>
              <w:rPr>
                <w:bCs/>
                <w:szCs w:val="17"/>
                <w:lang w:val="fr-FR"/>
              </w:rPr>
            </w:pPr>
          </w:p>
        </w:tc>
        <w:tc>
          <w:tcPr>
            <w:tcW w:w="5964" w:type="dxa"/>
            <w:shd w:val="clear" w:color="auto" w:fill="auto"/>
          </w:tcPr>
          <w:p w14:paraId="1724C733" w14:textId="42A052BD" w:rsidR="00AF1757" w:rsidRPr="002F01EF" w:rsidRDefault="005C6A9D" w:rsidP="00AB3B37">
            <w:pPr>
              <w:jc w:val="left"/>
              <w:rPr>
                <w:bCs/>
                <w:szCs w:val="17"/>
              </w:rPr>
            </w:pPr>
            <w:r w:rsidRPr="002F01EF">
              <w:rPr>
                <w:bCs/>
                <w:szCs w:val="17"/>
              </w:rPr>
              <w:lastRenderedPageBreak/>
              <w:t xml:space="preserve">For the purpose of calculating the sensitivity of asset values referred to in a) and d), the undertaking shall consider any </w:t>
            </w:r>
            <w:r w:rsidR="00AF4E34" w:rsidRPr="002F01EF">
              <w:rPr>
                <w:bCs/>
                <w:szCs w:val="17"/>
              </w:rPr>
              <w:t xml:space="preserve">exposure to fossil fuel sectors as an exposure to the most volatile </w:t>
            </w:r>
            <w:r w:rsidR="00AF4E34" w:rsidRPr="002F01EF">
              <w:rPr>
                <w:bCs/>
                <w:szCs w:val="17"/>
              </w:rPr>
              <w:lastRenderedPageBreak/>
              <w:t>asset of each category</w:t>
            </w:r>
          </w:p>
        </w:tc>
        <w:tc>
          <w:tcPr>
            <w:tcW w:w="1865" w:type="dxa"/>
            <w:shd w:val="clear" w:color="auto" w:fill="auto"/>
            <w:vAlign w:val="center"/>
          </w:tcPr>
          <w:p w14:paraId="78FA9E48" w14:textId="7325D8EF" w:rsidR="00AF1757" w:rsidRPr="002F01EF" w:rsidRDefault="001C13DF" w:rsidP="00AB3B37">
            <w:pPr>
              <w:jc w:val="center"/>
              <w:rPr>
                <w:bCs/>
                <w:szCs w:val="17"/>
              </w:rPr>
            </w:pPr>
            <w:r w:rsidRPr="002F01EF">
              <w:rPr>
                <w:bCs/>
                <w:szCs w:val="17"/>
              </w:rPr>
              <w:lastRenderedPageBreak/>
              <w:t>Hahn</w:t>
            </w:r>
          </w:p>
        </w:tc>
        <w:tc>
          <w:tcPr>
            <w:tcW w:w="2483" w:type="dxa"/>
            <w:shd w:val="clear" w:color="auto" w:fill="auto"/>
            <w:vAlign w:val="center"/>
          </w:tcPr>
          <w:p w14:paraId="4197172F" w14:textId="61424069" w:rsidR="00AF1757" w:rsidRPr="002F01EF" w:rsidRDefault="00A0213F" w:rsidP="00AB3B37">
            <w:pPr>
              <w:jc w:val="center"/>
              <w:rPr>
                <w:bCs/>
                <w:szCs w:val="17"/>
              </w:rPr>
            </w:pPr>
            <w:r w:rsidRPr="002F01EF">
              <w:rPr>
                <w:bCs/>
                <w:szCs w:val="17"/>
              </w:rPr>
              <w:t>SCR calculation/Sustainability</w:t>
            </w:r>
          </w:p>
        </w:tc>
        <w:tc>
          <w:tcPr>
            <w:tcW w:w="1886" w:type="dxa"/>
            <w:shd w:val="clear" w:color="auto" w:fill="auto"/>
            <w:vAlign w:val="center"/>
          </w:tcPr>
          <w:p w14:paraId="5C61369F" w14:textId="2CD011A0" w:rsidR="00AF1757" w:rsidRPr="002F01EF" w:rsidRDefault="00A0213F" w:rsidP="00AB3B37">
            <w:pPr>
              <w:jc w:val="center"/>
              <w:rPr>
                <w:b/>
                <w:color w:val="FF0000"/>
                <w:szCs w:val="17"/>
              </w:rPr>
            </w:pPr>
            <w:r w:rsidRPr="002F01EF">
              <w:rPr>
                <w:b/>
                <w:color w:val="FF0000"/>
                <w:szCs w:val="17"/>
              </w:rPr>
              <w:t>Negative</w:t>
            </w:r>
            <w:r w:rsidR="00ED2389" w:rsidRPr="002F01EF">
              <w:rPr>
                <w:b/>
                <w:color w:val="FF0000"/>
                <w:szCs w:val="17"/>
              </w:rPr>
              <w:t xml:space="preserve"> (if not risk-based)</w:t>
            </w:r>
          </w:p>
        </w:tc>
      </w:tr>
      <w:tr w:rsidR="00805DCA" w:rsidRPr="002F01EF" w14:paraId="2F5FB98D" w14:textId="77777777" w:rsidTr="00AB3B37">
        <w:trPr>
          <w:trHeight w:val="499"/>
        </w:trPr>
        <w:tc>
          <w:tcPr>
            <w:tcW w:w="679" w:type="dxa"/>
            <w:shd w:val="clear" w:color="auto" w:fill="auto"/>
            <w:vAlign w:val="center"/>
          </w:tcPr>
          <w:p w14:paraId="608AD9EF" w14:textId="4F6115AB" w:rsidR="00805DCA" w:rsidRPr="002F01EF" w:rsidRDefault="00485D0F" w:rsidP="00AB3B37">
            <w:pPr>
              <w:jc w:val="center"/>
              <w:rPr>
                <w:bCs/>
                <w:szCs w:val="17"/>
              </w:rPr>
            </w:pPr>
            <w:r w:rsidRPr="002F01EF">
              <w:rPr>
                <w:bCs/>
                <w:szCs w:val="17"/>
              </w:rPr>
              <w:t>620</w:t>
            </w:r>
            <w:r w:rsidR="009901D3" w:rsidRPr="002F01EF">
              <w:rPr>
                <w:bCs/>
                <w:szCs w:val="17"/>
              </w:rPr>
              <w:t>, 622</w:t>
            </w:r>
          </w:p>
        </w:tc>
        <w:tc>
          <w:tcPr>
            <w:tcW w:w="1866" w:type="dxa"/>
            <w:shd w:val="clear" w:color="auto" w:fill="auto"/>
            <w:vAlign w:val="center"/>
          </w:tcPr>
          <w:p w14:paraId="2F264A7E" w14:textId="77777777" w:rsidR="00485D0F" w:rsidRPr="0092408F" w:rsidRDefault="00485D0F" w:rsidP="00AB3B37">
            <w:pPr>
              <w:jc w:val="center"/>
              <w:rPr>
                <w:lang w:val="fr-FR"/>
              </w:rPr>
            </w:pPr>
            <w:r w:rsidRPr="0092408F">
              <w:rPr>
                <w:rStyle w:val="HideTWBExt"/>
                <w:lang w:val="fr-FR"/>
              </w:rPr>
              <w:t>&lt;Article2&gt;</w:t>
            </w:r>
            <w:r w:rsidRPr="0092408F">
              <w:rPr>
                <w:lang w:val="fr-FR"/>
              </w:rPr>
              <w:t>Article 105 – paragraph 5 – subparagraph 2 a (new)</w:t>
            </w:r>
            <w:r w:rsidRPr="0092408F">
              <w:rPr>
                <w:rStyle w:val="HideTWBExt"/>
                <w:lang w:val="fr-FR"/>
              </w:rPr>
              <w:t>&lt;/Article2&gt;</w:t>
            </w:r>
          </w:p>
          <w:p w14:paraId="49D799F6" w14:textId="77777777" w:rsidR="00805DCA" w:rsidRPr="0092408F" w:rsidRDefault="00805DCA" w:rsidP="00AB3B37">
            <w:pPr>
              <w:jc w:val="center"/>
              <w:rPr>
                <w:bCs/>
                <w:szCs w:val="17"/>
                <w:lang w:val="fr-FR"/>
              </w:rPr>
            </w:pPr>
          </w:p>
        </w:tc>
        <w:tc>
          <w:tcPr>
            <w:tcW w:w="5964" w:type="dxa"/>
            <w:shd w:val="clear" w:color="auto" w:fill="auto"/>
          </w:tcPr>
          <w:p w14:paraId="6F3A6109" w14:textId="79979C78" w:rsidR="00805DCA" w:rsidRPr="002F01EF" w:rsidRDefault="00AD4CAC" w:rsidP="00AB3B37">
            <w:pPr>
              <w:jc w:val="left"/>
              <w:rPr>
                <w:bCs/>
                <w:szCs w:val="17"/>
              </w:rPr>
            </w:pPr>
            <w:r w:rsidRPr="002F01EF">
              <w:rPr>
                <w:bCs/>
                <w:szCs w:val="17"/>
              </w:rPr>
              <w:t>Equity and spread risk sub-modules referred to in points (a) and (d) of subparagraph 2 shall consider climate-related financial risks associated with fossil fuel sector exposures.’</w:t>
            </w:r>
          </w:p>
        </w:tc>
        <w:tc>
          <w:tcPr>
            <w:tcW w:w="1865" w:type="dxa"/>
            <w:shd w:val="clear" w:color="auto" w:fill="auto"/>
            <w:vAlign w:val="center"/>
          </w:tcPr>
          <w:p w14:paraId="2DA97AF9" w14:textId="26CC2205" w:rsidR="00805DCA" w:rsidRPr="002F01EF" w:rsidRDefault="00485D0F" w:rsidP="00AB3B37">
            <w:pPr>
              <w:jc w:val="center"/>
              <w:rPr>
                <w:bCs/>
                <w:szCs w:val="17"/>
              </w:rPr>
            </w:pPr>
            <w:proofErr w:type="spellStart"/>
            <w:r w:rsidRPr="002F01EF">
              <w:rPr>
                <w:bCs/>
                <w:szCs w:val="17"/>
              </w:rPr>
              <w:t>Lalucq</w:t>
            </w:r>
            <w:proofErr w:type="spellEnd"/>
            <w:r w:rsidR="009901D3" w:rsidRPr="002F01EF">
              <w:rPr>
                <w:bCs/>
                <w:szCs w:val="17"/>
              </w:rPr>
              <w:t>/MacManus</w:t>
            </w:r>
          </w:p>
        </w:tc>
        <w:tc>
          <w:tcPr>
            <w:tcW w:w="2483" w:type="dxa"/>
            <w:shd w:val="clear" w:color="auto" w:fill="auto"/>
            <w:vAlign w:val="center"/>
          </w:tcPr>
          <w:p w14:paraId="59DF8117" w14:textId="779538C3" w:rsidR="00805DCA" w:rsidRPr="002F01EF" w:rsidRDefault="00485D0F" w:rsidP="00AB3B37">
            <w:pPr>
              <w:jc w:val="center"/>
              <w:rPr>
                <w:bCs/>
                <w:szCs w:val="17"/>
              </w:rPr>
            </w:pPr>
            <w:r w:rsidRPr="002F01EF">
              <w:rPr>
                <w:bCs/>
                <w:szCs w:val="17"/>
              </w:rPr>
              <w:t>SCR calculation/Sustainability</w:t>
            </w:r>
          </w:p>
        </w:tc>
        <w:tc>
          <w:tcPr>
            <w:tcW w:w="1886" w:type="dxa"/>
            <w:shd w:val="clear" w:color="auto" w:fill="auto"/>
            <w:vAlign w:val="center"/>
          </w:tcPr>
          <w:p w14:paraId="6E683900" w14:textId="3AEF13DE" w:rsidR="00805DCA" w:rsidRPr="002F01EF" w:rsidRDefault="007A37DB" w:rsidP="00AB3B37">
            <w:pPr>
              <w:jc w:val="center"/>
              <w:rPr>
                <w:b/>
                <w:color w:val="FF0000"/>
                <w:szCs w:val="17"/>
              </w:rPr>
            </w:pPr>
            <w:r w:rsidRPr="002F01EF">
              <w:rPr>
                <w:b/>
                <w:color w:val="FF0000"/>
                <w:szCs w:val="17"/>
              </w:rPr>
              <w:t>Negative</w:t>
            </w:r>
            <w:r w:rsidR="00ED2389" w:rsidRPr="002F01EF">
              <w:rPr>
                <w:b/>
                <w:color w:val="FF0000"/>
                <w:szCs w:val="17"/>
              </w:rPr>
              <w:t xml:space="preserve"> (if not risk-based)</w:t>
            </w:r>
          </w:p>
        </w:tc>
      </w:tr>
      <w:tr w:rsidR="00AB3B37" w:rsidRPr="002F01EF" w14:paraId="5CDAF039" w14:textId="77777777" w:rsidTr="00AB3B37">
        <w:trPr>
          <w:trHeight w:val="499"/>
        </w:trPr>
        <w:tc>
          <w:tcPr>
            <w:tcW w:w="679" w:type="dxa"/>
            <w:shd w:val="clear" w:color="auto" w:fill="auto"/>
            <w:vAlign w:val="center"/>
          </w:tcPr>
          <w:p w14:paraId="4828C0DD" w14:textId="1F9A50E1" w:rsidR="00AB3B37" w:rsidRPr="002F01EF" w:rsidRDefault="00AB3B37" w:rsidP="00AB3B37">
            <w:pPr>
              <w:jc w:val="center"/>
              <w:rPr>
                <w:bCs/>
                <w:szCs w:val="17"/>
              </w:rPr>
            </w:pPr>
            <w:r w:rsidRPr="002F01EF">
              <w:rPr>
                <w:bCs/>
                <w:szCs w:val="17"/>
              </w:rPr>
              <w:t>621</w:t>
            </w:r>
          </w:p>
        </w:tc>
        <w:tc>
          <w:tcPr>
            <w:tcW w:w="1866" w:type="dxa"/>
            <w:shd w:val="clear" w:color="auto" w:fill="auto"/>
            <w:vAlign w:val="center"/>
          </w:tcPr>
          <w:p w14:paraId="5E7BBABF" w14:textId="0A1630A7" w:rsidR="00AB3B37" w:rsidRPr="0092408F" w:rsidRDefault="00AB3B37" w:rsidP="00AB3B37">
            <w:pPr>
              <w:jc w:val="center"/>
              <w:rPr>
                <w:bCs/>
                <w:szCs w:val="17"/>
                <w:lang w:val="fr-FR"/>
              </w:rPr>
            </w:pPr>
            <w:r w:rsidRPr="0092408F">
              <w:rPr>
                <w:lang w:val="fr-FR"/>
              </w:rPr>
              <w:t>Article 105 – paragraph 5 – subparagraph 2 a (new)</w:t>
            </w:r>
          </w:p>
        </w:tc>
        <w:tc>
          <w:tcPr>
            <w:tcW w:w="5964" w:type="dxa"/>
            <w:shd w:val="clear" w:color="auto" w:fill="auto"/>
          </w:tcPr>
          <w:p w14:paraId="4BB810C5" w14:textId="71360E4C" w:rsidR="00AB3B37" w:rsidRPr="002F01EF" w:rsidRDefault="00AB3B37" w:rsidP="00AB3B37">
            <w:pPr>
              <w:jc w:val="left"/>
              <w:rPr>
                <w:bCs/>
                <w:szCs w:val="17"/>
              </w:rPr>
            </w:pPr>
            <w:r w:rsidRPr="002F01EF">
              <w:rPr>
                <w:bCs/>
                <w:szCs w:val="17"/>
              </w:rPr>
              <w:t>Equity and spread risk sub-modules referred to in points (a) and (d) of subparagraph 2 shall consider climate-related financial risks associated with fossil fuel sector exposures</w:t>
            </w:r>
            <w:r w:rsidRPr="002F01EF">
              <w:t xml:space="preserve"> and </w:t>
            </w:r>
            <w:r w:rsidRPr="002F01EF">
              <w:rPr>
                <w:bCs/>
                <w:szCs w:val="17"/>
              </w:rPr>
              <w:t xml:space="preserve">exposures to economic activities that significantly harm environmental objectives. Climate risks will be considered high when the company fails to adhere to its transition </w:t>
            </w:r>
            <w:r w:rsidR="00FB4A79" w:rsidRPr="002F01EF">
              <w:rPr>
                <w:bCs/>
                <w:szCs w:val="17"/>
              </w:rPr>
              <w:t>plan.</w:t>
            </w:r>
            <w:r w:rsidRPr="002F01EF">
              <w:rPr>
                <w:bCs/>
                <w:szCs w:val="17"/>
              </w:rPr>
              <w:t>’</w:t>
            </w:r>
          </w:p>
        </w:tc>
        <w:tc>
          <w:tcPr>
            <w:tcW w:w="1865" w:type="dxa"/>
            <w:shd w:val="clear" w:color="auto" w:fill="auto"/>
            <w:vAlign w:val="center"/>
          </w:tcPr>
          <w:p w14:paraId="6F68382B" w14:textId="0F042989" w:rsidR="00AB3B37" w:rsidRPr="002F01EF" w:rsidRDefault="00AB3B37" w:rsidP="00AB3B37">
            <w:pPr>
              <w:jc w:val="center"/>
              <w:rPr>
                <w:bCs/>
                <w:szCs w:val="17"/>
              </w:rPr>
            </w:pPr>
            <w:r w:rsidRPr="002F01EF">
              <w:rPr>
                <w:bCs/>
                <w:szCs w:val="17"/>
              </w:rPr>
              <w:t>Tang</w:t>
            </w:r>
          </w:p>
        </w:tc>
        <w:tc>
          <w:tcPr>
            <w:tcW w:w="2483" w:type="dxa"/>
            <w:shd w:val="clear" w:color="auto" w:fill="auto"/>
            <w:vAlign w:val="center"/>
          </w:tcPr>
          <w:p w14:paraId="0C3FCB53" w14:textId="22458A33" w:rsidR="00AB3B37" w:rsidRPr="002F01EF" w:rsidRDefault="00AB3B37" w:rsidP="00AB3B37">
            <w:pPr>
              <w:jc w:val="center"/>
              <w:rPr>
                <w:bCs/>
                <w:szCs w:val="17"/>
              </w:rPr>
            </w:pPr>
            <w:r w:rsidRPr="002F01EF">
              <w:rPr>
                <w:bCs/>
                <w:szCs w:val="17"/>
              </w:rPr>
              <w:t>SCR calculation/Sustainability</w:t>
            </w:r>
          </w:p>
        </w:tc>
        <w:tc>
          <w:tcPr>
            <w:tcW w:w="1886" w:type="dxa"/>
            <w:shd w:val="clear" w:color="auto" w:fill="auto"/>
            <w:vAlign w:val="center"/>
          </w:tcPr>
          <w:p w14:paraId="0667F2D1" w14:textId="1C10A398" w:rsidR="00AB3B37" w:rsidRPr="002F01EF" w:rsidRDefault="00AB3B37" w:rsidP="00AB3B37">
            <w:pPr>
              <w:jc w:val="center"/>
              <w:rPr>
                <w:bCs/>
                <w:szCs w:val="17"/>
                <w:highlight w:val="yellow"/>
              </w:rPr>
            </w:pPr>
            <w:r w:rsidRPr="002F01EF">
              <w:rPr>
                <w:b/>
                <w:color w:val="FF0000"/>
                <w:szCs w:val="17"/>
              </w:rPr>
              <w:t>Negative (if not risk-based)</w:t>
            </w:r>
          </w:p>
        </w:tc>
      </w:tr>
      <w:tr w:rsidR="00AB3B37" w:rsidRPr="002F01EF" w14:paraId="2CE4FE71" w14:textId="77777777" w:rsidTr="00AB3B37">
        <w:trPr>
          <w:trHeight w:val="499"/>
        </w:trPr>
        <w:tc>
          <w:tcPr>
            <w:tcW w:w="679" w:type="dxa"/>
            <w:shd w:val="clear" w:color="auto" w:fill="auto"/>
            <w:vAlign w:val="center"/>
          </w:tcPr>
          <w:p w14:paraId="380B7107" w14:textId="54729DE4" w:rsidR="00AB3B37" w:rsidRPr="002F01EF" w:rsidRDefault="00AB3B37" w:rsidP="00AB3B37">
            <w:pPr>
              <w:jc w:val="center"/>
              <w:rPr>
                <w:bCs/>
                <w:szCs w:val="17"/>
              </w:rPr>
            </w:pPr>
            <w:r w:rsidRPr="002F01EF">
              <w:rPr>
                <w:bCs/>
                <w:szCs w:val="17"/>
              </w:rPr>
              <w:t>623</w:t>
            </w:r>
          </w:p>
        </w:tc>
        <w:tc>
          <w:tcPr>
            <w:tcW w:w="1866" w:type="dxa"/>
            <w:shd w:val="clear" w:color="auto" w:fill="auto"/>
            <w:vAlign w:val="center"/>
          </w:tcPr>
          <w:p w14:paraId="7C0977A6" w14:textId="77777777" w:rsidR="00AB3B37" w:rsidRPr="002F01EF" w:rsidRDefault="00AB3B37" w:rsidP="00AB3B37">
            <w:pPr>
              <w:jc w:val="center"/>
            </w:pPr>
            <w:r w:rsidRPr="002F01EF">
              <w:rPr>
                <w:rStyle w:val="HideTWBExt"/>
              </w:rPr>
              <w:t>&lt;Article2&gt;</w:t>
            </w:r>
            <w:r w:rsidRPr="002F01EF">
              <w:t>Article 105 – paragraph 6 a (new)</w:t>
            </w:r>
            <w:r w:rsidRPr="002F01EF">
              <w:rPr>
                <w:rStyle w:val="HideTWBExt"/>
              </w:rPr>
              <w:t>&lt;/Article2&gt;</w:t>
            </w:r>
          </w:p>
          <w:p w14:paraId="29FBFBA0" w14:textId="77777777" w:rsidR="00AB3B37" w:rsidRPr="002F01EF" w:rsidRDefault="00AB3B37" w:rsidP="00AB3B37">
            <w:pPr>
              <w:jc w:val="center"/>
              <w:rPr>
                <w:bCs/>
                <w:szCs w:val="17"/>
              </w:rPr>
            </w:pPr>
          </w:p>
        </w:tc>
        <w:tc>
          <w:tcPr>
            <w:tcW w:w="5964" w:type="dxa"/>
            <w:shd w:val="clear" w:color="auto" w:fill="auto"/>
          </w:tcPr>
          <w:p w14:paraId="42F0FA0C" w14:textId="31914421" w:rsidR="00AB3B37" w:rsidRPr="002F01EF" w:rsidRDefault="00AB3B37" w:rsidP="00AB3B37">
            <w:pPr>
              <w:jc w:val="left"/>
              <w:rPr>
                <w:bCs/>
                <w:szCs w:val="17"/>
              </w:rPr>
            </w:pPr>
            <w:r w:rsidRPr="002F01EF">
              <w:rPr>
                <w:bCs/>
                <w:szCs w:val="17"/>
              </w:rPr>
              <w:t>EC should adopt DA to reflect risk linked to crypto-assets in the market risk sub module</w:t>
            </w:r>
          </w:p>
        </w:tc>
        <w:tc>
          <w:tcPr>
            <w:tcW w:w="1865" w:type="dxa"/>
            <w:shd w:val="clear" w:color="auto" w:fill="auto"/>
            <w:vAlign w:val="center"/>
          </w:tcPr>
          <w:p w14:paraId="31B57ECB" w14:textId="0930909E"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1ACE02D2" w14:textId="60EDBDD6" w:rsidR="00AB3B37" w:rsidRPr="002F01EF" w:rsidRDefault="00AB3B37" w:rsidP="00AB3B37">
            <w:pPr>
              <w:jc w:val="center"/>
              <w:rPr>
                <w:bCs/>
                <w:szCs w:val="17"/>
              </w:rPr>
            </w:pPr>
            <w:r w:rsidRPr="002F01EF">
              <w:rPr>
                <w:bCs/>
                <w:szCs w:val="17"/>
              </w:rPr>
              <w:t>SCR calculation</w:t>
            </w:r>
          </w:p>
        </w:tc>
        <w:tc>
          <w:tcPr>
            <w:tcW w:w="1886" w:type="dxa"/>
            <w:shd w:val="clear" w:color="auto" w:fill="auto"/>
            <w:vAlign w:val="center"/>
          </w:tcPr>
          <w:p w14:paraId="6C4EFA4B" w14:textId="42FC307B" w:rsidR="00AB3B37" w:rsidRPr="002F01EF" w:rsidRDefault="00633005" w:rsidP="00AB3B37">
            <w:pPr>
              <w:jc w:val="center"/>
              <w:rPr>
                <w:bCs/>
                <w:szCs w:val="17"/>
              </w:rPr>
            </w:pPr>
            <w:r w:rsidRPr="002F01EF">
              <w:rPr>
                <w:b/>
                <w:color w:val="808080" w:themeColor="background1" w:themeShade="80"/>
                <w:szCs w:val="17"/>
              </w:rPr>
              <w:t>Neutral</w:t>
            </w:r>
          </w:p>
        </w:tc>
      </w:tr>
      <w:tr w:rsidR="00AB3B37" w:rsidRPr="002F01EF" w14:paraId="0B7D6891" w14:textId="77777777" w:rsidTr="00AB3B37">
        <w:trPr>
          <w:trHeight w:val="499"/>
        </w:trPr>
        <w:tc>
          <w:tcPr>
            <w:tcW w:w="679" w:type="dxa"/>
            <w:shd w:val="clear" w:color="auto" w:fill="auto"/>
            <w:vAlign w:val="center"/>
          </w:tcPr>
          <w:p w14:paraId="7BC30788" w14:textId="031F5595" w:rsidR="00AB3B37" w:rsidRPr="002F01EF" w:rsidRDefault="00AB3B37" w:rsidP="00AB3B37">
            <w:pPr>
              <w:jc w:val="center"/>
              <w:rPr>
                <w:bCs/>
                <w:szCs w:val="17"/>
              </w:rPr>
            </w:pPr>
            <w:r w:rsidRPr="002F01EF">
              <w:rPr>
                <w:bCs/>
                <w:szCs w:val="17"/>
              </w:rPr>
              <w:t>624, 625, 626</w:t>
            </w:r>
          </w:p>
        </w:tc>
        <w:tc>
          <w:tcPr>
            <w:tcW w:w="1866" w:type="dxa"/>
            <w:shd w:val="clear" w:color="auto" w:fill="auto"/>
            <w:vAlign w:val="center"/>
          </w:tcPr>
          <w:p w14:paraId="63E6E9F6" w14:textId="77777777" w:rsidR="00AB3B37" w:rsidRPr="002F01EF" w:rsidRDefault="00AB3B37" w:rsidP="00AB3B37">
            <w:pPr>
              <w:jc w:val="center"/>
            </w:pPr>
            <w:r w:rsidRPr="002F01EF">
              <w:rPr>
                <w:rStyle w:val="HideTWBExt"/>
              </w:rPr>
              <w:t>&lt;Article2&gt;</w:t>
            </w:r>
            <w:r w:rsidRPr="002F01EF">
              <w:t>Article 105 a (new)</w:t>
            </w:r>
            <w:r w:rsidRPr="002F01EF">
              <w:rPr>
                <w:rStyle w:val="HideTWBExt"/>
              </w:rPr>
              <w:t>&lt;/Article2&gt;</w:t>
            </w:r>
          </w:p>
          <w:p w14:paraId="0404F335" w14:textId="77777777" w:rsidR="00AB3B37" w:rsidRPr="002F01EF" w:rsidRDefault="00AB3B37" w:rsidP="00AB3B37">
            <w:pPr>
              <w:jc w:val="center"/>
              <w:rPr>
                <w:rStyle w:val="HideTWBExt"/>
              </w:rPr>
            </w:pPr>
          </w:p>
        </w:tc>
        <w:tc>
          <w:tcPr>
            <w:tcW w:w="5964" w:type="dxa"/>
            <w:shd w:val="clear" w:color="auto" w:fill="auto"/>
          </w:tcPr>
          <w:p w14:paraId="412E662F" w14:textId="26D1C795" w:rsidR="00AB3B37" w:rsidRPr="002F01EF" w:rsidRDefault="00AB3B37" w:rsidP="00AB3B37">
            <w:pPr>
              <w:jc w:val="left"/>
              <w:rPr>
                <w:bCs/>
                <w:szCs w:val="17"/>
              </w:rPr>
            </w:pPr>
            <w:r w:rsidRPr="002F01EF">
              <w:rPr>
                <w:bCs/>
                <w:szCs w:val="17"/>
              </w:rPr>
              <w:t xml:space="preserve">Specifies criteria similar as proposed by IE. Main differences: b) risk margin/OF are not covered; c) portfolio has to be managed separately from other activities; f) OECD investments; g) liability Macaulay duration of HRG exceeds 5 years and </w:t>
            </w:r>
            <w:r w:rsidRPr="002F01EF">
              <w:rPr>
                <w:b/>
                <w:szCs w:val="17"/>
              </w:rPr>
              <w:t>no</w:t>
            </w:r>
            <w:r w:rsidRPr="002F01EF">
              <w:rPr>
                <w:bCs/>
                <w:szCs w:val="17"/>
              </w:rPr>
              <w:t xml:space="preserve"> mention of the stress test;</w:t>
            </w:r>
          </w:p>
          <w:p w14:paraId="6FF3F34A" w14:textId="77777777" w:rsidR="00AB3B37" w:rsidRPr="002F01EF" w:rsidRDefault="00AB3B37" w:rsidP="00AB3B37">
            <w:pPr>
              <w:jc w:val="left"/>
              <w:rPr>
                <w:bCs/>
                <w:szCs w:val="17"/>
              </w:rPr>
            </w:pPr>
            <w:r w:rsidRPr="002F01EF">
              <w:rPr>
                <w:bCs/>
                <w:szCs w:val="17"/>
              </w:rPr>
              <w:t>4) if no longer compliant not allowed to apply LTE for 36 months</w:t>
            </w:r>
          </w:p>
          <w:p w14:paraId="400F821C" w14:textId="0A24D107" w:rsidR="00AB3B37" w:rsidRPr="002F01EF" w:rsidRDefault="00AB3B37" w:rsidP="00AB3B37">
            <w:pPr>
              <w:jc w:val="left"/>
              <w:rPr>
                <w:bCs/>
                <w:szCs w:val="17"/>
              </w:rPr>
            </w:pPr>
            <w:r w:rsidRPr="002F01EF">
              <w:rPr>
                <w:bCs/>
                <w:szCs w:val="17"/>
              </w:rPr>
              <w:t>5)</w:t>
            </w:r>
            <w:r w:rsidR="00821187" w:rsidRPr="002F01EF">
              <w:rPr>
                <w:bCs/>
                <w:szCs w:val="17"/>
              </w:rPr>
              <w:t xml:space="preserve"> </w:t>
            </w:r>
            <w:r w:rsidRPr="002F01EF">
              <w:rPr>
                <w:bCs/>
                <w:szCs w:val="17"/>
              </w:rPr>
              <w:t>participations shall be excluded from LTE</w:t>
            </w:r>
          </w:p>
          <w:p w14:paraId="4CF2E30A" w14:textId="45BCC607" w:rsidR="00AB3B37" w:rsidRPr="002F01EF" w:rsidRDefault="00AB3B37" w:rsidP="00AB3B37">
            <w:pPr>
              <w:jc w:val="left"/>
              <w:rPr>
                <w:bCs/>
                <w:szCs w:val="17"/>
              </w:rPr>
            </w:pPr>
            <w:r w:rsidRPr="002F01EF">
              <w:rPr>
                <w:bCs/>
                <w:szCs w:val="17"/>
              </w:rPr>
              <w:t>X) in case of material impact on overall SCR of the undertaking, enhanced reporting requirements should apply</w:t>
            </w:r>
          </w:p>
        </w:tc>
        <w:tc>
          <w:tcPr>
            <w:tcW w:w="1865" w:type="dxa"/>
            <w:shd w:val="clear" w:color="auto" w:fill="auto"/>
            <w:vAlign w:val="center"/>
          </w:tcPr>
          <w:p w14:paraId="1CFCC59C" w14:textId="520685AC" w:rsidR="00AB3B37" w:rsidRPr="002E30E3" w:rsidRDefault="00AB3B37" w:rsidP="00AB3B37">
            <w:pPr>
              <w:jc w:val="center"/>
              <w:rPr>
                <w:szCs w:val="17"/>
                <w:lang w:val="it-IT"/>
              </w:rPr>
            </w:pPr>
            <w:r w:rsidRPr="002E30E3">
              <w:rPr>
                <w:szCs w:val="17"/>
                <w:lang w:val="it-IT"/>
              </w:rPr>
              <w:t>Fitto/Castaldo/Zanni, Grant, Rinaldi</w:t>
            </w:r>
          </w:p>
        </w:tc>
        <w:tc>
          <w:tcPr>
            <w:tcW w:w="2483" w:type="dxa"/>
            <w:shd w:val="clear" w:color="auto" w:fill="auto"/>
            <w:vAlign w:val="center"/>
          </w:tcPr>
          <w:p w14:paraId="2835B662" w14:textId="51DE187D" w:rsidR="00AB3B37" w:rsidRPr="002F01EF" w:rsidRDefault="00AB3B37" w:rsidP="00AB3B37">
            <w:pPr>
              <w:jc w:val="center"/>
              <w:rPr>
                <w:bCs/>
                <w:szCs w:val="17"/>
              </w:rPr>
            </w:pPr>
            <w:r w:rsidRPr="002F01EF">
              <w:rPr>
                <w:bCs/>
                <w:szCs w:val="17"/>
              </w:rPr>
              <w:t>Long term equity</w:t>
            </w:r>
          </w:p>
        </w:tc>
        <w:tc>
          <w:tcPr>
            <w:tcW w:w="1886" w:type="dxa"/>
            <w:shd w:val="clear" w:color="auto" w:fill="auto"/>
            <w:vAlign w:val="center"/>
          </w:tcPr>
          <w:p w14:paraId="2FA296BC" w14:textId="6972CBBE" w:rsidR="00AB3B37" w:rsidRPr="002F01EF" w:rsidRDefault="00AB3B37" w:rsidP="00AB3B37">
            <w:pPr>
              <w:jc w:val="center"/>
              <w:rPr>
                <w:b/>
                <w:color w:val="808080" w:themeColor="background1" w:themeShade="80"/>
                <w:szCs w:val="17"/>
              </w:rPr>
            </w:pPr>
            <w:r w:rsidRPr="002F01EF">
              <w:rPr>
                <w:b/>
                <w:color w:val="808080" w:themeColor="background1" w:themeShade="80"/>
                <w:szCs w:val="17"/>
              </w:rPr>
              <w:t>Mixed</w:t>
            </w:r>
          </w:p>
        </w:tc>
      </w:tr>
      <w:tr w:rsidR="00AB3B37" w:rsidRPr="002F01EF" w14:paraId="36B838A8" w14:textId="77777777" w:rsidTr="00AB3B37">
        <w:trPr>
          <w:trHeight w:val="499"/>
        </w:trPr>
        <w:tc>
          <w:tcPr>
            <w:tcW w:w="679" w:type="dxa"/>
            <w:shd w:val="clear" w:color="auto" w:fill="auto"/>
            <w:vAlign w:val="center"/>
          </w:tcPr>
          <w:p w14:paraId="2F26657E" w14:textId="3F2C8552" w:rsidR="00AB3B37" w:rsidRPr="002F01EF" w:rsidRDefault="00AB3B37" w:rsidP="00AB3B37">
            <w:pPr>
              <w:jc w:val="center"/>
              <w:rPr>
                <w:bCs/>
                <w:szCs w:val="17"/>
              </w:rPr>
            </w:pPr>
            <w:r w:rsidRPr="002F01EF">
              <w:rPr>
                <w:bCs/>
                <w:szCs w:val="17"/>
              </w:rPr>
              <w:t>627</w:t>
            </w:r>
          </w:p>
        </w:tc>
        <w:tc>
          <w:tcPr>
            <w:tcW w:w="1866" w:type="dxa"/>
            <w:shd w:val="clear" w:color="auto" w:fill="auto"/>
            <w:vAlign w:val="center"/>
          </w:tcPr>
          <w:p w14:paraId="69532CBC" w14:textId="77777777" w:rsidR="00AB3B37" w:rsidRPr="002F01EF" w:rsidRDefault="00AB3B37" w:rsidP="00AB3B37">
            <w:pPr>
              <w:jc w:val="center"/>
              <w:rPr>
                <w:rFonts w:ascii="Times New Roman" w:hAnsi="Times New Roman"/>
                <w:sz w:val="24"/>
                <w:szCs w:val="20"/>
              </w:rPr>
            </w:pPr>
            <w:r w:rsidRPr="002F01EF">
              <w:rPr>
                <w:rStyle w:val="HideTWBExt"/>
              </w:rPr>
              <w:t>&lt;Article2&gt;</w:t>
            </w:r>
            <w:r w:rsidRPr="002F01EF">
              <w:t>Article 105 a (new)</w:t>
            </w:r>
            <w:r w:rsidRPr="002F01EF">
              <w:rPr>
                <w:rStyle w:val="HideTWBExt"/>
              </w:rPr>
              <w:t>&lt;/Article2&gt;</w:t>
            </w:r>
          </w:p>
          <w:p w14:paraId="6F106EEF" w14:textId="77777777" w:rsidR="00AB3B37" w:rsidRPr="002F01EF" w:rsidRDefault="00AB3B37" w:rsidP="00AB3B37">
            <w:pPr>
              <w:jc w:val="center"/>
              <w:rPr>
                <w:szCs w:val="17"/>
              </w:rPr>
            </w:pPr>
          </w:p>
        </w:tc>
        <w:tc>
          <w:tcPr>
            <w:tcW w:w="5964" w:type="dxa"/>
            <w:shd w:val="clear" w:color="auto" w:fill="auto"/>
          </w:tcPr>
          <w:p w14:paraId="4AED9527" w14:textId="37C040E0" w:rsidR="00AB3B37" w:rsidRPr="002F01EF" w:rsidRDefault="00AB3B37" w:rsidP="00AB3B37">
            <w:pPr>
              <w:jc w:val="left"/>
              <w:rPr>
                <w:bCs/>
                <w:szCs w:val="17"/>
              </w:rPr>
            </w:pPr>
            <w:r w:rsidRPr="002F01EF">
              <w:rPr>
                <w:bCs/>
                <w:szCs w:val="17"/>
              </w:rPr>
              <w:t xml:space="preserve">Specifies criteria similar as proposed by IE. Main differences: d) average holding period is 5 years, if it is less the insurer cannot sell any equity within the subset until the average holding period exceeds 5 years, </w:t>
            </w:r>
            <w:r w:rsidRPr="002F01EF">
              <w:rPr>
                <w:b/>
                <w:szCs w:val="17"/>
              </w:rPr>
              <w:t>no</w:t>
            </w:r>
            <w:r w:rsidRPr="002F01EF">
              <w:rPr>
                <w:bCs/>
                <w:szCs w:val="17"/>
              </w:rPr>
              <w:t xml:space="preserve"> mention of AMSB that has signed off on strategic allocation or of a long-term investment management policy g) includes liquidity stress test;</w:t>
            </w:r>
          </w:p>
          <w:p w14:paraId="177FDD5A" w14:textId="77777777" w:rsidR="00AB3B37" w:rsidRPr="002F01EF" w:rsidRDefault="00AB3B37" w:rsidP="00AB3B37">
            <w:pPr>
              <w:jc w:val="left"/>
              <w:rPr>
                <w:bCs/>
                <w:szCs w:val="17"/>
              </w:rPr>
            </w:pPr>
            <w:r w:rsidRPr="002F01EF">
              <w:rPr>
                <w:bCs/>
                <w:szCs w:val="17"/>
              </w:rPr>
              <w:t>4) if no longer compliant not allowed to apply LTE for 36 months</w:t>
            </w:r>
          </w:p>
          <w:p w14:paraId="647CB0B2" w14:textId="126CC85C" w:rsidR="00AB3B37" w:rsidRPr="002F01EF" w:rsidRDefault="00AB3B37" w:rsidP="00AB3B37">
            <w:pPr>
              <w:jc w:val="left"/>
              <w:rPr>
                <w:bCs/>
                <w:szCs w:val="17"/>
              </w:rPr>
            </w:pPr>
          </w:p>
        </w:tc>
        <w:tc>
          <w:tcPr>
            <w:tcW w:w="1865" w:type="dxa"/>
            <w:shd w:val="clear" w:color="auto" w:fill="auto"/>
            <w:vAlign w:val="center"/>
          </w:tcPr>
          <w:p w14:paraId="1E938FD5" w14:textId="59004F8F" w:rsidR="00AB3B37" w:rsidRPr="002F01EF" w:rsidRDefault="00AB3B37" w:rsidP="00AB3B37">
            <w:pPr>
              <w:jc w:val="center"/>
              <w:rPr>
                <w:bCs/>
                <w:szCs w:val="17"/>
              </w:rPr>
            </w:pPr>
            <w:r w:rsidRPr="002F01EF">
              <w:t xml:space="preserve">Van </w:t>
            </w:r>
            <w:proofErr w:type="spellStart"/>
            <w:r w:rsidRPr="002F01EF">
              <w:t>Overtveldt</w:t>
            </w:r>
            <w:proofErr w:type="spellEnd"/>
          </w:p>
        </w:tc>
        <w:tc>
          <w:tcPr>
            <w:tcW w:w="2483" w:type="dxa"/>
            <w:shd w:val="clear" w:color="auto" w:fill="auto"/>
            <w:vAlign w:val="center"/>
          </w:tcPr>
          <w:p w14:paraId="1E0198D3" w14:textId="5A68061A" w:rsidR="00AB3B37" w:rsidRPr="002F01EF" w:rsidRDefault="00AB3B37" w:rsidP="00AB3B37">
            <w:pPr>
              <w:jc w:val="center"/>
              <w:rPr>
                <w:bCs/>
                <w:szCs w:val="17"/>
              </w:rPr>
            </w:pPr>
            <w:r w:rsidRPr="002F01EF">
              <w:rPr>
                <w:bCs/>
                <w:szCs w:val="17"/>
              </w:rPr>
              <w:t>Long term equity</w:t>
            </w:r>
          </w:p>
        </w:tc>
        <w:tc>
          <w:tcPr>
            <w:tcW w:w="1886" w:type="dxa"/>
            <w:shd w:val="clear" w:color="auto" w:fill="auto"/>
            <w:vAlign w:val="center"/>
          </w:tcPr>
          <w:p w14:paraId="3E50A434" w14:textId="1CF5C3D0" w:rsidR="00AB3B37" w:rsidRPr="002F01EF" w:rsidRDefault="00AB3B37" w:rsidP="00AB3B37">
            <w:pPr>
              <w:jc w:val="center"/>
              <w:rPr>
                <w:b/>
                <w:color w:val="808080" w:themeColor="background1" w:themeShade="80"/>
                <w:szCs w:val="17"/>
              </w:rPr>
            </w:pPr>
            <w:r w:rsidRPr="002F01EF">
              <w:rPr>
                <w:b/>
                <w:color w:val="808080" w:themeColor="background1" w:themeShade="80"/>
                <w:szCs w:val="17"/>
              </w:rPr>
              <w:t>Mixed</w:t>
            </w:r>
          </w:p>
        </w:tc>
      </w:tr>
      <w:tr w:rsidR="00AB3B37" w:rsidRPr="002F01EF" w14:paraId="21C29FA3" w14:textId="77777777" w:rsidTr="00AB3B37">
        <w:trPr>
          <w:trHeight w:val="499"/>
        </w:trPr>
        <w:tc>
          <w:tcPr>
            <w:tcW w:w="679" w:type="dxa"/>
            <w:shd w:val="clear" w:color="auto" w:fill="auto"/>
            <w:vAlign w:val="center"/>
          </w:tcPr>
          <w:p w14:paraId="1DF84E1C" w14:textId="379FB95C" w:rsidR="00AB3B37" w:rsidRPr="002F01EF" w:rsidRDefault="00AB3B37" w:rsidP="00AB3B37">
            <w:pPr>
              <w:jc w:val="center"/>
              <w:rPr>
                <w:bCs/>
                <w:szCs w:val="17"/>
              </w:rPr>
            </w:pPr>
            <w:r w:rsidRPr="002F01EF">
              <w:rPr>
                <w:bCs/>
                <w:szCs w:val="17"/>
              </w:rPr>
              <w:lastRenderedPageBreak/>
              <w:t>628</w:t>
            </w:r>
          </w:p>
        </w:tc>
        <w:tc>
          <w:tcPr>
            <w:tcW w:w="1866" w:type="dxa"/>
            <w:shd w:val="clear" w:color="auto" w:fill="auto"/>
            <w:vAlign w:val="center"/>
          </w:tcPr>
          <w:p w14:paraId="59D95592" w14:textId="4A96300A" w:rsidR="00AB3B37" w:rsidRPr="002F01EF" w:rsidRDefault="00AB3B37" w:rsidP="00AB3B37">
            <w:pPr>
              <w:jc w:val="center"/>
            </w:pPr>
            <w:r w:rsidRPr="002F01EF">
              <w:rPr>
                <w:rStyle w:val="HideTWBExt"/>
              </w:rPr>
              <w:t>&lt;Article2&gt;</w:t>
            </w:r>
            <w:r w:rsidRPr="002F01EF">
              <w:t>Article 105 a (new)</w:t>
            </w:r>
            <w:r w:rsidRPr="002F01EF">
              <w:rPr>
                <w:rStyle w:val="HideTWBExt"/>
              </w:rPr>
              <w:t>&lt;/Article2&gt;</w:t>
            </w:r>
          </w:p>
        </w:tc>
        <w:tc>
          <w:tcPr>
            <w:tcW w:w="5964" w:type="dxa"/>
            <w:shd w:val="clear" w:color="auto" w:fill="auto"/>
          </w:tcPr>
          <w:p w14:paraId="01B4B43C" w14:textId="29665E61" w:rsidR="00AB3B37" w:rsidRPr="002F01EF" w:rsidRDefault="00AB3B37" w:rsidP="00AB3B37">
            <w:pPr>
              <w:jc w:val="left"/>
              <w:rPr>
                <w:bCs/>
                <w:szCs w:val="17"/>
              </w:rPr>
            </w:pPr>
            <w:r w:rsidRPr="002F01EF">
              <w:rPr>
                <w:bCs/>
                <w:szCs w:val="17"/>
              </w:rPr>
              <w:t>Specifies criteria for LTE in level 1, but no reference to OECD,</w:t>
            </w:r>
          </w:p>
        </w:tc>
        <w:tc>
          <w:tcPr>
            <w:tcW w:w="1865" w:type="dxa"/>
            <w:shd w:val="clear" w:color="auto" w:fill="auto"/>
            <w:vAlign w:val="center"/>
          </w:tcPr>
          <w:p w14:paraId="0C730E62" w14:textId="697DBC09"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34FB7C01" w14:textId="52203CC1" w:rsidR="00AB3B37" w:rsidRPr="002F01EF" w:rsidRDefault="00AB3B37" w:rsidP="00AB3B37">
            <w:pPr>
              <w:jc w:val="center"/>
              <w:rPr>
                <w:bCs/>
                <w:szCs w:val="17"/>
              </w:rPr>
            </w:pPr>
            <w:r w:rsidRPr="002F01EF">
              <w:rPr>
                <w:bCs/>
                <w:szCs w:val="17"/>
              </w:rPr>
              <w:t>Long term equity</w:t>
            </w:r>
          </w:p>
        </w:tc>
        <w:tc>
          <w:tcPr>
            <w:tcW w:w="1886" w:type="dxa"/>
            <w:shd w:val="clear" w:color="auto" w:fill="auto"/>
            <w:vAlign w:val="center"/>
          </w:tcPr>
          <w:p w14:paraId="2ED0F7E4" w14:textId="3396B9E1" w:rsidR="00AB3B37" w:rsidRPr="002F01EF" w:rsidRDefault="00AB3B37" w:rsidP="00AB3B37">
            <w:pPr>
              <w:jc w:val="center"/>
              <w:rPr>
                <w:b/>
                <w:color w:val="808080" w:themeColor="background1" w:themeShade="80"/>
                <w:szCs w:val="17"/>
              </w:rPr>
            </w:pPr>
            <w:r w:rsidRPr="002F01EF">
              <w:rPr>
                <w:b/>
                <w:color w:val="808080" w:themeColor="background1" w:themeShade="80"/>
                <w:szCs w:val="17"/>
              </w:rPr>
              <w:t>Mixed</w:t>
            </w:r>
          </w:p>
        </w:tc>
      </w:tr>
      <w:tr w:rsidR="00AB3B37" w:rsidRPr="002F01EF" w14:paraId="211D0A17" w14:textId="77777777" w:rsidTr="00AB3B37">
        <w:trPr>
          <w:trHeight w:val="499"/>
        </w:trPr>
        <w:tc>
          <w:tcPr>
            <w:tcW w:w="679" w:type="dxa"/>
            <w:shd w:val="clear" w:color="auto" w:fill="auto"/>
            <w:vAlign w:val="center"/>
          </w:tcPr>
          <w:p w14:paraId="3A9C18CF" w14:textId="36BB0ADE" w:rsidR="00AB3B37" w:rsidRPr="002F01EF" w:rsidRDefault="00AB3B37" w:rsidP="00AB3B37">
            <w:pPr>
              <w:jc w:val="center"/>
              <w:rPr>
                <w:bCs/>
                <w:szCs w:val="17"/>
              </w:rPr>
            </w:pPr>
            <w:r w:rsidRPr="002F01EF">
              <w:rPr>
                <w:bCs/>
                <w:szCs w:val="17"/>
              </w:rPr>
              <w:t>629</w:t>
            </w:r>
          </w:p>
        </w:tc>
        <w:tc>
          <w:tcPr>
            <w:tcW w:w="1866" w:type="dxa"/>
            <w:shd w:val="clear" w:color="auto" w:fill="auto"/>
            <w:vAlign w:val="center"/>
          </w:tcPr>
          <w:p w14:paraId="11709671" w14:textId="1A8DB8DE" w:rsidR="00AB3B37" w:rsidRPr="002F01EF" w:rsidRDefault="00AB3B37" w:rsidP="00AB3B37">
            <w:pPr>
              <w:jc w:val="center"/>
              <w:rPr>
                <w:bCs/>
                <w:szCs w:val="17"/>
              </w:rPr>
            </w:pPr>
            <w:r w:rsidRPr="002F01EF">
              <w:t>Article 105 a (new)</w:t>
            </w:r>
          </w:p>
        </w:tc>
        <w:tc>
          <w:tcPr>
            <w:tcW w:w="5964" w:type="dxa"/>
            <w:shd w:val="clear" w:color="auto" w:fill="auto"/>
          </w:tcPr>
          <w:p w14:paraId="27482D57" w14:textId="777490DC" w:rsidR="00AB3B37" w:rsidRPr="002F01EF" w:rsidRDefault="00AB3B37" w:rsidP="00AB3B37">
            <w:pPr>
              <w:jc w:val="left"/>
              <w:rPr>
                <w:bCs/>
                <w:szCs w:val="17"/>
              </w:rPr>
            </w:pPr>
            <w:r w:rsidRPr="002F01EF">
              <w:rPr>
                <w:bCs/>
                <w:szCs w:val="17"/>
              </w:rPr>
              <w:t>Delegates responsibility to EC to develop the criteria on LTE in level 2 and restricts scope to companies operating in “safe” countries.</w:t>
            </w:r>
          </w:p>
        </w:tc>
        <w:tc>
          <w:tcPr>
            <w:tcW w:w="1865" w:type="dxa"/>
            <w:shd w:val="clear" w:color="auto" w:fill="auto"/>
            <w:vAlign w:val="center"/>
          </w:tcPr>
          <w:p w14:paraId="796DD33D"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/Tang/</w:t>
            </w:r>
          </w:p>
          <w:p w14:paraId="1700369A" w14:textId="3D657CB4" w:rsidR="00AB3B37" w:rsidRPr="002F01EF" w:rsidRDefault="00AB3B37" w:rsidP="00AB3B37">
            <w:pPr>
              <w:jc w:val="center"/>
              <w:rPr>
                <w:bCs/>
                <w:szCs w:val="17"/>
              </w:rPr>
            </w:pPr>
            <w:r w:rsidRPr="002F01EF">
              <w:rPr>
                <w:bCs/>
                <w:szCs w:val="17"/>
              </w:rPr>
              <w:t>Fernandez/</w:t>
            </w:r>
            <w:proofErr w:type="spellStart"/>
            <w:r w:rsidRPr="002F01EF">
              <w:rPr>
                <w:bCs/>
                <w:szCs w:val="17"/>
              </w:rPr>
              <w:t>Lalucq</w:t>
            </w:r>
            <w:proofErr w:type="spellEnd"/>
          </w:p>
        </w:tc>
        <w:tc>
          <w:tcPr>
            <w:tcW w:w="2483" w:type="dxa"/>
            <w:shd w:val="clear" w:color="auto" w:fill="auto"/>
            <w:vAlign w:val="center"/>
          </w:tcPr>
          <w:p w14:paraId="7E3B7D2B" w14:textId="35825279" w:rsidR="00AB3B37" w:rsidRPr="002F01EF" w:rsidRDefault="00AB3B37" w:rsidP="00AB3B37">
            <w:pPr>
              <w:jc w:val="center"/>
              <w:rPr>
                <w:bCs/>
                <w:szCs w:val="17"/>
              </w:rPr>
            </w:pPr>
            <w:r w:rsidRPr="002F01EF">
              <w:rPr>
                <w:bCs/>
                <w:szCs w:val="17"/>
              </w:rPr>
              <w:t>Long term equity</w:t>
            </w:r>
          </w:p>
        </w:tc>
        <w:tc>
          <w:tcPr>
            <w:tcW w:w="1886" w:type="dxa"/>
            <w:shd w:val="clear" w:color="auto" w:fill="auto"/>
            <w:vAlign w:val="center"/>
          </w:tcPr>
          <w:p w14:paraId="4B3DE8E9" w14:textId="6F57246F" w:rsidR="00AB3B37" w:rsidRPr="002F01EF" w:rsidRDefault="00AB3B37" w:rsidP="00AB3B37">
            <w:pPr>
              <w:jc w:val="center"/>
              <w:rPr>
                <w:b/>
                <w:color w:val="808080" w:themeColor="background1" w:themeShade="80"/>
                <w:szCs w:val="17"/>
              </w:rPr>
            </w:pPr>
            <w:r w:rsidRPr="002F01EF">
              <w:rPr>
                <w:b/>
                <w:color w:val="808080" w:themeColor="background1" w:themeShade="80"/>
                <w:szCs w:val="17"/>
              </w:rPr>
              <w:t>Mixed</w:t>
            </w:r>
          </w:p>
        </w:tc>
      </w:tr>
      <w:tr w:rsidR="00AB3B37" w:rsidRPr="002F01EF" w14:paraId="6BD083A6" w14:textId="77777777" w:rsidTr="00AB3B37">
        <w:trPr>
          <w:trHeight w:val="499"/>
        </w:trPr>
        <w:tc>
          <w:tcPr>
            <w:tcW w:w="679" w:type="dxa"/>
            <w:shd w:val="clear" w:color="auto" w:fill="auto"/>
            <w:vAlign w:val="center"/>
          </w:tcPr>
          <w:p w14:paraId="6325B3E4" w14:textId="136BA176" w:rsidR="00AB3B37" w:rsidRPr="002F01EF" w:rsidRDefault="00AB3B37" w:rsidP="00AB3B37">
            <w:pPr>
              <w:jc w:val="center"/>
              <w:rPr>
                <w:bCs/>
                <w:szCs w:val="17"/>
              </w:rPr>
            </w:pPr>
            <w:r w:rsidRPr="002F01EF">
              <w:rPr>
                <w:bCs/>
                <w:szCs w:val="17"/>
              </w:rPr>
              <w:t>630</w:t>
            </w:r>
          </w:p>
        </w:tc>
        <w:tc>
          <w:tcPr>
            <w:tcW w:w="1866" w:type="dxa"/>
            <w:shd w:val="clear" w:color="auto" w:fill="auto"/>
            <w:vAlign w:val="center"/>
          </w:tcPr>
          <w:p w14:paraId="38732DD6" w14:textId="4BD11DB3" w:rsidR="00AB3B37" w:rsidRPr="002F01EF" w:rsidRDefault="00AB3B37" w:rsidP="00AB3B37">
            <w:pPr>
              <w:jc w:val="center"/>
            </w:pPr>
            <w:r w:rsidRPr="002F01EF">
              <w:t>Article 106</w:t>
            </w:r>
          </w:p>
        </w:tc>
        <w:tc>
          <w:tcPr>
            <w:tcW w:w="5964" w:type="dxa"/>
            <w:shd w:val="clear" w:color="auto" w:fill="auto"/>
          </w:tcPr>
          <w:p w14:paraId="35B235D2" w14:textId="05F095C4" w:rsidR="00AB3B37" w:rsidRPr="002F01EF" w:rsidRDefault="00AB3B37" w:rsidP="00AB3B37">
            <w:pPr>
              <w:jc w:val="left"/>
              <w:rPr>
                <w:bCs/>
                <w:szCs w:val="17"/>
              </w:rPr>
            </w:pPr>
            <w:r w:rsidRPr="002F01EF">
              <w:rPr>
                <w:bCs/>
                <w:szCs w:val="17"/>
              </w:rPr>
              <w:t>Excludes UL life policies from scope of symmetric adjustment to equity risk and limits corridor to +/-10%</w:t>
            </w:r>
          </w:p>
        </w:tc>
        <w:tc>
          <w:tcPr>
            <w:tcW w:w="1865" w:type="dxa"/>
            <w:shd w:val="clear" w:color="auto" w:fill="auto"/>
            <w:vAlign w:val="center"/>
          </w:tcPr>
          <w:p w14:paraId="10C79348" w14:textId="6BD477A4" w:rsidR="00AB3B37" w:rsidRPr="002F01EF" w:rsidRDefault="00AB3B37" w:rsidP="00AB3B37">
            <w:pPr>
              <w:jc w:val="center"/>
              <w:rPr>
                <w:bCs/>
                <w:szCs w:val="17"/>
              </w:rPr>
            </w:pPr>
            <w:proofErr w:type="spellStart"/>
            <w:r w:rsidRPr="002F01EF">
              <w:rPr>
                <w:bCs/>
                <w:szCs w:val="17"/>
              </w:rPr>
              <w:t>Polfjard</w:t>
            </w:r>
            <w:proofErr w:type="spellEnd"/>
          </w:p>
        </w:tc>
        <w:tc>
          <w:tcPr>
            <w:tcW w:w="2483" w:type="dxa"/>
            <w:shd w:val="clear" w:color="auto" w:fill="auto"/>
            <w:vAlign w:val="center"/>
          </w:tcPr>
          <w:p w14:paraId="5369EA67" w14:textId="46AF2BFE" w:rsidR="00AB3B37" w:rsidRPr="002F01EF" w:rsidRDefault="00AB3B37" w:rsidP="00AB3B37">
            <w:pPr>
              <w:jc w:val="center"/>
              <w:rPr>
                <w:bCs/>
                <w:szCs w:val="17"/>
              </w:rPr>
            </w:pPr>
            <w:r w:rsidRPr="002F01EF">
              <w:rPr>
                <w:bCs/>
                <w:szCs w:val="17"/>
              </w:rPr>
              <w:t>Symmetric equity adjustment</w:t>
            </w:r>
          </w:p>
        </w:tc>
        <w:tc>
          <w:tcPr>
            <w:tcW w:w="1886" w:type="dxa"/>
            <w:shd w:val="clear" w:color="auto" w:fill="auto"/>
            <w:vAlign w:val="center"/>
          </w:tcPr>
          <w:p w14:paraId="21524291" w14:textId="182DF2C2" w:rsidR="00AB3B37" w:rsidRPr="002F01EF" w:rsidRDefault="00E05108" w:rsidP="00AB3B37">
            <w:pPr>
              <w:jc w:val="center"/>
              <w:rPr>
                <w:bCs/>
                <w:szCs w:val="17"/>
              </w:rPr>
            </w:pPr>
            <w:r w:rsidRPr="002F01EF">
              <w:rPr>
                <w:b/>
                <w:color w:val="00B050"/>
                <w:szCs w:val="17"/>
              </w:rPr>
              <w:t>Positive</w:t>
            </w:r>
          </w:p>
        </w:tc>
      </w:tr>
      <w:tr w:rsidR="00AB3B37" w:rsidRPr="002F01EF" w14:paraId="77289701" w14:textId="77777777" w:rsidTr="00AB3B37">
        <w:trPr>
          <w:trHeight w:val="499"/>
        </w:trPr>
        <w:tc>
          <w:tcPr>
            <w:tcW w:w="679" w:type="dxa"/>
            <w:shd w:val="clear" w:color="auto" w:fill="auto"/>
            <w:vAlign w:val="center"/>
          </w:tcPr>
          <w:p w14:paraId="09CF271F" w14:textId="0DDB6DC5" w:rsidR="00AB3B37" w:rsidRPr="002F01EF" w:rsidRDefault="00AB3B37" w:rsidP="00AB3B37">
            <w:pPr>
              <w:jc w:val="center"/>
              <w:rPr>
                <w:bCs/>
                <w:szCs w:val="17"/>
              </w:rPr>
            </w:pPr>
            <w:r w:rsidRPr="002F01EF">
              <w:rPr>
                <w:bCs/>
                <w:szCs w:val="17"/>
              </w:rPr>
              <w:t>631</w:t>
            </w:r>
          </w:p>
        </w:tc>
        <w:tc>
          <w:tcPr>
            <w:tcW w:w="1866" w:type="dxa"/>
            <w:shd w:val="clear" w:color="auto" w:fill="auto"/>
            <w:vAlign w:val="center"/>
          </w:tcPr>
          <w:p w14:paraId="6B1C8708" w14:textId="177BDEFC" w:rsidR="00AB3B37" w:rsidRPr="002F01EF" w:rsidRDefault="00AB3B37" w:rsidP="00AB3B37">
            <w:pPr>
              <w:jc w:val="center"/>
            </w:pPr>
            <w:r w:rsidRPr="002F01EF">
              <w:t>Article 106 para 3 (new)</w:t>
            </w:r>
          </w:p>
        </w:tc>
        <w:tc>
          <w:tcPr>
            <w:tcW w:w="5964" w:type="dxa"/>
            <w:shd w:val="clear" w:color="auto" w:fill="auto"/>
          </w:tcPr>
          <w:p w14:paraId="407535A4" w14:textId="434015AA" w:rsidR="00AB3B37" w:rsidRPr="002F01EF" w:rsidRDefault="00AB3B37" w:rsidP="00AB3B37">
            <w:pPr>
              <w:jc w:val="left"/>
              <w:rPr>
                <w:bCs/>
                <w:szCs w:val="17"/>
              </w:rPr>
            </w:pPr>
            <w:r w:rsidRPr="002F01EF">
              <w:rPr>
                <w:bCs/>
                <w:szCs w:val="17"/>
              </w:rPr>
              <w:t>Proposes floor to equity capital charge of a minimum 20% shock.</w:t>
            </w:r>
          </w:p>
        </w:tc>
        <w:tc>
          <w:tcPr>
            <w:tcW w:w="1865" w:type="dxa"/>
            <w:shd w:val="clear" w:color="auto" w:fill="auto"/>
            <w:vAlign w:val="center"/>
          </w:tcPr>
          <w:p w14:paraId="6B97B89B" w14:textId="3F14957E"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3691FEF5" w14:textId="21B008EA" w:rsidR="00AB3B37" w:rsidRPr="002F01EF" w:rsidRDefault="00AB3B37" w:rsidP="00AB3B37">
            <w:pPr>
              <w:jc w:val="center"/>
              <w:rPr>
                <w:bCs/>
                <w:szCs w:val="17"/>
              </w:rPr>
            </w:pPr>
            <w:r w:rsidRPr="002F01EF">
              <w:rPr>
                <w:bCs/>
                <w:szCs w:val="17"/>
              </w:rPr>
              <w:t>Symmetric equity adjustment</w:t>
            </w:r>
          </w:p>
        </w:tc>
        <w:tc>
          <w:tcPr>
            <w:tcW w:w="1886" w:type="dxa"/>
            <w:shd w:val="clear" w:color="auto" w:fill="auto"/>
            <w:vAlign w:val="center"/>
          </w:tcPr>
          <w:p w14:paraId="19EEBF2B" w14:textId="5C2D4CE5"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7F7EFFEF" w14:textId="77777777" w:rsidTr="00AB3B37">
        <w:trPr>
          <w:trHeight w:val="499"/>
        </w:trPr>
        <w:tc>
          <w:tcPr>
            <w:tcW w:w="679" w:type="dxa"/>
            <w:shd w:val="clear" w:color="auto" w:fill="auto"/>
            <w:vAlign w:val="center"/>
          </w:tcPr>
          <w:p w14:paraId="108B0092" w14:textId="7FF50D14" w:rsidR="00AB3B37" w:rsidRPr="002F01EF" w:rsidRDefault="00AB3B37" w:rsidP="00AB3B37">
            <w:pPr>
              <w:jc w:val="center"/>
              <w:rPr>
                <w:bCs/>
                <w:szCs w:val="17"/>
              </w:rPr>
            </w:pPr>
            <w:r w:rsidRPr="002F01EF">
              <w:rPr>
                <w:bCs/>
                <w:szCs w:val="17"/>
              </w:rPr>
              <w:t>632</w:t>
            </w:r>
          </w:p>
        </w:tc>
        <w:tc>
          <w:tcPr>
            <w:tcW w:w="1866" w:type="dxa"/>
            <w:shd w:val="clear" w:color="auto" w:fill="auto"/>
            <w:vAlign w:val="center"/>
          </w:tcPr>
          <w:p w14:paraId="3FA19B09" w14:textId="2A7BA95D" w:rsidR="00AB3B37" w:rsidRPr="002F01EF" w:rsidRDefault="00AB3B37" w:rsidP="00AB3B37">
            <w:pPr>
              <w:jc w:val="center"/>
            </w:pPr>
            <w:r w:rsidRPr="002F01EF">
              <w:t xml:space="preserve">Article </w:t>
            </w:r>
            <w:r w:rsidR="00FB4A79" w:rsidRPr="002F01EF">
              <w:t>109 -</w:t>
            </w:r>
            <w:r w:rsidRPr="002F01EF">
              <w:t xml:space="preserve"> paragraph 1 – subparagraph 1</w:t>
            </w:r>
          </w:p>
        </w:tc>
        <w:tc>
          <w:tcPr>
            <w:tcW w:w="5964" w:type="dxa"/>
            <w:shd w:val="clear" w:color="auto" w:fill="auto"/>
          </w:tcPr>
          <w:p w14:paraId="35C57260" w14:textId="162A18D6" w:rsidR="00AB3B37" w:rsidRPr="002F01EF" w:rsidRDefault="00AB3B37" w:rsidP="00AB3B37">
            <w:pPr>
              <w:jc w:val="left"/>
              <w:rPr>
                <w:bCs/>
                <w:szCs w:val="17"/>
              </w:rPr>
            </w:pPr>
            <w:r w:rsidRPr="002F01EF">
              <w:rPr>
                <w:bCs/>
                <w:szCs w:val="17"/>
              </w:rPr>
              <w:t>Deletes “</w:t>
            </w:r>
            <w:r w:rsidRPr="002F01EF">
              <w:rPr>
                <w:bCs/>
                <w:i/>
                <w:iCs/>
                <w:szCs w:val="17"/>
              </w:rPr>
              <w:t xml:space="preserve">and where it would be disproportionate to require all insurance and reinsurance undertakings to apply the standardised calculation” </w:t>
            </w:r>
            <w:r w:rsidRPr="002F01EF">
              <w:rPr>
                <w:bCs/>
                <w:szCs w:val="17"/>
              </w:rPr>
              <w:t>from</w:t>
            </w:r>
            <w:r w:rsidRPr="002F01EF">
              <w:rPr>
                <w:bCs/>
                <w:i/>
                <w:iCs/>
                <w:szCs w:val="17"/>
              </w:rPr>
              <w:t xml:space="preserve"> </w:t>
            </w:r>
            <w:r w:rsidRPr="002F01EF">
              <w:rPr>
                <w:bCs/>
                <w:szCs w:val="17"/>
              </w:rPr>
              <w:t>the scope of application of simplified calculations</w:t>
            </w:r>
          </w:p>
        </w:tc>
        <w:tc>
          <w:tcPr>
            <w:tcW w:w="1865" w:type="dxa"/>
            <w:shd w:val="clear" w:color="auto" w:fill="auto"/>
            <w:vAlign w:val="center"/>
          </w:tcPr>
          <w:p w14:paraId="72C19900" w14:textId="7177F141"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081783D3" w14:textId="143C4982" w:rsidR="00AB3B37" w:rsidRPr="002F01EF" w:rsidRDefault="00AB3B37" w:rsidP="00AB3B37">
            <w:pPr>
              <w:jc w:val="center"/>
              <w:rPr>
                <w:bCs/>
                <w:szCs w:val="17"/>
              </w:rPr>
            </w:pPr>
            <w:r w:rsidRPr="002F01EF">
              <w:rPr>
                <w:bCs/>
                <w:szCs w:val="17"/>
              </w:rPr>
              <w:t>Proportionality/Simplified calculations</w:t>
            </w:r>
          </w:p>
        </w:tc>
        <w:tc>
          <w:tcPr>
            <w:tcW w:w="1886" w:type="dxa"/>
            <w:shd w:val="clear" w:color="auto" w:fill="auto"/>
            <w:vAlign w:val="center"/>
          </w:tcPr>
          <w:p w14:paraId="0928DBA5" w14:textId="2E338C5C" w:rsidR="00AB3B37" w:rsidRPr="002F01EF" w:rsidRDefault="00E05108" w:rsidP="00AB3B37">
            <w:pPr>
              <w:jc w:val="center"/>
              <w:rPr>
                <w:bCs/>
                <w:szCs w:val="17"/>
              </w:rPr>
            </w:pPr>
            <w:r w:rsidRPr="002F01EF">
              <w:rPr>
                <w:b/>
                <w:color w:val="00B050"/>
                <w:szCs w:val="17"/>
              </w:rPr>
              <w:t>Positive</w:t>
            </w:r>
          </w:p>
        </w:tc>
      </w:tr>
      <w:tr w:rsidR="00AB3B37" w:rsidRPr="002F01EF" w14:paraId="6E746BA7" w14:textId="77777777" w:rsidTr="00AB3B37">
        <w:trPr>
          <w:trHeight w:val="499"/>
        </w:trPr>
        <w:tc>
          <w:tcPr>
            <w:tcW w:w="679" w:type="dxa"/>
            <w:shd w:val="clear" w:color="auto" w:fill="auto"/>
            <w:vAlign w:val="center"/>
          </w:tcPr>
          <w:p w14:paraId="31425431" w14:textId="41DA23AE" w:rsidR="00AB3B37" w:rsidRPr="002F01EF" w:rsidRDefault="00AB3B37" w:rsidP="00AB3B37">
            <w:pPr>
              <w:jc w:val="center"/>
              <w:rPr>
                <w:bCs/>
                <w:szCs w:val="17"/>
              </w:rPr>
            </w:pPr>
            <w:r w:rsidRPr="002F01EF">
              <w:rPr>
                <w:bCs/>
                <w:szCs w:val="17"/>
              </w:rPr>
              <w:t>633</w:t>
            </w:r>
          </w:p>
        </w:tc>
        <w:tc>
          <w:tcPr>
            <w:tcW w:w="1866" w:type="dxa"/>
            <w:shd w:val="clear" w:color="auto" w:fill="auto"/>
            <w:vAlign w:val="center"/>
          </w:tcPr>
          <w:p w14:paraId="58A4A0F5" w14:textId="783150BF" w:rsidR="00AB3B37" w:rsidRPr="00FB4A79" w:rsidRDefault="00AB3B37" w:rsidP="00AB3B37">
            <w:pPr>
              <w:jc w:val="center"/>
              <w:rPr>
                <w:lang w:val="fr-BE"/>
              </w:rPr>
            </w:pPr>
            <w:r w:rsidRPr="00FB4A79">
              <w:rPr>
                <w:lang w:val="fr-BE"/>
              </w:rPr>
              <w:t>Article 109 - paragraph 1 – subparagraph 1a (new)</w:t>
            </w:r>
          </w:p>
        </w:tc>
        <w:tc>
          <w:tcPr>
            <w:tcW w:w="5964" w:type="dxa"/>
            <w:shd w:val="clear" w:color="auto" w:fill="auto"/>
          </w:tcPr>
          <w:p w14:paraId="3EBFC9F2" w14:textId="3A7BF89F" w:rsidR="00AB3B37" w:rsidRPr="002F01EF" w:rsidRDefault="00AB3B37" w:rsidP="00AB3B37">
            <w:pPr>
              <w:jc w:val="left"/>
              <w:rPr>
                <w:bCs/>
                <w:szCs w:val="17"/>
              </w:rPr>
            </w:pPr>
            <w:r w:rsidRPr="002F01EF">
              <w:rPr>
                <w:bCs/>
                <w:szCs w:val="17"/>
              </w:rPr>
              <w:t>Adds “</w:t>
            </w:r>
            <w:r w:rsidRPr="002F01EF">
              <w:rPr>
                <w:bCs/>
                <w:i/>
                <w:iCs/>
                <w:szCs w:val="17"/>
              </w:rPr>
              <w:t>Notwithstanding the first subparagraph, low-risk profile undertakings may use a simplified calculation for a specific sub-module or risk module”</w:t>
            </w:r>
          </w:p>
        </w:tc>
        <w:tc>
          <w:tcPr>
            <w:tcW w:w="1865" w:type="dxa"/>
            <w:shd w:val="clear" w:color="auto" w:fill="auto"/>
            <w:vAlign w:val="center"/>
          </w:tcPr>
          <w:p w14:paraId="5EB314D1" w14:textId="0205FFE4" w:rsidR="00AB3B37" w:rsidRPr="002F01EF" w:rsidRDefault="00AB3B37" w:rsidP="00AB3B37">
            <w:pPr>
              <w:jc w:val="center"/>
              <w:rPr>
                <w:bCs/>
                <w:szCs w:val="17"/>
              </w:rPr>
            </w:pPr>
            <w:proofErr w:type="spellStart"/>
            <w:r w:rsidRPr="002F01EF">
              <w:rPr>
                <w:bCs/>
                <w:szCs w:val="17"/>
              </w:rPr>
              <w:t>Zanni</w:t>
            </w:r>
            <w:proofErr w:type="spellEnd"/>
            <w:r w:rsidRPr="002F01EF">
              <w:rPr>
                <w:bCs/>
                <w:szCs w:val="17"/>
              </w:rPr>
              <w:t>/Grant/Rinaldi</w:t>
            </w:r>
          </w:p>
        </w:tc>
        <w:tc>
          <w:tcPr>
            <w:tcW w:w="2483" w:type="dxa"/>
            <w:shd w:val="clear" w:color="auto" w:fill="auto"/>
            <w:vAlign w:val="center"/>
          </w:tcPr>
          <w:p w14:paraId="17326FD8" w14:textId="4403FFE9" w:rsidR="00AB3B37" w:rsidRPr="002F01EF" w:rsidRDefault="00AB3B37" w:rsidP="00AB3B37">
            <w:pPr>
              <w:jc w:val="center"/>
              <w:rPr>
                <w:bCs/>
                <w:szCs w:val="17"/>
              </w:rPr>
            </w:pPr>
            <w:r w:rsidRPr="002F01EF">
              <w:rPr>
                <w:bCs/>
                <w:szCs w:val="17"/>
              </w:rPr>
              <w:t>Proportionality/Simplified calculations</w:t>
            </w:r>
          </w:p>
        </w:tc>
        <w:tc>
          <w:tcPr>
            <w:tcW w:w="1886" w:type="dxa"/>
            <w:shd w:val="clear" w:color="auto" w:fill="auto"/>
            <w:vAlign w:val="center"/>
          </w:tcPr>
          <w:p w14:paraId="04F963C0" w14:textId="389E6C27" w:rsidR="00AB3B37" w:rsidRPr="002F01EF" w:rsidRDefault="00E05108" w:rsidP="00AB3B37">
            <w:pPr>
              <w:jc w:val="center"/>
              <w:rPr>
                <w:bCs/>
                <w:szCs w:val="17"/>
              </w:rPr>
            </w:pPr>
            <w:r w:rsidRPr="002F01EF">
              <w:rPr>
                <w:b/>
                <w:color w:val="00B050"/>
                <w:szCs w:val="17"/>
              </w:rPr>
              <w:t>Positive</w:t>
            </w:r>
          </w:p>
        </w:tc>
      </w:tr>
      <w:tr w:rsidR="00AB3B37" w:rsidRPr="002F01EF" w14:paraId="0D00D367" w14:textId="77777777" w:rsidTr="00AB3B37">
        <w:trPr>
          <w:trHeight w:val="499"/>
        </w:trPr>
        <w:tc>
          <w:tcPr>
            <w:tcW w:w="679" w:type="dxa"/>
            <w:shd w:val="clear" w:color="auto" w:fill="auto"/>
            <w:vAlign w:val="center"/>
          </w:tcPr>
          <w:p w14:paraId="39EBC132" w14:textId="632E74FD" w:rsidR="00AB3B37" w:rsidRPr="002F01EF" w:rsidRDefault="00AB3B37" w:rsidP="00AB3B37">
            <w:pPr>
              <w:jc w:val="center"/>
              <w:rPr>
                <w:bCs/>
                <w:szCs w:val="17"/>
              </w:rPr>
            </w:pPr>
            <w:r w:rsidRPr="002F01EF">
              <w:rPr>
                <w:bCs/>
                <w:szCs w:val="17"/>
              </w:rPr>
              <w:t>634</w:t>
            </w:r>
          </w:p>
        </w:tc>
        <w:tc>
          <w:tcPr>
            <w:tcW w:w="1866" w:type="dxa"/>
            <w:shd w:val="clear" w:color="auto" w:fill="auto"/>
            <w:vAlign w:val="center"/>
          </w:tcPr>
          <w:p w14:paraId="245F8078" w14:textId="1767F194" w:rsidR="00AB3B37" w:rsidRPr="002F01EF" w:rsidRDefault="00AB3B37" w:rsidP="00AB3B37">
            <w:pPr>
              <w:jc w:val="center"/>
            </w:pPr>
            <w:r w:rsidRPr="002F01EF">
              <w:t>Article 109 - paragraph 2</w:t>
            </w:r>
          </w:p>
        </w:tc>
        <w:tc>
          <w:tcPr>
            <w:tcW w:w="5964" w:type="dxa"/>
            <w:shd w:val="clear" w:color="auto" w:fill="auto"/>
          </w:tcPr>
          <w:p w14:paraId="7ED0453F" w14:textId="59637D0D" w:rsidR="00AB3B37" w:rsidRPr="002F01EF" w:rsidRDefault="00AB3B37" w:rsidP="00AB3B37">
            <w:pPr>
              <w:jc w:val="left"/>
              <w:rPr>
                <w:bCs/>
                <w:szCs w:val="17"/>
              </w:rPr>
            </w:pPr>
            <w:r w:rsidRPr="002F01EF">
              <w:rPr>
                <w:bCs/>
                <w:szCs w:val="17"/>
              </w:rPr>
              <w:t>Limits the period of time a company may use simplified calculations where the risk is immaterial (less than 5% of the SCR) to 2 years (from 3 years)</w:t>
            </w:r>
          </w:p>
        </w:tc>
        <w:tc>
          <w:tcPr>
            <w:tcW w:w="1865" w:type="dxa"/>
            <w:shd w:val="clear" w:color="auto" w:fill="auto"/>
            <w:vAlign w:val="center"/>
          </w:tcPr>
          <w:p w14:paraId="63C422F3"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/Tang/</w:t>
            </w:r>
          </w:p>
          <w:p w14:paraId="16FD70EF" w14:textId="767DBEDB" w:rsidR="00AB3B37" w:rsidRPr="002F01EF" w:rsidRDefault="00AB3B37" w:rsidP="00AB3B37">
            <w:pPr>
              <w:jc w:val="center"/>
              <w:rPr>
                <w:bCs/>
                <w:szCs w:val="17"/>
              </w:rPr>
            </w:pPr>
            <w:r w:rsidRPr="002F01EF">
              <w:rPr>
                <w:bCs/>
                <w:szCs w:val="17"/>
              </w:rPr>
              <w:t>Fernandez/</w:t>
            </w:r>
            <w:proofErr w:type="spellStart"/>
            <w:r w:rsidRPr="002F01EF">
              <w:rPr>
                <w:bCs/>
                <w:szCs w:val="17"/>
              </w:rPr>
              <w:t>Lalucq</w:t>
            </w:r>
            <w:proofErr w:type="spellEnd"/>
          </w:p>
        </w:tc>
        <w:tc>
          <w:tcPr>
            <w:tcW w:w="2483" w:type="dxa"/>
            <w:shd w:val="clear" w:color="auto" w:fill="auto"/>
            <w:vAlign w:val="center"/>
          </w:tcPr>
          <w:p w14:paraId="13E23BCC" w14:textId="31081A3D" w:rsidR="00AB3B37" w:rsidRPr="002F01EF" w:rsidRDefault="00AB3B37" w:rsidP="00AB3B37">
            <w:pPr>
              <w:jc w:val="center"/>
              <w:rPr>
                <w:bCs/>
                <w:szCs w:val="17"/>
              </w:rPr>
            </w:pPr>
            <w:r w:rsidRPr="002F01EF">
              <w:rPr>
                <w:bCs/>
                <w:szCs w:val="17"/>
              </w:rPr>
              <w:t>Proportionality/Simplified calculations</w:t>
            </w:r>
          </w:p>
        </w:tc>
        <w:tc>
          <w:tcPr>
            <w:tcW w:w="1886" w:type="dxa"/>
            <w:shd w:val="clear" w:color="auto" w:fill="auto"/>
            <w:vAlign w:val="center"/>
          </w:tcPr>
          <w:p w14:paraId="691CB2B6" w14:textId="02E68E96" w:rsidR="00AB3B37" w:rsidRPr="002F01EF" w:rsidRDefault="00AB3B37" w:rsidP="00AB3B37">
            <w:pPr>
              <w:jc w:val="center"/>
              <w:rPr>
                <w:bCs/>
                <w:szCs w:val="17"/>
              </w:rPr>
            </w:pPr>
            <w:r w:rsidRPr="002F01EF">
              <w:rPr>
                <w:b/>
                <w:color w:val="FF0000"/>
                <w:szCs w:val="17"/>
              </w:rPr>
              <w:t>Negative</w:t>
            </w:r>
          </w:p>
        </w:tc>
      </w:tr>
      <w:tr w:rsidR="00AB3B37" w:rsidRPr="002F01EF" w14:paraId="00041283" w14:textId="77777777" w:rsidTr="00AB3B37">
        <w:trPr>
          <w:trHeight w:val="499"/>
        </w:trPr>
        <w:tc>
          <w:tcPr>
            <w:tcW w:w="679" w:type="dxa"/>
            <w:shd w:val="clear" w:color="auto" w:fill="auto"/>
            <w:vAlign w:val="center"/>
          </w:tcPr>
          <w:p w14:paraId="52F4CD5C" w14:textId="68744F59" w:rsidR="00AB3B37" w:rsidRPr="002F01EF" w:rsidRDefault="00AB3B37" w:rsidP="00AB3B37">
            <w:pPr>
              <w:jc w:val="center"/>
              <w:rPr>
                <w:bCs/>
                <w:szCs w:val="17"/>
              </w:rPr>
            </w:pPr>
            <w:r w:rsidRPr="002F01EF">
              <w:rPr>
                <w:bCs/>
                <w:szCs w:val="17"/>
              </w:rPr>
              <w:t>635</w:t>
            </w:r>
          </w:p>
        </w:tc>
        <w:tc>
          <w:tcPr>
            <w:tcW w:w="1866" w:type="dxa"/>
            <w:shd w:val="clear" w:color="auto" w:fill="auto"/>
            <w:vAlign w:val="center"/>
          </w:tcPr>
          <w:p w14:paraId="14772B1A" w14:textId="7F7D39EF" w:rsidR="00AB3B37" w:rsidRPr="002F01EF" w:rsidRDefault="00AB3B37" w:rsidP="00AB3B37">
            <w:pPr>
              <w:jc w:val="center"/>
            </w:pPr>
            <w:r w:rsidRPr="002F01EF">
              <w:t>Article 109 - paragraph 3 (new)</w:t>
            </w:r>
          </w:p>
        </w:tc>
        <w:tc>
          <w:tcPr>
            <w:tcW w:w="5964" w:type="dxa"/>
            <w:shd w:val="clear" w:color="auto" w:fill="auto"/>
          </w:tcPr>
          <w:p w14:paraId="3ABD2E68" w14:textId="102B171F" w:rsidR="00AB3B37" w:rsidRPr="002F01EF" w:rsidRDefault="00AB3B37" w:rsidP="00AB3B37">
            <w:pPr>
              <w:jc w:val="left"/>
              <w:rPr>
                <w:bCs/>
                <w:szCs w:val="17"/>
              </w:rPr>
            </w:pPr>
            <w:r w:rsidRPr="002F01EF">
              <w:rPr>
                <w:bCs/>
                <w:szCs w:val="17"/>
              </w:rPr>
              <w:t>Adds “</w:t>
            </w:r>
            <w:r w:rsidRPr="002F01EF">
              <w:rPr>
                <w:bCs/>
                <w:i/>
                <w:iCs/>
                <w:szCs w:val="17"/>
              </w:rPr>
              <w:t>Notwithstanding paragraphs 2 and 3 of this Article, low-risk profile undertakings shall be considered eligible to use a simplified calculation for a specific sub-module or risk module.</w:t>
            </w:r>
            <w:r w:rsidRPr="002F01EF">
              <w:rPr>
                <w:bCs/>
                <w:szCs w:val="17"/>
              </w:rPr>
              <w:t>”</w:t>
            </w:r>
          </w:p>
        </w:tc>
        <w:tc>
          <w:tcPr>
            <w:tcW w:w="1865" w:type="dxa"/>
            <w:shd w:val="clear" w:color="auto" w:fill="auto"/>
            <w:vAlign w:val="center"/>
          </w:tcPr>
          <w:p w14:paraId="06AA1AD6" w14:textId="12CD9249"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46D4290E" w14:textId="193BFF22" w:rsidR="00AB3B37" w:rsidRPr="002F01EF" w:rsidRDefault="00AB3B37" w:rsidP="00AB3B37">
            <w:pPr>
              <w:jc w:val="center"/>
              <w:rPr>
                <w:bCs/>
                <w:szCs w:val="17"/>
              </w:rPr>
            </w:pPr>
            <w:r w:rsidRPr="002F01EF">
              <w:rPr>
                <w:bCs/>
                <w:szCs w:val="17"/>
              </w:rPr>
              <w:t>Proportionality/Simplified calculations</w:t>
            </w:r>
          </w:p>
        </w:tc>
        <w:tc>
          <w:tcPr>
            <w:tcW w:w="1886" w:type="dxa"/>
            <w:shd w:val="clear" w:color="auto" w:fill="auto"/>
            <w:vAlign w:val="center"/>
          </w:tcPr>
          <w:p w14:paraId="5437E975" w14:textId="1CCFE64B" w:rsidR="00AB3B37" w:rsidRPr="002F01EF" w:rsidRDefault="00E05108" w:rsidP="00AB3B37">
            <w:pPr>
              <w:jc w:val="center"/>
              <w:rPr>
                <w:bCs/>
                <w:szCs w:val="17"/>
              </w:rPr>
            </w:pPr>
            <w:r w:rsidRPr="002F01EF">
              <w:rPr>
                <w:b/>
                <w:color w:val="00B050"/>
                <w:szCs w:val="17"/>
              </w:rPr>
              <w:t>Positive</w:t>
            </w:r>
          </w:p>
        </w:tc>
      </w:tr>
      <w:tr w:rsidR="00AB3B37" w:rsidRPr="002F01EF" w14:paraId="4AAB267C" w14:textId="77777777" w:rsidTr="00AB3B37">
        <w:trPr>
          <w:trHeight w:val="499"/>
        </w:trPr>
        <w:tc>
          <w:tcPr>
            <w:tcW w:w="679" w:type="dxa"/>
            <w:shd w:val="clear" w:color="auto" w:fill="auto"/>
            <w:vAlign w:val="center"/>
          </w:tcPr>
          <w:p w14:paraId="51DED645" w14:textId="4146A4F4" w:rsidR="00AB3B37" w:rsidRPr="002F01EF" w:rsidRDefault="00AB3B37" w:rsidP="00AB3B37">
            <w:pPr>
              <w:jc w:val="center"/>
              <w:rPr>
                <w:bCs/>
                <w:szCs w:val="17"/>
              </w:rPr>
            </w:pPr>
            <w:r w:rsidRPr="002F01EF">
              <w:rPr>
                <w:bCs/>
                <w:szCs w:val="17"/>
              </w:rPr>
              <w:t>636</w:t>
            </w:r>
          </w:p>
        </w:tc>
        <w:tc>
          <w:tcPr>
            <w:tcW w:w="1866" w:type="dxa"/>
            <w:shd w:val="clear" w:color="auto" w:fill="auto"/>
            <w:vAlign w:val="center"/>
          </w:tcPr>
          <w:p w14:paraId="6CCEE3E3" w14:textId="55EBBB19" w:rsidR="00AB3B37" w:rsidRPr="002F01EF" w:rsidRDefault="00AB3B37" w:rsidP="00AB3B37">
            <w:pPr>
              <w:jc w:val="center"/>
            </w:pPr>
            <w:r w:rsidRPr="002F01EF">
              <w:t>Article 111 – paragraph 1 – point m</w:t>
            </w:r>
          </w:p>
        </w:tc>
        <w:tc>
          <w:tcPr>
            <w:tcW w:w="5964" w:type="dxa"/>
            <w:shd w:val="clear" w:color="auto" w:fill="auto"/>
          </w:tcPr>
          <w:p w14:paraId="58097EF6" w14:textId="3A5175FC" w:rsidR="00AB3B37" w:rsidRPr="002F01EF" w:rsidRDefault="00AB3B37" w:rsidP="00AB3B37">
            <w:pPr>
              <w:jc w:val="left"/>
              <w:rPr>
                <w:bCs/>
                <w:szCs w:val="17"/>
              </w:rPr>
            </w:pPr>
            <w:r w:rsidRPr="002F01EF">
              <w:rPr>
                <w:bCs/>
                <w:szCs w:val="17"/>
              </w:rPr>
              <w:t>Changes the scope of the delegated regulation which should be adopted regarding qualifying undertakings.</w:t>
            </w:r>
          </w:p>
        </w:tc>
        <w:tc>
          <w:tcPr>
            <w:tcW w:w="1865" w:type="dxa"/>
            <w:shd w:val="clear" w:color="auto" w:fill="auto"/>
            <w:vAlign w:val="center"/>
          </w:tcPr>
          <w:p w14:paraId="7F589B2D" w14:textId="52D71EAB"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0545F833" w14:textId="1BF99BB8" w:rsidR="00AB3B37" w:rsidRPr="002F01EF" w:rsidRDefault="00AB3B37" w:rsidP="00AB3B37">
            <w:pPr>
              <w:jc w:val="center"/>
              <w:rPr>
                <w:bCs/>
                <w:szCs w:val="17"/>
              </w:rPr>
            </w:pPr>
            <w:r w:rsidRPr="002F01EF">
              <w:rPr>
                <w:bCs/>
                <w:szCs w:val="17"/>
              </w:rPr>
              <w:t>Equity risk</w:t>
            </w:r>
          </w:p>
        </w:tc>
        <w:tc>
          <w:tcPr>
            <w:tcW w:w="1886" w:type="dxa"/>
            <w:shd w:val="clear" w:color="auto" w:fill="auto"/>
            <w:vAlign w:val="center"/>
          </w:tcPr>
          <w:p w14:paraId="684F70E6" w14:textId="0483D925"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5D39E287" w14:textId="77777777" w:rsidTr="00AB3B37">
        <w:trPr>
          <w:trHeight w:val="499"/>
        </w:trPr>
        <w:tc>
          <w:tcPr>
            <w:tcW w:w="679" w:type="dxa"/>
            <w:shd w:val="clear" w:color="auto" w:fill="auto"/>
            <w:vAlign w:val="center"/>
          </w:tcPr>
          <w:p w14:paraId="62EF9D3A" w14:textId="5DB5B8E2" w:rsidR="00AB3B37" w:rsidRPr="002F01EF" w:rsidRDefault="00AB3B37" w:rsidP="00AB3B37">
            <w:pPr>
              <w:jc w:val="center"/>
              <w:rPr>
                <w:bCs/>
                <w:szCs w:val="17"/>
              </w:rPr>
            </w:pPr>
            <w:r w:rsidRPr="002F01EF">
              <w:rPr>
                <w:bCs/>
                <w:szCs w:val="17"/>
              </w:rPr>
              <w:t>637</w:t>
            </w:r>
          </w:p>
        </w:tc>
        <w:tc>
          <w:tcPr>
            <w:tcW w:w="1866" w:type="dxa"/>
            <w:shd w:val="clear" w:color="auto" w:fill="auto"/>
            <w:vAlign w:val="center"/>
          </w:tcPr>
          <w:p w14:paraId="1D6F9676" w14:textId="113CA4B0" w:rsidR="00AB3B37" w:rsidRPr="002F01EF" w:rsidRDefault="00AB3B37" w:rsidP="00AB3B37">
            <w:pPr>
              <w:jc w:val="center"/>
            </w:pPr>
            <w:r w:rsidRPr="002F01EF">
              <w:t>Article 111 – paragraph 1 – point m(a) (new)</w:t>
            </w:r>
          </w:p>
        </w:tc>
        <w:tc>
          <w:tcPr>
            <w:tcW w:w="5964" w:type="dxa"/>
            <w:shd w:val="clear" w:color="auto" w:fill="auto"/>
          </w:tcPr>
          <w:p w14:paraId="5CEBDEEB" w14:textId="79D448E1" w:rsidR="00AB3B37" w:rsidRPr="002F01EF" w:rsidRDefault="00AB3B37" w:rsidP="00AB3B37">
            <w:pPr>
              <w:jc w:val="left"/>
              <w:rPr>
                <w:bCs/>
                <w:szCs w:val="17"/>
              </w:rPr>
            </w:pPr>
            <w:r w:rsidRPr="002F01EF">
              <w:rPr>
                <w:bCs/>
                <w:szCs w:val="17"/>
              </w:rPr>
              <w:t>Specifies that the delegated regulation on LTE criteria should permit 5-year duration liabilities in scope.</w:t>
            </w:r>
          </w:p>
        </w:tc>
        <w:tc>
          <w:tcPr>
            <w:tcW w:w="1865" w:type="dxa"/>
            <w:shd w:val="clear" w:color="auto" w:fill="auto"/>
            <w:vAlign w:val="center"/>
          </w:tcPr>
          <w:p w14:paraId="5FD3C419" w14:textId="7A8CE107" w:rsidR="00AB3B37" w:rsidRPr="002F01EF" w:rsidRDefault="00AB3B37" w:rsidP="00AB3B37">
            <w:pPr>
              <w:jc w:val="center"/>
              <w:rPr>
                <w:bCs/>
                <w:szCs w:val="17"/>
              </w:rPr>
            </w:pPr>
            <w:proofErr w:type="spellStart"/>
            <w:r w:rsidRPr="002F01EF">
              <w:rPr>
                <w:bCs/>
                <w:szCs w:val="17"/>
              </w:rPr>
              <w:t>Gualmini</w:t>
            </w:r>
            <w:proofErr w:type="spellEnd"/>
          </w:p>
        </w:tc>
        <w:tc>
          <w:tcPr>
            <w:tcW w:w="2483" w:type="dxa"/>
            <w:shd w:val="clear" w:color="auto" w:fill="auto"/>
            <w:vAlign w:val="center"/>
          </w:tcPr>
          <w:p w14:paraId="5A16CE0B" w14:textId="5935FE80" w:rsidR="00AB3B37" w:rsidRPr="002F01EF" w:rsidRDefault="00AB3B37" w:rsidP="00AB3B37">
            <w:pPr>
              <w:jc w:val="center"/>
              <w:rPr>
                <w:bCs/>
                <w:szCs w:val="17"/>
              </w:rPr>
            </w:pPr>
            <w:r w:rsidRPr="002F01EF">
              <w:rPr>
                <w:bCs/>
                <w:szCs w:val="17"/>
              </w:rPr>
              <w:t>Long term equity</w:t>
            </w:r>
          </w:p>
        </w:tc>
        <w:tc>
          <w:tcPr>
            <w:tcW w:w="1886" w:type="dxa"/>
            <w:shd w:val="clear" w:color="auto" w:fill="auto"/>
            <w:vAlign w:val="center"/>
          </w:tcPr>
          <w:p w14:paraId="37EB6978" w14:textId="7ABED9FA" w:rsidR="00AB3B37" w:rsidRPr="002F01EF" w:rsidRDefault="00E05108" w:rsidP="00AB3B37">
            <w:pPr>
              <w:jc w:val="center"/>
              <w:rPr>
                <w:bCs/>
                <w:szCs w:val="17"/>
              </w:rPr>
            </w:pPr>
            <w:r w:rsidRPr="002F01EF">
              <w:rPr>
                <w:b/>
                <w:color w:val="00B050"/>
                <w:szCs w:val="17"/>
              </w:rPr>
              <w:t>Positive</w:t>
            </w:r>
          </w:p>
        </w:tc>
      </w:tr>
      <w:tr w:rsidR="00AB3B37" w:rsidRPr="002F01EF" w14:paraId="2F308457" w14:textId="77777777" w:rsidTr="00AB3B37">
        <w:trPr>
          <w:trHeight w:val="499"/>
        </w:trPr>
        <w:tc>
          <w:tcPr>
            <w:tcW w:w="679" w:type="dxa"/>
            <w:shd w:val="clear" w:color="auto" w:fill="auto"/>
            <w:vAlign w:val="center"/>
          </w:tcPr>
          <w:p w14:paraId="0D47DEF6" w14:textId="5A4F755E" w:rsidR="00AB3B37" w:rsidRPr="002F01EF" w:rsidRDefault="00AB3B37" w:rsidP="00AB3B37">
            <w:pPr>
              <w:jc w:val="center"/>
              <w:rPr>
                <w:bCs/>
                <w:szCs w:val="17"/>
              </w:rPr>
            </w:pPr>
            <w:r w:rsidRPr="002F01EF">
              <w:rPr>
                <w:bCs/>
                <w:szCs w:val="17"/>
              </w:rPr>
              <w:t>638/639/640</w:t>
            </w:r>
          </w:p>
        </w:tc>
        <w:tc>
          <w:tcPr>
            <w:tcW w:w="1866" w:type="dxa"/>
            <w:shd w:val="clear" w:color="auto" w:fill="auto"/>
            <w:vAlign w:val="center"/>
          </w:tcPr>
          <w:p w14:paraId="194145AE" w14:textId="173835DD" w:rsidR="00AB3B37" w:rsidRPr="002F01EF" w:rsidRDefault="00AB3B37" w:rsidP="00AB3B37">
            <w:pPr>
              <w:jc w:val="center"/>
            </w:pPr>
            <w:r w:rsidRPr="002F01EF">
              <w:t>Article 111 – paragraph 1 – point m(a) (new)</w:t>
            </w:r>
          </w:p>
        </w:tc>
        <w:tc>
          <w:tcPr>
            <w:tcW w:w="5964" w:type="dxa"/>
            <w:shd w:val="clear" w:color="auto" w:fill="auto"/>
          </w:tcPr>
          <w:p w14:paraId="781AF488" w14:textId="1EE52459" w:rsidR="00AB3B37" w:rsidRPr="002F01EF" w:rsidRDefault="00AB3B37" w:rsidP="00AB3B37">
            <w:pPr>
              <w:jc w:val="left"/>
              <w:rPr>
                <w:bCs/>
                <w:szCs w:val="17"/>
              </w:rPr>
            </w:pPr>
            <w:r w:rsidRPr="002F01EF">
              <w:rPr>
                <w:bCs/>
                <w:szCs w:val="17"/>
              </w:rPr>
              <w:t>Adds « </w:t>
            </w:r>
            <w:r w:rsidRPr="002F01EF">
              <w:rPr>
                <w:bCs/>
                <w:i/>
                <w:iCs/>
                <w:szCs w:val="17"/>
              </w:rPr>
              <w:t>the method and parameters to be used when assessing the capital requirement for climate-related financial risk in the case of exposures to fossil fuel assets referred to in Articles 101(4) and 105(5).</w:t>
            </w:r>
            <w:r w:rsidRPr="002F01EF">
              <w:rPr>
                <w:bCs/>
                <w:szCs w:val="17"/>
              </w:rPr>
              <w:t> »</w:t>
            </w:r>
          </w:p>
        </w:tc>
        <w:tc>
          <w:tcPr>
            <w:tcW w:w="1865" w:type="dxa"/>
            <w:shd w:val="clear" w:color="auto" w:fill="auto"/>
            <w:vAlign w:val="center"/>
          </w:tcPr>
          <w:p w14:paraId="5E80FDB4" w14:textId="0325E7BB" w:rsidR="00AB3B37" w:rsidRPr="002F01EF" w:rsidRDefault="00AB3B37" w:rsidP="00AB3B37">
            <w:pPr>
              <w:jc w:val="center"/>
              <w:rPr>
                <w:bCs/>
                <w:szCs w:val="17"/>
              </w:rPr>
            </w:pPr>
            <w:r w:rsidRPr="002F01EF">
              <w:rPr>
                <w:bCs/>
                <w:szCs w:val="17"/>
              </w:rPr>
              <w:t>McManus/</w:t>
            </w:r>
            <w:proofErr w:type="spellStart"/>
            <w:r w:rsidRPr="002F01EF">
              <w:rPr>
                <w:bCs/>
                <w:szCs w:val="17"/>
              </w:rPr>
              <w:t>Lalucq</w:t>
            </w:r>
            <w:proofErr w:type="spellEnd"/>
            <w:r w:rsidRPr="002F01EF">
              <w:rPr>
                <w:bCs/>
                <w:szCs w:val="17"/>
              </w:rPr>
              <w:t>/</w:t>
            </w:r>
          </w:p>
          <w:p w14:paraId="3D23FAD2" w14:textId="11F426CB" w:rsidR="00AB3B37" w:rsidRPr="002F01EF" w:rsidRDefault="00AB3B37" w:rsidP="00AB3B37">
            <w:pPr>
              <w:jc w:val="center"/>
              <w:rPr>
                <w:bCs/>
                <w:szCs w:val="17"/>
              </w:rPr>
            </w:pPr>
            <w:r w:rsidRPr="002F01EF">
              <w:rPr>
                <w:bCs/>
                <w:szCs w:val="17"/>
              </w:rPr>
              <w:t>Tang</w:t>
            </w:r>
          </w:p>
        </w:tc>
        <w:tc>
          <w:tcPr>
            <w:tcW w:w="2483" w:type="dxa"/>
            <w:shd w:val="clear" w:color="auto" w:fill="auto"/>
            <w:vAlign w:val="center"/>
          </w:tcPr>
          <w:p w14:paraId="285A160B" w14:textId="41032AC6" w:rsidR="00AB3B37" w:rsidRPr="002F01EF" w:rsidRDefault="00AB3B37" w:rsidP="00AB3B37">
            <w:pPr>
              <w:jc w:val="center"/>
              <w:rPr>
                <w:bCs/>
                <w:szCs w:val="17"/>
              </w:rPr>
            </w:pPr>
            <w:r w:rsidRPr="002F01EF">
              <w:rPr>
                <w:bCs/>
                <w:szCs w:val="17"/>
              </w:rPr>
              <w:t>Sustainability/SCR for climate related risks</w:t>
            </w:r>
          </w:p>
        </w:tc>
        <w:tc>
          <w:tcPr>
            <w:tcW w:w="1886" w:type="dxa"/>
            <w:shd w:val="clear" w:color="auto" w:fill="auto"/>
            <w:vAlign w:val="center"/>
          </w:tcPr>
          <w:p w14:paraId="230C6FFA" w14:textId="6973B603" w:rsidR="00AB3B37" w:rsidRPr="002F01EF" w:rsidRDefault="00AB3B37" w:rsidP="00AB3B37">
            <w:pPr>
              <w:jc w:val="center"/>
              <w:rPr>
                <w:bCs/>
                <w:szCs w:val="17"/>
              </w:rPr>
            </w:pPr>
            <w:r w:rsidRPr="002F01EF">
              <w:rPr>
                <w:b/>
                <w:color w:val="FF0000"/>
                <w:szCs w:val="17"/>
              </w:rPr>
              <w:t>Negative</w:t>
            </w:r>
          </w:p>
        </w:tc>
      </w:tr>
      <w:tr w:rsidR="00AB3B37" w:rsidRPr="002F01EF" w14:paraId="43052CB7" w14:textId="77777777" w:rsidTr="00AB3B37">
        <w:trPr>
          <w:trHeight w:val="499"/>
        </w:trPr>
        <w:tc>
          <w:tcPr>
            <w:tcW w:w="679" w:type="dxa"/>
            <w:shd w:val="clear" w:color="auto" w:fill="auto"/>
            <w:vAlign w:val="center"/>
          </w:tcPr>
          <w:p w14:paraId="703E77A0" w14:textId="681D55C1" w:rsidR="00AB3B37" w:rsidRPr="002F01EF" w:rsidRDefault="00AB3B37" w:rsidP="00AB3B37">
            <w:pPr>
              <w:jc w:val="center"/>
              <w:rPr>
                <w:bCs/>
                <w:szCs w:val="17"/>
              </w:rPr>
            </w:pPr>
            <w:r w:rsidRPr="002F01EF">
              <w:rPr>
                <w:bCs/>
                <w:szCs w:val="17"/>
              </w:rPr>
              <w:lastRenderedPageBreak/>
              <w:t>641</w:t>
            </w:r>
          </w:p>
        </w:tc>
        <w:tc>
          <w:tcPr>
            <w:tcW w:w="1866" w:type="dxa"/>
            <w:shd w:val="clear" w:color="auto" w:fill="auto"/>
            <w:vAlign w:val="center"/>
          </w:tcPr>
          <w:p w14:paraId="27802E83" w14:textId="5F29E223" w:rsidR="00AB3B37" w:rsidRPr="002F01EF" w:rsidRDefault="00AB3B37" w:rsidP="00AB3B37">
            <w:pPr>
              <w:jc w:val="center"/>
            </w:pPr>
            <w:r w:rsidRPr="002F01EF">
              <w:t>Article 111 – paragraph 1 – subparagraph 1 (new)</w:t>
            </w:r>
          </w:p>
        </w:tc>
        <w:tc>
          <w:tcPr>
            <w:tcW w:w="5964" w:type="dxa"/>
            <w:shd w:val="clear" w:color="auto" w:fill="auto"/>
          </w:tcPr>
          <w:p w14:paraId="7B852C08" w14:textId="345982EA" w:rsidR="00AB3B37" w:rsidRPr="002F01EF" w:rsidRDefault="00AB3B37" w:rsidP="00AB3B37">
            <w:pPr>
              <w:jc w:val="left"/>
              <w:rPr>
                <w:bCs/>
                <w:szCs w:val="17"/>
              </w:rPr>
            </w:pPr>
            <w:r w:rsidRPr="002F01EF">
              <w:rPr>
                <w:bCs/>
                <w:szCs w:val="17"/>
              </w:rPr>
              <w:t xml:space="preserve">Specifies that the EC should take </w:t>
            </w:r>
            <w:proofErr w:type="gramStart"/>
            <w:r w:rsidRPr="002F01EF">
              <w:rPr>
                <w:bCs/>
                <w:szCs w:val="17"/>
              </w:rPr>
              <w:t>into  account</w:t>
            </w:r>
            <w:proofErr w:type="gramEnd"/>
            <w:r w:rsidRPr="002F01EF">
              <w:rPr>
                <w:bCs/>
                <w:szCs w:val="17"/>
              </w:rPr>
              <w:t xml:space="preserve"> “</w:t>
            </w:r>
            <w:r w:rsidRPr="002F01EF">
              <w:rPr>
                <w:bCs/>
                <w:i/>
                <w:iCs/>
                <w:szCs w:val="17"/>
              </w:rPr>
              <w:t>economic, financial and market environment and ensure that the assumptions used are robust and realistic</w:t>
            </w:r>
            <w:r w:rsidRPr="002F01EF">
              <w:rPr>
                <w:bCs/>
                <w:szCs w:val="17"/>
              </w:rPr>
              <w:t>” when developing Delegated Regulation</w:t>
            </w:r>
          </w:p>
        </w:tc>
        <w:tc>
          <w:tcPr>
            <w:tcW w:w="1865" w:type="dxa"/>
            <w:shd w:val="clear" w:color="auto" w:fill="auto"/>
            <w:vAlign w:val="center"/>
          </w:tcPr>
          <w:p w14:paraId="3EF723F2" w14:textId="35106ABC"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2A2ACA44" w14:textId="2FD31B31" w:rsidR="00AB3B37" w:rsidRPr="002F01EF" w:rsidRDefault="00AB3B37" w:rsidP="00AB3B37">
            <w:pPr>
              <w:jc w:val="center"/>
              <w:rPr>
                <w:bCs/>
                <w:szCs w:val="17"/>
              </w:rPr>
            </w:pPr>
            <w:r w:rsidRPr="002F01EF">
              <w:rPr>
                <w:bCs/>
                <w:szCs w:val="17"/>
              </w:rPr>
              <w:t>SCR</w:t>
            </w:r>
          </w:p>
        </w:tc>
        <w:tc>
          <w:tcPr>
            <w:tcW w:w="1886" w:type="dxa"/>
            <w:shd w:val="clear" w:color="auto" w:fill="auto"/>
            <w:vAlign w:val="center"/>
          </w:tcPr>
          <w:p w14:paraId="469E53E4" w14:textId="2311B27A"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50E634BD" w14:textId="77777777" w:rsidTr="00AB3B37">
        <w:trPr>
          <w:trHeight w:val="499"/>
        </w:trPr>
        <w:tc>
          <w:tcPr>
            <w:tcW w:w="679" w:type="dxa"/>
            <w:shd w:val="clear" w:color="auto" w:fill="auto"/>
            <w:vAlign w:val="center"/>
          </w:tcPr>
          <w:p w14:paraId="23305DD4" w14:textId="490AECFA" w:rsidR="00AB3B37" w:rsidRPr="002F01EF" w:rsidRDefault="00AB3B37" w:rsidP="00AB3B37">
            <w:pPr>
              <w:jc w:val="center"/>
              <w:rPr>
                <w:bCs/>
                <w:szCs w:val="17"/>
              </w:rPr>
            </w:pPr>
            <w:r w:rsidRPr="002F01EF">
              <w:rPr>
                <w:bCs/>
                <w:szCs w:val="17"/>
              </w:rPr>
              <w:t>642/643/644/646</w:t>
            </w:r>
          </w:p>
        </w:tc>
        <w:tc>
          <w:tcPr>
            <w:tcW w:w="1866" w:type="dxa"/>
            <w:shd w:val="clear" w:color="auto" w:fill="auto"/>
            <w:vAlign w:val="center"/>
          </w:tcPr>
          <w:p w14:paraId="118C6310" w14:textId="4A4E619E" w:rsidR="00AB3B37" w:rsidRPr="0092408F" w:rsidRDefault="00AB3B37" w:rsidP="00AB3B37">
            <w:pPr>
              <w:jc w:val="center"/>
              <w:rPr>
                <w:lang w:val="fr-FR"/>
              </w:rPr>
            </w:pPr>
            <w:r w:rsidRPr="0092408F">
              <w:rPr>
                <w:lang w:val="fr-FR"/>
              </w:rPr>
              <w:t>Article 111 – paragraph 1 – subparagraph 2a (new)</w:t>
            </w:r>
          </w:p>
        </w:tc>
        <w:tc>
          <w:tcPr>
            <w:tcW w:w="5964" w:type="dxa"/>
            <w:shd w:val="clear" w:color="auto" w:fill="auto"/>
          </w:tcPr>
          <w:p w14:paraId="51C11682" w14:textId="661AB729" w:rsidR="00AB3B37" w:rsidRPr="002F01EF" w:rsidRDefault="00AB3B37" w:rsidP="00AB3B37">
            <w:pPr>
              <w:jc w:val="left"/>
              <w:rPr>
                <w:bCs/>
                <w:szCs w:val="17"/>
              </w:rPr>
            </w:pPr>
            <w:r w:rsidRPr="002F01EF">
              <w:rPr>
                <w:bCs/>
                <w:szCs w:val="17"/>
              </w:rPr>
              <w:t>Introduces requirement for EC to include an “</w:t>
            </w:r>
            <w:r w:rsidRPr="002F01EF">
              <w:rPr>
                <w:bCs/>
                <w:i/>
                <w:iCs/>
                <w:szCs w:val="17"/>
              </w:rPr>
              <w:t xml:space="preserve">explicit increasing and term-dependent floor” </w:t>
            </w:r>
            <w:r w:rsidRPr="002F01EF">
              <w:rPr>
                <w:bCs/>
                <w:szCs w:val="17"/>
              </w:rPr>
              <w:t>when developing the Delegated Regulation on IRR SCR</w:t>
            </w:r>
          </w:p>
        </w:tc>
        <w:tc>
          <w:tcPr>
            <w:tcW w:w="1865" w:type="dxa"/>
            <w:shd w:val="clear" w:color="auto" w:fill="auto"/>
            <w:vAlign w:val="center"/>
          </w:tcPr>
          <w:p w14:paraId="77894DD1" w14:textId="43DA8C76" w:rsidR="00AB3B37" w:rsidRPr="002E30E3" w:rsidRDefault="00AB3B37" w:rsidP="00AB3B37">
            <w:pPr>
              <w:jc w:val="center"/>
              <w:rPr>
                <w:szCs w:val="17"/>
                <w:lang w:val="it-IT"/>
              </w:rPr>
            </w:pPr>
            <w:r w:rsidRPr="002E30E3">
              <w:rPr>
                <w:szCs w:val="17"/>
                <w:lang w:val="it-IT"/>
              </w:rPr>
              <w:t>Calenda/Fitto/Zanni,Grant &amp; Rinaldi/Castaldo</w:t>
            </w:r>
          </w:p>
        </w:tc>
        <w:tc>
          <w:tcPr>
            <w:tcW w:w="2483" w:type="dxa"/>
            <w:shd w:val="clear" w:color="auto" w:fill="auto"/>
            <w:vAlign w:val="center"/>
          </w:tcPr>
          <w:p w14:paraId="697B4DE6" w14:textId="159B1CD7" w:rsidR="00AB3B37" w:rsidRPr="002F01EF" w:rsidRDefault="00AB3B37" w:rsidP="00AB3B37">
            <w:pPr>
              <w:jc w:val="center"/>
              <w:rPr>
                <w:bCs/>
                <w:szCs w:val="17"/>
              </w:rPr>
            </w:pPr>
            <w:r w:rsidRPr="002F01EF">
              <w:rPr>
                <w:bCs/>
                <w:szCs w:val="17"/>
              </w:rPr>
              <w:t>Interest rate risk SCR</w:t>
            </w:r>
          </w:p>
        </w:tc>
        <w:tc>
          <w:tcPr>
            <w:tcW w:w="1886" w:type="dxa"/>
            <w:shd w:val="clear" w:color="auto" w:fill="auto"/>
            <w:vAlign w:val="center"/>
          </w:tcPr>
          <w:p w14:paraId="3A685DE0" w14:textId="270C251C" w:rsidR="00AB3B37" w:rsidRPr="002F01EF" w:rsidRDefault="00AB3B37" w:rsidP="00AB3B37">
            <w:pPr>
              <w:jc w:val="center"/>
              <w:rPr>
                <w:b/>
                <w:color w:val="00B050"/>
                <w:szCs w:val="17"/>
              </w:rPr>
            </w:pPr>
            <w:r w:rsidRPr="002F01EF">
              <w:rPr>
                <w:b/>
                <w:color w:val="00B050"/>
                <w:szCs w:val="17"/>
              </w:rPr>
              <w:t>Positive</w:t>
            </w:r>
          </w:p>
        </w:tc>
      </w:tr>
      <w:tr w:rsidR="00AB3B37" w:rsidRPr="002F01EF" w14:paraId="516101C6" w14:textId="77777777" w:rsidTr="00AB3B37">
        <w:trPr>
          <w:trHeight w:val="499"/>
        </w:trPr>
        <w:tc>
          <w:tcPr>
            <w:tcW w:w="679" w:type="dxa"/>
            <w:shd w:val="clear" w:color="auto" w:fill="auto"/>
            <w:vAlign w:val="center"/>
          </w:tcPr>
          <w:p w14:paraId="0C6AA179" w14:textId="1CDB7580" w:rsidR="00AB3B37" w:rsidRPr="002F01EF" w:rsidRDefault="00AB3B37" w:rsidP="00AB3B37">
            <w:pPr>
              <w:jc w:val="center"/>
              <w:rPr>
                <w:bCs/>
                <w:szCs w:val="17"/>
              </w:rPr>
            </w:pPr>
            <w:r w:rsidRPr="002F01EF">
              <w:rPr>
                <w:bCs/>
                <w:szCs w:val="17"/>
              </w:rPr>
              <w:t>645</w:t>
            </w:r>
          </w:p>
        </w:tc>
        <w:tc>
          <w:tcPr>
            <w:tcW w:w="1866" w:type="dxa"/>
            <w:shd w:val="clear" w:color="auto" w:fill="auto"/>
            <w:vAlign w:val="center"/>
          </w:tcPr>
          <w:p w14:paraId="71C14924" w14:textId="4F2D7228" w:rsidR="00AB3B37" w:rsidRPr="0092408F" w:rsidRDefault="00AB3B37" w:rsidP="00AB3B37">
            <w:pPr>
              <w:jc w:val="center"/>
              <w:rPr>
                <w:lang w:val="fr-FR"/>
              </w:rPr>
            </w:pPr>
            <w:r w:rsidRPr="0092408F">
              <w:rPr>
                <w:lang w:val="fr-FR"/>
              </w:rPr>
              <w:t>Article 111 – paragraph 1 – subparagraph 2a (new)</w:t>
            </w:r>
          </w:p>
        </w:tc>
        <w:tc>
          <w:tcPr>
            <w:tcW w:w="5964" w:type="dxa"/>
            <w:shd w:val="clear" w:color="auto" w:fill="auto"/>
          </w:tcPr>
          <w:p w14:paraId="1F1FCE09" w14:textId="510CE989" w:rsidR="00AB3B37" w:rsidRPr="002F01EF" w:rsidRDefault="00AB3B37" w:rsidP="00AB3B37">
            <w:pPr>
              <w:jc w:val="left"/>
              <w:rPr>
                <w:bCs/>
                <w:szCs w:val="17"/>
              </w:rPr>
            </w:pPr>
            <w:r w:rsidRPr="002F01EF">
              <w:rPr>
                <w:bCs/>
                <w:szCs w:val="17"/>
              </w:rPr>
              <w:t xml:space="preserve">Provides for the </w:t>
            </w:r>
            <w:r w:rsidRPr="002F01EF">
              <w:rPr>
                <w:bCs/>
                <w:szCs w:val="17"/>
                <w:u w:val="single"/>
              </w:rPr>
              <w:t>discretionary</w:t>
            </w:r>
            <w:r w:rsidRPr="002F01EF">
              <w:rPr>
                <w:bCs/>
                <w:szCs w:val="17"/>
              </w:rPr>
              <w:t xml:space="preserve"> (up to the insurer) application of a 5-year transitional on the changes to the IRR SCR.</w:t>
            </w:r>
          </w:p>
        </w:tc>
        <w:tc>
          <w:tcPr>
            <w:tcW w:w="1865" w:type="dxa"/>
            <w:shd w:val="clear" w:color="auto" w:fill="auto"/>
            <w:vAlign w:val="center"/>
          </w:tcPr>
          <w:p w14:paraId="222FEEBC" w14:textId="247FB3FB" w:rsidR="00AB3B37" w:rsidRPr="002F01EF" w:rsidRDefault="00AB3B37" w:rsidP="00AB3B37">
            <w:pPr>
              <w:jc w:val="center"/>
              <w:rPr>
                <w:bCs/>
                <w:szCs w:val="17"/>
              </w:rPr>
            </w:pPr>
            <w:r w:rsidRPr="002F01EF">
              <w:rPr>
                <w:bCs/>
                <w:szCs w:val="17"/>
              </w:rPr>
              <w:t xml:space="preserve">Van </w:t>
            </w:r>
            <w:proofErr w:type="spellStart"/>
            <w:r w:rsidRPr="002F01EF">
              <w:rPr>
                <w:bCs/>
                <w:szCs w:val="17"/>
              </w:rPr>
              <w:t>Overtveldt</w:t>
            </w:r>
            <w:proofErr w:type="spellEnd"/>
          </w:p>
        </w:tc>
        <w:tc>
          <w:tcPr>
            <w:tcW w:w="2483" w:type="dxa"/>
            <w:shd w:val="clear" w:color="auto" w:fill="auto"/>
            <w:vAlign w:val="center"/>
          </w:tcPr>
          <w:p w14:paraId="23E6765E" w14:textId="4A7A8383" w:rsidR="00AB3B37" w:rsidRPr="002F01EF" w:rsidRDefault="00AB3B37" w:rsidP="00AB3B37">
            <w:pPr>
              <w:jc w:val="center"/>
              <w:rPr>
                <w:bCs/>
                <w:szCs w:val="17"/>
              </w:rPr>
            </w:pPr>
            <w:r w:rsidRPr="002F01EF">
              <w:rPr>
                <w:szCs w:val="17"/>
              </w:rPr>
              <w:t>Interest rate risk SCR</w:t>
            </w:r>
            <w:r w:rsidRPr="002F01EF">
              <w:rPr>
                <w:bCs/>
                <w:szCs w:val="17"/>
              </w:rPr>
              <w:t>/</w:t>
            </w:r>
            <w:proofErr w:type="spellStart"/>
            <w:r w:rsidRPr="002F01EF">
              <w:rPr>
                <w:bCs/>
                <w:szCs w:val="17"/>
              </w:rPr>
              <w:t>Transitionals</w:t>
            </w:r>
            <w:proofErr w:type="spellEnd"/>
          </w:p>
        </w:tc>
        <w:tc>
          <w:tcPr>
            <w:tcW w:w="1886" w:type="dxa"/>
            <w:shd w:val="clear" w:color="auto" w:fill="auto"/>
            <w:vAlign w:val="center"/>
          </w:tcPr>
          <w:p w14:paraId="5B57C658" w14:textId="3335C274" w:rsidR="00AB3B37" w:rsidRPr="002F01EF" w:rsidRDefault="00AB3B37" w:rsidP="00AB3B37">
            <w:pPr>
              <w:jc w:val="center"/>
              <w:rPr>
                <w:b/>
                <w:color w:val="00B050"/>
                <w:szCs w:val="17"/>
              </w:rPr>
            </w:pPr>
            <w:r w:rsidRPr="002F01EF">
              <w:rPr>
                <w:b/>
                <w:color w:val="00B050"/>
                <w:szCs w:val="17"/>
              </w:rPr>
              <w:t>Positive</w:t>
            </w:r>
          </w:p>
        </w:tc>
      </w:tr>
      <w:tr w:rsidR="00AB3B37" w:rsidRPr="002F01EF" w14:paraId="55FD0AB5" w14:textId="77777777" w:rsidTr="00AB3B37">
        <w:trPr>
          <w:trHeight w:val="499"/>
        </w:trPr>
        <w:tc>
          <w:tcPr>
            <w:tcW w:w="679" w:type="dxa"/>
            <w:shd w:val="clear" w:color="auto" w:fill="auto"/>
            <w:vAlign w:val="center"/>
          </w:tcPr>
          <w:p w14:paraId="36F077FB" w14:textId="2DE46AE3" w:rsidR="00AB3B37" w:rsidRPr="002F01EF" w:rsidRDefault="00AB3B37" w:rsidP="00AB3B37">
            <w:pPr>
              <w:jc w:val="center"/>
              <w:rPr>
                <w:bCs/>
                <w:szCs w:val="17"/>
              </w:rPr>
            </w:pPr>
            <w:r w:rsidRPr="002F01EF">
              <w:rPr>
                <w:bCs/>
                <w:szCs w:val="17"/>
              </w:rPr>
              <w:t>647</w:t>
            </w:r>
          </w:p>
        </w:tc>
        <w:tc>
          <w:tcPr>
            <w:tcW w:w="1866" w:type="dxa"/>
            <w:shd w:val="clear" w:color="auto" w:fill="auto"/>
            <w:vAlign w:val="center"/>
          </w:tcPr>
          <w:p w14:paraId="4237B505" w14:textId="79BCC44F" w:rsidR="00AB3B37" w:rsidRPr="0092408F" w:rsidRDefault="00AB3B37" w:rsidP="00AB3B37">
            <w:pPr>
              <w:jc w:val="center"/>
              <w:rPr>
                <w:lang w:val="fr-FR"/>
              </w:rPr>
            </w:pPr>
            <w:r w:rsidRPr="0092408F">
              <w:rPr>
                <w:lang w:val="fr-FR"/>
              </w:rPr>
              <w:t>Article 111 – paragraph 1 – subparagraph 2a (new)</w:t>
            </w:r>
          </w:p>
        </w:tc>
        <w:tc>
          <w:tcPr>
            <w:tcW w:w="5964" w:type="dxa"/>
            <w:shd w:val="clear" w:color="auto" w:fill="auto"/>
          </w:tcPr>
          <w:p w14:paraId="6E285CAD" w14:textId="17AAEFBA" w:rsidR="00AB3B37" w:rsidRPr="002F01EF" w:rsidRDefault="00AB3B37" w:rsidP="00AB3B37">
            <w:pPr>
              <w:jc w:val="left"/>
              <w:rPr>
                <w:bCs/>
                <w:szCs w:val="17"/>
              </w:rPr>
            </w:pPr>
            <w:r w:rsidRPr="002F01EF">
              <w:rPr>
                <w:bCs/>
                <w:szCs w:val="17"/>
              </w:rPr>
              <w:t>Specifies that the extrapolation methodology should be used in the calculation of the interest rate risk SCR</w:t>
            </w:r>
          </w:p>
        </w:tc>
        <w:tc>
          <w:tcPr>
            <w:tcW w:w="1865" w:type="dxa"/>
            <w:shd w:val="clear" w:color="auto" w:fill="auto"/>
            <w:vAlign w:val="center"/>
          </w:tcPr>
          <w:p w14:paraId="1D784D37" w14:textId="36940A4E" w:rsidR="00AB3B37" w:rsidRPr="002F01EF" w:rsidRDefault="00AB3B37" w:rsidP="00AB3B37">
            <w:pPr>
              <w:jc w:val="center"/>
              <w:rPr>
                <w:bCs/>
                <w:szCs w:val="17"/>
              </w:rPr>
            </w:pPr>
            <w:r w:rsidRPr="002F01EF">
              <w:rPr>
                <w:bCs/>
                <w:szCs w:val="17"/>
              </w:rPr>
              <w:t>Ferber</w:t>
            </w:r>
          </w:p>
        </w:tc>
        <w:tc>
          <w:tcPr>
            <w:tcW w:w="2483" w:type="dxa"/>
            <w:shd w:val="clear" w:color="auto" w:fill="auto"/>
            <w:vAlign w:val="center"/>
          </w:tcPr>
          <w:p w14:paraId="2B36EDE8" w14:textId="1BF82A7B" w:rsidR="00AB3B37" w:rsidRPr="002F01EF" w:rsidRDefault="00AB3B37" w:rsidP="00AB3B37">
            <w:pPr>
              <w:jc w:val="center"/>
              <w:rPr>
                <w:bCs/>
                <w:szCs w:val="17"/>
              </w:rPr>
            </w:pPr>
            <w:r w:rsidRPr="002F01EF">
              <w:rPr>
                <w:bCs/>
                <w:szCs w:val="17"/>
              </w:rPr>
              <w:t>Interest rate risk SCR</w:t>
            </w:r>
          </w:p>
        </w:tc>
        <w:tc>
          <w:tcPr>
            <w:tcW w:w="1886" w:type="dxa"/>
            <w:shd w:val="clear" w:color="auto" w:fill="auto"/>
            <w:vAlign w:val="center"/>
          </w:tcPr>
          <w:p w14:paraId="75519639" w14:textId="41BD94D4" w:rsidR="00AB3B37" w:rsidRPr="002F01EF" w:rsidRDefault="00AB3B37" w:rsidP="00AB3B37">
            <w:pPr>
              <w:jc w:val="center"/>
              <w:rPr>
                <w:b/>
                <w:color w:val="00B050"/>
                <w:szCs w:val="17"/>
              </w:rPr>
            </w:pPr>
            <w:r w:rsidRPr="002F01EF">
              <w:rPr>
                <w:b/>
                <w:color w:val="00B050"/>
                <w:szCs w:val="17"/>
              </w:rPr>
              <w:t>Positive</w:t>
            </w:r>
          </w:p>
        </w:tc>
      </w:tr>
      <w:tr w:rsidR="00AB3B37" w:rsidRPr="002F01EF" w14:paraId="0DB0916C" w14:textId="77777777" w:rsidTr="00AB3B37">
        <w:trPr>
          <w:trHeight w:val="499"/>
        </w:trPr>
        <w:tc>
          <w:tcPr>
            <w:tcW w:w="679" w:type="dxa"/>
            <w:shd w:val="clear" w:color="auto" w:fill="auto"/>
            <w:vAlign w:val="center"/>
          </w:tcPr>
          <w:p w14:paraId="4EB117A7" w14:textId="738226A8" w:rsidR="00AB3B37" w:rsidRPr="002F01EF" w:rsidRDefault="00AB3B37" w:rsidP="00AB3B37">
            <w:pPr>
              <w:jc w:val="center"/>
              <w:rPr>
                <w:bCs/>
                <w:szCs w:val="17"/>
              </w:rPr>
            </w:pPr>
            <w:r w:rsidRPr="002F01EF">
              <w:rPr>
                <w:bCs/>
                <w:szCs w:val="17"/>
              </w:rPr>
              <w:t>648</w:t>
            </w:r>
          </w:p>
        </w:tc>
        <w:tc>
          <w:tcPr>
            <w:tcW w:w="1866" w:type="dxa"/>
            <w:shd w:val="clear" w:color="auto" w:fill="auto"/>
            <w:vAlign w:val="center"/>
          </w:tcPr>
          <w:p w14:paraId="7AE54206" w14:textId="77A91175" w:rsidR="00AB3B37" w:rsidRPr="002F01EF" w:rsidRDefault="00AB3B37" w:rsidP="00AB3B37">
            <w:pPr>
              <w:jc w:val="center"/>
            </w:pPr>
            <w:r w:rsidRPr="002F01EF">
              <w:t>Article 111 – paragraph 3</w:t>
            </w:r>
          </w:p>
        </w:tc>
        <w:tc>
          <w:tcPr>
            <w:tcW w:w="5964" w:type="dxa"/>
            <w:shd w:val="clear" w:color="auto" w:fill="auto"/>
          </w:tcPr>
          <w:p w14:paraId="4822D0A6" w14:textId="5D184596" w:rsidR="00AB3B37" w:rsidRPr="002F01EF" w:rsidRDefault="00AB3B37" w:rsidP="00AB3B37">
            <w:pPr>
              <w:jc w:val="left"/>
              <w:rPr>
                <w:bCs/>
                <w:szCs w:val="17"/>
              </w:rPr>
            </w:pPr>
            <w:r w:rsidRPr="002F01EF">
              <w:rPr>
                <w:bCs/>
                <w:szCs w:val="17"/>
              </w:rPr>
              <w:t>Requires EIOPA to review all the standard formula parameters by YE 2025 and every 5 years thereafter.</w:t>
            </w:r>
          </w:p>
        </w:tc>
        <w:tc>
          <w:tcPr>
            <w:tcW w:w="1865" w:type="dxa"/>
            <w:shd w:val="clear" w:color="auto" w:fill="auto"/>
            <w:vAlign w:val="center"/>
          </w:tcPr>
          <w:p w14:paraId="7AAB3C81" w14:textId="764FB7D5"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163D16A7" w14:textId="3D14493C" w:rsidR="00AB3B37" w:rsidRPr="002F01EF" w:rsidRDefault="00AB3B37" w:rsidP="00AB3B37">
            <w:pPr>
              <w:jc w:val="center"/>
              <w:rPr>
                <w:bCs/>
                <w:szCs w:val="17"/>
              </w:rPr>
            </w:pPr>
            <w:r w:rsidRPr="002F01EF">
              <w:rPr>
                <w:bCs/>
                <w:szCs w:val="17"/>
              </w:rPr>
              <w:t>SCR</w:t>
            </w:r>
          </w:p>
        </w:tc>
        <w:tc>
          <w:tcPr>
            <w:tcW w:w="1886" w:type="dxa"/>
            <w:shd w:val="clear" w:color="auto" w:fill="auto"/>
            <w:vAlign w:val="center"/>
          </w:tcPr>
          <w:p w14:paraId="409ACCD3" w14:textId="524A8A82" w:rsidR="00AB3B37" w:rsidRPr="002F01EF" w:rsidRDefault="00AB3B37" w:rsidP="00AB3B37">
            <w:pPr>
              <w:jc w:val="center"/>
              <w:rPr>
                <w:b/>
                <w:color w:val="00B050"/>
                <w:szCs w:val="17"/>
              </w:rPr>
            </w:pPr>
            <w:r w:rsidRPr="002F01EF">
              <w:rPr>
                <w:b/>
                <w:color w:val="00B050"/>
                <w:szCs w:val="17"/>
              </w:rPr>
              <w:t>Positive</w:t>
            </w:r>
          </w:p>
        </w:tc>
      </w:tr>
      <w:tr w:rsidR="00AB3B37" w:rsidRPr="002F01EF" w14:paraId="13C4316C" w14:textId="77777777" w:rsidTr="00AB3B37">
        <w:trPr>
          <w:trHeight w:val="499"/>
        </w:trPr>
        <w:tc>
          <w:tcPr>
            <w:tcW w:w="679" w:type="dxa"/>
            <w:shd w:val="clear" w:color="auto" w:fill="auto"/>
            <w:vAlign w:val="center"/>
          </w:tcPr>
          <w:p w14:paraId="4537E6B5" w14:textId="11244934" w:rsidR="00AB3B37" w:rsidRPr="002F01EF" w:rsidRDefault="00AB3B37" w:rsidP="00AB3B37">
            <w:pPr>
              <w:jc w:val="center"/>
              <w:rPr>
                <w:bCs/>
                <w:szCs w:val="17"/>
              </w:rPr>
            </w:pPr>
            <w:r w:rsidRPr="002F01EF">
              <w:rPr>
                <w:bCs/>
                <w:szCs w:val="17"/>
              </w:rPr>
              <w:t>649</w:t>
            </w:r>
          </w:p>
        </w:tc>
        <w:tc>
          <w:tcPr>
            <w:tcW w:w="1866" w:type="dxa"/>
            <w:shd w:val="clear" w:color="auto" w:fill="auto"/>
            <w:vAlign w:val="center"/>
          </w:tcPr>
          <w:p w14:paraId="0C9A8B45" w14:textId="254560E3" w:rsidR="00AB3B37" w:rsidRPr="002F01EF" w:rsidRDefault="00AB3B37" w:rsidP="00AB3B37">
            <w:pPr>
              <w:jc w:val="center"/>
            </w:pPr>
            <w:r w:rsidRPr="002F01EF">
              <w:t>Article 112 – paragraph 7</w:t>
            </w:r>
          </w:p>
        </w:tc>
        <w:tc>
          <w:tcPr>
            <w:tcW w:w="5964" w:type="dxa"/>
            <w:shd w:val="clear" w:color="auto" w:fill="auto"/>
          </w:tcPr>
          <w:p w14:paraId="1FDD948F" w14:textId="5B08AA7A" w:rsidR="00AB3B37" w:rsidRPr="002F01EF" w:rsidRDefault="00AB3B37" w:rsidP="00AB3B37">
            <w:pPr>
              <w:jc w:val="left"/>
              <w:rPr>
                <w:bCs/>
                <w:szCs w:val="17"/>
              </w:rPr>
            </w:pPr>
            <w:r w:rsidRPr="002F01EF">
              <w:rPr>
                <w:bCs/>
                <w:szCs w:val="17"/>
              </w:rPr>
              <w:t>Deletes Commission proposal for standard formula reporting for internal model companies</w:t>
            </w:r>
          </w:p>
        </w:tc>
        <w:tc>
          <w:tcPr>
            <w:tcW w:w="1865" w:type="dxa"/>
            <w:shd w:val="clear" w:color="auto" w:fill="auto"/>
            <w:vAlign w:val="center"/>
          </w:tcPr>
          <w:p w14:paraId="1298F829" w14:textId="6D504AB2" w:rsidR="00AB3B37" w:rsidRPr="002F01EF" w:rsidRDefault="00AB3B37" w:rsidP="00AB3B37">
            <w:pPr>
              <w:jc w:val="center"/>
              <w:rPr>
                <w:bCs/>
                <w:szCs w:val="17"/>
              </w:rPr>
            </w:pPr>
            <w:proofErr w:type="spellStart"/>
            <w:r w:rsidRPr="002F01EF">
              <w:rPr>
                <w:bCs/>
                <w:szCs w:val="17"/>
              </w:rPr>
              <w:t>Zanni</w:t>
            </w:r>
            <w:proofErr w:type="spellEnd"/>
            <w:r w:rsidRPr="002F01EF">
              <w:rPr>
                <w:bCs/>
                <w:szCs w:val="17"/>
              </w:rPr>
              <w:t>/Grant/Rinaldi</w:t>
            </w:r>
          </w:p>
        </w:tc>
        <w:tc>
          <w:tcPr>
            <w:tcW w:w="2483" w:type="dxa"/>
            <w:shd w:val="clear" w:color="auto" w:fill="auto"/>
            <w:vAlign w:val="center"/>
          </w:tcPr>
          <w:p w14:paraId="1174F7F1" w14:textId="23D0F6C8" w:rsidR="00AB3B37" w:rsidRPr="002F01EF" w:rsidRDefault="00AB3B37" w:rsidP="00AB3B37">
            <w:pPr>
              <w:jc w:val="center"/>
              <w:rPr>
                <w:bCs/>
                <w:szCs w:val="17"/>
              </w:rPr>
            </w:pPr>
            <w:r w:rsidRPr="002F01EF">
              <w:rPr>
                <w:bCs/>
                <w:szCs w:val="17"/>
              </w:rPr>
              <w:t>Internal models</w:t>
            </w:r>
          </w:p>
        </w:tc>
        <w:tc>
          <w:tcPr>
            <w:tcW w:w="1886" w:type="dxa"/>
            <w:shd w:val="clear" w:color="auto" w:fill="auto"/>
            <w:vAlign w:val="center"/>
          </w:tcPr>
          <w:p w14:paraId="4F58911F" w14:textId="67288D33" w:rsidR="00AB3B37" w:rsidRPr="002F01EF" w:rsidRDefault="00AB3B37" w:rsidP="00AB3B37">
            <w:pPr>
              <w:jc w:val="center"/>
              <w:rPr>
                <w:b/>
                <w:color w:val="00B050"/>
                <w:szCs w:val="17"/>
              </w:rPr>
            </w:pPr>
            <w:r w:rsidRPr="002F01EF">
              <w:rPr>
                <w:b/>
                <w:color w:val="00B050"/>
                <w:szCs w:val="17"/>
              </w:rPr>
              <w:t>Positive</w:t>
            </w:r>
          </w:p>
        </w:tc>
      </w:tr>
      <w:tr w:rsidR="00AB3B37" w:rsidRPr="002F01EF" w14:paraId="10D0251A" w14:textId="77777777" w:rsidTr="00AB3B37">
        <w:trPr>
          <w:trHeight w:val="499"/>
        </w:trPr>
        <w:tc>
          <w:tcPr>
            <w:tcW w:w="679" w:type="dxa"/>
            <w:shd w:val="clear" w:color="auto" w:fill="auto"/>
            <w:vAlign w:val="center"/>
          </w:tcPr>
          <w:p w14:paraId="10ECB1DE" w14:textId="4EACE126" w:rsidR="00AB3B37" w:rsidRPr="002F01EF" w:rsidRDefault="00AB3B37" w:rsidP="00AB3B37">
            <w:pPr>
              <w:jc w:val="center"/>
              <w:rPr>
                <w:bCs/>
                <w:szCs w:val="17"/>
              </w:rPr>
            </w:pPr>
            <w:r w:rsidRPr="002F01EF">
              <w:rPr>
                <w:bCs/>
                <w:szCs w:val="17"/>
              </w:rPr>
              <w:t>650</w:t>
            </w:r>
          </w:p>
        </w:tc>
        <w:tc>
          <w:tcPr>
            <w:tcW w:w="1866" w:type="dxa"/>
            <w:shd w:val="clear" w:color="auto" w:fill="auto"/>
            <w:vAlign w:val="center"/>
          </w:tcPr>
          <w:p w14:paraId="637044BF" w14:textId="17C27877" w:rsidR="00AB3B37" w:rsidRPr="002F01EF" w:rsidRDefault="00AB3B37" w:rsidP="00AB3B37">
            <w:pPr>
              <w:jc w:val="center"/>
            </w:pPr>
            <w:r w:rsidRPr="002F01EF">
              <w:t>Article 112 – paragraph 7</w:t>
            </w:r>
          </w:p>
        </w:tc>
        <w:tc>
          <w:tcPr>
            <w:tcW w:w="5964" w:type="dxa"/>
            <w:shd w:val="clear" w:color="auto" w:fill="auto"/>
          </w:tcPr>
          <w:p w14:paraId="650A4EF1" w14:textId="35027DAE" w:rsidR="00AB3B37" w:rsidRPr="002F01EF" w:rsidRDefault="00AB3B37" w:rsidP="00AB3B37">
            <w:pPr>
              <w:jc w:val="left"/>
              <w:rPr>
                <w:bCs/>
                <w:szCs w:val="17"/>
              </w:rPr>
            </w:pPr>
            <w:r w:rsidRPr="002F01EF">
              <w:rPr>
                <w:bCs/>
                <w:szCs w:val="17"/>
              </w:rPr>
              <w:t>Specifies that IM firms must explain differences between IM and standard formula solvency positions in addition to reporting them to NSAs/EIOPA</w:t>
            </w:r>
          </w:p>
        </w:tc>
        <w:tc>
          <w:tcPr>
            <w:tcW w:w="1865" w:type="dxa"/>
            <w:shd w:val="clear" w:color="auto" w:fill="auto"/>
            <w:vAlign w:val="center"/>
          </w:tcPr>
          <w:p w14:paraId="6BEC22B7"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/Tang/</w:t>
            </w:r>
          </w:p>
          <w:p w14:paraId="5783618B" w14:textId="5CFCC21C" w:rsidR="00AB3B37" w:rsidRPr="002F01EF" w:rsidRDefault="00AB3B37" w:rsidP="00AB3B37">
            <w:pPr>
              <w:jc w:val="center"/>
              <w:rPr>
                <w:bCs/>
                <w:szCs w:val="17"/>
              </w:rPr>
            </w:pPr>
            <w:r w:rsidRPr="002F01EF">
              <w:rPr>
                <w:bCs/>
                <w:szCs w:val="17"/>
              </w:rPr>
              <w:t>Fernandez/</w:t>
            </w:r>
            <w:proofErr w:type="spellStart"/>
            <w:r w:rsidRPr="002F01EF">
              <w:rPr>
                <w:bCs/>
                <w:szCs w:val="17"/>
              </w:rPr>
              <w:t>Lalucq</w:t>
            </w:r>
            <w:proofErr w:type="spellEnd"/>
          </w:p>
        </w:tc>
        <w:tc>
          <w:tcPr>
            <w:tcW w:w="2483" w:type="dxa"/>
            <w:shd w:val="clear" w:color="auto" w:fill="auto"/>
            <w:vAlign w:val="center"/>
          </w:tcPr>
          <w:p w14:paraId="66420436" w14:textId="724C4930" w:rsidR="00AB3B37" w:rsidRPr="002F01EF" w:rsidRDefault="00AB3B37" w:rsidP="00AB3B37">
            <w:pPr>
              <w:jc w:val="center"/>
              <w:rPr>
                <w:bCs/>
                <w:szCs w:val="17"/>
              </w:rPr>
            </w:pPr>
            <w:r w:rsidRPr="002F01EF">
              <w:rPr>
                <w:bCs/>
                <w:szCs w:val="17"/>
              </w:rPr>
              <w:t>Internal models</w:t>
            </w:r>
          </w:p>
        </w:tc>
        <w:tc>
          <w:tcPr>
            <w:tcW w:w="1886" w:type="dxa"/>
            <w:shd w:val="clear" w:color="auto" w:fill="auto"/>
            <w:vAlign w:val="center"/>
          </w:tcPr>
          <w:p w14:paraId="0DA868FB" w14:textId="49E05C34"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492BFBA2" w14:textId="77777777" w:rsidTr="00AB3B37">
        <w:trPr>
          <w:trHeight w:val="499"/>
        </w:trPr>
        <w:tc>
          <w:tcPr>
            <w:tcW w:w="679" w:type="dxa"/>
            <w:shd w:val="clear" w:color="auto" w:fill="auto"/>
            <w:vAlign w:val="center"/>
          </w:tcPr>
          <w:p w14:paraId="61E84E1D" w14:textId="3173F999" w:rsidR="00AB3B37" w:rsidRPr="002F01EF" w:rsidRDefault="00AB3B37" w:rsidP="00AB3B37">
            <w:pPr>
              <w:jc w:val="center"/>
              <w:rPr>
                <w:bCs/>
                <w:szCs w:val="17"/>
              </w:rPr>
            </w:pPr>
            <w:r w:rsidRPr="002F01EF">
              <w:rPr>
                <w:bCs/>
                <w:szCs w:val="17"/>
              </w:rPr>
              <w:t>651</w:t>
            </w:r>
          </w:p>
        </w:tc>
        <w:tc>
          <w:tcPr>
            <w:tcW w:w="1866" w:type="dxa"/>
            <w:shd w:val="clear" w:color="auto" w:fill="auto"/>
            <w:vAlign w:val="center"/>
          </w:tcPr>
          <w:p w14:paraId="28098A2D" w14:textId="3785F218" w:rsidR="00AB3B37" w:rsidRPr="002F01EF" w:rsidRDefault="00AB3B37" w:rsidP="00AB3B37">
            <w:pPr>
              <w:jc w:val="center"/>
            </w:pPr>
            <w:r w:rsidRPr="002F01EF">
              <w:t>Article 112 – paragraph 7</w:t>
            </w:r>
          </w:p>
        </w:tc>
        <w:tc>
          <w:tcPr>
            <w:tcW w:w="5964" w:type="dxa"/>
            <w:shd w:val="clear" w:color="auto" w:fill="auto"/>
          </w:tcPr>
          <w:p w14:paraId="11069972" w14:textId="24F36157" w:rsidR="00AB3B37" w:rsidRPr="002F01EF" w:rsidRDefault="00AB3B37" w:rsidP="00AB3B37">
            <w:pPr>
              <w:jc w:val="left"/>
              <w:rPr>
                <w:bCs/>
                <w:szCs w:val="17"/>
              </w:rPr>
            </w:pPr>
            <w:r w:rsidRPr="002F01EF">
              <w:rPr>
                <w:bCs/>
                <w:szCs w:val="17"/>
              </w:rPr>
              <w:t>Editorial change to Commission proposal for standard formula reporting for internal model companies</w:t>
            </w:r>
          </w:p>
        </w:tc>
        <w:tc>
          <w:tcPr>
            <w:tcW w:w="1865" w:type="dxa"/>
            <w:shd w:val="clear" w:color="auto" w:fill="auto"/>
            <w:vAlign w:val="center"/>
          </w:tcPr>
          <w:p w14:paraId="45396DA0" w14:textId="591401A6"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472F6A57" w14:textId="5045B66E" w:rsidR="00AB3B37" w:rsidRPr="002F01EF" w:rsidRDefault="00AB3B37" w:rsidP="00AB3B37">
            <w:pPr>
              <w:jc w:val="center"/>
              <w:rPr>
                <w:bCs/>
                <w:szCs w:val="17"/>
              </w:rPr>
            </w:pPr>
            <w:r w:rsidRPr="002F01EF">
              <w:rPr>
                <w:bCs/>
                <w:szCs w:val="17"/>
              </w:rPr>
              <w:t>Editorial</w:t>
            </w:r>
          </w:p>
        </w:tc>
        <w:tc>
          <w:tcPr>
            <w:tcW w:w="1886" w:type="dxa"/>
            <w:shd w:val="clear" w:color="auto" w:fill="auto"/>
            <w:vAlign w:val="center"/>
          </w:tcPr>
          <w:p w14:paraId="010F75EF" w14:textId="627F2654" w:rsidR="00AB3B37" w:rsidRPr="002F01EF" w:rsidRDefault="00AB3B37" w:rsidP="00AB3B37">
            <w:pPr>
              <w:jc w:val="center"/>
              <w:rPr>
                <w:bCs/>
                <w:szCs w:val="17"/>
              </w:rPr>
            </w:pPr>
          </w:p>
        </w:tc>
      </w:tr>
      <w:tr w:rsidR="00AB3B37" w:rsidRPr="002F01EF" w14:paraId="079838A7" w14:textId="77777777" w:rsidTr="00AB3B37">
        <w:trPr>
          <w:trHeight w:val="499"/>
        </w:trPr>
        <w:tc>
          <w:tcPr>
            <w:tcW w:w="679" w:type="dxa"/>
            <w:shd w:val="clear" w:color="auto" w:fill="auto"/>
            <w:vAlign w:val="center"/>
          </w:tcPr>
          <w:p w14:paraId="6D0A19D8" w14:textId="34E160C5" w:rsidR="00AB3B37" w:rsidRPr="002F01EF" w:rsidRDefault="00AB3B37" w:rsidP="00AB3B37">
            <w:pPr>
              <w:jc w:val="center"/>
              <w:rPr>
                <w:bCs/>
                <w:szCs w:val="17"/>
              </w:rPr>
            </w:pPr>
            <w:r w:rsidRPr="002F01EF">
              <w:rPr>
                <w:bCs/>
                <w:szCs w:val="17"/>
              </w:rPr>
              <w:t>652</w:t>
            </w:r>
          </w:p>
        </w:tc>
        <w:tc>
          <w:tcPr>
            <w:tcW w:w="1866" w:type="dxa"/>
            <w:shd w:val="clear" w:color="auto" w:fill="auto"/>
            <w:vAlign w:val="center"/>
          </w:tcPr>
          <w:p w14:paraId="378E5E78" w14:textId="576987CF" w:rsidR="00AB3B37" w:rsidRPr="002F01EF" w:rsidRDefault="00AB3B37" w:rsidP="00AB3B37">
            <w:pPr>
              <w:jc w:val="center"/>
            </w:pPr>
            <w:r w:rsidRPr="002F01EF">
              <w:t>Article 112 – paragraph 7a (new)</w:t>
            </w:r>
          </w:p>
        </w:tc>
        <w:tc>
          <w:tcPr>
            <w:tcW w:w="5964" w:type="dxa"/>
            <w:shd w:val="clear" w:color="auto" w:fill="auto"/>
          </w:tcPr>
          <w:p w14:paraId="6BCAE3C1" w14:textId="2666ECE6" w:rsidR="00AB3B37" w:rsidRPr="002F01EF" w:rsidRDefault="00AB3B37" w:rsidP="00AB3B37">
            <w:pPr>
              <w:jc w:val="left"/>
              <w:rPr>
                <w:bCs/>
                <w:szCs w:val="17"/>
              </w:rPr>
            </w:pPr>
            <w:r w:rsidRPr="002F01EF">
              <w:rPr>
                <w:bCs/>
                <w:szCs w:val="17"/>
              </w:rPr>
              <w:t>Provides for a floor to the IM SCR (75% of the SCR of the standard formula). And Insurer to provide justification to NSA, if the NSA is not satisfied it can decide to apply a capital add-on</w:t>
            </w:r>
          </w:p>
        </w:tc>
        <w:tc>
          <w:tcPr>
            <w:tcW w:w="1865" w:type="dxa"/>
            <w:shd w:val="clear" w:color="auto" w:fill="auto"/>
            <w:vAlign w:val="center"/>
          </w:tcPr>
          <w:p w14:paraId="61904BDC" w14:textId="0C282C13"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77BB34B9" w14:textId="395504CC" w:rsidR="00AB3B37" w:rsidRPr="002F01EF" w:rsidRDefault="00AB3B37" w:rsidP="00AB3B37">
            <w:pPr>
              <w:jc w:val="center"/>
              <w:rPr>
                <w:bCs/>
                <w:szCs w:val="17"/>
              </w:rPr>
            </w:pPr>
            <w:r w:rsidRPr="002F01EF">
              <w:rPr>
                <w:bCs/>
                <w:szCs w:val="17"/>
              </w:rPr>
              <w:t>Internal models</w:t>
            </w:r>
          </w:p>
        </w:tc>
        <w:tc>
          <w:tcPr>
            <w:tcW w:w="1886" w:type="dxa"/>
            <w:shd w:val="clear" w:color="auto" w:fill="auto"/>
            <w:vAlign w:val="center"/>
          </w:tcPr>
          <w:p w14:paraId="63E29C6F" w14:textId="5955FA43" w:rsidR="00AB3B37" w:rsidRPr="002F01EF" w:rsidRDefault="00FC5AC9" w:rsidP="00AB3B37">
            <w:pPr>
              <w:jc w:val="center"/>
              <w:rPr>
                <w:bCs/>
                <w:szCs w:val="17"/>
              </w:rPr>
            </w:pPr>
            <w:r w:rsidRPr="002F01EF">
              <w:rPr>
                <w:b/>
                <w:color w:val="FF0000"/>
                <w:szCs w:val="17"/>
              </w:rPr>
              <w:t>Negative</w:t>
            </w:r>
          </w:p>
        </w:tc>
      </w:tr>
      <w:tr w:rsidR="00AB3B37" w:rsidRPr="002F01EF" w14:paraId="43665659" w14:textId="77777777" w:rsidTr="00AB3B37">
        <w:trPr>
          <w:trHeight w:val="499"/>
        </w:trPr>
        <w:tc>
          <w:tcPr>
            <w:tcW w:w="679" w:type="dxa"/>
            <w:shd w:val="clear" w:color="auto" w:fill="auto"/>
            <w:vAlign w:val="center"/>
          </w:tcPr>
          <w:p w14:paraId="3A8959EE" w14:textId="52CF297B" w:rsidR="00AB3B37" w:rsidRPr="002F01EF" w:rsidRDefault="00AB3B37" w:rsidP="00AB3B37">
            <w:pPr>
              <w:jc w:val="center"/>
              <w:rPr>
                <w:bCs/>
                <w:szCs w:val="17"/>
              </w:rPr>
            </w:pPr>
            <w:r w:rsidRPr="002F01EF">
              <w:rPr>
                <w:bCs/>
                <w:szCs w:val="17"/>
              </w:rPr>
              <w:t>653/654/655/656</w:t>
            </w:r>
          </w:p>
        </w:tc>
        <w:tc>
          <w:tcPr>
            <w:tcW w:w="1866" w:type="dxa"/>
            <w:shd w:val="clear" w:color="auto" w:fill="auto"/>
            <w:vAlign w:val="center"/>
          </w:tcPr>
          <w:p w14:paraId="424BCC56" w14:textId="11C9569A" w:rsidR="00AB3B37" w:rsidRPr="002F01EF" w:rsidRDefault="00AB3B37" w:rsidP="00AB3B37">
            <w:pPr>
              <w:jc w:val="center"/>
            </w:pPr>
            <w:r w:rsidRPr="002F01EF">
              <w:t>Article 122 – paragraph 5</w:t>
            </w:r>
          </w:p>
        </w:tc>
        <w:tc>
          <w:tcPr>
            <w:tcW w:w="5964" w:type="dxa"/>
            <w:shd w:val="clear" w:color="auto" w:fill="auto"/>
          </w:tcPr>
          <w:p w14:paraId="70EAE704" w14:textId="5CDC03F2" w:rsidR="00AB3B37" w:rsidRPr="002F01EF" w:rsidRDefault="00AB3B37" w:rsidP="00AB3B37">
            <w:pPr>
              <w:jc w:val="left"/>
              <w:rPr>
                <w:bCs/>
                <w:szCs w:val="17"/>
              </w:rPr>
            </w:pPr>
            <w:r w:rsidRPr="002F01EF">
              <w:rPr>
                <w:bCs/>
                <w:szCs w:val="17"/>
              </w:rPr>
              <w:t>Deletes EC proposed Enhanced Prudency Principle for Internal Model DVA</w:t>
            </w:r>
          </w:p>
        </w:tc>
        <w:tc>
          <w:tcPr>
            <w:tcW w:w="1865" w:type="dxa"/>
            <w:shd w:val="clear" w:color="auto" w:fill="auto"/>
            <w:vAlign w:val="center"/>
          </w:tcPr>
          <w:p w14:paraId="5F13078F" w14:textId="77777777" w:rsidR="00AB3B37" w:rsidRPr="002E30E3" w:rsidRDefault="00AB3B37" w:rsidP="00AB3B37">
            <w:pPr>
              <w:jc w:val="center"/>
              <w:rPr>
                <w:szCs w:val="17"/>
                <w:lang w:val="it-IT"/>
              </w:rPr>
            </w:pPr>
            <w:r w:rsidRPr="002E30E3">
              <w:rPr>
                <w:szCs w:val="17"/>
                <w:lang w:val="it-IT"/>
              </w:rPr>
              <w:t>Calenda/Fitto/</w:t>
            </w:r>
          </w:p>
          <w:p w14:paraId="7EAD743E" w14:textId="5E4E5E21" w:rsidR="00AB3B37" w:rsidRPr="002E30E3" w:rsidRDefault="00AB3B37" w:rsidP="00AB3B37">
            <w:pPr>
              <w:jc w:val="center"/>
              <w:rPr>
                <w:szCs w:val="17"/>
                <w:lang w:val="it-IT"/>
              </w:rPr>
            </w:pPr>
            <w:r w:rsidRPr="002E30E3">
              <w:rPr>
                <w:szCs w:val="17"/>
                <w:lang w:val="it-IT"/>
              </w:rPr>
              <w:t>Zanni, Grant &amp; Rinaldi/Castaldo</w:t>
            </w:r>
          </w:p>
        </w:tc>
        <w:tc>
          <w:tcPr>
            <w:tcW w:w="2483" w:type="dxa"/>
            <w:shd w:val="clear" w:color="auto" w:fill="auto"/>
            <w:vAlign w:val="center"/>
          </w:tcPr>
          <w:p w14:paraId="5F516F06" w14:textId="7A5CD502" w:rsidR="00AB3B37" w:rsidRPr="002F01EF" w:rsidRDefault="00AB3B37" w:rsidP="00AB3B37">
            <w:pPr>
              <w:jc w:val="center"/>
              <w:rPr>
                <w:bCs/>
                <w:szCs w:val="17"/>
              </w:rPr>
            </w:pPr>
            <w:r w:rsidRPr="002F01EF">
              <w:rPr>
                <w:bCs/>
                <w:szCs w:val="17"/>
              </w:rPr>
              <w:t>Internal models</w:t>
            </w:r>
          </w:p>
        </w:tc>
        <w:tc>
          <w:tcPr>
            <w:tcW w:w="1886" w:type="dxa"/>
            <w:shd w:val="clear" w:color="auto" w:fill="auto"/>
            <w:vAlign w:val="center"/>
          </w:tcPr>
          <w:p w14:paraId="521D26CD" w14:textId="0EC7194D" w:rsidR="00AB3B37" w:rsidRPr="002F01EF" w:rsidRDefault="00AB3B37" w:rsidP="00AB3B37">
            <w:pPr>
              <w:jc w:val="center"/>
              <w:rPr>
                <w:bCs/>
                <w:szCs w:val="17"/>
              </w:rPr>
            </w:pPr>
            <w:r w:rsidRPr="002F01EF">
              <w:rPr>
                <w:b/>
                <w:color w:val="00B050"/>
                <w:szCs w:val="17"/>
              </w:rPr>
              <w:t>Positive</w:t>
            </w:r>
          </w:p>
        </w:tc>
      </w:tr>
      <w:tr w:rsidR="00AB3B37" w:rsidRPr="002F01EF" w14:paraId="0770B746" w14:textId="77777777" w:rsidTr="00AB3B37">
        <w:trPr>
          <w:trHeight w:val="499"/>
        </w:trPr>
        <w:tc>
          <w:tcPr>
            <w:tcW w:w="679" w:type="dxa"/>
            <w:shd w:val="clear" w:color="auto" w:fill="auto"/>
            <w:vAlign w:val="center"/>
          </w:tcPr>
          <w:p w14:paraId="36EFE37E" w14:textId="25DCBE64" w:rsidR="00AB3B37" w:rsidRPr="002F01EF" w:rsidRDefault="00AB3B37" w:rsidP="00AB3B37">
            <w:pPr>
              <w:jc w:val="center"/>
              <w:rPr>
                <w:bCs/>
                <w:szCs w:val="17"/>
              </w:rPr>
            </w:pPr>
            <w:r w:rsidRPr="002F01EF">
              <w:rPr>
                <w:bCs/>
                <w:szCs w:val="17"/>
              </w:rPr>
              <w:t>657</w:t>
            </w:r>
          </w:p>
        </w:tc>
        <w:tc>
          <w:tcPr>
            <w:tcW w:w="1866" w:type="dxa"/>
            <w:shd w:val="clear" w:color="auto" w:fill="auto"/>
            <w:vAlign w:val="center"/>
          </w:tcPr>
          <w:p w14:paraId="2BF71DDC" w14:textId="7FF5ACF1" w:rsidR="00AB3B37" w:rsidRPr="002F01EF" w:rsidRDefault="00AB3B37" w:rsidP="00AB3B37">
            <w:pPr>
              <w:jc w:val="center"/>
            </w:pPr>
            <w:r w:rsidRPr="002F01EF">
              <w:t xml:space="preserve">Article 132 – paragraphs 1,2,2a </w:t>
            </w:r>
            <w:r w:rsidRPr="002F01EF">
              <w:lastRenderedPageBreak/>
              <w:t>(new) and 2b (new)</w:t>
            </w:r>
          </w:p>
        </w:tc>
        <w:tc>
          <w:tcPr>
            <w:tcW w:w="5964" w:type="dxa"/>
            <w:shd w:val="clear" w:color="auto" w:fill="auto"/>
          </w:tcPr>
          <w:p w14:paraId="42414688" w14:textId="1CC546CA" w:rsidR="00AB3B37" w:rsidRPr="002F01EF" w:rsidRDefault="00AB3B37" w:rsidP="00AB3B37">
            <w:pPr>
              <w:jc w:val="left"/>
              <w:rPr>
                <w:bCs/>
                <w:szCs w:val="17"/>
              </w:rPr>
            </w:pPr>
            <w:r w:rsidRPr="002F01EF">
              <w:rPr>
                <w:bCs/>
                <w:szCs w:val="17"/>
              </w:rPr>
              <w:lastRenderedPageBreak/>
              <w:t xml:space="preserve">Proposes to make significant changes to Prudent Person Principle by removing requirement to manage assets in best interest of </w:t>
            </w:r>
            <w:r w:rsidRPr="002F01EF">
              <w:rPr>
                <w:bCs/>
                <w:szCs w:val="17"/>
              </w:rPr>
              <w:lastRenderedPageBreak/>
              <w:t>policyholder and to remove requirements on asset characteristics (duration, quality, liquidity etc). Also introduces requirements to set investment strategy relative to customer sustainability preferences and requirement to disclose a written policy on stewardship.</w:t>
            </w:r>
          </w:p>
        </w:tc>
        <w:tc>
          <w:tcPr>
            <w:tcW w:w="1865" w:type="dxa"/>
            <w:shd w:val="clear" w:color="auto" w:fill="auto"/>
            <w:vAlign w:val="center"/>
          </w:tcPr>
          <w:p w14:paraId="2C0B6C11" w14:textId="77777777" w:rsidR="00AB3B37" w:rsidRPr="002F01EF" w:rsidRDefault="00AB3B37" w:rsidP="00AB3B37">
            <w:pPr>
              <w:jc w:val="center"/>
              <w:rPr>
                <w:bCs/>
                <w:szCs w:val="17"/>
              </w:rPr>
            </w:pPr>
            <w:proofErr w:type="spellStart"/>
            <w:r w:rsidRPr="002F01EF">
              <w:rPr>
                <w:bCs/>
                <w:szCs w:val="17"/>
              </w:rPr>
              <w:lastRenderedPageBreak/>
              <w:t>Heinalouma</w:t>
            </w:r>
            <w:proofErr w:type="spellEnd"/>
            <w:r w:rsidRPr="002F01EF">
              <w:rPr>
                <w:bCs/>
                <w:szCs w:val="17"/>
              </w:rPr>
              <w:t>/Tang/</w:t>
            </w:r>
          </w:p>
          <w:p w14:paraId="5D3B9F6E" w14:textId="566EC1B2"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53601880" w14:textId="645E156F" w:rsidR="00AB3B37" w:rsidRPr="002F01EF" w:rsidRDefault="00AB3B37" w:rsidP="00AB3B37">
            <w:pPr>
              <w:jc w:val="center"/>
              <w:rPr>
                <w:bCs/>
                <w:szCs w:val="17"/>
              </w:rPr>
            </w:pPr>
            <w:r w:rsidRPr="002F01EF">
              <w:rPr>
                <w:bCs/>
                <w:szCs w:val="17"/>
              </w:rPr>
              <w:t>Prudent Person Principle / sustainability</w:t>
            </w:r>
          </w:p>
        </w:tc>
        <w:tc>
          <w:tcPr>
            <w:tcW w:w="1886" w:type="dxa"/>
            <w:shd w:val="clear" w:color="auto" w:fill="auto"/>
            <w:vAlign w:val="center"/>
          </w:tcPr>
          <w:p w14:paraId="2898C2AA" w14:textId="46F3A299" w:rsidR="00AB3B37" w:rsidRPr="002F01EF" w:rsidRDefault="00FC5AC9" w:rsidP="00AB3B37">
            <w:pPr>
              <w:jc w:val="center"/>
              <w:rPr>
                <w:bCs/>
                <w:szCs w:val="17"/>
              </w:rPr>
            </w:pPr>
            <w:r w:rsidRPr="002F01EF">
              <w:rPr>
                <w:b/>
                <w:color w:val="FF0000"/>
                <w:szCs w:val="17"/>
              </w:rPr>
              <w:t>Negative</w:t>
            </w:r>
          </w:p>
        </w:tc>
      </w:tr>
      <w:tr w:rsidR="00AB3B37" w:rsidRPr="002F01EF" w14:paraId="6C31F681" w14:textId="77777777" w:rsidTr="00AB3B37">
        <w:trPr>
          <w:trHeight w:val="499"/>
        </w:trPr>
        <w:tc>
          <w:tcPr>
            <w:tcW w:w="679" w:type="dxa"/>
            <w:shd w:val="clear" w:color="auto" w:fill="auto"/>
            <w:vAlign w:val="center"/>
          </w:tcPr>
          <w:p w14:paraId="134FB19F" w14:textId="77777777" w:rsidR="00AB3B37" w:rsidRPr="002F01EF" w:rsidRDefault="00AB3B37" w:rsidP="00AB3B37">
            <w:pPr>
              <w:jc w:val="center"/>
              <w:rPr>
                <w:bCs/>
                <w:szCs w:val="17"/>
              </w:rPr>
            </w:pPr>
            <w:r w:rsidRPr="002F01EF">
              <w:rPr>
                <w:bCs/>
                <w:szCs w:val="17"/>
              </w:rPr>
              <w:t>658 &amp; 659</w:t>
            </w:r>
          </w:p>
          <w:p w14:paraId="36891086" w14:textId="645064A1" w:rsidR="00AB3B37" w:rsidRPr="002F01EF" w:rsidRDefault="00AB3B37" w:rsidP="00AB3B37">
            <w:pPr>
              <w:jc w:val="center"/>
              <w:rPr>
                <w:bCs/>
                <w:szCs w:val="17"/>
              </w:rPr>
            </w:pPr>
          </w:p>
        </w:tc>
        <w:tc>
          <w:tcPr>
            <w:tcW w:w="1866" w:type="dxa"/>
            <w:shd w:val="clear" w:color="auto" w:fill="auto"/>
            <w:vAlign w:val="center"/>
          </w:tcPr>
          <w:p w14:paraId="434BBE38" w14:textId="44C136AE" w:rsidR="00AB3B37" w:rsidRPr="002F01EF" w:rsidRDefault="00AB3B37" w:rsidP="00AB3B37">
            <w:pPr>
              <w:jc w:val="center"/>
            </w:pPr>
            <w:r w:rsidRPr="002F01EF">
              <w:t>Article 132 –2a (new) and 2b (new)</w:t>
            </w:r>
          </w:p>
        </w:tc>
        <w:tc>
          <w:tcPr>
            <w:tcW w:w="5964" w:type="dxa"/>
            <w:shd w:val="clear" w:color="auto" w:fill="auto"/>
          </w:tcPr>
          <w:p w14:paraId="4BCD4681" w14:textId="1B74D971" w:rsidR="00AB3B37" w:rsidRPr="002F01EF" w:rsidRDefault="00AB3B37" w:rsidP="00AB3B37">
            <w:pPr>
              <w:jc w:val="left"/>
              <w:rPr>
                <w:bCs/>
                <w:szCs w:val="17"/>
              </w:rPr>
            </w:pPr>
            <w:r w:rsidRPr="002F01EF">
              <w:rPr>
                <w:bCs/>
                <w:szCs w:val="17"/>
              </w:rPr>
              <w:t xml:space="preserve">Introduces requirement for undertakings to take into account potential impact of investment strategy on sustainability factors and to incorporate transition plan into investment strategy and decisions. </w:t>
            </w:r>
            <w:proofErr w:type="gramStart"/>
            <w:r w:rsidRPr="002F01EF">
              <w:rPr>
                <w:bCs/>
                <w:szCs w:val="17"/>
              </w:rPr>
              <w:t>Also</w:t>
            </w:r>
            <w:proofErr w:type="gramEnd"/>
            <w:r w:rsidRPr="002F01EF">
              <w:rPr>
                <w:bCs/>
                <w:szCs w:val="17"/>
              </w:rPr>
              <w:t xml:space="preserve"> requirement for written policy on engagement with its investee companies regarding climate neutrality objectives which is to be disclosed and reviewed at least every 2 years</w:t>
            </w:r>
          </w:p>
        </w:tc>
        <w:tc>
          <w:tcPr>
            <w:tcW w:w="1865" w:type="dxa"/>
            <w:shd w:val="clear" w:color="auto" w:fill="auto"/>
            <w:vAlign w:val="center"/>
          </w:tcPr>
          <w:p w14:paraId="1D16ACBD" w14:textId="3B3DE685"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09ED9B64" w14:textId="473A642F" w:rsidR="00AB3B37" w:rsidRPr="002F01EF" w:rsidRDefault="00AB3B37" w:rsidP="00AB3B37">
            <w:pPr>
              <w:jc w:val="center"/>
              <w:rPr>
                <w:bCs/>
                <w:szCs w:val="17"/>
              </w:rPr>
            </w:pPr>
            <w:r w:rsidRPr="002F01EF">
              <w:rPr>
                <w:bCs/>
                <w:szCs w:val="17"/>
              </w:rPr>
              <w:t>Prudent Person Principle / sustainability</w:t>
            </w:r>
          </w:p>
        </w:tc>
        <w:tc>
          <w:tcPr>
            <w:tcW w:w="1886" w:type="dxa"/>
            <w:shd w:val="clear" w:color="auto" w:fill="auto"/>
            <w:vAlign w:val="center"/>
          </w:tcPr>
          <w:p w14:paraId="7B6EFECD" w14:textId="571FD86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4396B40" w14:textId="77777777" w:rsidTr="00AB3B37">
        <w:trPr>
          <w:trHeight w:val="499"/>
        </w:trPr>
        <w:tc>
          <w:tcPr>
            <w:tcW w:w="679" w:type="dxa"/>
            <w:shd w:val="clear" w:color="auto" w:fill="auto"/>
            <w:vAlign w:val="center"/>
          </w:tcPr>
          <w:p w14:paraId="6B341F83" w14:textId="5979CAF4" w:rsidR="00AB3B37" w:rsidRPr="002F01EF" w:rsidRDefault="00AB3B37" w:rsidP="00AB3B37">
            <w:pPr>
              <w:jc w:val="center"/>
              <w:rPr>
                <w:bCs/>
                <w:szCs w:val="17"/>
              </w:rPr>
            </w:pPr>
            <w:r w:rsidRPr="002F01EF">
              <w:rPr>
                <w:bCs/>
                <w:szCs w:val="17"/>
              </w:rPr>
              <w:t>660</w:t>
            </w:r>
          </w:p>
        </w:tc>
        <w:tc>
          <w:tcPr>
            <w:tcW w:w="1866" w:type="dxa"/>
            <w:shd w:val="clear" w:color="auto" w:fill="auto"/>
            <w:vAlign w:val="center"/>
          </w:tcPr>
          <w:p w14:paraId="49A9CF36" w14:textId="33B58F2A" w:rsidR="00AB3B37" w:rsidRPr="002F01EF" w:rsidRDefault="00AB3B37" w:rsidP="00AB3B37">
            <w:pPr>
              <w:jc w:val="center"/>
            </w:pPr>
            <w:r w:rsidRPr="002F01EF">
              <w:t>Article 132 –2a (new) and 2b (new)</w:t>
            </w:r>
          </w:p>
        </w:tc>
        <w:tc>
          <w:tcPr>
            <w:tcW w:w="5964" w:type="dxa"/>
            <w:shd w:val="clear" w:color="auto" w:fill="auto"/>
          </w:tcPr>
          <w:p w14:paraId="127F36BE" w14:textId="26144FC9" w:rsidR="00AB3B37" w:rsidRPr="002F01EF" w:rsidRDefault="00AB3B37" w:rsidP="00AB3B37">
            <w:pPr>
              <w:jc w:val="left"/>
              <w:rPr>
                <w:bCs/>
                <w:szCs w:val="17"/>
              </w:rPr>
            </w:pPr>
            <w:r w:rsidRPr="002F01EF">
              <w:rPr>
                <w:bCs/>
                <w:szCs w:val="17"/>
              </w:rPr>
              <w:t xml:space="preserve">Introduces requirement for undertakings to take into account potential impact of investment strategy on sustainability factors and to incorporate transition plan into investment strategy and decisions. </w:t>
            </w:r>
            <w:proofErr w:type="gramStart"/>
            <w:r w:rsidRPr="002F01EF">
              <w:rPr>
                <w:bCs/>
                <w:szCs w:val="17"/>
              </w:rPr>
              <w:t>Also</w:t>
            </w:r>
            <w:proofErr w:type="gramEnd"/>
            <w:r w:rsidRPr="002F01EF">
              <w:rPr>
                <w:bCs/>
                <w:szCs w:val="17"/>
              </w:rPr>
              <w:t xml:space="preserve"> requirement to disclose a written policy on stewardship</w:t>
            </w:r>
          </w:p>
        </w:tc>
        <w:tc>
          <w:tcPr>
            <w:tcW w:w="1865" w:type="dxa"/>
            <w:shd w:val="clear" w:color="auto" w:fill="auto"/>
            <w:vAlign w:val="center"/>
          </w:tcPr>
          <w:p w14:paraId="3563CE9F" w14:textId="6DB19531" w:rsidR="00AB3B37" w:rsidRPr="002F01EF" w:rsidRDefault="00AB3B37" w:rsidP="00AB3B37">
            <w:pPr>
              <w:jc w:val="center"/>
              <w:rPr>
                <w:bCs/>
                <w:szCs w:val="17"/>
              </w:rPr>
            </w:pPr>
            <w:r w:rsidRPr="002F01EF">
              <w:rPr>
                <w:bCs/>
                <w:szCs w:val="17"/>
              </w:rPr>
              <w:t>McManus</w:t>
            </w:r>
          </w:p>
        </w:tc>
        <w:tc>
          <w:tcPr>
            <w:tcW w:w="2483" w:type="dxa"/>
            <w:shd w:val="clear" w:color="auto" w:fill="auto"/>
            <w:vAlign w:val="center"/>
          </w:tcPr>
          <w:p w14:paraId="50FA7B0F" w14:textId="2EB1D303" w:rsidR="00AB3B37" w:rsidRPr="002F01EF" w:rsidRDefault="00AB3B37" w:rsidP="00AB3B37">
            <w:pPr>
              <w:jc w:val="center"/>
              <w:rPr>
                <w:bCs/>
                <w:szCs w:val="17"/>
              </w:rPr>
            </w:pPr>
            <w:r w:rsidRPr="002F01EF">
              <w:rPr>
                <w:bCs/>
                <w:szCs w:val="17"/>
              </w:rPr>
              <w:t>Prudent Person Principle / sustainability</w:t>
            </w:r>
          </w:p>
        </w:tc>
        <w:tc>
          <w:tcPr>
            <w:tcW w:w="1886" w:type="dxa"/>
            <w:shd w:val="clear" w:color="auto" w:fill="auto"/>
            <w:vAlign w:val="center"/>
          </w:tcPr>
          <w:p w14:paraId="344FCB5D" w14:textId="68BA49B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57407E93" w14:textId="77777777" w:rsidTr="00AB3B37">
        <w:trPr>
          <w:trHeight w:val="499"/>
        </w:trPr>
        <w:tc>
          <w:tcPr>
            <w:tcW w:w="679" w:type="dxa"/>
            <w:shd w:val="clear" w:color="auto" w:fill="auto"/>
            <w:vAlign w:val="center"/>
          </w:tcPr>
          <w:p w14:paraId="3BC34A49" w14:textId="4977108C" w:rsidR="00AB3B37" w:rsidRPr="002F01EF" w:rsidRDefault="00AB3B37" w:rsidP="00AB3B37">
            <w:pPr>
              <w:jc w:val="center"/>
              <w:rPr>
                <w:bCs/>
                <w:szCs w:val="17"/>
              </w:rPr>
            </w:pPr>
            <w:r w:rsidRPr="002F01EF">
              <w:rPr>
                <w:bCs/>
                <w:szCs w:val="17"/>
              </w:rPr>
              <w:t>661/662/663</w:t>
            </w:r>
          </w:p>
        </w:tc>
        <w:tc>
          <w:tcPr>
            <w:tcW w:w="1866" w:type="dxa"/>
            <w:shd w:val="clear" w:color="auto" w:fill="auto"/>
            <w:vAlign w:val="center"/>
          </w:tcPr>
          <w:p w14:paraId="4E05B5A6" w14:textId="3F02136C" w:rsidR="00AB3B37" w:rsidRPr="002F01EF" w:rsidRDefault="00AB3B37" w:rsidP="00AB3B37">
            <w:pPr>
              <w:jc w:val="center"/>
            </w:pPr>
            <w:r w:rsidRPr="002F01EF">
              <w:t>Article 132 – paragraph 5</w:t>
            </w:r>
          </w:p>
        </w:tc>
        <w:tc>
          <w:tcPr>
            <w:tcW w:w="5964" w:type="dxa"/>
            <w:shd w:val="clear" w:color="auto" w:fill="auto"/>
          </w:tcPr>
          <w:p w14:paraId="4C16870F" w14:textId="7FC964BD" w:rsidR="00AB3B37" w:rsidRPr="002F01EF" w:rsidRDefault="00AB3B37" w:rsidP="00AB3B37">
            <w:pPr>
              <w:jc w:val="left"/>
              <w:rPr>
                <w:bCs/>
                <w:szCs w:val="17"/>
              </w:rPr>
            </w:pPr>
            <w:r w:rsidRPr="002F01EF">
              <w:rPr>
                <w:bCs/>
                <w:szCs w:val="17"/>
              </w:rPr>
              <w:t>Introduce specific reference to climate change and pandemics into the EC’s proposals for including macroprudential aspects to the PPP</w:t>
            </w:r>
          </w:p>
        </w:tc>
        <w:tc>
          <w:tcPr>
            <w:tcW w:w="1865" w:type="dxa"/>
            <w:shd w:val="clear" w:color="auto" w:fill="auto"/>
            <w:vAlign w:val="center"/>
          </w:tcPr>
          <w:p w14:paraId="4C8BCDDB" w14:textId="3561F2AD" w:rsidR="00AB3B37" w:rsidRPr="002E30E3" w:rsidRDefault="00AB3B37" w:rsidP="00AB3B37">
            <w:pPr>
              <w:jc w:val="center"/>
              <w:rPr>
                <w:szCs w:val="17"/>
                <w:lang w:val="fr-BE"/>
              </w:rPr>
            </w:pPr>
            <w:r w:rsidRPr="002E30E3">
              <w:rPr>
                <w:szCs w:val="17"/>
                <w:lang w:val="fr-BE"/>
              </w:rPr>
              <w:t>McManus /Heinalouma/Tang/</w:t>
            </w:r>
          </w:p>
          <w:p w14:paraId="1748178E" w14:textId="788D9EA8" w:rsidR="00AB3B37" w:rsidRPr="002E30E3" w:rsidRDefault="00AB3B37" w:rsidP="00AB3B37">
            <w:pPr>
              <w:jc w:val="center"/>
              <w:rPr>
                <w:szCs w:val="17"/>
                <w:lang w:val="fr-BE"/>
              </w:rPr>
            </w:pPr>
            <w:r w:rsidRPr="002E30E3">
              <w:rPr>
                <w:szCs w:val="17"/>
                <w:lang w:val="fr-BE"/>
              </w:rPr>
              <w:t>Lalucq / Hahn</w:t>
            </w:r>
          </w:p>
        </w:tc>
        <w:tc>
          <w:tcPr>
            <w:tcW w:w="2483" w:type="dxa"/>
            <w:shd w:val="clear" w:color="auto" w:fill="auto"/>
            <w:vAlign w:val="center"/>
          </w:tcPr>
          <w:p w14:paraId="43BC528A" w14:textId="29DE56F3" w:rsidR="00AB3B37" w:rsidRPr="002F01EF" w:rsidRDefault="00AB3B37" w:rsidP="00AB3B37">
            <w:pPr>
              <w:jc w:val="center"/>
              <w:rPr>
                <w:bCs/>
                <w:szCs w:val="17"/>
              </w:rPr>
            </w:pPr>
            <w:r w:rsidRPr="002F01EF">
              <w:rPr>
                <w:bCs/>
                <w:szCs w:val="17"/>
              </w:rPr>
              <w:t>Prudent Person Principle / sustainability</w:t>
            </w:r>
          </w:p>
        </w:tc>
        <w:tc>
          <w:tcPr>
            <w:tcW w:w="1886" w:type="dxa"/>
            <w:shd w:val="clear" w:color="auto" w:fill="auto"/>
            <w:vAlign w:val="center"/>
          </w:tcPr>
          <w:p w14:paraId="2AB75B90" w14:textId="139B4AE0"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EE17891" w14:textId="77777777" w:rsidTr="00AB3B37">
        <w:trPr>
          <w:trHeight w:val="499"/>
        </w:trPr>
        <w:tc>
          <w:tcPr>
            <w:tcW w:w="679" w:type="dxa"/>
            <w:shd w:val="clear" w:color="auto" w:fill="auto"/>
            <w:vAlign w:val="center"/>
          </w:tcPr>
          <w:p w14:paraId="2927C5C1" w14:textId="307B55EE" w:rsidR="00AB3B37" w:rsidRPr="002F01EF" w:rsidRDefault="00AB3B37" w:rsidP="00AB3B37">
            <w:pPr>
              <w:jc w:val="center"/>
              <w:rPr>
                <w:bCs/>
                <w:szCs w:val="17"/>
              </w:rPr>
            </w:pPr>
            <w:r w:rsidRPr="002F01EF">
              <w:rPr>
                <w:bCs/>
                <w:szCs w:val="17"/>
              </w:rPr>
              <w:t>664</w:t>
            </w:r>
          </w:p>
        </w:tc>
        <w:tc>
          <w:tcPr>
            <w:tcW w:w="1866" w:type="dxa"/>
            <w:shd w:val="clear" w:color="auto" w:fill="auto"/>
            <w:vAlign w:val="center"/>
          </w:tcPr>
          <w:p w14:paraId="75DA3FF2" w14:textId="7E3E87E2" w:rsidR="00AB3B37" w:rsidRPr="002F01EF" w:rsidRDefault="00AB3B37" w:rsidP="00AB3B37">
            <w:pPr>
              <w:jc w:val="center"/>
            </w:pPr>
            <w:r w:rsidRPr="002F01EF">
              <w:t>Article 132 – paragraph 6</w:t>
            </w:r>
          </w:p>
        </w:tc>
        <w:tc>
          <w:tcPr>
            <w:tcW w:w="5964" w:type="dxa"/>
            <w:shd w:val="clear" w:color="auto" w:fill="auto"/>
          </w:tcPr>
          <w:p w14:paraId="50D42804" w14:textId="3A108204" w:rsidR="00AB3B37" w:rsidRPr="002F01EF" w:rsidRDefault="00AB3B37" w:rsidP="00AB3B37">
            <w:pPr>
              <w:jc w:val="left"/>
              <w:rPr>
                <w:bCs/>
                <w:szCs w:val="17"/>
              </w:rPr>
            </w:pPr>
            <w:r w:rsidRPr="002F01EF">
              <w:rPr>
                <w:bCs/>
                <w:szCs w:val="17"/>
              </w:rPr>
              <w:t xml:space="preserve">Extends EC’s proposals for including </w:t>
            </w:r>
            <w:proofErr w:type="spellStart"/>
            <w:r w:rsidRPr="002F01EF">
              <w:rPr>
                <w:bCs/>
                <w:szCs w:val="17"/>
              </w:rPr>
              <w:t>macropru</w:t>
            </w:r>
            <w:proofErr w:type="spellEnd"/>
            <w:r w:rsidRPr="002F01EF">
              <w:rPr>
                <w:bCs/>
                <w:szCs w:val="17"/>
              </w:rPr>
              <w:t xml:space="preserve"> aspects into the PPP and introduces specific references to climate change</w:t>
            </w:r>
          </w:p>
        </w:tc>
        <w:tc>
          <w:tcPr>
            <w:tcW w:w="1865" w:type="dxa"/>
            <w:shd w:val="clear" w:color="auto" w:fill="auto"/>
            <w:vAlign w:val="center"/>
          </w:tcPr>
          <w:p w14:paraId="760FFA17" w14:textId="47C2B3F9" w:rsidR="00AB3B37" w:rsidRPr="002F01EF" w:rsidRDefault="00AB3B37" w:rsidP="00AB3B37">
            <w:pPr>
              <w:jc w:val="center"/>
              <w:rPr>
                <w:bCs/>
                <w:szCs w:val="17"/>
              </w:rPr>
            </w:pPr>
            <w:r w:rsidRPr="002F01EF">
              <w:rPr>
                <w:bCs/>
                <w:szCs w:val="17"/>
              </w:rPr>
              <w:t>McManus</w:t>
            </w:r>
          </w:p>
        </w:tc>
        <w:tc>
          <w:tcPr>
            <w:tcW w:w="2483" w:type="dxa"/>
            <w:shd w:val="clear" w:color="auto" w:fill="auto"/>
            <w:vAlign w:val="center"/>
          </w:tcPr>
          <w:p w14:paraId="5DFA3FFC" w14:textId="2DC88B7F" w:rsidR="00AB3B37" w:rsidRPr="002F01EF" w:rsidRDefault="00AB3B37" w:rsidP="00AB3B37">
            <w:pPr>
              <w:jc w:val="center"/>
              <w:rPr>
                <w:bCs/>
                <w:szCs w:val="17"/>
              </w:rPr>
            </w:pPr>
            <w:r w:rsidRPr="002F01EF">
              <w:rPr>
                <w:bCs/>
                <w:szCs w:val="17"/>
              </w:rPr>
              <w:t>Prudent Person Principle / macroprudential</w:t>
            </w:r>
          </w:p>
        </w:tc>
        <w:tc>
          <w:tcPr>
            <w:tcW w:w="1886" w:type="dxa"/>
            <w:shd w:val="clear" w:color="auto" w:fill="auto"/>
            <w:vAlign w:val="center"/>
          </w:tcPr>
          <w:p w14:paraId="64759BA8" w14:textId="2C1262D6" w:rsidR="00AB3B37" w:rsidRPr="002F01EF" w:rsidRDefault="00FC5AC9" w:rsidP="00AB3B37">
            <w:pPr>
              <w:jc w:val="center"/>
              <w:rPr>
                <w:bCs/>
                <w:szCs w:val="17"/>
              </w:rPr>
            </w:pPr>
            <w:r w:rsidRPr="002F01EF">
              <w:rPr>
                <w:b/>
                <w:color w:val="FF0000"/>
                <w:szCs w:val="17"/>
              </w:rPr>
              <w:t>Negative</w:t>
            </w:r>
          </w:p>
        </w:tc>
      </w:tr>
      <w:tr w:rsidR="00AB3B37" w:rsidRPr="002F01EF" w14:paraId="5A0E85C3" w14:textId="77777777" w:rsidTr="00AB3B37">
        <w:trPr>
          <w:trHeight w:val="499"/>
        </w:trPr>
        <w:tc>
          <w:tcPr>
            <w:tcW w:w="679" w:type="dxa"/>
            <w:shd w:val="clear" w:color="auto" w:fill="auto"/>
            <w:vAlign w:val="center"/>
          </w:tcPr>
          <w:p w14:paraId="7D84746E" w14:textId="1DE41748" w:rsidR="00AB3B37" w:rsidRPr="002F01EF" w:rsidRDefault="00AB3B37" w:rsidP="00AB3B37">
            <w:pPr>
              <w:jc w:val="center"/>
              <w:rPr>
                <w:bCs/>
                <w:szCs w:val="17"/>
              </w:rPr>
            </w:pPr>
            <w:r w:rsidRPr="002F01EF">
              <w:rPr>
                <w:bCs/>
                <w:szCs w:val="17"/>
              </w:rPr>
              <w:t>665/666</w:t>
            </w:r>
          </w:p>
        </w:tc>
        <w:tc>
          <w:tcPr>
            <w:tcW w:w="1866" w:type="dxa"/>
            <w:shd w:val="clear" w:color="auto" w:fill="auto"/>
            <w:vAlign w:val="center"/>
          </w:tcPr>
          <w:p w14:paraId="5D739440" w14:textId="6AA6BEC9" w:rsidR="00AB3B37" w:rsidRPr="002F01EF" w:rsidRDefault="00AB3B37" w:rsidP="00AB3B37">
            <w:pPr>
              <w:jc w:val="center"/>
            </w:pPr>
            <w:r w:rsidRPr="002F01EF">
              <w:t>Article 132 – paragraph 6</w:t>
            </w:r>
          </w:p>
        </w:tc>
        <w:tc>
          <w:tcPr>
            <w:tcW w:w="5964" w:type="dxa"/>
            <w:shd w:val="clear" w:color="auto" w:fill="auto"/>
          </w:tcPr>
          <w:p w14:paraId="360B317E" w14:textId="72E9DD4B" w:rsidR="00AB3B37" w:rsidRPr="002F01EF" w:rsidRDefault="00AB3B37" w:rsidP="00AB3B37">
            <w:pPr>
              <w:jc w:val="left"/>
              <w:rPr>
                <w:bCs/>
                <w:szCs w:val="17"/>
              </w:rPr>
            </w:pPr>
            <w:r w:rsidRPr="002F01EF">
              <w:rPr>
                <w:bCs/>
                <w:szCs w:val="17"/>
              </w:rPr>
              <w:t xml:space="preserve">Introduces specific references to climate change into EC’s proposals for including </w:t>
            </w:r>
            <w:proofErr w:type="spellStart"/>
            <w:r w:rsidRPr="002F01EF">
              <w:rPr>
                <w:bCs/>
                <w:szCs w:val="17"/>
              </w:rPr>
              <w:t>macropru</w:t>
            </w:r>
            <w:proofErr w:type="spellEnd"/>
            <w:r w:rsidRPr="002F01EF">
              <w:rPr>
                <w:bCs/>
                <w:szCs w:val="17"/>
              </w:rPr>
              <w:t xml:space="preserve"> aspects into the PPP</w:t>
            </w:r>
          </w:p>
        </w:tc>
        <w:tc>
          <w:tcPr>
            <w:tcW w:w="1865" w:type="dxa"/>
            <w:shd w:val="clear" w:color="auto" w:fill="auto"/>
            <w:vAlign w:val="center"/>
          </w:tcPr>
          <w:p w14:paraId="434DDE9F"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/Tang/</w:t>
            </w:r>
          </w:p>
          <w:p w14:paraId="66768B3C" w14:textId="1E5B9C41" w:rsidR="00AB3B37" w:rsidRPr="002F01EF" w:rsidRDefault="00AB3B37" w:rsidP="00AB3B37">
            <w:pPr>
              <w:jc w:val="center"/>
              <w:rPr>
                <w:bCs/>
                <w:szCs w:val="17"/>
              </w:rPr>
            </w:pPr>
            <w:proofErr w:type="spellStart"/>
            <w:r w:rsidRPr="002F01EF">
              <w:rPr>
                <w:bCs/>
                <w:szCs w:val="17"/>
              </w:rPr>
              <w:t>Lalucq</w:t>
            </w:r>
            <w:proofErr w:type="spellEnd"/>
            <w:r w:rsidRPr="002F01EF">
              <w:rPr>
                <w:bCs/>
                <w:szCs w:val="17"/>
              </w:rPr>
              <w:t>/Hahn</w:t>
            </w:r>
          </w:p>
        </w:tc>
        <w:tc>
          <w:tcPr>
            <w:tcW w:w="2483" w:type="dxa"/>
            <w:shd w:val="clear" w:color="auto" w:fill="auto"/>
            <w:vAlign w:val="center"/>
          </w:tcPr>
          <w:p w14:paraId="6CC85C2E" w14:textId="3285D061" w:rsidR="00AB3B37" w:rsidRPr="002F01EF" w:rsidRDefault="00AB3B37" w:rsidP="00AB3B37">
            <w:pPr>
              <w:jc w:val="center"/>
              <w:rPr>
                <w:bCs/>
                <w:szCs w:val="17"/>
              </w:rPr>
            </w:pPr>
            <w:r w:rsidRPr="002F01EF">
              <w:rPr>
                <w:bCs/>
                <w:szCs w:val="17"/>
              </w:rPr>
              <w:t>Prudent Person Principle / macroprudential / sustainability</w:t>
            </w:r>
          </w:p>
        </w:tc>
        <w:tc>
          <w:tcPr>
            <w:tcW w:w="1886" w:type="dxa"/>
            <w:shd w:val="clear" w:color="auto" w:fill="auto"/>
            <w:vAlign w:val="center"/>
          </w:tcPr>
          <w:p w14:paraId="5D853351" w14:textId="775AE831"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F055F6C" w14:textId="77777777" w:rsidTr="00AB3B37">
        <w:trPr>
          <w:trHeight w:val="499"/>
        </w:trPr>
        <w:tc>
          <w:tcPr>
            <w:tcW w:w="679" w:type="dxa"/>
            <w:shd w:val="clear" w:color="auto" w:fill="auto"/>
            <w:vAlign w:val="center"/>
          </w:tcPr>
          <w:p w14:paraId="13EA038B" w14:textId="70EEA7D3" w:rsidR="00AB3B37" w:rsidRPr="002F01EF" w:rsidRDefault="00AB3B37" w:rsidP="00AB3B37">
            <w:pPr>
              <w:jc w:val="center"/>
              <w:rPr>
                <w:bCs/>
                <w:szCs w:val="17"/>
              </w:rPr>
            </w:pPr>
            <w:r w:rsidRPr="002F01EF">
              <w:rPr>
                <w:bCs/>
                <w:szCs w:val="17"/>
              </w:rPr>
              <w:t>667</w:t>
            </w:r>
          </w:p>
        </w:tc>
        <w:tc>
          <w:tcPr>
            <w:tcW w:w="1866" w:type="dxa"/>
            <w:shd w:val="clear" w:color="auto" w:fill="auto"/>
            <w:vAlign w:val="center"/>
          </w:tcPr>
          <w:p w14:paraId="1396B7C7" w14:textId="494F9D34" w:rsidR="00AB3B37" w:rsidRPr="002F01EF" w:rsidRDefault="00AB3B37" w:rsidP="00AB3B37">
            <w:pPr>
              <w:jc w:val="center"/>
            </w:pPr>
            <w:r w:rsidRPr="002F01EF">
              <w:t>Article 132 – paragraph 6</w:t>
            </w:r>
          </w:p>
        </w:tc>
        <w:tc>
          <w:tcPr>
            <w:tcW w:w="5964" w:type="dxa"/>
            <w:shd w:val="clear" w:color="auto" w:fill="auto"/>
          </w:tcPr>
          <w:p w14:paraId="1814FD53" w14:textId="385E5162" w:rsidR="00AB3B37" w:rsidRPr="002F01EF" w:rsidRDefault="00AB3B37" w:rsidP="00AB3B37">
            <w:pPr>
              <w:jc w:val="left"/>
              <w:rPr>
                <w:bCs/>
                <w:szCs w:val="17"/>
              </w:rPr>
            </w:pPr>
            <w:r w:rsidRPr="002F01EF">
              <w:rPr>
                <w:bCs/>
                <w:szCs w:val="17"/>
              </w:rPr>
              <w:t>Editorial change</w:t>
            </w:r>
          </w:p>
        </w:tc>
        <w:tc>
          <w:tcPr>
            <w:tcW w:w="1865" w:type="dxa"/>
            <w:shd w:val="clear" w:color="auto" w:fill="auto"/>
            <w:vAlign w:val="center"/>
          </w:tcPr>
          <w:p w14:paraId="78471D2F" w14:textId="1AAA5955"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5B379194" w14:textId="609C9332" w:rsidR="00AB3B37" w:rsidRPr="002F01EF" w:rsidRDefault="00AB3B37" w:rsidP="00AB3B37">
            <w:pPr>
              <w:jc w:val="center"/>
              <w:rPr>
                <w:bCs/>
                <w:szCs w:val="17"/>
              </w:rPr>
            </w:pPr>
            <w:r w:rsidRPr="002F01EF">
              <w:rPr>
                <w:bCs/>
                <w:szCs w:val="17"/>
              </w:rPr>
              <w:t>Prudent Person Principle / macroprudential</w:t>
            </w:r>
          </w:p>
        </w:tc>
        <w:tc>
          <w:tcPr>
            <w:tcW w:w="1886" w:type="dxa"/>
            <w:shd w:val="clear" w:color="auto" w:fill="auto"/>
            <w:vAlign w:val="center"/>
          </w:tcPr>
          <w:p w14:paraId="7DD8BE31" w14:textId="0CD40502"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59B12FE" w14:textId="77777777" w:rsidTr="00AB3B37">
        <w:trPr>
          <w:trHeight w:val="499"/>
        </w:trPr>
        <w:tc>
          <w:tcPr>
            <w:tcW w:w="679" w:type="dxa"/>
            <w:shd w:val="clear" w:color="auto" w:fill="auto"/>
            <w:vAlign w:val="center"/>
          </w:tcPr>
          <w:p w14:paraId="3AB8E29B" w14:textId="0EA9333B" w:rsidR="00AB3B37" w:rsidRPr="002F01EF" w:rsidRDefault="00AB3B37" w:rsidP="00AB3B37">
            <w:pPr>
              <w:jc w:val="center"/>
              <w:rPr>
                <w:bCs/>
                <w:szCs w:val="17"/>
              </w:rPr>
            </w:pPr>
            <w:r w:rsidRPr="002F01EF">
              <w:rPr>
                <w:bCs/>
                <w:szCs w:val="17"/>
              </w:rPr>
              <w:t>668</w:t>
            </w:r>
          </w:p>
        </w:tc>
        <w:tc>
          <w:tcPr>
            <w:tcW w:w="1866" w:type="dxa"/>
            <w:shd w:val="clear" w:color="auto" w:fill="auto"/>
            <w:vAlign w:val="center"/>
          </w:tcPr>
          <w:p w14:paraId="61DA3650" w14:textId="78DED741" w:rsidR="00AB3B37" w:rsidRPr="002F01EF" w:rsidRDefault="00AB3B37" w:rsidP="00AB3B37">
            <w:pPr>
              <w:jc w:val="center"/>
            </w:pPr>
            <w:r w:rsidRPr="002F01EF">
              <w:t>Article 132 – paragraph 7a (new)</w:t>
            </w:r>
          </w:p>
        </w:tc>
        <w:tc>
          <w:tcPr>
            <w:tcW w:w="5964" w:type="dxa"/>
            <w:shd w:val="clear" w:color="auto" w:fill="auto"/>
          </w:tcPr>
          <w:p w14:paraId="0B628B62" w14:textId="3392CACD" w:rsidR="00AB3B37" w:rsidRPr="002F01EF" w:rsidRDefault="00AB3B37" w:rsidP="00AB3B37">
            <w:pPr>
              <w:jc w:val="left"/>
              <w:rPr>
                <w:bCs/>
                <w:szCs w:val="17"/>
              </w:rPr>
            </w:pPr>
            <w:r w:rsidRPr="002F01EF">
              <w:rPr>
                <w:bCs/>
                <w:szCs w:val="17"/>
              </w:rPr>
              <w:t>New requirement for NSA to verify undertaking’s investment strategy is aligned to with targets and objectives of transition plan</w:t>
            </w:r>
          </w:p>
        </w:tc>
        <w:tc>
          <w:tcPr>
            <w:tcW w:w="1865" w:type="dxa"/>
            <w:shd w:val="clear" w:color="auto" w:fill="auto"/>
            <w:vAlign w:val="center"/>
          </w:tcPr>
          <w:p w14:paraId="5E89ECCA" w14:textId="2FD12EDF"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6C4DF871" w14:textId="00BFC37F" w:rsidR="00AB3B37" w:rsidRPr="002F01EF" w:rsidRDefault="00AB3B37" w:rsidP="00AB3B37">
            <w:pPr>
              <w:jc w:val="center"/>
              <w:rPr>
                <w:bCs/>
                <w:szCs w:val="17"/>
              </w:rPr>
            </w:pPr>
            <w:r w:rsidRPr="002F01EF">
              <w:rPr>
                <w:bCs/>
                <w:szCs w:val="17"/>
              </w:rPr>
              <w:t>Prudent Person Principle / sustainability</w:t>
            </w:r>
          </w:p>
        </w:tc>
        <w:tc>
          <w:tcPr>
            <w:tcW w:w="1886" w:type="dxa"/>
            <w:shd w:val="clear" w:color="auto" w:fill="auto"/>
            <w:vAlign w:val="center"/>
          </w:tcPr>
          <w:p w14:paraId="0640F8F2" w14:textId="684D14C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AD4519C" w14:textId="77777777" w:rsidTr="00AB3B37">
        <w:trPr>
          <w:trHeight w:val="499"/>
        </w:trPr>
        <w:tc>
          <w:tcPr>
            <w:tcW w:w="679" w:type="dxa"/>
            <w:shd w:val="clear" w:color="auto" w:fill="auto"/>
            <w:vAlign w:val="center"/>
          </w:tcPr>
          <w:p w14:paraId="2D7A8F66" w14:textId="51FA45A1" w:rsidR="00AB3B37" w:rsidRPr="002F01EF" w:rsidRDefault="00AB3B37" w:rsidP="00AB3B37">
            <w:pPr>
              <w:jc w:val="center"/>
              <w:rPr>
                <w:bCs/>
                <w:szCs w:val="17"/>
              </w:rPr>
            </w:pPr>
            <w:r w:rsidRPr="002F01EF">
              <w:rPr>
                <w:bCs/>
                <w:szCs w:val="17"/>
              </w:rPr>
              <w:t>669</w:t>
            </w:r>
          </w:p>
        </w:tc>
        <w:tc>
          <w:tcPr>
            <w:tcW w:w="1866" w:type="dxa"/>
            <w:shd w:val="clear" w:color="auto" w:fill="auto"/>
            <w:vAlign w:val="center"/>
          </w:tcPr>
          <w:p w14:paraId="51DC1704" w14:textId="6AC289CC" w:rsidR="00AB3B37" w:rsidRPr="002F01EF" w:rsidRDefault="00AB3B37" w:rsidP="00AB3B37">
            <w:pPr>
              <w:jc w:val="center"/>
            </w:pPr>
            <w:r w:rsidRPr="002F01EF">
              <w:t>Article 138 – paragraph 4 – subparagraph 1</w:t>
            </w:r>
          </w:p>
        </w:tc>
        <w:tc>
          <w:tcPr>
            <w:tcW w:w="5964" w:type="dxa"/>
            <w:shd w:val="clear" w:color="auto" w:fill="auto"/>
          </w:tcPr>
          <w:p w14:paraId="036BE1ED" w14:textId="76279282" w:rsidR="00AB3B37" w:rsidRPr="002F01EF" w:rsidRDefault="00AB3B37" w:rsidP="00AB3B37">
            <w:pPr>
              <w:jc w:val="left"/>
              <w:rPr>
                <w:bCs/>
                <w:szCs w:val="17"/>
              </w:rPr>
            </w:pPr>
            <w:r w:rsidRPr="002F01EF">
              <w:rPr>
                <w:bCs/>
                <w:szCs w:val="17"/>
              </w:rPr>
              <w:t>Proposal to reduce the extension period for non-compliance with SCR in exceptional adverse situations to 3 years (from current 7 years)</w:t>
            </w:r>
          </w:p>
        </w:tc>
        <w:tc>
          <w:tcPr>
            <w:tcW w:w="1865" w:type="dxa"/>
            <w:shd w:val="clear" w:color="auto" w:fill="auto"/>
            <w:vAlign w:val="center"/>
          </w:tcPr>
          <w:p w14:paraId="5CC70308" w14:textId="49A269CF"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59CC441D" w14:textId="555F5C79" w:rsidR="00AB3B37" w:rsidRPr="002F01EF" w:rsidRDefault="00AB3B37" w:rsidP="00AB3B37">
            <w:pPr>
              <w:jc w:val="center"/>
              <w:rPr>
                <w:bCs/>
                <w:szCs w:val="17"/>
              </w:rPr>
            </w:pPr>
            <w:r w:rsidRPr="002F01EF">
              <w:rPr>
                <w:bCs/>
                <w:szCs w:val="17"/>
              </w:rPr>
              <w:t>Ladder of supervisory intervention</w:t>
            </w:r>
          </w:p>
        </w:tc>
        <w:tc>
          <w:tcPr>
            <w:tcW w:w="1886" w:type="dxa"/>
            <w:shd w:val="clear" w:color="auto" w:fill="auto"/>
            <w:vAlign w:val="center"/>
          </w:tcPr>
          <w:p w14:paraId="0C5DF031" w14:textId="3DC7D7BF" w:rsidR="00AB3B37" w:rsidRPr="002F01EF" w:rsidRDefault="00FC5AC9" w:rsidP="00AB3B37">
            <w:pPr>
              <w:jc w:val="center"/>
              <w:rPr>
                <w:bCs/>
                <w:szCs w:val="17"/>
              </w:rPr>
            </w:pPr>
            <w:r w:rsidRPr="002F01EF">
              <w:rPr>
                <w:b/>
                <w:color w:val="FF0000"/>
                <w:szCs w:val="17"/>
              </w:rPr>
              <w:t>Negative</w:t>
            </w:r>
          </w:p>
        </w:tc>
      </w:tr>
      <w:tr w:rsidR="00AB3B37" w:rsidRPr="002F01EF" w14:paraId="4382226B" w14:textId="77777777" w:rsidTr="00AB3B37">
        <w:trPr>
          <w:trHeight w:val="499"/>
        </w:trPr>
        <w:tc>
          <w:tcPr>
            <w:tcW w:w="679" w:type="dxa"/>
            <w:shd w:val="clear" w:color="auto" w:fill="auto"/>
            <w:vAlign w:val="center"/>
          </w:tcPr>
          <w:p w14:paraId="2E1C41B8" w14:textId="3ADAECC5" w:rsidR="00AB3B37" w:rsidRPr="002F01EF" w:rsidRDefault="00AB3B37" w:rsidP="00AB3B37">
            <w:pPr>
              <w:jc w:val="center"/>
              <w:rPr>
                <w:bCs/>
                <w:szCs w:val="17"/>
              </w:rPr>
            </w:pPr>
            <w:r w:rsidRPr="002F01EF">
              <w:rPr>
                <w:bCs/>
                <w:szCs w:val="17"/>
              </w:rPr>
              <w:lastRenderedPageBreak/>
              <w:t>670</w:t>
            </w:r>
          </w:p>
        </w:tc>
        <w:tc>
          <w:tcPr>
            <w:tcW w:w="1866" w:type="dxa"/>
            <w:shd w:val="clear" w:color="auto" w:fill="auto"/>
            <w:vAlign w:val="center"/>
          </w:tcPr>
          <w:p w14:paraId="0D11EEF0" w14:textId="3C6DFD85" w:rsidR="00AB3B37" w:rsidRPr="002F01EF" w:rsidRDefault="00AB3B37" w:rsidP="00AB3B37">
            <w:pPr>
              <w:jc w:val="center"/>
            </w:pPr>
            <w:r w:rsidRPr="002F01EF">
              <w:t>Article 138 – paragraph 3</w:t>
            </w:r>
          </w:p>
        </w:tc>
        <w:tc>
          <w:tcPr>
            <w:tcW w:w="5964" w:type="dxa"/>
            <w:shd w:val="clear" w:color="auto" w:fill="auto"/>
          </w:tcPr>
          <w:p w14:paraId="04081E6B" w14:textId="47351905" w:rsidR="00AB3B37" w:rsidRPr="002F01EF" w:rsidRDefault="00AB3B37" w:rsidP="00AB3B37">
            <w:pPr>
              <w:jc w:val="left"/>
              <w:rPr>
                <w:bCs/>
                <w:szCs w:val="17"/>
              </w:rPr>
            </w:pPr>
            <w:r w:rsidRPr="002F01EF">
              <w:rPr>
                <w:bCs/>
                <w:szCs w:val="17"/>
              </w:rPr>
              <w:t>Makes it mandatory for NSA to restrict or prohibit the free disposal of assets when undertaking does not enter winding-up proceedings within 2 months of notification of actual or possible breach of MCR</w:t>
            </w:r>
          </w:p>
        </w:tc>
        <w:tc>
          <w:tcPr>
            <w:tcW w:w="1865" w:type="dxa"/>
            <w:shd w:val="clear" w:color="auto" w:fill="auto"/>
            <w:vAlign w:val="center"/>
          </w:tcPr>
          <w:p w14:paraId="2F58B9CE"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/Tang/</w:t>
            </w:r>
          </w:p>
          <w:p w14:paraId="4683AF4F" w14:textId="79DCD28C" w:rsidR="00AB3B37" w:rsidRPr="002F01EF" w:rsidRDefault="00AB3B37" w:rsidP="00AB3B37">
            <w:pPr>
              <w:jc w:val="center"/>
              <w:rPr>
                <w:bCs/>
                <w:szCs w:val="17"/>
              </w:rPr>
            </w:pPr>
            <w:r w:rsidRPr="002F01EF">
              <w:rPr>
                <w:bCs/>
                <w:szCs w:val="17"/>
              </w:rPr>
              <w:t>Fernandez/</w:t>
            </w:r>
            <w:proofErr w:type="spellStart"/>
            <w:r w:rsidRPr="002F01EF">
              <w:rPr>
                <w:bCs/>
                <w:szCs w:val="17"/>
              </w:rPr>
              <w:t>Lalucq</w:t>
            </w:r>
            <w:proofErr w:type="spellEnd"/>
          </w:p>
        </w:tc>
        <w:tc>
          <w:tcPr>
            <w:tcW w:w="2483" w:type="dxa"/>
            <w:shd w:val="clear" w:color="auto" w:fill="auto"/>
            <w:vAlign w:val="center"/>
          </w:tcPr>
          <w:p w14:paraId="44E94BA1" w14:textId="28102CEF" w:rsidR="00AB3B37" w:rsidRPr="002F01EF" w:rsidRDefault="00AB3B37" w:rsidP="00AB3B37">
            <w:pPr>
              <w:jc w:val="center"/>
              <w:rPr>
                <w:bCs/>
                <w:szCs w:val="17"/>
              </w:rPr>
            </w:pPr>
            <w:r w:rsidRPr="002F01EF">
              <w:rPr>
                <w:bCs/>
                <w:szCs w:val="17"/>
              </w:rPr>
              <w:t>Ladder of supervisory intervention</w:t>
            </w:r>
          </w:p>
        </w:tc>
        <w:tc>
          <w:tcPr>
            <w:tcW w:w="1886" w:type="dxa"/>
            <w:shd w:val="clear" w:color="auto" w:fill="auto"/>
            <w:vAlign w:val="center"/>
          </w:tcPr>
          <w:p w14:paraId="450748D6" w14:textId="680934D2" w:rsidR="00AB3B37" w:rsidRPr="002F01EF" w:rsidRDefault="00FC5AC9" w:rsidP="00AB3B37">
            <w:pPr>
              <w:jc w:val="center"/>
              <w:rPr>
                <w:bCs/>
                <w:szCs w:val="17"/>
              </w:rPr>
            </w:pPr>
            <w:r w:rsidRPr="002F01EF">
              <w:rPr>
                <w:b/>
                <w:color w:val="FF0000"/>
                <w:szCs w:val="17"/>
              </w:rPr>
              <w:t>Negative</w:t>
            </w:r>
          </w:p>
        </w:tc>
      </w:tr>
      <w:tr w:rsidR="00AB3B37" w:rsidRPr="002F01EF" w14:paraId="37DC5653" w14:textId="77777777" w:rsidTr="00AB3B37">
        <w:trPr>
          <w:trHeight w:val="499"/>
        </w:trPr>
        <w:tc>
          <w:tcPr>
            <w:tcW w:w="679" w:type="dxa"/>
            <w:shd w:val="clear" w:color="auto" w:fill="auto"/>
            <w:vAlign w:val="center"/>
          </w:tcPr>
          <w:p w14:paraId="354CC53C" w14:textId="2B2C62E0" w:rsidR="00AB3B37" w:rsidRPr="002F01EF" w:rsidRDefault="00AB3B37" w:rsidP="00AB3B37">
            <w:pPr>
              <w:jc w:val="center"/>
              <w:rPr>
                <w:bCs/>
                <w:szCs w:val="17"/>
              </w:rPr>
            </w:pPr>
            <w:r w:rsidRPr="002F01EF">
              <w:rPr>
                <w:bCs/>
                <w:szCs w:val="17"/>
              </w:rPr>
              <w:t>671</w:t>
            </w:r>
          </w:p>
        </w:tc>
        <w:tc>
          <w:tcPr>
            <w:tcW w:w="1866" w:type="dxa"/>
            <w:shd w:val="clear" w:color="auto" w:fill="auto"/>
            <w:vAlign w:val="center"/>
          </w:tcPr>
          <w:p w14:paraId="5D376C4E" w14:textId="2FAA366B" w:rsidR="00AB3B37" w:rsidRPr="002F01EF" w:rsidRDefault="00AB3B37" w:rsidP="00AB3B37">
            <w:pPr>
              <w:jc w:val="center"/>
            </w:pPr>
            <w:r w:rsidRPr="002F01EF">
              <w:t>Article 139 – paragraph 4</w:t>
            </w:r>
          </w:p>
        </w:tc>
        <w:tc>
          <w:tcPr>
            <w:tcW w:w="5964" w:type="dxa"/>
            <w:shd w:val="clear" w:color="auto" w:fill="auto"/>
          </w:tcPr>
          <w:p w14:paraId="3242E08D" w14:textId="45D47D6D" w:rsidR="00AB3B37" w:rsidRPr="002F01EF" w:rsidRDefault="00AB3B37" w:rsidP="00AB3B37">
            <w:pPr>
              <w:jc w:val="left"/>
              <w:rPr>
                <w:bCs/>
                <w:szCs w:val="17"/>
              </w:rPr>
            </w:pPr>
            <w:r w:rsidRPr="002F01EF">
              <w:rPr>
                <w:bCs/>
                <w:szCs w:val="17"/>
              </w:rPr>
              <w:t>Proposes that EIOPA “shall” rather than “may” develop guidelines</w:t>
            </w:r>
          </w:p>
        </w:tc>
        <w:tc>
          <w:tcPr>
            <w:tcW w:w="1865" w:type="dxa"/>
            <w:shd w:val="clear" w:color="auto" w:fill="auto"/>
            <w:vAlign w:val="center"/>
          </w:tcPr>
          <w:p w14:paraId="20E246D4" w14:textId="4FCF3200"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4AAD507F" w14:textId="0B2BB98C"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75F5F8B7" w14:textId="2B9222D2" w:rsidR="00AB3B37" w:rsidRPr="002F01EF" w:rsidRDefault="00AB3B37" w:rsidP="00AB3B37">
            <w:pPr>
              <w:jc w:val="center"/>
              <w:rPr>
                <w:bCs/>
                <w:szCs w:val="17"/>
              </w:rPr>
            </w:pPr>
            <w:r w:rsidRPr="002F01EF">
              <w:rPr>
                <w:bCs/>
                <w:szCs w:val="17"/>
              </w:rPr>
              <w:t>Ladder of supervisory intervention</w:t>
            </w:r>
          </w:p>
        </w:tc>
        <w:tc>
          <w:tcPr>
            <w:tcW w:w="1886" w:type="dxa"/>
            <w:shd w:val="clear" w:color="auto" w:fill="auto"/>
            <w:vAlign w:val="center"/>
          </w:tcPr>
          <w:p w14:paraId="785389DA" w14:textId="6BFD22BD"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F6F4EA7" w14:textId="77777777" w:rsidTr="00AB3B37">
        <w:trPr>
          <w:trHeight w:val="499"/>
        </w:trPr>
        <w:tc>
          <w:tcPr>
            <w:tcW w:w="679" w:type="dxa"/>
            <w:shd w:val="clear" w:color="auto" w:fill="auto"/>
            <w:vAlign w:val="center"/>
          </w:tcPr>
          <w:p w14:paraId="07F2B6D7" w14:textId="4CEB23B0" w:rsidR="00AB3B37" w:rsidRPr="002F01EF" w:rsidRDefault="00AB3B37" w:rsidP="00AB3B37">
            <w:pPr>
              <w:jc w:val="center"/>
              <w:rPr>
                <w:bCs/>
                <w:szCs w:val="17"/>
              </w:rPr>
            </w:pPr>
            <w:r w:rsidRPr="002F01EF">
              <w:rPr>
                <w:bCs/>
                <w:szCs w:val="17"/>
              </w:rPr>
              <w:t>672</w:t>
            </w:r>
          </w:p>
        </w:tc>
        <w:tc>
          <w:tcPr>
            <w:tcW w:w="1866" w:type="dxa"/>
            <w:shd w:val="clear" w:color="auto" w:fill="auto"/>
            <w:vAlign w:val="center"/>
          </w:tcPr>
          <w:p w14:paraId="055D0504" w14:textId="0A360EDD" w:rsidR="00AB3B37" w:rsidRPr="002F01EF" w:rsidRDefault="00AB3B37" w:rsidP="00AB3B37">
            <w:pPr>
              <w:jc w:val="center"/>
            </w:pPr>
            <w:r w:rsidRPr="002F01EF">
              <w:t>Article 144 – paragraph 1 – point c a (new) and subparagraph 1 (new)</w:t>
            </w:r>
          </w:p>
        </w:tc>
        <w:tc>
          <w:tcPr>
            <w:tcW w:w="5964" w:type="dxa"/>
            <w:shd w:val="clear" w:color="auto" w:fill="auto"/>
          </w:tcPr>
          <w:p w14:paraId="5C9612B0" w14:textId="6C8DF680" w:rsidR="00AB3B37" w:rsidRPr="002F01EF" w:rsidRDefault="00AB3B37" w:rsidP="00AB3B37">
            <w:pPr>
              <w:jc w:val="left"/>
              <w:rPr>
                <w:bCs/>
                <w:szCs w:val="17"/>
              </w:rPr>
            </w:pPr>
            <w:r w:rsidRPr="002F01EF">
              <w:rPr>
                <w:bCs/>
                <w:szCs w:val="17"/>
              </w:rPr>
              <w:t>Includes the ability for NSA to withdraw authorisation if undertaking infringes national law transposing Directive 2015/849 on money laundering and terrorist financing.</w:t>
            </w:r>
          </w:p>
        </w:tc>
        <w:tc>
          <w:tcPr>
            <w:tcW w:w="1865" w:type="dxa"/>
            <w:shd w:val="clear" w:color="auto" w:fill="auto"/>
            <w:vAlign w:val="center"/>
          </w:tcPr>
          <w:p w14:paraId="0457D889" w14:textId="4DF4707D"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391AB724" w14:textId="45648BB6" w:rsidR="00AB3B37" w:rsidRPr="002F01EF" w:rsidRDefault="00AB3B37" w:rsidP="00AB3B37">
            <w:pPr>
              <w:jc w:val="center"/>
              <w:rPr>
                <w:bCs/>
                <w:szCs w:val="17"/>
              </w:rPr>
            </w:pPr>
            <w:r w:rsidRPr="002F01EF">
              <w:rPr>
                <w:bCs/>
                <w:szCs w:val="17"/>
              </w:rPr>
              <w:t>Ladder of supervisory intervention</w:t>
            </w:r>
          </w:p>
        </w:tc>
        <w:tc>
          <w:tcPr>
            <w:tcW w:w="1886" w:type="dxa"/>
            <w:shd w:val="clear" w:color="auto" w:fill="auto"/>
            <w:vAlign w:val="center"/>
          </w:tcPr>
          <w:p w14:paraId="50F0C2D5" w14:textId="4C82F625"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04F56CC" w14:textId="77777777" w:rsidTr="00AB3B37">
        <w:trPr>
          <w:trHeight w:val="499"/>
        </w:trPr>
        <w:tc>
          <w:tcPr>
            <w:tcW w:w="679" w:type="dxa"/>
            <w:shd w:val="clear" w:color="auto" w:fill="auto"/>
            <w:vAlign w:val="center"/>
          </w:tcPr>
          <w:p w14:paraId="293FFCF5" w14:textId="471D8168" w:rsidR="00AB3B37" w:rsidRPr="002F01EF" w:rsidRDefault="00AB3B37" w:rsidP="00AB3B37">
            <w:pPr>
              <w:jc w:val="center"/>
              <w:rPr>
                <w:bCs/>
                <w:szCs w:val="17"/>
              </w:rPr>
            </w:pPr>
            <w:r w:rsidRPr="002F01EF">
              <w:rPr>
                <w:bCs/>
                <w:szCs w:val="17"/>
              </w:rPr>
              <w:t>673</w:t>
            </w:r>
          </w:p>
        </w:tc>
        <w:tc>
          <w:tcPr>
            <w:tcW w:w="1866" w:type="dxa"/>
            <w:shd w:val="clear" w:color="auto" w:fill="auto"/>
            <w:vAlign w:val="center"/>
          </w:tcPr>
          <w:p w14:paraId="16D80013" w14:textId="58328CD7" w:rsidR="00AB3B37" w:rsidRPr="002F01EF" w:rsidRDefault="00AB3B37" w:rsidP="00AB3B37">
            <w:pPr>
              <w:jc w:val="center"/>
            </w:pPr>
            <w:r w:rsidRPr="002F01EF">
              <w:t>Article 144a – paragraph 2</w:t>
            </w:r>
          </w:p>
        </w:tc>
        <w:tc>
          <w:tcPr>
            <w:tcW w:w="5964" w:type="dxa"/>
            <w:shd w:val="clear" w:color="auto" w:fill="auto"/>
          </w:tcPr>
          <w:p w14:paraId="77878DCC" w14:textId="4AEDFBBD" w:rsidR="00AB3B37" w:rsidRPr="002F01EF" w:rsidRDefault="00AB3B37" w:rsidP="00AB3B37">
            <w:pPr>
              <w:jc w:val="left"/>
              <w:rPr>
                <w:bCs/>
                <w:szCs w:val="17"/>
              </w:rPr>
            </w:pPr>
            <w:r w:rsidRPr="002F01EF">
              <w:rPr>
                <w:bCs/>
                <w:szCs w:val="17"/>
              </w:rPr>
              <w:t>Specifies that EC’s newly proposed liquidity risk indicators (developed as part of LRMP) should be developed and “</w:t>
            </w:r>
            <w:r w:rsidRPr="002F01EF">
              <w:rPr>
                <w:bCs/>
                <w:i/>
                <w:iCs/>
                <w:szCs w:val="17"/>
              </w:rPr>
              <w:t>kept up to date</w:t>
            </w:r>
            <w:r w:rsidRPr="002F01EF">
              <w:rPr>
                <w:bCs/>
                <w:szCs w:val="17"/>
              </w:rPr>
              <w:t>”.</w:t>
            </w:r>
          </w:p>
        </w:tc>
        <w:tc>
          <w:tcPr>
            <w:tcW w:w="1865" w:type="dxa"/>
            <w:shd w:val="clear" w:color="auto" w:fill="auto"/>
            <w:vAlign w:val="center"/>
          </w:tcPr>
          <w:p w14:paraId="148D0965" w14:textId="4FF994E3"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2657D474" w14:textId="01AE3279"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127E3E09" w14:textId="7BACF679"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101E9539" w14:textId="714D9CD9"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60DDF39" w14:textId="77777777" w:rsidTr="00AB3B37">
        <w:trPr>
          <w:trHeight w:val="499"/>
        </w:trPr>
        <w:tc>
          <w:tcPr>
            <w:tcW w:w="679" w:type="dxa"/>
            <w:shd w:val="clear" w:color="auto" w:fill="auto"/>
            <w:vAlign w:val="center"/>
          </w:tcPr>
          <w:p w14:paraId="01241F32" w14:textId="3F014A63" w:rsidR="00AB3B37" w:rsidRPr="002F01EF" w:rsidRDefault="00AB3B37" w:rsidP="00AB3B37">
            <w:pPr>
              <w:jc w:val="center"/>
              <w:rPr>
                <w:bCs/>
                <w:szCs w:val="17"/>
              </w:rPr>
            </w:pPr>
            <w:r w:rsidRPr="002F01EF">
              <w:rPr>
                <w:bCs/>
                <w:szCs w:val="17"/>
              </w:rPr>
              <w:t>674</w:t>
            </w:r>
          </w:p>
        </w:tc>
        <w:tc>
          <w:tcPr>
            <w:tcW w:w="1866" w:type="dxa"/>
            <w:shd w:val="clear" w:color="auto" w:fill="auto"/>
            <w:vAlign w:val="center"/>
          </w:tcPr>
          <w:p w14:paraId="61CD5F95" w14:textId="7B0E28F0" w:rsidR="00AB3B37" w:rsidRPr="002F01EF" w:rsidRDefault="00AB3B37" w:rsidP="00AB3B37">
            <w:pPr>
              <w:jc w:val="center"/>
            </w:pPr>
            <w:r w:rsidRPr="002F01EF">
              <w:t>Article 144a – paragraph 6 – subparagraph 1</w:t>
            </w:r>
          </w:p>
        </w:tc>
        <w:tc>
          <w:tcPr>
            <w:tcW w:w="5964" w:type="dxa"/>
            <w:shd w:val="clear" w:color="auto" w:fill="auto"/>
          </w:tcPr>
          <w:p w14:paraId="1ED8CD98" w14:textId="1C4094AA" w:rsidR="00AB3B37" w:rsidRPr="002F01EF" w:rsidRDefault="00AB3B37" w:rsidP="00AB3B37">
            <w:pPr>
              <w:jc w:val="left"/>
              <w:rPr>
                <w:bCs/>
                <w:szCs w:val="17"/>
              </w:rPr>
            </w:pPr>
            <w:r w:rsidRPr="002F01EF">
              <w:rPr>
                <w:bCs/>
                <w:szCs w:val="17"/>
              </w:rPr>
              <w:t>Proposal for EIOPA to provide additional specifications (the format as well as contents and frequency of update) of LRMPs when developing draft RTS</w:t>
            </w:r>
          </w:p>
        </w:tc>
        <w:tc>
          <w:tcPr>
            <w:tcW w:w="1865" w:type="dxa"/>
            <w:shd w:val="clear" w:color="auto" w:fill="auto"/>
            <w:vAlign w:val="center"/>
          </w:tcPr>
          <w:p w14:paraId="75DA9F54" w14:textId="50DAE67C"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7E5405D3" w14:textId="5F1F5DEA"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78706609" w14:textId="5162B259"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0B07672D" w14:textId="00027108" w:rsidR="00AB3B37" w:rsidRPr="002F01EF" w:rsidRDefault="00CC5918" w:rsidP="00AB3B37">
            <w:pPr>
              <w:jc w:val="center"/>
              <w:rPr>
                <w:bCs/>
                <w:szCs w:val="17"/>
              </w:rPr>
            </w:pPr>
            <w:r w:rsidRPr="002F01EF">
              <w:rPr>
                <w:b/>
                <w:color w:val="808080" w:themeColor="background1" w:themeShade="80"/>
                <w:szCs w:val="17"/>
              </w:rPr>
              <w:t>Neutral</w:t>
            </w:r>
          </w:p>
        </w:tc>
      </w:tr>
      <w:tr w:rsidR="00AB3B37" w:rsidRPr="002F01EF" w14:paraId="128F4791" w14:textId="77777777" w:rsidTr="00AB3B37">
        <w:trPr>
          <w:trHeight w:val="499"/>
        </w:trPr>
        <w:tc>
          <w:tcPr>
            <w:tcW w:w="679" w:type="dxa"/>
            <w:shd w:val="clear" w:color="auto" w:fill="auto"/>
            <w:vAlign w:val="center"/>
          </w:tcPr>
          <w:p w14:paraId="66695F10" w14:textId="080CA8D8" w:rsidR="00AB3B37" w:rsidRPr="002F01EF" w:rsidRDefault="00AB3B37" w:rsidP="00AB3B37">
            <w:pPr>
              <w:jc w:val="center"/>
              <w:rPr>
                <w:bCs/>
                <w:szCs w:val="17"/>
              </w:rPr>
            </w:pPr>
            <w:r w:rsidRPr="002F01EF">
              <w:rPr>
                <w:bCs/>
                <w:szCs w:val="17"/>
              </w:rPr>
              <w:t>675</w:t>
            </w:r>
          </w:p>
        </w:tc>
        <w:tc>
          <w:tcPr>
            <w:tcW w:w="1866" w:type="dxa"/>
            <w:shd w:val="clear" w:color="auto" w:fill="auto"/>
            <w:vAlign w:val="center"/>
          </w:tcPr>
          <w:p w14:paraId="7370C918" w14:textId="3E08C604" w:rsidR="00AB3B37" w:rsidRPr="002F01EF" w:rsidRDefault="00AB3B37" w:rsidP="00AB3B37">
            <w:pPr>
              <w:jc w:val="center"/>
            </w:pPr>
            <w:r w:rsidRPr="002F01EF">
              <w:t>Article 144b – paragraph 2 – subparagraph 2</w:t>
            </w:r>
          </w:p>
        </w:tc>
        <w:tc>
          <w:tcPr>
            <w:tcW w:w="5964" w:type="dxa"/>
            <w:shd w:val="clear" w:color="auto" w:fill="auto"/>
          </w:tcPr>
          <w:p w14:paraId="48DF8738" w14:textId="2E346C46" w:rsidR="00AB3B37" w:rsidRPr="002F01EF" w:rsidRDefault="00AB3B37" w:rsidP="00AB3B37">
            <w:pPr>
              <w:jc w:val="left"/>
              <w:rPr>
                <w:bCs/>
                <w:szCs w:val="17"/>
              </w:rPr>
            </w:pPr>
            <w:r w:rsidRPr="002F01EF">
              <w:rPr>
                <w:bCs/>
                <w:szCs w:val="17"/>
              </w:rPr>
              <w:t>Additional specification that NSAs should share evidence of liquidity risks with EIOPA</w:t>
            </w:r>
          </w:p>
        </w:tc>
        <w:tc>
          <w:tcPr>
            <w:tcW w:w="1865" w:type="dxa"/>
            <w:shd w:val="clear" w:color="auto" w:fill="auto"/>
            <w:vAlign w:val="center"/>
          </w:tcPr>
          <w:p w14:paraId="42533F98" w14:textId="4C46075B"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0EBB724E" w14:textId="0ECD445F"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481CC3C5" w14:textId="666CA616"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107D51CC" w14:textId="77777777" w:rsidTr="00AB3B37">
        <w:trPr>
          <w:trHeight w:val="499"/>
        </w:trPr>
        <w:tc>
          <w:tcPr>
            <w:tcW w:w="679" w:type="dxa"/>
            <w:shd w:val="clear" w:color="auto" w:fill="auto"/>
            <w:vAlign w:val="center"/>
          </w:tcPr>
          <w:p w14:paraId="266F8E54" w14:textId="4911C5F9" w:rsidR="00AB3B37" w:rsidRPr="002F01EF" w:rsidRDefault="00AB3B37" w:rsidP="00AB3B37">
            <w:pPr>
              <w:jc w:val="center"/>
              <w:rPr>
                <w:bCs/>
                <w:szCs w:val="17"/>
              </w:rPr>
            </w:pPr>
            <w:r w:rsidRPr="002F01EF">
              <w:rPr>
                <w:bCs/>
                <w:szCs w:val="17"/>
              </w:rPr>
              <w:t>676</w:t>
            </w:r>
          </w:p>
        </w:tc>
        <w:tc>
          <w:tcPr>
            <w:tcW w:w="1866" w:type="dxa"/>
            <w:shd w:val="clear" w:color="auto" w:fill="auto"/>
            <w:vAlign w:val="center"/>
          </w:tcPr>
          <w:p w14:paraId="20B3F1E7" w14:textId="65DCB70C" w:rsidR="00AB3B37" w:rsidRPr="002F01EF" w:rsidRDefault="00AB3B37" w:rsidP="00AB3B37">
            <w:pPr>
              <w:jc w:val="center"/>
            </w:pPr>
            <w:r w:rsidRPr="002F01EF">
              <w:t>Article 144b – paragraph 3 – subparagraph 1</w:t>
            </w:r>
          </w:p>
        </w:tc>
        <w:tc>
          <w:tcPr>
            <w:tcW w:w="5964" w:type="dxa"/>
            <w:shd w:val="clear" w:color="auto" w:fill="auto"/>
          </w:tcPr>
          <w:p w14:paraId="3253E60A" w14:textId="45EEAF18" w:rsidR="00AB3B37" w:rsidRPr="002F01EF" w:rsidRDefault="00AB3B37" w:rsidP="00AB3B37">
            <w:pPr>
              <w:jc w:val="left"/>
              <w:rPr>
                <w:bCs/>
                <w:szCs w:val="17"/>
              </w:rPr>
            </w:pPr>
            <w:r w:rsidRPr="002F01EF">
              <w:rPr>
                <w:bCs/>
                <w:szCs w:val="17"/>
              </w:rPr>
              <w:t>Proposal to change EC’s proposal on new powers for NSAs in event of liquidity crisis, adding there should be an imminent risk of non-compliance with the SCR. And the powers are described (</w:t>
            </w:r>
            <w:proofErr w:type="spellStart"/>
            <w:proofErr w:type="gramStart"/>
            <w:r w:rsidRPr="002F01EF">
              <w:rPr>
                <w:bCs/>
                <w:szCs w:val="17"/>
              </w:rPr>
              <w:t>eg</w:t>
            </w:r>
            <w:proofErr w:type="spellEnd"/>
            <w:proofErr w:type="gramEnd"/>
            <w:r w:rsidRPr="002F01EF">
              <w:rPr>
                <w:bCs/>
                <w:szCs w:val="17"/>
              </w:rPr>
              <w:t xml:space="preserve"> restrict/suspend dividend distributions, other payments to shareholders, …)</w:t>
            </w:r>
          </w:p>
        </w:tc>
        <w:tc>
          <w:tcPr>
            <w:tcW w:w="1865" w:type="dxa"/>
            <w:shd w:val="clear" w:color="auto" w:fill="auto"/>
            <w:vAlign w:val="center"/>
          </w:tcPr>
          <w:p w14:paraId="57ACCD2C" w14:textId="5C03F568" w:rsidR="00AB3B37" w:rsidRPr="002F01EF" w:rsidRDefault="00AB3B37" w:rsidP="00AB3B37">
            <w:pPr>
              <w:jc w:val="center"/>
              <w:rPr>
                <w:bCs/>
                <w:szCs w:val="17"/>
              </w:rPr>
            </w:pPr>
            <w:r w:rsidRPr="002F01EF">
              <w:rPr>
                <w:bCs/>
                <w:szCs w:val="17"/>
              </w:rPr>
              <w:t>Castaldo</w:t>
            </w:r>
          </w:p>
        </w:tc>
        <w:tc>
          <w:tcPr>
            <w:tcW w:w="2483" w:type="dxa"/>
            <w:shd w:val="clear" w:color="auto" w:fill="auto"/>
            <w:vAlign w:val="center"/>
          </w:tcPr>
          <w:p w14:paraId="1B47EC06" w14:textId="2A6B28A1"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31367042" w14:textId="068CF22C" w:rsidR="00AB3B37" w:rsidRPr="002F01EF" w:rsidRDefault="00E05108" w:rsidP="00AB3B37">
            <w:pPr>
              <w:jc w:val="center"/>
              <w:rPr>
                <w:bCs/>
                <w:szCs w:val="17"/>
              </w:rPr>
            </w:pPr>
            <w:r w:rsidRPr="002F01EF">
              <w:rPr>
                <w:b/>
                <w:color w:val="00B050"/>
                <w:szCs w:val="17"/>
              </w:rPr>
              <w:t>Positive</w:t>
            </w:r>
          </w:p>
        </w:tc>
      </w:tr>
      <w:tr w:rsidR="00AB3B37" w:rsidRPr="002F01EF" w14:paraId="28393BB7" w14:textId="77777777" w:rsidTr="00AB3B37">
        <w:trPr>
          <w:trHeight w:val="499"/>
        </w:trPr>
        <w:tc>
          <w:tcPr>
            <w:tcW w:w="679" w:type="dxa"/>
            <w:shd w:val="clear" w:color="auto" w:fill="auto"/>
            <w:vAlign w:val="center"/>
          </w:tcPr>
          <w:p w14:paraId="6F3511A9" w14:textId="2A6F1031" w:rsidR="00AB3B37" w:rsidRPr="002F01EF" w:rsidRDefault="00AB3B37" w:rsidP="00AB3B37">
            <w:pPr>
              <w:jc w:val="center"/>
              <w:rPr>
                <w:bCs/>
                <w:szCs w:val="17"/>
              </w:rPr>
            </w:pPr>
            <w:r w:rsidRPr="002F01EF">
              <w:rPr>
                <w:bCs/>
                <w:szCs w:val="17"/>
              </w:rPr>
              <w:t>677</w:t>
            </w:r>
          </w:p>
        </w:tc>
        <w:tc>
          <w:tcPr>
            <w:tcW w:w="1866" w:type="dxa"/>
            <w:shd w:val="clear" w:color="auto" w:fill="auto"/>
            <w:vAlign w:val="center"/>
          </w:tcPr>
          <w:p w14:paraId="61F3840B" w14:textId="21EAF358" w:rsidR="00AB3B37" w:rsidRPr="002F01EF" w:rsidRDefault="00AB3B37" w:rsidP="00AB3B37">
            <w:pPr>
              <w:jc w:val="center"/>
            </w:pPr>
            <w:r w:rsidRPr="002F01EF">
              <w:t>Article 144b – paragraph 3 – subparagraph 2</w:t>
            </w:r>
          </w:p>
        </w:tc>
        <w:tc>
          <w:tcPr>
            <w:tcW w:w="5964" w:type="dxa"/>
            <w:shd w:val="clear" w:color="auto" w:fill="auto"/>
          </w:tcPr>
          <w:p w14:paraId="561D7961" w14:textId="5257B15A" w:rsidR="00AB3B37" w:rsidRPr="002F01EF" w:rsidRDefault="00AB3B37" w:rsidP="00AB3B37">
            <w:pPr>
              <w:jc w:val="left"/>
              <w:rPr>
                <w:bCs/>
                <w:szCs w:val="17"/>
              </w:rPr>
            </w:pPr>
            <w:r w:rsidRPr="002F01EF">
              <w:rPr>
                <w:bCs/>
                <w:szCs w:val="17"/>
              </w:rPr>
              <w:t>Clarifications to EC’s proposal on new powers for NSAs in event of liquidity crisis. NSAs have to justify – in writing - the application of their powers.</w:t>
            </w:r>
          </w:p>
        </w:tc>
        <w:tc>
          <w:tcPr>
            <w:tcW w:w="1865" w:type="dxa"/>
            <w:shd w:val="clear" w:color="auto" w:fill="auto"/>
            <w:vAlign w:val="center"/>
          </w:tcPr>
          <w:p w14:paraId="43C660D8" w14:textId="262B6761" w:rsidR="00AB3B37" w:rsidRPr="002F01EF" w:rsidRDefault="00AB3B37" w:rsidP="00AB3B37">
            <w:pPr>
              <w:jc w:val="center"/>
              <w:rPr>
                <w:bCs/>
                <w:szCs w:val="17"/>
              </w:rPr>
            </w:pPr>
            <w:proofErr w:type="spellStart"/>
            <w:r w:rsidRPr="002F01EF">
              <w:rPr>
                <w:bCs/>
                <w:szCs w:val="17"/>
              </w:rPr>
              <w:t>Zanni</w:t>
            </w:r>
            <w:proofErr w:type="spellEnd"/>
            <w:r w:rsidRPr="002F01EF">
              <w:rPr>
                <w:bCs/>
                <w:szCs w:val="17"/>
              </w:rPr>
              <w:t>/Grant/Rinaldi</w:t>
            </w:r>
          </w:p>
        </w:tc>
        <w:tc>
          <w:tcPr>
            <w:tcW w:w="2483" w:type="dxa"/>
            <w:shd w:val="clear" w:color="auto" w:fill="auto"/>
            <w:vAlign w:val="center"/>
          </w:tcPr>
          <w:p w14:paraId="2C7E19CF" w14:textId="36D4A25B"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7CB0DDC8" w14:textId="535CDC55"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44A2A8B3" w14:textId="77777777" w:rsidTr="00AB3B37">
        <w:trPr>
          <w:trHeight w:val="499"/>
        </w:trPr>
        <w:tc>
          <w:tcPr>
            <w:tcW w:w="679" w:type="dxa"/>
            <w:shd w:val="clear" w:color="auto" w:fill="auto"/>
            <w:vAlign w:val="center"/>
          </w:tcPr>
          <w:p w14:paraId="22979AFE" w14:textId="70E67CE5" w:rsidR="00AB3B37" w:rsidRPr="002F01EF" w:rsidRDefault="00AB3B37" w:rsidP="00AB3B37">
            <w:pPr>
              <w:jc w:val="center"/>
              <w:rPr>
                <w:bCs/>
                <w:szCs w:val="17"/>
              </w:rPr>
            </w:pPr>
            <w:r w:rsidRPr="002F01EF">
              <w:rPr>
                <w:bCs/>
                <w:szCs w:val="17"/>
              </w:rPr>
              <w:t>678</w:t>
            </w:r>
          </w:p>
        </w:tc>
        <w:tc>
          <w:tcPr>
            <w:tcW w:w="1866" w:type="dxa"/>
            <w:shd w:val="clear" w:color="auto" w:fill="auto"/>
            <w:vAlign w:val="center"/>
          </w:tcPr>
          <w:p w14:paraId="2D21C436" w14:textId="79AFB62B" w:rsidR="00AB3B37" w:rsidRPr="002F01EF" w:rsidRDefault="00AB3B37" w:rsidP="00AB3B37">
            <w:pPr>
              <w:jc w:val="center"/>
            </w:pPr>
            <w:r w:rsidRPr="002F01EF">
              <w:t>Article 144b – paragraph 3 – subparagraph 3</w:t>
            </w:r>
          </w:p>
        </w:tc>
        <w:tc>
          <w:tcPr>
            <w:tcW w:w="5964" w:type="dxa"/>
            <w:shd w:val="clear" w:color="auto" w:fill="auto"/>
          </w:tcPr>
          <w:p w14:paraId="03711F77" w14:textId="1EE7FF18" w:rsidR="00AB3B37" w:rsidRPr="002F01EF" w:rsidRDefault="00AB3B37" w:rsidP="00AB3B37">
            <w:pPr>
              <w:jc w:val="left"/>
              <w:rPr>
                <w:bCs/>
                <w:szCs w:val="17"/>
              </w:rPr>
            </w:pPr>
            <w:r w:rsidRPr="002F01EF">
              <w:rPr>
                <w:bCs/>
                <w:szCs w:val="17"/>
              </w:rPr>
              <w:t>Restrictions on the period of application to max 3 months for new powers for NSAs in event of liquidity crisis</w:t>
            </w:r>
          </w:p>
        </w:tc>
        <w:tc>
          <w:tcPr>
            <w:tcW w:w="1865" w:type="dxa"/>
            <w:shd w:val="clear" w:color="auto" w:fill="auto"/>
            <w:vAlign w:val="center"/>
          </w:tcPr>
          <w:p w14:paraId="25D0D586" w14:textId="41AC8D02"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579C3F7C" w14:textId="2ED04989"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203C4EAB" w14:textId="01A32BB9" w:rsidR="00AB3B37" w:rsidRPr="002F01EF" w:rsidRDefault="00E05108" w:rsidP="00AB3B37">
            <w:pPr>
              <w:jc w:val="center"/>
              <w:rPr>
                <w:bCs/>
                <w:szCs w:val="17"/>
              </w:rPr>
            </w:pPr>
            <w:r w:rsidRPr="002F01EF">
              <w:rPr>
                <w:b/>
                <w:color w:val="00B050"/>
                <w:szCs w:val="17"/>
              </w:rPr>
              <w:t>Positive</w:t>
            </w:r>
          </w:p>
        </w:tc>
      </w:tr>
      <w:tr w:rsidR="00AB3B37" w:rsidRPr="002F01EF" w14:paraId="3CF1F9C4" w14:textId="77777777" w:rsidTr="00AB3B37">
        <w:trPr>
          <w:trHeight w:val="499"/>
        </w:trPr>
        <w:tc>
          <w:tcPr>
            <w:tcW w:w="679" w:type="dxa"/>
            <w:shd w:val="clear" w:color="auto" w:fill="auto"/>
            <w:vAlign w:val="center"/>
          </w:tcPr>
          <w:p w14:paraId="7F3B2B78" w14:textId="1000BF72" w:rsidR="00AB3B37" w:rsidRPr="002F01EF" w:rsidRDefault="00AB3B37" w:rsidP="00AB3B37">
            <w:pPr>
              <w:jc w:val="center"/>
              <w:rPr>
                <w:bCs/>
                <w:szCs w:val="17"/>
              </w:rPr>
            </w:pPr>
            <w:r w:rsidRPr="002F01EF">
              <w:rPr>
                <w:bCs/>
                <w:szCs w:val="17"/>
              </w:rPr>
              <w:t>679</w:t>
            </w:r>
          </w:p>
        </w:tc>
        <w:tc>
          <w:tcPr>
            <w:tcW w:w="1866" w:type="dxa"/>
            <w:shd w:val="clear" w:color="auto" w:fill="auto"/>
            <w:vAlign w:val="center"/>
          </w:tcPr>
          <w:p w14:paraId="1BFF987A" w14:textId="06BCC3E9" w:rsidR="00AB3B37" w:rsidRPr="0092408F" w:rsidRDefault="00AB3B37" w:rsidP="00AB3B37">
            <w:pPr>
              <w:jc w:val="center"/>
              <w:rPr>
                <w:lang w:val="fr-FR"/>
              </w:rPr>
            </w:pPr>
            <w:r w:rsidRPr="0092408F">
              <w:rPr>
                <w:lang w:val="fr-FR"/>
              </w:rPr>
              <w:t xml:space="preserve">Article 144b – paragraph 3 – subparagraph 4a </w:t>
            </w:r>
            <w:r w:rsidRPr="0092408F">
              <w:rPr>
                <w:lang w:val="fr-FR"/>
              </w:rPr>
              <w:lastRenderedPageBreak/>
              <w:t>(new)</w:t>
            </w:r>
          </w:p>
        </w:tc>
        <w:tc>
          <w:tcPr>
            <w:tcW w:w="5964" w:type="dxa"/>
            <w:shd w:val="clear" w:color="auto" w:fill="auto"/>
          </w:tcPr>
          <w:p w14:paraId="378939CB" w14:textId="1E80D9A5" w:rsidR="00AB3B37" w:rsidRPr="002F01EF" w:rsidRDefault="00AB3B37" w:rsidP="00AB3B37">
            <w:pPr>
              <w:jc w:val="left"/>
              <w:rPr>
                <w:bCs/>
                <w:szCs w:val="17"/>
              </w:rPr>
            </w:pPr>
            <w:r w:rsidRPr="002F01EF">
              <w:rPr>
                <w:bCs/>
                <w:szCs w:val="17"/>
              </w:rPr>
              <w:lastRenderedPageBreak/>
              <w:t>Clarification that NSAs should have appropriate powers</w:t>
            </w:r>
          </w:p>
        </w:tc>
        <w:tc>
          <w:tcPr>
            <w:tcW w:w="1865" w:type="dxa"/>
            <w:shd w:val="clear" w:color="auto" w:fill="auto"/>
            <w:vAlign w:val="center"/>
          </w:tcPr>
          <w:p w14:paraId="3590DD5B" w14:textId="18072216"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267AE070" w14:textId="1188A994"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5300EB4C" w14:textId="78EE685E"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654FAECE" w14:textId="3513B94A" w:rsidR="00AB3B37" w:rsidRPr="002F01EF" w:rsidRDefault="00633005" w:rsidP="00AB3B37">
            <w:pPr>
              <w:jc w:val="center"/>
              <w:rPr>
                <w:bCs/>
                <w:szCs w:val="17"/>
              </w:rPr>
            </w:pPr>
            <w:r w:rsidRPr="002F01EF">
              <w:rPr>
                <w:b/>
                <w:color w:val="808080" w:themeColor="background1" w:themeShade="80"/>
                <w:szCs w:val="17"/>
              </w:rPr>
              <w:t>Neutral</w:t>
            </w:r>
          </w:p>
        </w:tc>
      </w:tr>
      <w:tr w:rsidR="00AB3B37" w:rsidRPr="002F01EF" w14:paraId="2DDB7CE1" w14:textId="77777777" w:rsidTr="00AB3B37">
        <w:trPr>
          <w:trHeight w:val="499"/>
        </w:trPr>
        <w:tc>
          <w:tcPr>
            <w:tcW w:w="679" w:type="dxa"/>
            <w:shd w:val="clear" w:color="auto" w:fill="auto"/>
            <w:vAlign w:val="center"/>
          </w:tcPr>
          <w:p w14:paraId="1DE4912D" w14:textId="2C638EBC" w:rsidR="00AB3B37" w:rsidRPr="002F01EF" w:rsidRDefault="00AB3B37" w:rsidP="00AB3B37">
            <w:pPr>
              <w:jc w:val="center"/>
              <w:rPr>
                <w:bCs/>
                <w:szCs w:val="17"/>
              </w:rPr>
            </w:pPr>
            <w:r w:rsidRPr="002F01EF">
              <w:rPr>
                <w:bCs/>
                <w:szCs w:val="17"/>
              </w:rPr>
              <w:t>680</w:t>
            </w:r>
          </w:p>
        </w:tc>
        <w:tc>
          <w:tcPr>
            <w:tcW w:w="1866" w:type="dxa"/>
            <w:shd w:val="clear" w:color="auto" w:fill="auto"/>
            <w:vAlign w:val="center"/>
          </w:tcPr>
          <w:p w14:paraId="64A24017" w14:textId="61A05ACC" w:rsidR="00AB3B37" w:rsidRPr="002F01EF" w:rsidRDefault="00AB3B37" w:rsidP="00AB3B37">
            <w:pPr>
              <w:jc w:val="center"/>
            </w:pPr>
            <w:r w:rsidRPr="002F01EF">
              <w:t>Article 144b – paragraph 3 – subparagraph 5</w:t>
            </w:r>
          </w:p>
        </w:tc>
        <w:tc>
          <w:tcPr>
            <w:tcW w:w="5964" w:type="dxa"/>
            <w:shd w:val="clear" w:color="auto" w:fill="auto"/>
          </w:tcPr>
          <w:p w14:paraId="3F819CE7" w14:textId="09162AB0" w:rsidR="00AB3B37" w:rsidRPr="002F01EF" w:rsidRDefault="00AB3B37" w:rsidP="00AB3B37">
            <w:pPr>
              <w:jc w:val="left"/>
              <w:rPr>
                <w:bCs/>
                <w:szCs w:val="17"/>
              </w:rPr>
            </w:pPr>
            <w:r w:rsidRPr="002F01EF">
              <w:rPr>
                <w:bCs/>
                <w:szCs w:val="17"/>
              </w:rPr>
              <w:t xml:space="preserve">Strengthening of requirement for NSAs to inform macroprudential supervisors </w:t>
            </w:r>
            <w:r w:rsidRPr="002F01EF">
              <w:rPr>
                <w:bCs/>
                <w:szCs w:val="17"/>
                <w:u w:val="single"/>
              </w:rPr>
              <w:t>timely</w:t>
            </w:r>
            <w:r w:rsidRPr="002F01EF">
              <w:rPr>
                <w:bCs/>
                <w:szCs w:val="17"/>
              </w:rPr>
              <w:t xml:space="preserve"> of use of macroprudential tools</w:t>
            </w:r>
          </w:p>
        </w:tc>
        <w:tc>
          <w:tcPr>
            <w:tcW w:w="1865" w:type="dxa"/>
            <w:shd w:val="clear" w:color="auto" w:fill="auto"/>
            <w:vAlign w:val="center"/>
          </w:tcPr>
          <w:p w14:paraId="6A573BB8" w14:textId="3123FE85"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6A6D2EFE" w14:textId="2F9AF78F"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79B0C7BF" w14:textId="1440D1D2"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0DEBE5CC" w14:textId="68080AC8"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53F6E27" w14:textId="77777777" w:rsidTr="00AB3B37">
        <w:trPr>
          <w:trHeight w:val="499"/>
        </w:trPr>
        <w:tc>
          <w:tcPr>
            <w:tcW w:w="679" w:type="dxa"/>
            <w:shd w:val="clear" w:color="auto" w:fill="auto"/>
            <w:vAlign w:val="center"/>
          </w:tcPr>
          <w:p w14:paraId="6DD348FD" w14:textId="3BEBA489" w:rsidR="00AB3B37" w:rsidRPr="002F01EF" w:rsidRDefault="00AB3B37" w:rsidP="00AB3B37">
            <w:pPr>
              <w:jc w:val="center"/>
              <w:rPr>
                <w:bCs/>
                <w:szCs w:val="17"/>
              </w:rPr>
            </w:pPr>
            <w:r w:rsidRPr="002F01EF">
              <w:rPr>
                <w:bCs/>
                <w:szCs w:val="17"/>
              </w:rPr>
              <w:t>681</w:t>
            </w:r>
          </w:p>
        </w:tc>
        <w:tc>
          <w:tcPr>
            <w:tcW w:w="1866" w:type="dxa"/>
            <w:shd w:val="clear" w:color="auto" w:fill="auto"/>
            <w:vAlign w:val="center"/>
          </w:tcPr>
          <w:p w14:paraId="5DA40DB1" w14:textId="3E49B02B" w:rsidR="00AB3B37" w:rsidRPr="002F01EF" w:rsidRDefault="00AB3B37" w:rsidP="00AB3B37">
            <w:pPr>
              <w:jc w:val="center"/>
            </w:pPr>
            <w:r w:rsidRPr="002F01EF">
              <w:t>Article 144b – paragraph 3 – subparagraph 6</w:t>
            </w:r>
          </w:p>
        </w:tc>
        <w:tc>
          <w:tcPr>
            <w:tcW w:w="5964" w:type="dxa"/>
            <w:shd w:val="clear" w:color="auto" w:fill="auto"/>
          </w:tcPr>
          <w:p w14:paraId="79AE1BD6" w14:textId="267152D9" w:rsidR="00AB3B37" w:rsidRPr="002F01EF" w:rsidRDefault="00AB3B37" w:rsidP="00AB3B37">
            <w:pPr>
              <w:jc w:val="left"/>
              <w:rPr>
                <w:bCs/>
                <w:szCs w:val="17"/>
              </w:rPr>
            </w:pPr>
            <w:r w:rsidRPr="002F01EF">
              <w:rPr>
                <w:bCs/>
                <w:szCs w:val="17"/>
              </w:rPr>
              <w:t xml:space="preserve">Requirement for NSAs to </w:t>
            </w:r>
            <w:r w:rsidRPr="002F01EF">
              <w:rPr>
                <w:bCs/>
                <w:szCs w:val="17"/>
                <w:u w:val="single"/>
              </w:rPr>
              <w:t>timely</w:t>
            </w:r>
            <w:r w:rsidRPr="002F01EF">
              <w:rPr>
                <w:bCs/>
                <w:szCs w:val="17"/>
              </w:rPr>
              <w:t xml:space="preserve"> inform EIOPA and ESRB of use of macroprudential tools</w:t>
            </w:r>
          </w:p>
        </w:tc>
        <w:tc>
          <w:tcPr>
            <w:tcW w:w="1865" w:type="dxa"/>
            <w:shd w:val="clear" w:color="auto" w:fill="auto"/>
            <w:vAlign w:val="center"/>
          </w:tcPr>
          <w:p w14:paraId="0DD933BB"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276EC719" w14:textId="60A23B63"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5FD8C25A" w14:textId="39859B52"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19A4E059" w14:textId="74BD394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49D7E9ED" w14:textId="77777777" w:rsidTr="00AB3B37">
        <w:trPr>
          <w:trHeight w:val="499"/>
        </w:trPr>
        <w:tc>
          <w:tcPr>
            <w:tcW w:w="679" w:type="dxa"/>
            <w:shd w:val="clear" w:color="auto" w:fill="auto"/>
            <w:vAlign w:val="center"/>
          </w:tcPr>
          <w:p w14:paraId="4D71B45F" w14:textId="0D1D881F" w:rsidR="00AB3B37" w:rsidRPr="002F01EF" w:rsidRDefault="00AB3B37" w:rsidP="00AB3B37">
            <w:pPr>
              <w:jc w:val="center"/>
              <w:rPr>
                <w:bCs/>
                <w:szCs w:val="17"/>
              </w:rPr>
            </w:pPr>
            <w:r w:rsidRPr="002F01EF">
              <w:rPr>
                <w:bCs/>
                <w:szCs w:val="17"/>
              </w:rPr>
              <w:t>682</w:t>
            </w:r>
          </w:p>
        </w:tc>
        <w:tc>
          <w:tcPr>
            <w:tcW w:w="1866" w:type="dxa"/>
            <w:shd w:val="clear" w:color="auto" w:fill="auto"/>
            <w:vAlign w:val="center"/>
          </w:tcPr>
          <w:p w14:paraId="1E217110" w14:textId="51A21A18" w:rsidR="00AB3B37" w:rsidRPr="0092408F" w:rsidRDefault="00AB3B37" w:rsidP="00AB3B37">
            <w:pPr>
              <w:jc w:val="center"/>
              <w:rPr>
                <w:lang w:val="fr-FR"/>
              </w:rPr>
            </w:pPr>
            <w:r w:rsidRPr="0092408F">
              <w:rPr>
                <w:lang w:val="fr-FR"/>
              </w:rPr>
              <w:t>Article 144b – paragraph 3 – subparagraph 6a (new)</w:t>
            </w:r>
          </w:p>
        </w:tc>
        <w:tc>
          <w:tcPr>
            <w:tcW w:w="5964" w:type="dxa"/>
            <w:shd w:val="clear" w:color="auto" w:fill="auto"/>
          </w:tcPr>
          <w:p w14:paraId="03FB3068" w14:textId="34BAA974" w:rsidR="00AB3B37" w:rsidRPr="002F01EF" w:rsidRDefault="00AB3B37" w:rsidP="00AB3B37">
            <w:pPr>
              <w:jc w:val="left"/>
              <w:rPr>
                <w:bCs/>
                <w:szCs w:val="17"/>
              </w:rPr>
            </w:pPr>
            <w:r w:rsidRPr="002F01EF">
              <w:rPr>
                <w:bCs/>
                <w:szCs w:val="17"/>
              </w:rPr>
              <w:t>New powers for EIOPA and ESRB to intervene if they consider the approach proposed by NSA is excessive</w:t>
            </w:r>
          </w:p>
        </w:tc>
        <w:tc>
          <w:tcPr>
            <w:tcW w:w="1865" w:type="dxa"/>
            <w:shd w:val="clear" w:color="auto" w:fill="auto"/>
            <w:vAlign w:val="center"/>
          </w:tcPr>
          <w:p w14:paraId="567CC518" w14:textId="3B4AAAC0"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0BA21638" w14:textId="2236A40E"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643B166B" w14:textId="579ABD8E"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1888BBD3" w14:textId="77777777" w:rsidTr="00AB3B37">
        <w:trPr>
          <w:trHeight w:val="499"/>
        </w:trPr>
        <w:tc>
          <w:tcPr>
            <w:tcW w:w="679" w:type="dxa"/>
            <w:shd w:val="clear" w:color="auto" w:fill="auto"/>
            <w:vAlign w:val="center"/>
          </w:tcPr>
          <w:p w14:paraId="7B3607E1" w14:textId="5872440E" w:rsidR="00AB3B37" w:rsidRPr="002F01EF" w:rsidRDefault="00AB3B37" w:rsidP="00AB3B37">
            <w:pPr>
              <w:jc w:val="center"/>
              <w:rPr>
                <w:bCs/>
                <w:szCs w:val="17"/>
              </w:rPr>
            </w:pPr>
            <w:r w:rsidRPr="002F01EF">
              <w:rPr>
                <w:bCs/>
                <w:szCs w:val="17"/>
              </w:rPr>
              <w:t>683</w:t>
            </w:r>
          </w:p>
        </w:tc>
        <w:tc>
          <w:tcPr>
            <w:tcW w:w="1866" w:type="dxa"/>
            <w:shd w:val="clear" w:color="auto" w:fill="auto"/>
            <w:vAlign w:val="center"/>
          </w:tcPr>
          <w:p w14:paraId="62D93A52" w14:textId="7AAF0CF1" w:rsidR="00AB3B37" w:rsidRPr="002F01EF" w:rsidRDefault="00AB3B37" w:rsidP="00AB3B37">
            <w:pPr>
              <w:jc w:val="center"/>
            </w:pPr>
            <w:r w:rsidRPr="002F01EF">
              <w:t>Article 144b – paragraph 4 – subparagraph 1</w:t>
            </w:r>
          </w:p>
        </w:tc>
        <w:tc>
          <w:tcPr>
            <w:tcW w:w="5964" w:type="dxa"/>
            <w:shd w:val="clear" w:color="auto" w:fill="auto"/>
          </w:tcPr>
          <w:p w14:paraId="429F5818" w14:textId="374B4504" w:rsidR="00AB3B37" w:rsidRPr="002F01EF" w:rsidRDefault="00AB3B37" w:rsidP="00AB3B37">
            <w:pPr>
              <w:jc w:val="left"/>
              <w:rPr>
                <w:bCs/>
                <w:szCs w:val="17"/>
              </w:rPr>
            </w:pPr>
            <w:r w:rsidRPr="002F01EF">
              <w:rPr>
                <w:bCs/>
                <w:szCs w:val="17"/>
              </w:rPr>
              <w:t>Change to NSA powers to suspend redemption right of life policyholders from “all undertakings” to just “undertakings” signalling that it could be applied to a subset</w:t>
            </w:r>
          </w:p>
        </w:tc>
        <w:tc>
          <w:tcPr>
            <w:tcW w:w="1865" w:type="dxa"/>
            <w:shd w:val="clear" w:color="auto" w:fill="auto"/>
            <w:vAlign w:val="center"/>
          </w:tcPr>
          <w:p w14:paraId="6B4FD17C"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760377AB" w14:textId="702483AC"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7E12CAFC" w14:textId="0BE54E1E"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32022D18" w14:textId="7C2D6B94"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1C3F0302" w14:textId="77777777" w:rsidTr="00AB3B37">
        <w:trPr>
          <w:trHeight w:val="499"/>
        </w:trPr>
        <w:tc>
          <w:tcPr>
            <w:tcW w:w="679" w:type="dxa"/>
            <w:shd w:val="clear" w:color="auto" w:fill="auto"/>
            <w:vAlign w:val="center"/>
          </w:tcPr>
          <w:p w14:paraId="48ADEF53" w14:textId="623923D3" w:rsidR="00AB3B37" w:rsidRPr="002F01EF" w:rsidRDefault="00AB3B37" w:rsidP="00AB3B37">
            <w:pPr>
              <w:jc w:val="center"/>
              <w:rPr>
                <w:bCs/>
                <w:szCs w:val="17"/>
              </w:rPr>
            </w:pPr>
            <w:r w:rsidRPr="002F01EF">
              <w:rPr>
                <w:bCs/>
                <w:szCs w:val="17"/>
              </w:rPr>
              <w:t>684</w:t>
            </w:r>
          </w:p>
        </w:tc>
        <w:tc>
          <w:tcPr>
            <w:tcW w:w="1866" w:type="dxa"/>
            <w:shd w:val="clear" w:color="auto" w:fill="auto"/>
            <w:vAlign w:val="center"/>
          </w:tcPr>
          <w:p w14:paraId="53C32FB9" w14:textId="28590061" w:rsidR="00AB3B37" w:rsidRPr="002F01EF" w:rsidRDefault="00AB3B37" w:rsidP="00AB3B37">
            <w:pPr>
              <w:jc w:val="center"/>
            </w:pPr>
            <w:r w:rsidRPr="002F01EF">
              <w:t>Article 144b – paragraph 5 – subparagraph 1</w:t>
            </w:r>
          </w:p>
        </w:tc>
        <w:tc>
          <w:tcPr>
            <w:tcW w:w="5964" w:type="dxa"/>
            <w:shd w:val="clear" w:color="auto" w:fill="auto"/>
          </w:tcPr>
          <w:p w14:paraId="020AAD9E" w14:textId="743BAC30" w:rsidR="00AB3B37" w:rsidRPr="002F01EF" w:rsidRDefault="00AB3B37" w:rsidP="00AB3B37">
            <w:pPr>
              <w:jc w:val="left"/>
              <w:rPr>
                <w:bCs/>
                <w:szCs w:val="17"/>
              </w:rPr>
            </w:pPr>
            <w:r w:rsidRPr="002F01EF">
              <w:rPr>
                <w:bCs/>
                <w:szCs w:val="17"/>
              </w:rPr>
              <w:t xml:space="preserve">Requirement for NSAs to </w:t>
            </w:r>
            <w:r w:rsidRPr="002F01EF">
              <w:rPr>
                <w:bCs/>
                <w:szCs w:val="17"/>
                <w:u w:val="single"/>
              </w:rPr>
              <w:t>timely</w:t>
            </w:r>
            <w:r w:rsidRPr="002F01EF">
              <w:rPr>
                <w:bCs/>
                <w:szCs w:val="17"/>
              </w:rPr>
              <w:t xml:space="preserve"> inform EIOPA and ESRB of use of macroprudential tools</w:t>
            </w:r>
          </w:p>
        </w:tc>
        <w:tc>
          <w:tcPr>
            <w:tcW w:w="1865" w:type="dxa"/>
            <w:shd w:val="clear" w:color="auto" w:fill="auto"/>
            <w:vAlign w:val="center"/>
          </w:tcPr>
          <w:p w14:paraId="5BF7B00C"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6EB33EF7" w14:textId="4829AD93"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6D838F41" w14:textId="6DFE672A"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6B1B9564" w14:textId="0DDCE6DB"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889FCB2" w14:textId="77777777" w:rsidTr="00AB3B37">
        <w:trPr>
          <w:trHeight w:val="499"/>
        </w:trPr>
        <w:tc>
          <w:tcPr>
            <w:tcW w:w="679" w:type="dxa"/>
            <w:shd w:val="clear" w:color="auto" w:fill="auto"/>
            <w:vAlign w:val="center"/>
          </w:tcPr>
          <w:p w14:paraId="44E2C7D9" w14:textId="4385F074" w:rsidR="00AB3B37" w:rsidRPr="002F01EF" w:rsidRDefault="00AB3B37" w:rsidP="00AB3B37">
            <w:pPr>
              <w:jc w:val="center"/>
              <w:rPr>
                <w:bCs/>
                <w:szCs w:val="17"/>
              </w:rPr>
            </w:pPr>
            <w:r w:rsidRPr="002F01EF">
              <w:rPr>
                <w:bCs/>
                <w:szCs w:val="17"/>
              </w:rPr>
              <w:t>685</w:t>
            </w:r>
          </w:p>
        </w:tc>
        <w:tc>
          <w:tcPr>
            <w:tcW w:w="1866" w:type="dxa"/>
            <w:shd w:val="clear" w:color="auto" w:fill="auto"/>
            <w:vAlign w:val="center"/>
          </w:tcPr>
          <w:p w14:paraId="4B199A16" w14:textId="3666B915" w:rsidR="00AB3B37" w:rsidRPr="0092408F" w:rsidRDefault="00AB3B37" w:rsidP="00AB3B37">
            <w:pPr>
              <w:jc w:val="center"/>
              <w:rPr>
                <w:lang w:val="fr-FR"/>
              </w:rPr>
            </w:pPr>
            <w:r w:rsidRPr="0092408F">
              <w:rPr>
                <w:lang w:val="fr-FR"/>
              </w:rPr>
              <w:t>Article 144b – paragraph 1 – point a</w:t>
            </w:r>
          </w:p>
        </w:tc>
        <w:tc>
          <w:tcPr>
            <w:tcW w:w="5964" w:type="dxa"/>
            <w:shd w:val="clear" w:color="auto" w:fill="auto"/>
          </w:tcPr>
          <w:p w14:paraId="3039180F" w14:textId="78357A3E" w:rsidR="00AB3B37" w:rsidRPr="002F01EF" w:rsidRDefault="00AB3B37" w:rsidP="00AB3B37">
            <w:pPr>
              <w:jc w:val="left"/>
              <w:rPr>
                <w:bCs/>
                <w:szCs w:val="17"/>
              </w:rPr>
            </w:pPr>
            <w:r w:rsidRPr="002F01EF">
              <w:rPr>
                <w:bCs/>
                <w:szCs w:val="17"/>
              </w:rPr>
              <w:t>Editorial changes on the scope of guidelines to be produced by EIOPA</w:t>
            </w:r>
          </w:p>
        </w:tc>
        <w:tc>
          <w:tcPr>
            <w:tcW w:w="1865" w:type="dxa"/>
            <w:shd w:val="clear" w:color="auto" w:fill="auto"/>
            <w:vAlign w:val="center"/>
          </w:tcPr>
          <w:p w14:paraId="01E2AD50"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195CB7AA" w14:textId="701F80FE"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14FEC1C9" w14:textId="3A00E515" w:rsidR="00AB3B37" w:rsidRPr="002F01EF" w:rsidRDefault="00AB3B37" w:rsidP="00AB3B37">
            <w:pPr>
              <w:jc w:val="center"/>
              <w:rPr>
                <w:bCs/>
                <w:szCs w:val="17"/>
              </w:rPr>
            </w:pPr>
            <w:r w:rsidRPr="002F01EF">
              <w:rPr>
                <w:bCs/>
                <w:szCs w:val="17"/>
              </w:rPr>
              <w:t>editorial</w:t>
            </w:r>
          </w:p>
        </w:tc>
        <w:tc>
          <w:tcPr>
            <w:tcW w:w="1886" w:type="dxa"/>
            <w:shd w:val="clear" w:color="auto" w:fill="auto"/>
            <w:vAlign w:val="center"/>
          </w:tcPr>
          <w:p w14:paraId="0C5D0B5F" w14:textId="2FBEE108" w:rsidR="00AB3B37" w:rsidRPr="002F01EF" w:rsidRDefault="00AB3B37" w:rsidP="00AB3B37">
            <w:pPr>
              <w:jc w:val="center"/>
              <w:rPr>
                <w:b/>
                <w:color w:val="808080" w:themeColor="background1" w:themeShade="80"/>
                <w:szCs w:val="17"/>
              </w:rPr>
            </w:pPr>
          </w:p>
        </w:tc>
      </w:tr>
      <w:tr w:rsidR="00AB3B37" w:rsidRPr="002F01EF" w14:paraId="0BC46CF0" w14:textId="77777777" w:rsidTr="00AB3B37">
        <w:trPr>
          <w:trHeight w:val="499"/>
        </w:trPr>
        <w:tc>
          <w:tcPr>
            <w:tcW w:w="679" w:type="dxa"/>
            <w:shd w:val="clear" w:color="auto" w:fill="auto"/>
            <w:vAlign w:val="center"/>
          </w:tcPr>
          <w:p w14:paraId="191C6937" w14:textId="4170EEE9" w:rsidR="00AB3B37" w:rsidRPr="002F01EF" w:rsidRDefault="00AB3B37" w:rsidP="00AB3B37">
            <w:pPr>
              <w:jc w:val="center"/>
              <w:rPr>
                <w:bCs/>
                <w:szCs w:val="17"/>
              </w:rPr>
            </w:pPr>
            <w:r w:rsidRPr="002F01EF">
              <w:rPr>
                <w:bCs/>
                <w:szCs w:val="17"/>
              </w:rPr>
              <w:t>686</w:t>
            </w:r>
          </w:p>
        </w:tc>
        <w:tc>
          <w:tcPr>
            <w:tcW w:w="1866" w:type="dxa"/>
            <w:shd w:val="clear" w:color="auto" w:fill="auto"/>
            <w:vAlign w:val="center"/>
          </w:tcPr>
          <w:p w14:paraId="71FD17BA" w14:textId="012FBE4F" w:rsidR="00AB3B37" w:rsidRPr="002F01EF" w:rsidRDefault="00AB3B37" w:rsidP="00AB3B37">
            <w:pPr>
              <w:jc w:val="center"/>
            </w:pPr>
            <w:r w:rsidRPr="002F01EF">
              <w:t>Article 144c – paragraph 1</w:t>
            </w:r>
          </w:p>
        </w:tc>
        <w:tc>
          <w:tcPr>
            <w:tcW w:w="5964" w:type="dxa"/>
            <w:shd w:val="clear" w:color="auto" w:fill="auto"/>
          </w:tcPr>
          <w:p w14:paraId="158435FB" w14:textId="5370F05D" w:rsidR="00AB3B37" w:rsidRPr="002F01EF" w:rsidRDefault="00AB3B37" w:rsidP="00AB3B37">
            <w:pPr>
              <w:jc w:val="left"/>
              <w:rPr>
                <w:bCs/>
                <w:szCs w:val="17"/>
              </w:rPr>
            </w:pPr>
            <w:r w:rsidRPr="002F01EF">
              <w:rPr>
                <w:bCs/>
                <w:szCs w:val="17"/>
              </w:rPr>
              <w:t>Proposal regarding the trigger point for new NSA intervention points from “exceptional market wide shocks” to “exceptional adverse situations” (</w:t>
            </w:r>
            <w:proofErr w:type="spellStart"/>
            <w:r w:rsidRPr="002F01EF">
              <w:rPr>
                <w:bCs/>
                <w:szCs w:val="17"/>
              </w:rPr>
              <w:t>nb</w:t>
            </w:r>
            <w:proofErr w:type="spellEnd"/>
            <w:r w:rsidRPr="002F01EF">
              <w:rPr>
                <w:bCs/>
                <w:szCs w:val="17"/>
              </w:rPr>
              <w:t xml:space="preserve"> this would align the definition with Art. 138)</w:t>
            </w:r>
          </w:p>
        </w:tc>
        <w:tc>
          <w:tcPr>
            <w:tcW w:w="1865" w:type="dxa"/>
            <w:shd w:val="clear" w:color="auto" w:fill="auto"/>
            <w:vAlign w:val="center"/>
          </w:tcPr>
          <w:p w14:paraId="0CE7A5CD"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0C1797F5" w14:textId="2DD05C0D"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002D4735" w14:textId="50EBC6D2"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64116E61" w14:textId="6CF43985"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2340BFB9" w14:textId="77777777" w:rsidTr="00AB3B37">
        <w:trPr>
          <w:trHeight w:val="499"/>
        </w:trPr>
        <w:tc>
          <w:tcPr>
            <w:tcW w:w="679" w:type="dxa"/>
            <w:shd w:val="clear" w:color="auto" w:fill="auto"/>
            <w:vAlign w:val="center"/>
          </w:tcPr>
          <w:p w14:paraId="597D8A63" w14:textId="24343E2D" w:rsidR="00AB3B37" w:rsidRPr="002F01EF" w:rsidRDefault="00AB3B37" w:rsidP="00AB3B37">
            <w:pPr>
              <w:jc w:val="center"/>
              <w:rPr>
                <w:bCs/>
                <w:szCs w:val="17"/>
              </w:rPr>
            </w:pPr>
            <w:r w:rsidRPr="002F01EF">
              <w:rPr>
                <w:bCs/>
                <w:szCs w:val="17"/>
              </w:rPr>
              <w:t>687</w:t>
            </w:r>
          </w:p>
        </w:tc>
        <w:tc>
          <w:tcPr>
            <w:tcW w:w="1866" w:type="dxa"/>
            <w:shd w:val="clear" w:color="auto" w:fill="auto"/>
            <w:vAlign w:val="center"/>
          </w:tcPr>
          <w:p w14:paraId="4032EE5A" w14:textId="1D5E6322" w:rsidR="00AB3B37" w:rsidRPr="002F01EF" w:rsidRDefault="00AB3B37" w:rsidP="00AB3B37">
            <w:pPr>
              <w:jc w:val="center"/>
            </w:pPr>
            <w:r w:rsidRPr="002F01EF">
              <w:t>Article 144c – paragraph 2 – subparagraph 1</w:t>
            </w:r>
          </w:p>
        </w:tc>
        <w:tc>
          <w:tcPr>
            <w:tcW w:w="5964" w:type="dxa"/>
            <w:shd w:val="clear" w:color="auto" w:fill="auto"/>
          </w:tcPr>
          <w:p w14:paraId="7CEECC3B" w14:textId="4889815C" w:rsidR="00AB3B37" w:rsidRPr="002F01EF" w:rsidRDefault="00AB3B37" w:rsidP="00AB3B37">
            <w:pPr>
              <w:jc w:val="left"/>
              <w:rPr>
                <w:bCs/>
                <w:szCs w:val="17"/>
              </w:rPr>
            </w:pPr>
            <w:r w:rsidRPr="002F01EF">
              <w:rPr>
                <w:bCs/>
                <w:szCs w:val="17"/>
              </w:rPr>
              <w:t>Editorial changes to the proposed powers for NSAs to intervene in periods of exceptional market wide shocks</w:t>
            </w:r>
          </w:p>
        </w:tc>
        <w:tc>
          <w:tcPr>
            <w:tcW w:w="1865" w:type="dxa"/>
            <w:shd w:val="clear" w:color="auto" w:fill="auto"/>
            <w:vAlign w:val="center"/>
          </w:tcPr>
          <w:p w14:paraId="701DF5F5" w14:textId="0A06659C"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4871A207" w14:textId="44D1CD91" w:rsidR="00AB3B37" w:rsidRPr="002F01EF" w:rsidRDefault="00AB3B37" w:rsidP="00AB3B37">
            <w:pPr>
              <w:jc w:val="center"/>
              <w:rPr>
                <w:bCs/>
                <w:szCs w:val="17"/>
              </w:rPr>
            </w:pPr>
            <w:r w:rsidRPr="002F01EF">
              <w:rPr>
                <w:bCs/>
                <w:szCs w:val="17"/>
              </w:rPr>
              <w:t>Editorial</w:t>
            </w:r>
          </w:p>
        </w:tc>
        <w:tc>
          <w:tcPr>
            <w:tcW w:w="1886" w:type="dxa"/>
            <w:shd w:val="clear" w:color="auto" w:fill="auto"/>
            <w:vAlign w:val="center"/>
          </w:tcPr>
          <w:p w14:paraId="4A61C148" w14:textId="22BF66E4" w:rsidR="00AB3B37" w:rsidRPr="002F01EF" w:rsidRDefault="00AB3B37" w:rsidP="00AB3B37">
            <w:pPr>
              <w:jc w:val="center"/>
              <w:rPr>
                <w:bCs/>
                <w:szCs w:val="17"/>
              </w:rPr>
            </w:pPr>
          </w:p>
        </w:tc>
      </w:tr>
      <w:tr w:rsidR="00AB3B37" w:rsidRPr="002F01EF" w14:paraId="24BD4617" w14:textId="77777777" w:rsidTr="00AB3B37">
        <w:trPr>
          <w:trHeight w:val="499"/>
        </w:trPr>
        <w:tc>
          <w:tcPr>
            <w:tcW w:w="679" w:type="dxa"/>
            <w:shd w:val="clear" w:color="auto" w:fill="auto"/>
            <w:vAlign w:val="center"/>
          </w:tcPr>
          <w:p w14:paraId="15FA5F41" w14:textId="1F3EE952" w:rsidR="00AB3B37" w:rsidRPr="002F01EF" w:rsidRDefault="00AB3B37" w:rsidP="00AB3B37">
            <w:pPr>
              <w:jc w:val="center"/>
              <w:rPr>
                <w:bCs/>
                <w:szCs w:val="17"/>
              </w:rPr>
            </w:pPr>
            <w:r w:rsidRPr="002F01EF">
              <w:rPr>
                <w:bCs/>
                <w:szCs w:val="17"/>
              </w:rPr>
              <w:t>688</w:t>
            </w:r>
          </w:p>
        </w:tc>
        <w:tc>
          <w:tcPr>
            <w:tcW w:w="1866" w:type="dxa"/>
            <w:shd w:val="clear" w:color="auto" w:fill="auto"/>
            <w:vAlign w:val="center"/>
          </w:tcPr>
          <w:p w14:paraId="41250446" w14:textId="14665255" w:rsidR="00AB3B37" w:rsidRPr="002F01EF" w:rsidRDefault="00AB3B37" w:rsidP="00AB3B37">
            <w:pPr>
              <w:jc w:val="center"/>
            </w:pPr>
            <w:r w:rsidRPr="002F01EF">
              <w:t>Article 144c – paragraph 2 – subparagraph 1</w:t>
            </w:r>
          </w:p>
        </w:tc>
        <w:tc>
          <w:tcPr>
            <w:tcW w:w="5964" w:type="dxa"/>
            <w:shd w:val="clear" w:color="auto" w:fill="auto"/>
          </w:tcPr>
          <w:p w14:paraId="4421CC18" w14:textId="0622DC2E" w:rsidR="00AB3B37" w:rsidRPr="002F01EF" w:rsidRDefault="00AB3B37" w:rsidP="00AB3B37">
            <w:pPr>
              <w:jc w:val="left"/>
              <w:rPr>
                <w:bCs/>
                <w:szCs w:val="17"/>
              </w:rPr>
            </w:pPr>
            <w:r w:rsidRPr="002F01EF">
              <w:rPr>
                <w:bCs/>
                <w:szCs w:val="17"/>
              </w:rPr>
              <w:t>Expansion of proposed powers for NSAs to intervene in periods of exceptional market wide shocks from undertakings with particularly vulnerable risk profile to all undertakings</w:t>
            </w:r>
          </w:p>
        </w:tc>
        <w:tc>
          <w:tcPr>
            <w:tcW w:w="1865" w:type="dxa"/>
            <w:shd w:val="clear" w:color="auto" w:fill="auto"/>
            <w:vAlign w:val="center"/>
          </w:tcPr>
          <w:p w14:paraId="2F2C2641"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5F9F8650" w14:textId="4BC469DF"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05F0A3DA" w14:textId="0E3386C8"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7BCA8E2D" w14:textId="727569D3" w:rsidR="00AB3B37" w:rsidRPr="002F01EF" w:rsidRDefault="00FC5AC9" w:rsidP="00AB3B37">
            <w:pPr>
              <w:jc w:val="center"/>
              <w:rPr>
                <w:bCs/>
                <w:szCs w:val="17"/>
              </w:rPr>
            </w:pPr>
            <w:r w:rsidRPr="002F01EF">
              <w:rPr>
                <w:b/>
                <w:color w:val="FF0000"/>
                <w:szCs w:val="17"/>
              </w:rPr>
              <w:t>Negative</w:t>
            </w:r>
          </w:p>
        </w:tc>
      </w:tr>
      <w:tr w:rsidR="00AB3B37" w:rsidRPr="002F01EF" w14:paraId="5FD0D74B" w14:textId="77777777" w:rsidTr="00AB3B37">
        <w:trPr>
          <w:trHeight w:val="499"/>
        </w:trPr>
        <w:tc>
          <w:tcPr>
            <w:tcW w:w="679" w:type="dxa"/>
            <w:shd w:val="clear" w:color="auto" w:fill="auto"/>
            <w:vAlign w:val="center"/>
          </w:tcPr>
          <w:p w14:paraId="2197F95E" w14:textId="0A760B49" w:rsidR="00AB3B37" w:rsidRPr="002F01EF" w:rsidRDefault="00AB3B37" w:rsidP="00AB3B37">
            <w:pPr>
              <w:jc w:val="center"/>
              <w:rPr>
                <w:bCs/>
                <w:szCs w:val="17"/>
              </w:rPr>
            </w:pPr>
            <w:r w:rsidRPr="002F01EF">
              <w:rPr>
                <w:bCs/>
                <w:szCs w:val="17"/>
              </w:rPr>
              <w:t>689</w:t>
            </w:r>
          </w:p>
        </w:tc>
        <w:tc>
          <w:tcPr>
            <w:tcW w:w="1866" w:type="dxa"/>
            <w:shd w:val="clear" w:color="auto" w:fill="auto"/>
            <w:vAlign w:val="center"/>
          </w:tcPr>
          <w:p w14:paraId="5E464E82" w14:textId="134898CA" w:rsidR="00AB3B37" w:rsidRPr="002F01EF" w:rsidRDefault="00AB3B37" w:rsidP="00AB3B37">
            <w:pPr>
              <w:jc w:val="center"/>
            </w:pPr>
            <w:r w:rsidRPr="002F01EF">
              <w:t>Article 144c – paragraph 3</w:t>
            </w:r>
          </w:p>
        </w:tc>
        <w:tc>
          <w:tcPr>
            <w:tcW w:w="5964" w:type="dxa"/>
            <w:shd w:val="clear" w:color="auto" w:fill="auto"/>
          </w:tcPr>
          <w:p w14:paraId="4A3EB661" w14:textId="7EF43CA9" w:rsidR="00AB3B37" w:rsidRPr="002F01EF" w:rsidRDefault="00AB3B37" w:rsidP="00AB3B37">
            <w:pPr>
              <w:jc w:val="left"/>
              <w:rPr>
                <w:bCs/>
                <w:szCs w:val="17"/>
              </w:rPr>
            </w:pPr>
            <w:r w:rsidRPr="002F01EF">
              <w:rPr>
                <w:bCs/>
                <w:szCs w:val="17"/>
              </w:rPr>
              <w:t>Modification of the considerations NSAs must make when applying new powers</w:t>
            </w:r>
            <w:r w:rsidR="003576A1" w:rsidRPr="002F01EF">
              <w:rPr>
                <w:bCs/>
                <w:szCs w:val="17"/>
              </w:rPr>
              <w:t xml:space="preserve">, when only applied to one undertaking it should not be discriminatory. </w:t>
            </w:r>
          </w:p>
        </w:tc>
        <w:tc>
          <w:tcPr>
            <w:tcW w:w="1865" w:type="dxa"/>
            <w:shd w:val="clear" w:color="auto" w:fill="auto"/>
            <w:vAlign w:val="center"/>
          </w:tcPr>
          <w:p w14:paraId="62E78951" w14:textId="63E7DD70"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678BDFB6" w14:textId="4EFD442A"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7C12298C" w14:textId="4AEB923D" w:rsidR="00AB3B37" w:rsidRPr="002F01EF" w:rsidRDefault="00633005" w:rsidP="00AB3B37">
            <w:pPr>
              <w:jc w:val="center"/>
              <w:rPr>
                <w:bCs/>
                <w:szCs w:val="17"/>
              </w:rPr>
            </w:pPr>
            <w:r w:rsidRPr="002F01EF">
              <w:rPr>
                <w:b/>
                <w:color w:val="808080" w:themeColor="background1" w:themeShade="80"/>
                <w:szCs w:val="17"/>
              </w:rPr>
              <w:t>Neutral</w:t>
            </w:r>
          </w:p>
        </w:tc>
      </w:tr>
      <w:tr w:rsidR="00AB3B37" w:rsidRPr="002F01EF" w14:paraId="306E2E4C" w14:textId="77777777" w:rsidTr="00AB3B37">
        <w:trPr>
          <w:trHeight w:val="499"/>
        </w:trPr>
        <w:tc>
          <w:tcPr>
            <w:tcW w:w="679" w:type="dxa"/>
            <w:shd w:val="clear" w:color="auto" w:fill="auto"/>
            <w:vAlign w:val="center"/>
          </w:tcPr>
          <w:p w14:paraId="0966E4BE" w14:textId="2599FED5" w:rsidR="00AB3B37" w:rsidRPr="002F01EF" w:rsidRDefault="00AB3B37" w:rsidP="00AB3B37">
            <w:pPr>
              <w:jc w:val="center"/>
              <w:rPr>
                <w:bCs/>
                <w:szCs w:val="17"/>
              </w:rPr>
            </w:pPr>
            <w:r w:rsidRPr="002F01EF">
              <w:rPr>
                <w:bCs/>
                <w:szCs w:val="17"/>
              </w:rPr>
              <w:lastRenderedPageBreak/>
              <w:t>690</w:t>
            </w:r>
          </w:p>
        </w:tc>
        <w:tc>
          <w:tcPr>
            <w:tcW w:w="1866" w:type="dxa"/>
            <w:shd w:val="clear" w:color="auto" w:fill="auto"/>
            <w:vAlign w:val="center"/>
          </w:tcPr>
          <w:p w14:paraId="4B6203DF" w14:textId="6976CD36" w:rsidR="00AB3B37" w:rsidRPr="002F01EF" w:rsidRDefault="00AB3B37" w:rsidP="00AB3B37">
            <w:pPr>
              <w:jc w:val="center"/>
            </w:pPr>
            <w:r w:rsidRPr="002F01EF">
              <w:t>Article 144c – paragraph 6</w:t>
            </w:r>
          </w:p>
        </w:tc>
        <w:tc>
          <w:tcPr>
            <w:tcW w:w="5964" w:type="dxa"/>
            <w:shd w:val="clear" w:color="auto" w:fill="auto"/>
          </w:tcPr>
          <w:p w14:paraId="0A3B5A5B" w14:textId="65837B98" w:rsidR="00AB3B37" w:rsidRPr="002F01EF" w:rsidRDefault="00AB3B37" w:rsidP="00AB3B37">
            <w:pPr>
              <w:jc w:val="left"/>
              <w:rPr>
                <w:bCs/>
                <w:szCs w:val="17"/>
              </w:rPr>
            </w:pPr>
            <w:r w:rsidRPr="002F01EF">
              <w:rPr>
                <w:bCs/>
                <w:szCs w:val="17"/>
              </w:rPr>
              <w:t xml:space="preserve">Proposal to remove the carve-out for </w:t>
            </w:r>
            <w:r w:rsidR="00F30341" w:rsidRPr="002F01EF">
              <w:rPr>
                <w:bCs/>
                <w:szCs w:val="17"/>
              </w:rPr>
              <w:t>intr</w:t>
            </w:r>
            <w:r w:rsidR="001552DD" w:rsidRPr="002F01EF">
              <w:rPr>
                <w:bCs/>
                <w:szCs w:val="17"/>
              </w:rPr>
              <w:t>a</w:t>
            </w:r>
            <w:r w:rsidRPr="002F01EF">
              <w:rPr>
                <w:bCs/>
                <w:szCs w:val="17"/>
              </w:rPr>
              <w:t>-group transactions</w:t>
            </w:r>
          </w:p>
        </w:tc>
        <w:tc>
          <w:tcPr>
            <w:tcW w:w="1865" w:type="dxa"/>
            <w:shd w:val="clear" w:color="auto" w:fill="auto"/>
            <w:vAlign w:val="center"/>
          </w:tcPr>
          <w:p w14:paraId="092CFC26" w14:textId="77777777"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22060E75" w14:textId="1DD1EFEF"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5D655739" w14:textId="19EE6B29" w:rsidR="00AB3B37" w:rsidRPr="002F01EF" w:rsidRDefault="00AB3B37" w:rsidP="00AB3B37">
            <w:pPr>
              <w:jc w:val="center"/>
              <w:rPr>
                <w:bCs/>
                <w:szCs w:val="17"/>
              </w:rPr>
            </w:pPr>
            <w:r w:rsidRPr="002F01EF">
              <w:rPr>
                <w:bCs/>
                <w:szCs w:val="17"/>
              </w:rPr>
              <w:t>Macroprudential</w:t>
            </w:r>
          </w:p>
        </w:tc>
        <w:tc>
          <w:tcPr>
            <w:tcW w:w="1886" w:type="dxa"/>
            <w:shd w:val="clear" w:color="auto" w:fill="auto"/>
            <w:vAlign w:val="center"/>
          </w:tcPr>
          <w:p w14:paraId="13D012CE" w14:textId="7CC4C17F" w:rsidR="00AB3B37" w:rsidRPr="002F01EF" w:rsidRDefault="00FC5AC9" w:rsidP="00AB3B37">
            <w:pPr>
              <w:jc w:val="center"/>
              <w:rPr>
                <w:bCs/>
                <w:szCs w:val="17"/>
              </w:rPr>
            </w:pPr>
            <w:r w:rsidRPr="002F01EF">
              <w:rPr>
                <w:b/>
                <w:color w:val="FF0000"/>
                <w:szCs w:val="17"/>
              </w:rPr>
              <w:t>Negative</w:t>
            </w:r>
          </w:p>
        </w:tc>
      </w:tr>
      <w:tr w:rsidR="00AB3B37" w:rsidRPr="002F01EF" w14:paraId="695EEEA9" w14:textId="77777777" w:rsidTr="00AB3B37">
        <w:trPr>
          <w:trHeight w:val="499"/>
        </w:trPr>
        <w:tc>
          <w:tcPr>
            <w:tcW w:w="679" w:type="dxa"/>
            <w:shd w:val="clear" w:color="auto" w:fill="auto"/>
            <w:vAlign w:val="center"/>
          </w:tcPr>
          <w:p w14:paraId="795F04FC" w14:textId="718854F2" w:rsidR="00AB3B37" w:rsidRPr="002F01EF" w:rsidRDefault="00AB3B37" w:rsidP="00AB3B37">
            <w:pPr>
              <w:jc w:val="center"/>
              <w:rPr>
                <w:bCs/>
                <w:szCs w:val="17"/>
              </w:rPr>
            </w:pPr>
            <w:r w:rsidRPr="002F01EF">
              <w:rPr>
                <w:bCs/>
                <w:szCs w:val="17"/>
              </w:rPr>
              <w:t>691</w:t>
            </w:r>
          </w:p>
        </w:tc>
        <w:tc>
          <w:tcPr>
            <w:tcW w:w="1866" w:type="dxa"/>
            <w:shd w:val="clear" w:color="auto" w:fill="auto"/>
            <w:vAlign w:val="center"/>
          </w:tcPr>
          <w:p w14:paraId="4D4F2C6F" w14:textId="4D591986" w:rsidR="00AB3B37" w:rsidRPr="002F01EF" w:rsidRDefault="00AB3B37" w:rsidP="00AB3B37">
            <w:pPr>
              <w:jc w:val="center"/>
            </w:pPr>
            <w:r w:rsidRPr="002F01EF">
              <w:t>Article 149 -paragraph 2</w:t>
            </w:r>
          </w:p>
        </w:tc>
        <w:tc>
          <w:tcPr>
            <w:tcW w:w="5964" w:type="dxa"/>
            <w:shd w:val="clear" w:color="auto" w:fill="auto"/>
          </w:tcPr>
          <w:p w14:paraId="716885F3" w14:textId="79F55348" w:rsidR="00AB3B37" w:rsidRPr="002F01EF" w:rsidRDefault="00AB3B37" w:rsidP="00AB3B37">
            <w:pPr>
              <w:jc w:val="left"/>
              <w:rPr>
                <w:bCs/>
                <w:szCs w:val="17"/>
              </w:rPr>
            </w:pPr>
            <w:r w:rsidRPr="002F01EF">
              <w:rPr>
                <w:bCs/>
                <w:szCs w:val="17"/>
              </w:rPr>
              <w:t xml:space="preserve">Clarification of the timing </w:t>
            </w:r>
            <w:r w:rsidR="00D117B9" w:rsidRPr="002F01EF">
              <w:rPr>
                <w:bCs/>
                <w:szCs w:val="17"/>
              </w:rPr>
              <w:t xml:space="preserve">– withing one month - </w:t>
            </w:r>
            <w:r w:rsidRPr="002F01EF">
              <w:rPr>
                <w:bCs/>
                <w:szCs w:val="17"/>
              </w:rPr>
              <w:t>of information exchange between Home and Host NSA</w:t>
            </w:r>
          </w:p>
        </w:tc>
        <w:tc>
          <w:tcPr>
            <w:tcW w:w="1865" w:type="dxa"/>
            <w:shd w:val="clear" w:color="auto" w:fill="auto"/>
            <w:vAlign w:val="center"/>
          </w:tcPr>
          <w:p w14:paraId="51E79D22" w14:textId="729ABA21"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3D8403E2" w14:textId="4C46B18A"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C95C979" w14:textId="36BB9673" w:rsidR="00AB3B37" w:rsidRPr="002F01EF" w:rsidRDefault="00633005" w:rsidP="00AB3B37">
            <w:pPr>
              <w:jc w:val="center"/>
              <w:rPr>
                <w:bCs/>
                <w:szCs w:val="17"/>
              </w:rPr>
            </w:pPr>
            <w:r w:rsidRPr="002F01EF">
              <w:rPr>
                <w:b/>
                <w:color w:val="808080" w:themeColor="background1" w:themeShade="80"/>
                <w:szCs w:val="17"/>
              </w:rPr>
              <w:t>Neutral</w:t>
            </w:r>
          </w:p>
        </w:tc>
      </w:tr>
      <w:tr w:rsidR="00AB3B37" w:rsidRPr="002F01EF" w14:paraId="1F1A3663" w14:textId="77777777" w:rsidTr="00AB3B37">
        <w:trPr>
          <w:trHeight w:val="499"/>
        </w:trPr>
        <w:tc>
          <w:tcPr>
            <w:tcW w:w="679" w:type="dxa"/>
            <w:shd w:val="clear" w:color="auto" w:fill="auto"/>
            <w:vAlign w:val="center"/>
          </w:tcPr>
          <w:p w14:paraId="307EC5C3" w14:textId="391F21A5" w:rsidR="00AB3B37" w:rsidRPr="002F01EF" w:rsidRDefault="00AB3B37" w:rsidP="00AB3B37">
            <w:pPr>
              <w:jc w:val="center"/>
              <w:rPr>
                <w:bCs/>
                <w:szCs w:val="17"/>
              </w:rPr>
            </w:pPr>
            <w:r w:rsidRPr="002F01EF">
              <w:rPr>
                <w:bCs/>
                <w:szCs w:val="17"/>
              </w:rPr>
              <w:t>692</w:t>
            </w:r>
          </w:p>
        </w:tc>
        <w:tc>
          <w:tcPr>
            <w:tcW w:w="1866" w:type="dxa"/>
            <w:shd w:val="clear" w:color="auto" w:fill="auto"/>
            <w:vAlign w:val="center"/>
          </w:tcPr>
          <w:p w14:paraId="0A75A841" w14:textId="685482A7" w:rsidR="00AB3B37" w:rsidRPr="002F01EF" w:rsidRDefault="00AB3B37" w:rsidP="00AB3B37">
            <w:pPr>
              <w:jc w:val="center"/>
            </w:pPr>
            <w:r w:rsidRPr="002F01EF">
              <w:t>Article 152a – paragraph 2</w:t>
            </w:r>
          </w:p>
        </w:tc>
        <w:tc>
          <w:tcPr>
            <w:tcW w:w="5964" w:type="dxa"/>
            <w:shd w:val="clear" w:color="auto" w:fill="auto"/>
          </w:tcPr>
          <w:p w14:paraId="44FC5A39" w14:textId="737ECA4D" w:rsidR="00AB3B37" w:rsidRPr="002F01EF" w:rsidRDefault="00AB3B37" w:rsidP="00AB3B37">
            <w:pPr>
              <w:jc w:val="left"/>
              <w:rPr>
                <w:bCs/>
                <w:szCs w:val="17"/>
              </w:rPr>
            </w:pPr>
            <w:r w:rsidRPr="002F01EF">
              <w:rPr>
                <w:bCs/>
                <w:szCs w:val="17"/>
              </w:rPr>
              <w:t>Strengthen requirement for home NSA to inform host NSA and EIOPA if it has consumer protection issues.</w:t>
            </w:r>
          </w:p>
          <w:p w14:paraId="3F5C1320" w14:textId="77777777" w:rsidR="00AB3B37" w:rsidRPr="002F01EF" w:rsidRDefault="00AB3B37" w:rsidP="00AB3B37">
            <w:pPr>
              <w:jc w:val="left"/>
              <w:rPr>
                <w:bCs/>
                <w:szCs w:val="17"/>
              </w:rPr>
            </w:pPr>
          </w:p>
          <w:p w14:paraId="5EC473FE" w14:textId="4A166E76" w:rsidR="00AB3B37" w:rsidRPr="002F01EF" w:rsidRDefault="00AB3B37" w:rsidP="00AB3B37">
            <w:pPr>
              <w:jc w:val="left"/>
              <w:rPr>
                <w:bCs/>
                <w:szCs w:val="17"/>
              </w:rPr>
            </w:pPr>
            <w:r w:rsidRPr="002F01EF">
              <w:rPr>
                <w:bCs/>
                <w:szCs w:val="17"/>
              </w:rPr>
              <w:t>Remove the power for NSAs to request assistance from EIOPA.</w:t>
            </w:r>
          </w:p>
        </w:tc>
        <w:tc>
          <w:tcPr>
            <w:tcW w:w="1865" w:type="dxa"/>
            <w:shd w:val="clear" w:color="auto" w:fill="auto"/>
            <w:vAlign w:val="center"/>
          </w:tcPr>
          <w:p w14:paraId="31A2C1D3" w14:textId="17D73C7B"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4BF27A5E" w14:textId="7CB33BBD"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304D4343" w14:textId="2DC24C38" w:rsidR="00AB3B37" w:rsidRPr="002F01EF" w:rsidRDefault="00633005" w:rsidP="00AB3B37">
            <w:pPr>
              <w:jc w:val="center"/>
              <w:rPr>
                <w:bCs/>
                <w:szCs w:val="17"/>
              </w:rPr>
            </w:pPr>
            <w:r w:rsidRPr="002F01EF">
              <w:rPr>
                <w:b/>
                <w:color w:val="808080" w:themeColor="background1" w:themeShade="80"/>
                <w:szCs w:val="17"/>
              </w:rPr>
              <w:t>Neutral</w:t>
            </w:r>
          </w:p>
        </w:tc>
      </w:tr>
      <w:tr w:rsidR="00AB3B37" w:rsidRPr="002F01EF" w14:paraId="277A755D" w14:textId="77777777" w:rsidTr="00AB3B37">
        <w:trPr>
          <w:trHeight w:val="499"/>
        </w:trPr>
        <w:tc>
          <w:tcPr>
            <w:tcW w:w="679" w:type="dxa"/>
            <w:shd w:val="clear" w:color="auto" w:fill="auto"/>
            <w:vAlign w:val="center"/>
          </w:tcPr>
          <w:p w14:paraId="25976BB6" w14:textId="4A97EC91" w:rsidR="00AB3B37" w:rsidRPr="002F01EF" w:rsidRDefault="00AB3B37" w:rsidP="00AB3B37">
            <w:pPr>
              <w:jc w:val="center"/>
              <w:rPr>
                <w:bCs/>
                <w:szCs w:val="17"/>
              </w:rPr>
            </w:pPr>
            <w:r w:rsidRPr="002F01EF">
              <w:rPr>
                <w:bCs/>
                <w:szCs w:val="17"/>
              </w:rPr>
              <w:t>693</w:t>
            </w:r>
          </w:p>
        </w:tc>
        <w:tc>
          <w:tcPr>
            <w:tcW w:w="1866" w:type="dxa"/>
            <w:shd w:val="clear" w:color="auto" w:fill="auto"/>
            <w:vAlign w:val="center"/>
          </w:tcPr>
          <w:p w14:paraId="3D0BFA50" w14:textId="4ED28CA2" w:rsidR="00AB3B37" w:rsidRPr="002F01EF" w:rsidRDefault="00AB3B37" w:rsidP="00AB3B37">
            <w:pPr>
              <w:jc w:val="center"/>
            </w:pPr>
            <w:r w:rsidRPr="002F01EF">
              <w:t>Article 152a – paragraph 2</w:t>
            </w:r>
          </w:p>
        </w:tc>
        <w:tc>
          <w:tcPr>
            <w:tcW w:w="5964" w:type="dxa"/>
            <w:shd w:val="clear" w:color="auto" w:fill="auto"/>
          </w:tcPr>
          <w:p w14:paraId="0F8E96B2" w14:textId="5894B1CA" w:rsidR="00AB3B37" w:rsidRPr="002F01EF" w:rsidRDefault="00AB3B37" w:rsidP="00AB3B37">
            <w:pPr>
              <w:jc w:val="left"/>
              <w:rPr>
                <w:bCs/>
                <w:szCs w:val="17"/>
              </w:rPr>
            </w:pPr>
            <w:r w:rsidRPr="002F01EF">
              <w:rPr>
                <w:bCs/>
                <w:szCs w:val="17"/>
              </w:rPr>
              <w:t>Clarification that the host NSA should be kept informed of any cross</w:t>
            </w:r>
            <w:r w:rsidR="005723F0" w:rsidRPr="002F01EF">
              <w:rPr>
                <w:bCs/>
                <w:szCs w:val="17"/>
              </w:rPr>
              <w:t>-</w:t>
            </w:r>
            <w:r w:rsidRPr="002F01EF">
              <w:rPr>
                <w:bCs/>
                <w:szCs w:val="17"/>
              </w:rPr>
              <w:t>border issues identified by the home NSA</w:t>
            </w:r>
          </w:p>
        </w:tc>
        <w:tc>
          <w:tcPr>
            <w:tcW w:w="1865" w:type="dxa"/>
            <w:shd w:val="clear" w:color="auto" w:fill="auto"/>
            <w:vAlign w:val="center"/>
          </w:tcPr>
          <w:p w14:paraId="6C37F703" w14:textId="7C7DC5BB"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3A0C31D1" w14:textId="1DCF056B"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0DFDEFE" w14:textId="62F01C94" w:rsidR="00AB3B37" w:rsidRPr="002F01EF" w:rsidRDefault="00FC5AC9" w:rsidP="00AB3B37">
            <w:pPr>
              <w:jc w:val="center"/>
              <w:rPr>
                <w:bCs/>
                <w:szCs w:val="17"/>
              </w:rPr>
            </w:pPr>
            <w:r w:rsidRPr="002F01EF">
              <w:rPr>
                <w:b/>
                <w:color w:val="FF0000"/>
                <w:szCs w:val="17"/>
              </w:rPr>
              <w:t>Negative</w:t>
            </w:r>
          </w:p>
        </w:tc>
      </w:tr>
      <w:tr w:rsidR="00AB3B37" w:rsidRPr="002F01EF" w14:paraId="42CC753A" w14:textId="77777777" w:rsidTr="00AB3B37">
        <w:trPr>
          <w:trHeight w:val="499"/>
        </w:trPr>
        <w:tc>
          <w:tcPr>
            <w:tcW w:w="679" w:type="dxa"/>
            <w:shd w:val="clear" w:color="auto" w:fill="auto"/>
            <w:vAlign w:val="center"/>
          </w:tcPr>
          <w:p w14:paraId="35AF3113" w14:textId="3B3A44BD" w:rsidR="00AB3B37" w:rsidRPr="002F01EF" w:rsidRDefault="00AB3B37" w:rsidP="00AB3B37">
            <w:pPr>
              <w:jc w:val="center"/>
              <w:rPr>
                <w:bCs/>
                <w:szCs w:val="17"/>
              </w:rPr>
            </w:pPr>
            <w:r w:rsidRPr="002F01EF">
              <w:rPr>
                <w:bCs/>
                <w:szCs w:val="17"/>
              </w:rPr>
              <w:t>694</w:t>
            </w:r>
          </w:p>
        </w:tc>
        <w:tc>
          <w:tcPr>
            <w:tcW w:w="1866" w:type="dxa"/>
            <w:shd w:val="clear" w:color="auto" w:fill="auto"/>
            <w:vAlign w:val="center"/>
          </w:tcPr>
          <w:p w14:paraId="1CFA66B8" w14:textId="26510A3B" w:rsidR="00AB3B37" w:rsidRPr="002F01EF" w:rsidRDefault="00AB3B37" w:rsidP="00AB3B37">
            <w:pPr>
              <w:jc w:val="center"/>
            </w:pPr>
            <w:r w:rsidRPr="002F01EF">
              <w:t>Article 152b – paragraph 1</w:t>
            </w:r>
          </w:p>
        </w:tc>
        <w:tc>
          <w:tcPr>
            <w:tcW w:w="5964" w:type="dxa"/>
            <w:shd w:val="clear" w:color="auto" w:fill="auto"/>
          </w:tcPr>
          <w:p w14:paraId="4D4358E4" w14:textId="770C9254" w:rsidR="00AB3B37" w:rsidRPr="002F01EF" w:rsidRDefault="00AB3B37" w:rsidP="00AB3B37">
            <w:pPr>
              <w:jc w:val="left"/>
              <w:rPr>
                <w:bCs/>
                <w:szCs w:val="17"/>
              </w:rPr>
            </w:pPr>
            <w:r w:rsidRPr="002F01EF">
              <w:rPr>
                <w:bCs/>
                <w:szCs w:val="17"/>
              </w:rPr>
              <w:t>Requirement for EIOPA to set up collaboration platform in all cases of cross border supervision</w:t>
            </w:r>
          </w:p>
        </w:tc>
        <w:tc>
          <w:tcPr>
            <w:tcW w:w="1865" w:type="dxa"/>
            <w:shd w:val="clear" w:color="auto" w:fill="auto"/>
            <w:vAlign w:val="center"/>
          </w:tcPr>
          <w:p w14:paraId="2BB5F793" w14:textId="0DE7028B"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7EE78695" w14:textId="78FFBBF7"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13230D93" w14:textId="6C1AD6EA" w:rsidR="00AB3B37" w:rsidRPr="002F01EF" w:rsidRDefault="00AB3B37" w:rsidP="00AB3B37">
            <w:pPr>
              <w:jc w:val="center"/>
              <w:rPr>
                <w:b/>
                <w:color w:val="00B050"/>
                <w:szCs w:val="17"/>
              </w:rPr>
            </w:pPr>
            <w:r w:rsidRPr="002F01EF">
              <w:rPr>
                <w:b/>
                <w:color w:val="00B050"/>
                <w:szCs w:val="17"/>
              </w:rPr>
              <w:t>Positive</w:t>
            </w:r>
          </w:p>
        </w:tc>
      </w:tr>
      <w:tr w:rsidR="00AB3B37" w:rsidRPr="002F01EF" w14:paraId="668621F4" w14:textId="77777777" w:rsidTr="00AB3B37">
        <w:trPr>
          <w:trHeight w:val="499"/>
        </w:trPr>
        <w:tc>
          <w:tcPr>
            <w:tcW w:w="679" w:type="dxa"/>
            <w:shd w:val="clear" w:color="auto" w:fill="auto"/>
            <w:vAlign w:val="center"/>
          </w:tcPr>
          <w:p w14:paraId="7B8C2890" w14:textId="13F522C9" w:rsidR="00AB3B37" w:rsidRPr="002F01EF" w:rsidRDefault="00AB3B37" w:rsidP="00AB3B37">
            <w:pPr>
              <w:jc w:val="center"/>
              <w:rPr>
                <w:bCs/>
                <w:szCs w:val="17"/>
              </w:rPr>
            </w:pPr>
            <w:r w:rsidRPr="002F01EF">
              <w:rPr>
                <w:bCs/>
                <w:szCs w:val="17"/>
              </w:rPr>
              <w:t>695</w:t>
            </w:r>
          </w:p>
        </w:tc>
        <w:tc>
          <w:tcPr>
            <w:tcW w:w="1866" w:type="dxa"/>
            <w:shd w:val="clear" w:color="auto" w:fill="auto"/>
            <w:vAlign w:val="center"/>
          </w:tcPr>
          <w:p w14:paraId="4AFD2056" w14:textId="0FD09F47" w:rsidR="00AB3B37" w:rsidRPr="002F01EF" w:rsidRDefault="00AB3B37" w:rsidP="00AB3B37">
            <w:pPr>
              <w:jc w:val="center"/>
            </w:pPr>
            <w:r w:rsidRPr="002F01EF">
              <w:t>Article 152b – paragraph 2</w:t>
            </w:r>
          </w:p>
        </w:tc>
        <w:tc>
          <w:tcPr>
            <w:tcW w:w="5964" w:type="dxa"/>
            <w:shd w:val="clear" w:color="auto" w:fill="auto"/>
          </w:tcPr>
          <w:p w14:paraId="6BCE5F2D" w14:textId="153FDA11" w:rsidR="00AB3B37" w:rsidRPr="002F01EF" w:rsidRDefault="00AB3B37" w:rsidP="00AB3B37">
            <w:pPr>
              <w:jc w:val="left"/>
              <w:rPr>
                <w:bCs/>
                <w:szCs w:val="17"/>
              </w:rPr>
            </w:pPr>
            <w:r w:rsidRPr="002F01EF">
              <w:rPr>
                <w:bCs/>
                <w:szCs w:val="17"/>
              </w:rPr>
              <w:t>Deleted (as per above amendment)</w:t>
            </w:r>
          </w:p>
        </w:tc>
        <w:tc>
          <w:tcPr>
            <w:tcW w:w="1865" w:type="dxa"/>
            <w:shd w:val="clear" w:color="auto" w:fill="auto"/>
            <w:vAlign w:val="center"/>
          </w:tcPr>
          <w:p w14:paraId="67263CAD" w14:textId="1C77AEAE"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40F2B873" w14:textId="1820D425"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3A9AFA6E" w14:textId="2F7FCDC5" w:rsidR="00AB3B37" w:rsidRPr="002F01EF" w:rsidRDefault="00AB3B37" w:rsidP="00AB3B37">
            <w:pPr>
              <w:jc w:val="center"/>
              <w:rPr>
                <w:b/>
                <w:color w:val="00B050"/>
                <w:szCs w:val="17"/>
              </w:rPr>
            </w:pPr>
            <w:r w:rsidRPr="002F01EF">
              <w:rPr>
                <w:b/>
                <w:color w:val="00B050"/>
                <w:szCs w:val="17"/>
              </w:rPr>
              <w:t>Positive</w:t>
            </w:r>
          </w:p>
        </w:tc>
      </w:tr>
      <w:tr w:rsidR="00AB3B37" w:rsidRPr="002F01EF" w14:paraId="2FB31298" w14:textId="77777777" w:rsidTr="00AB3B37">
        <w:trPr>
          <w:trHeight w:val="499"/>
        </w:trPr>
        <w:tc>
          <w:tcPr>
            <w:tcW w:w="679" w:type="dxa"/>
            <w:shd w:val="clear" w:color="auto" w:fill="auto"/>
            <w:vAlign w:val="center"/>
          </w:tcPr>
          <w:p w14:paraId="3DA4B481" w14:textId="76176500" w:rsidR="00AB3B37" w:rsidRPr="002F01EF" w:rsidRDefault="00AB3B37" w:rsidP="00AB3B37">
            <w:pPr>
              <w:jc w:val="center"/>
              <w:rPr>
                <w:bCs/>
                <w:szCs w:val="17"/>
              </w:rPr>
            </w:pPr>
            <w:r w:rsidRPr="002F01EF">
              <w:rPr>
                <w:bCs/>
                <w:szCs w:val="17"/>
              </w:rPr>
              <w:t>696</w:t>
            </w:r>
          </w:p>
        </w:tc>
        <w:tc>
          <w:tcPr>
            <w:tcW w:w="1866" w:type="dxa"/>
            <w:shd w:val="clear" w:color="auto" w:fill="auto"/>
            <w:vAlign w:val="center"/>
          </w:tcPr>
          <w:p w14:paraId="72AD96BF" w14:textId="5F5931B4" w:rsidR="00AB3B37" w:rsidRPr="002F01EF" w:rsidRDefault="00AB3B37" w:rsidP="00AB3B37">
            <w:pPr>
              <w:jc w:val="center"/>
            </w:pPr>
            <w:r w:rsidRPr="002F01EF">
              <w:t>Article 152b – paragraph 2</w:t>
            </w:r>
          </w:p>
        </w:tc>
        <w:tc>
          <w:tcPr>
            <w:tcW w:w="5964" w:type="dxa"/>
            <w:shd w:val="clear" w:color="auto" w:fill="auto"/>
          </w:tcPr>
          <w:p w14:paraId="087D0E15" w14:textId="123A07FD" w:rsidR="00AB3B37" w:rsidRPr="002F01EF" w:rsidRDefault="00AB3B37" w:rsidP="00AB3B37">
            <w:pPr>
              <w:jc w:val="left"/>
              <w:rPr>
                <w:bCs/>
                <w:szCs w:val="17"/>
              </w:rPr>
            </w:pPr>
            <w:r w:rsidRPr="002F01EF">
              <w:rPr>
                <w:bCs/>
                <w:szCs w:val="17"/>
              </w:rPr>
              <w:t>Editorial in line with AM 694 and AM 695</w:t>
            </w:r>
          </w:p>
        </w:tc>
        <w:tc>
          <w:tcPr>
            <w:tcW w:w="1865" w:type="dxa"/>
            <w:shd w:val="clear" w:color="auto" w:fill="auto"/>
            <w:vAlign w:val="center"/>
          </w:tcPr>
          <w:p w14:paraId="4091F64C" w14:textId="71F2BCEA"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3AA2A411" w14:textId="0846599E"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C7CED95" w14:textId="0DE8B893" w:rsidR="00AB3B37" w:rsidRPr="000E6309" w:rsidRDefault="00AB3B37" w:rsidP="00AB3B37">
            <w:pPr>
              <w:jc w:val="center"/>
              <w:rPr>
                <w:b/>
                <w:color w:val="00B050"/>
                <w:szCs w:val="17"/>
              </w:rPr>
            </w:pPr>
            <w:r w:rsidRPr="000E6309">
              <w:rPr>
                <w:b/>
                <w:color w:val="00B050"/>
                <w:szCs w:val="17"/>
              </w:rPr>
              <w:t>Positive</w:t>
            </w:r>
          </w:p>
        </w:tc>
      </w:tr>
      <w:tr w:rsidR="00AB3B37" w:rsidRPr="002F01EF" w14:paraId="61BA0CEF" w14:textId="77777777" w:rsidTr="00AB3B37">
        <w:trPr>
          <w:trHeight w:val="499"/>
        </w:trPr>
        <w:tc>
          <w:tcPr>
            <w:tcW w:w="679" w:type="dxa"/>
            <w:shd w:val="clear" w:color="auto" w:fill="auto"/>
            <w:vAlign w:val="center"/>
          </w:tcPr>
          <w:p w14:paraId="004ECB55" w14:textId="530E4D01" w:rsidR="00AB3B37" w:rsidRPr="002F01EF" w:rsidRDefault="00AB3B37" w:rsidP="00AB3B37">
            <w:pPr>
              <w:jc w:val="center"/>
              <w:rPr>
                <w:bCs/>
                <w:szCs w:val="17"/>
              </w:rPr>
            </w:pPr>
            <w:r w:rsidRPr="002F01EF">
              <w:rPr>
                <w:bCs/>
                <w:szCs w:val="17"/>
              </w:rPr>
              <w:t>697</w:t>
            </w:r>
          </w:p>
        </w:tc>
        <w:tc>
          <w:tcPr>
            <w:tcW w:w="1866" w:type="dxa"/>
            <w:shd w:val="clear" w:color="auto" w:fill="auto"/>
            <w:vAlign w:val="center"/>
          </w:tcPr>
          <w:p w14:paraId="69DB3127" w14:textId="236D734E" w:rsidR="00AB3B37" w:rsidRPr="002F01EF" w:rsidRDefault="00AB3B37" w:rsidP="00AB3B37">
            <w:pPr>
              <w:jc w:val="center"/>
            </w:pPr>
            <w:r w:rsidRPr="002F01EF">
              <w:t>Article 152b – paragraph 4</w:t>
            </w:r>
          </w:p>
        </w:tc>
        <w:tc>
          <w:tcPr>
            <w:tcW w:w="5964" w:type="dxa"/>
            <w:shd w:val="clear" w:color="auto" w:fill="auto"/>
          </w:tcPr>
          <w:p w14:paraId="18F984A1" w14:textId="23169F1A" w:rsidR="00AB3B37" w:rsidRPr="002F01EF" w:rsidRDefault="00AB3B37" w:rsidP="00AB3B37">
            <w:pPr>
              <w:jc w:val="left"/>
              <w:rPr>
                <w:bCs/>
                <w:szCs w:val="17"/>
              </w:rPr>
            </w:pPr>
            <w:r w:rsidRPr="002F01EF">
              <w:rPr>
                <w:bCs/>
                <w:szCs w:val="17"/>
              </w:rPr>
              <w:t>Editorial in line with AM 694 and AM 695</w:t>
            </w:r>
          </w:p>
        </w:tc>
        <w:tc>
          <w:tcPr>
            <w:tcW w:w="1865" w:type="dxa"/>
            <w:shd w:val="clear" w:color="auto" w:fill="auto"/>
            <w:vAlign w:val="center"/>
          </w:tcPr>
          <w:p w14:paraId="3761E616" w14:textId="680AA6C7"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41C4AC6A" w14:textId="7BAD1BEC"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311730DB" w14:textId="666886F5" w:rsidR="00AB3B37" w:rsidRPr="000E6309" w:rsidRDefault="00AB3B37" w:rsidP="00AB3B37">
            <w:pPr>
              <w:jc w:val="center"/>
              <w:rPr>
                <w:b/>
                <w:color w:val="00B050"/>
                <w:szCs w:val="17"/>
              </w:rPr>
            </w:pPr>
            <w:r w:rsidRPr="000E6309">
              <w:rPr>
                <w:b/>
                <w:color w:val="00B050"/>
                <w:szCs w:val="17"/>
              </w:rPr>
              <w:t>Positive</w:t>
            </w:r>
          </w:p>
        </w:tc>
      </w:tr>
      <w:tr w:rsidR="00AB3B37" w:rsidRPr="002F01EF" w14:paraId="35A50D22" w14:textId="77777777" w:rsidTr="00AB3B37">
        <w:trPr>
          <w:trHeight w:val="499"/>
        </w:trPr>
        <w:tc>
          <w:tcPr>
            <w:tcW w:w="679" w:type="dxa"/>
            <w:shd w:val="clear" w:color="auto" w:fill="auto"/>
            <w:vAlign w:val="center"/>
          </w:tcPr>
          <w:p w14:paraId="3F01D7D2" w14:textId="465930ED" w:rsidR="00AB3B37" w:rsidRPr="002F01EF" w:rsidRDefault="00AB3B37" w:rsidP="00AB3B37">
            <w:pPr>
              <w:jc w:val="center"/>
              <w:rPr>
                <w:bCs/>
                <w:szCs w:val="17"/>
              </w:rPr>
            </w:pPr>
            <w:r w:rsidRPr="002F01EF">
              <w:rPr>
                <w:bCs/>
                <w:szCs w:val="17"/>
              </w:rPr>
              <w:t>698/699</w:t>
            </w:r>
          </w:p>
        </w:tc>
        <w:tc>
          <w:tcPr>
            <w:tcW w:w="1866" w:type="dxa"/>
            <w:shd w:val="clear" w:color="auto" w:fill="auto"/>
            <w:vAlign w:val="center"/>
          </w:tcPr>
          <w:p w14:paraId="44C1670F" w14:textId="2B0C5CB8" w:rsidR="00AB3B37" w:rsidRPr="002F01EF" w:rsidRDefault="00AB3B37" w:rsidP="00AB3B37">
            <w:pPr>
              <w:jc w:val="center"/>
            </w:pPr>
            <w:r w:rsidRPr="002F01EF">
              <w:t>Article 152b – paragraph 5</w:t>
            </w:r>
          </w:p>
        </w:tc>
        <w:tc>
          <w:tcPr>
            <w:tcW w:w="5964" w:type="dxa"/>
            <w:shd w:val="clear" w:color="auto" w:fill="auto"/>
          </w:tcPr>
          <w:p w14:paraId="4A9B8723" w14:textId="68A4EEB8" w:rsidR="00AB3B37" w:rsidRPr="002F01EF" w:rsidRDefault="00AB3B37" w:rsidP="00AB3B37">
            <w:pPr>
              <w:jc w:val="left"/>
              <w:rPr>
                <w:bCs/>
                <w:szCs w:val="17"/>
              </w:rPr>
            </w:pPr>
            <w:r w:rsidRPr="002F01EF">
              <w:rPr>
                <w:bCs/>
                <w:szCs w:val="17"/>
              </w:rPr>
              <w:t>Proposal to remove ability for EIOPA to act on its own initiative.</w:t>
            </w:r>
          </w:p>
        </w:tc>
        <w:tc>
          <w:tcPr>
            <w:tcW w:w="1865" w:type="dxa"/>
            <w:shd w:val="clear" w:color="auto" w:fill="auto"/>
            <w:vAlign w:val="center"/>
          </w:tcPr>
          <w:p w14:paraId="4B9C17A4" w14:textId="04323972" w:rsidR="00AB3B37" w:rsidRPr="002F01EF" w:rsidRDefault="00AB3B37" w:rsidP="00AB3B37">
            <w:pPr>
              <w:jc w:val="center"/>
              <w:rPr>
                <w:bCs/>
                <w:szCs w:val="17"/>
              </w:rPr>
            </w:pPr>
            <w:r w:rsidRPr="002F01EF">
              <w:rPr>
                <w:bCs/>
                <w:szCs w:val="17"/>
              </w:rPr>
              <w:t>Fitzgerald/Yon-Courtin/Boyer</w:t>
            </w:r>
          </w:p>
        </w:tc>
        <w:tc>
          <w:tcPr>
            <w:tcW w:w="2483" w:type="dxa"/>
            <w:shd w:val="clear" w:color="auto" w:fill="auto"/>
            <w:vAlign w:val="center"/>
          </w:tcPr>
          <w:p w14:paraId="3E43C4D2" w14:textId="19417615"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48E288C0" w14:textId="206B9A43" w:rsidR="00AB3B37" w:rsidRPr="000E6309" w:rsidRDefault="003C0013" w:rsidP="00AB3B37">
            <w:pPr>
              <w:jc w:val="center"/>
              <w:rPr>
                <w:bCs/>
                <w:szCs w:val="17"/>
              </w:rPr>
            </w:pPr>
            <w:r w:rsidRPr="002F01EF">
              <w:rPr>
                <w:b/>
                <w:color w:val="FF0000"/>
                <w:szCs w:val="17"/>
              </w:rPr>
              <w:t>Negative</w:t>
            </w:r>
          </w:p>
        </w:tc>
      </w:tr>
      <w:tr w:rsidR="00AB3B37" w:rsidRPr="002F01EF" w14:paraId="2B89D4FB" w14:textId="77777777" w:rsidTr="00AB3B37">
        <w:trPr>
          <w:trHeight w:val="499"/>
        </w:trPr>
        <w:tc>
          <w:tcPr>
            <w:tcW w:w="679" w:type="dxa"/>
            <w:shd w:val="clear" w:color="auto" w:fill="auto"/>
            <w:vAlign w:val="center"/>
          </w:tcPr>
          <w:p w14:paraId="5D7ACC96" w14:textId="09F4B457" w:rsidR="00AB3B37" w:rsidRPr="002F01EF" w:rsidRDefault="00AB3B37" w:rsidP="00AB3B37">
            <w:pPr>
              <w:jc w:val="center"/>
              <w:rPr>
                <w:bCs/>
                <w:szCs w:val="17"/>
              </w:rPr>
            </w:pPr>
            <w:r w:rsidRPr="002F01EF">
              <w:rPr>
                <w:bCs/>
                <w:szCs w:val="17"/>
              </w:rPr>
              <w:t>700</w:t>
            </w:r>
          </w:p>
        </w:tc>
        <w:tc>
          <w:tcPr>
            <w:tcW w:w="1866" w:type="dxa"/>
            <w:shd w:val="clear" w:color="auto" w:fill="auto"/>
            <w:vAlign w:val="center"/>
          </w:tcPr>
          <w:p w14:paraId="4B077739" w14:textId="17C675BA" w:rsidR="00AB3B37" w:rsidRPr="002F01EF" w:rsidRDefault="00AB3B37" w:rsidP="00AB3B37">
            <w:pPr>
              <w:jc w:val="center"/>
            </w:pPr>
            <w:r w:rsidRPr="002F01EF">
              <w:t>Article 152b – paragraph 5a (new)</w:t>
            </w:r>
          </w:p>
        </w:tc>
        <w:tc>
          <w:tcPr>
            <w:tcW w:w="5964" w:type="dxa"/>
            <w:shd w:val="clear" w:color="auto" w:fill="auto"/>
          </w:tcPr>
          <w:p w14:paraId="7875B2A6" w14:textId="1B61733E" w:rsidR="00AB3B37" w:rsidRPr="002F01EF" w:rsidRDefault="00AB3B37" w:rsidP="00AB3B37">
            <w:pPr>
              <w:jc w:val="left"/>
              <w:rPr>
                <w:bCs/>
                <w:szCs w:val="17"/>
              </w:rPr>
            </w:pPr>
            <w:r w:rsidRPr="002F01EF">
              <w:rPr>
                <w:bCs/>
                <w:szCs w:val="17"/>
              </w:rPr>
              <w:t>Provides for EIOPA to issue a recommendation where there is a failure to reach a common view in collaboration platform.</w:t>
            </w:r>
          </w:p>
        </w:tc>
        <w:tc>
          <w:tcPr>
            <w:tcW w:w="1865" w:type="dxa"/>
            <w:shd w:val="clear" w:color="auto" w:fill="auto"/>
            <w:vAlign w:val="center"/>
          </w:tcPr>
          <w:p w14:paraId="56538E8D" w14:textId="7F92D55D"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5E90A7FD" w14:textId="4073113A"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6E897CE8" w14:textId="79EFF09A"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79ED426" w14:textId="77777777" w:rsidTr="00AB3B37">
        <w:trPr>
          <w:trHeight w:val="499"/>
        </w:trPr>
        <w:tc>
          <w:tcPr>
            <w:tcW w:w="679" w:type="dxa"/>
            <w:shd w:val="clear" w:color="auto" w:fill="auto"/>
            <w:vAlign w:val="center"/>
          </w:tcPr>
          <w:p w14:paraId="3267938C" w14:textId="2A4FED25" w:rsidR="00AB3B37" w:rsidRPr="002F01EF" w:rsidRDefault="00AB3B37" w:rsidP="00AB3B37">
            <w:pPr>
              <w:jc w:val="center"/>
              <w:rPr>
                <w:bCs/>
                <w:szCs w:val="17"/>
              </w:rPr>
            </w:pPr>
            <w:r w:rsidRPr="002F01EF">
              <w:rPr>
                <w:bCs/>
                <w:szCs w:val="17"/>
              </w:rPr>
              <w:t>701</w:t>
            </w:r>
          </w:p>
        </w:tc>
        <w:tc>
          <w:tcPr>
            <w:tcW w:w="1866" w:type="dxa"/>
            <w:shd w:val="clear" w:color="auto" w:fill="auto"/>
            <w:vAlign w:val="center"/>
          </w:tcPr>
          <w:p w14:paraId="4A942A8A" w14:textId="0812ECA3" w:rsidR="00AB3B37" w:rsidRPr="0092408F" w:rsidRDefault="00AB3B37" w:rsidP="00AB3B37">
            <w:pPr>
              <w:jc w:val="center"/>
              <w:rPr>
                <w:lang w:val="fr-FR"/>
              </w:rPr>
            </w:pPr>
            <w:r w:rsidRPr="0092408F">
              <w:rPr>
                <w:lang w:val="fr-FR"/>
              </w:rPr>
              <w:t>Article 152b – paragraph 5b (new)</w:t>
            </w:r>
          </w:p>
        </w:tc>
        <w:tc>
          <w:tcPr>
            <w:tcW w:w="5964" w:type="dxa"/>
            <w:shd w:val="clear" w:color="auto" w:fill="auto"/>
          </w:tcPr>
          <w:p w14:paraId="3130D151" w14:textId="72A8418F" w:rsidR="00AB3B37" w:rsidRPr="002F01EF" w:rsidRDefault="00AB3B37" w:rsidP="00AB3B37">
            <w:pPr>
              <w:jc w:val="left"/>
              <w:rPr>
                <w:bCs/>
                <w:szCs w:val="17"/>
              </w:rPr>
            </w:pPr>
            <w:r w:rsidRPr="002F01EF">
              <w:rPr>
                <w:bCs/>
                <w:szCs w:val="17"/>
              </w:rPr>
              <w:t xml:space="preserve">Provides for EIOPA to make its recommendation (&amp; the name of undertaking) public if NSA does not comply with recommendation within 2 </w:t>
            </w:r>
            <w:r w:rsidR="00100477" w:rsidRPr="002F01EF">
              <w:rPr>
                <w:bCs/>
                <w:szCs w:val="17"/>
              </w:rPr>
              <w:t>months</w:t>
            </w:r>
            <w:r w:rsidRPr="002F01EF">
              <w:rPr>
                <w:bCs/>
                <w:szCs w:val="17"/>
              </w:rPr>
              <w:t>.</w:t>
            </w:r>
          </w:p>
        </w:tc>
        <w:tc>
          <w:tcPr>
            <w:tcW w:w="1865" w:type="dxa"/>
            <w:shd w:val="clear" w:color="auto" w:fill="auto"/>
            <w:vAlign w:val="center"/>
          </w:tcPr>
          <w:p w14:paraId="38DADA75" w14:textId="1069ACD5"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3EFB7FAA" w14:textId="15118C56"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515D6955" w14:textId="41617B57"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76A5485" w14:textId="77777777" w:rsidTr="00AB3B37">
        <w:trPr>
          <w:trHeight w:val="499"/>
        </w:trPr>
        <w:tc>
          <w:tcPr>
            <w:tcW w:w="679" w:type="dxa"/>
            <w:shd w:val="clear" w:color="auto" w:fill="auto"/>
            <w:vAlign w:val="center"/>
          </w:tcPr>
          <w:p w14:paraId="1DF860A9" w14:textId="56ACF39D" w:rsidR="00AB3B37" w:rsidRPr="002F01EF" w:rsidRDefault="00AB3B37" w:rsidP="00AB3B37">
            <w:pPr>
              <w:jc w:val="center"/>
              <w:rPr>
                <w:bCs/>
                <w:szCs w:val="17"/>
              </w:rPr>
            </w:pPr>
            <w:r w:rsidRPr="002F01EF">
              <w:rPr>
                <w:bCs/>
                <w:szCs w:val="17"/>
              </w:rPr>
              <w:t>702</w:t>
            </w:r>
          </w:p>
        </w:tc>
        <w:tc>
          <w:tcPr>
            <w:tcW w:w="1866" w:type="dxa"/>
            <w:shd w:val="clear" w:color="auto" w:fill="auto"/>
            <w:vAlign w:val="center"/>
          </w:tcPr>
          <w:p w14:paraId="5CA0F63B" w14:textId="3DCC4A4F" w:rsidR="00AB3B37" w:rsidRPr="002F01EF" w:rsidRDefault="00AB3B37" w:rsidP="00AB3B37">
            <w:pPr>
              <w:jc w:val="center"/>
            </w:pPr>
            <w:r w:rsidRPr="002F01EF">
              <w:t>Article 152b – paragraph 6</w:t>
            </w:r>
          </w:p>
        </w:tc>
        <w:tc>
          <w:tcPr>
            <w:tcW w:w="5964" w:type="dxa"/>
            <w:shd w:val="clear" w:color="auto" w:fill="auto"/>
          </w:tcPr>
          <w:p w14:paraId="26131BAD" w14:textId="547D31A6" w:rsidR="00AB3B37" w:rsidRPr="002F01EF" w:rsidRDefault="00AB3B37" w:rsidP="00AB3B37">
            <w:pPr>
              <w:jc w:val="left"/>
              <w:rPr>
                <w:bCs/>
                <w:szCs w:val="17"/>
              </w:rPr>
            </w:pPr>
            <w:r w:rsidRPr="002F01EF">
              <w:rPr>
                <w:bCs/>
                <w:szCs w:val="17"/>
              </w:rPr>
              <w:t>Removes EIOPA to be able to initiate own initiative on-site inspections</w:t>
            </w:r>
            <w:r w:rsidR="008628EE" w:rsidRPr="002F01EF">
              <w:rPr>
                <w:bCs/>
                <w:szCs w:val="17"/>
              </w:rPr>
              <w:t xml:space="preserve">. </w:t>
            </w:r>
            <w:proofErr w:type="gramStart"/>
            <w:r w:rsidR="008628EE" w:rsidRPr="002F01EF">
              <w:rPr>
                <w:bCs/>
                <w:szCs w:val="17"/>
              </w:rPr>
              <w:t>Instead</w:t>
            </w:r>
            <w:proofErr w:type="gramEnd"/>
            <w:r w:rsidRPr="002F01EF">
              <w:rPr>
                <w:bCs/>
                <w:szCs w:val="17"/>
              </w:rPr>
              <w:t xml:space="preserve"> all relevant NSAs </w:t>
            </w:r>
            <w:r w:rsidR="00977EEB" w:rsidRPr="002F01EF">
              <w:rPr>
                <w:bCs/>
                <w:szCs w:val="17"/>
              </w:rPr>
              <w:t xml:space="preserve">can request </w:t>
            </w:r>
            <w:r w:rsidR="007772A3" w:rsidRPr="002F01EF">
              <w:rPr>
                <w:bCs/>
                <w:szCs w:val="17"/>
              </w:rPr>
              <w:t xml:space="preserve">the </w:t>
            </w:r>
            <w:r w:rsidR="00590309" w:rsidRPr="002F01EF">
              <w:rPr>
                <w:bCs/>
                <w:szCs w:val="17"/>
              </w:rPr>
              <w:t xml:space="preserve">home NSA </w:t>
            </w:r>
            <w:r w:rsidR="009C5352" w:rsidRPr="002F01EF">
              <w:rPr>
                <w:bCs/>
                <w:szCs w:val="17"/>
              </w:rPr>
              <w:t xml:space="preserve">to </w:t>
            </w:r>
            <w:r w:rsidR="00DC3134" w:rsidRPr="002F01EF">
              <w:rPr>
                <w:bCs/>
                <w:szCs w:val="17"/>
              </w:rPr>
              <w:t>initiate an inspection, and all concerned NSAs should</w:t>
            </w:r>
            <w:r w:rsidRPr="002F01EF">
              <w:rPr>
                <w:bCs/>
                <w:szCs w:val="17"/>
              </w:rPr>
              <w:t xml:space="preserve"> be invited to joint on-site inspections</w:t>
            </w:r>
          </w:p>
        </w:tc>
        <w:tc>
          <w:tcPr>
            <w:tcW w:w="1865" w:type="dxa"/>
            <w:shd w:val="clear" w:color="auto" w:fill="auto"/>
            <w:vAlign w:val="center"/>
          </w:tcPr>
          <w:p w14:paraId="46197CBC" w14:textId="3767FA0E"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5AD31DAC" w14:textId="29E469D4"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70264678" w14:textId="7A58E848" w:rsidR="00AB3B37" w:rsidRPr="002F01EF" w:rsidRDefault="00E05108" w:rsidP="00AB3B37">
            <w:pPr>
              <w:jc w:val="center"/>
              <w:rPr>
                <w:bCs/>
                <w:szCs w:val="17"/>
              </w:rPr>
            </w:pPr>
            <w:r w:rsidRPr="002F01EF">
              <w:rPr>
                <w:b/>
                <w:color w:val="00B050"/>
                <w:szCs w:val="17"/>
              </w:rPr>
              <w:t>Positive</w:t>
            </w:r>
          </w:p>
        </w:tc>
      </w:tr>
      <w:tr w:rsidR="00AB3B37" w:rsidRPr="002F01EF" w14:paraId="76CE6B6D" w14:textId="77777777" w:rsidTr="00AB3B37">
        <w:trPr>
          <w:trHeight w:val="499"/>
        </w:trPr>
        <w:tc>
          <w:tcPr>
            <w:tcW w:w="679" w:type="dxa"/>
            <w:shd w:val="clear" w:color="auto" w:fill="auto"/>
            <w:vAlign w:val="center"/>
          </w:tcPr>
          <w:p w14:paraId="1D2F2C12" w14:textId="1C9BFCE3" w:rsidR="00AB3B37" w:rsidRPr="002F01EF" w:rsidRDefault="00AB3B37" w:rsidP="00AB3B37">
            <w:pPr>
              <w:jc w:val="center"/>
              <w:rPr>
                <w:bCs/>
                <w:szCs w:val="17"/>
              </w:rPr>
            </w:pPr>
            <w:r w:rsidRPr="002F01EF">
              <w:rPr>
                <w:bCs/>
                <w:szCs w:val="17"/>
              </w:rPr>
              <w:t>703</w:t>
            </w:r>
          </w:p>
        </w:tc>
        <w:tc>
          <w:tcPr>
            <w:tcW w:w="1866" w:type="dxa"/>
            <w:shd w:val="clear" w:color="auto" w:fill="auto"/>
            <w:vAlign w:val="center"/>
          </w:tcPr>
          <w:p w14:paraId="35BA623E" w14:textId="26535DCC" w:rsidR="00AB3B37" w:rsidRPr="002F01EF" w:rsidRDefault="00AB3B37" w:rsidP="00AB3B37">
            <w:pPr>
              <w:jc w:val="center"/>
            </w:pPr>
            <w:r w:rsidRPr="002F01EF">
              <w:t>Article 153 – paragraph 1</w:t>
            </w:r>
          </w:p>
        </w:tc>
        <w:tc>
          <w:tcPr>
            <w:tcW w:w="5964" w:type="dxa"/>
            <w:shd w:val="clear" w:color="auto" w:fill="auto"/>
          </w:tcPr>
          <w:p w14:paraId="4A57A4BD" w14:textId="517AAF23" w:rsidR="00AB3B37" w:rsidRPr="002F01EF" w:rsidRDefault="00AB3B37" w:rsidP="00AB3B37">
            <w:pPr>
              <w:jc w:val="left"/>
              <w:rPr>
                <w:bCs/>
                <w:szCs w:val="17"/>
              </w:rPr>
            </w:pPr>
            <w:r w:rsidRPr="002F01EF">
              <w:rPr>
                <w:bCs/>
                <w:szCs w:val="17"/>
              </w:rPr>
              <w:t>Removes ability for host NSA to make direct request to undertaking and reduces translation requirements to be on a best endeavour basis</w:t>
            </w:r>
          </w:p>
        </w:tc>
        <w:tc>
          <w:tcPr>
            <w:tcW w:w="1865" w:type="dxa"/>
            <w:shd w:val="clear" w:color="auto" w:fill="auto"/>
            <w:vAlign w:val="center"/>
          </w:tcPr>
          <w:p w14:paraId="1F57B3B0" w14:textId="38653777"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0295364A" w14:textId="34A61268"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31507612" w14:textId="547BAA6F"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BDEB55C" w14:textId="77777777" w:rsidTr="00AB3B37">
        <w:trPr>
          <w:trHeight w:val="499"/>
        </w:trPr>
        <w:tc>
          <w:tcPr>
            <w:tcW w:w="679" w:type="dxa"/>
            <w:shd w:val="clear" w:color="auto" w:fill="auto"/>
            <w:vAlign w:val="center"/>
          </w:tcPr>
          <w:p w14:paraId="2C794D8E" w14:textId="353F19C8" w:rsidR="00AB3B37" w:rsidRPr="002F01EF" w:rsidRDefault="00AB3B37" w:rsidP="00AB3B37">
            <w:pPr>
              <w:jc w:val="center"/>
              <w:rPr>
                <w:bCs/>
                <w:szCs w:val="17"/>
              </w:rPr>
            </w:pPr>
            <w:r w:rsidRPr="002F01EF">
              <w:rPr>
                <w:bCs/>
                <w:szCs w:val="17"/>
              </w:rPr>
              <w:lastRenderedPageBreak/>
              <w:t>704</w:t>
            </w:r>
          </w:p>
        </w:tc>
        <w:tc>
          <w:tcPr>
            <w:tcW w:w="1866" w:type="dxa"/>
            <w:shd w:val="clear" w:color="auto" w:fill="auto"/>
            <w:vAlign w:val="center"/>
          </w:tcPr>
          <w:p w14:paraId="44A11076" w14:textId="6F865C03" w:rsidR="00AB3B37" w:rsidRPr="002F01EF" w:rsidRDefault="00AB3B37" w:rsidP="00AB3B37">
            <w:pPr>
              <w:jc w:val="center"/>
            </w:pPr>
            <w:r w:rsidRPr="002F01EF">
              <w:t>Article 153 – paragraph 1</w:t>
            </w:r>
          </w:p>
        </w:tc>
        <w:tc>
          <w:tcPr>
            <w:tcW w:w="5964" w:type="dxa"/>
            <w:shd w:val="clear" w:color="auto" w:fill="auto"/>
          </w:tcPr>
          <w:p w14:paraId="72014A78" w14:textId="73E13124" w:rsidR="00AB3B37" w:rsidRPr="002F01EF" w:rsidRDefault="00AB3B37" w:rsidP="00AB3B37">
            <w:pPr>
              <w:jc w:val="left"/>
              <w:rPr>
                <w:bCs/>
                <w:szCs w:val="17"/>
              </w:rPr>
            </w:pPr>
            <w:r w:rsidRPr="002F01EF">
              <w:rPr>
                <w:bCs/>
                <w:szCs w:val="17"/>
              </w:rPr>
              <w:t>Removes ability for host NSA to make direct request to undertaking</w:t>
            </w:r>
            <w:r w:rsidR="00B13F3B" w:rsidRPr="002F01EF">
              <w:rPr>
                <w:bCs/>
                <w:szCs w:val="17"/>
              </w:rPr>
              <w:t>, it should go via the mandatory collaboration platform</w:t>
            </w:r>
          </w:p>
        </w:tc>
        <w:tc>
          <w:tcPr>
            <w:tcW w:w="1865" w:type="dxa"/>
            <w:shd w:val="clear" w:color="auto" w:fill="auto"/>
            <w:vAlign w:val="center"/>
          </w:tcPr>
          <w:p w14:paraId="3692C200" w14:textId="133D14C2"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37293CC3" w14:textId="4DA122A2"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440CD89C" w14:textId="39BA906C"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43F3609A" w14:textId="77777777" w:rsidTr="00AB3B37">
        <w:trPr>
          <w:trHeight w:val="499"/>
        </w:trPr>
        <w:tc>
          <w:tcPr>
            <w:tcW w:w="679" w:type="dxa"/>
            <w:shd w:val="clear" w:color="auto" w:fill="auto"/>
            <w:vAlign w:val="center"/>
          </w:tcPr>
          <w:p w14:paraId="2A75E4CF" w14:textId="08C7C4F6" w:rsidR="00AB3B37" w:rsidRPr="002F01EF" w:rsidRDefault="00AB3B37" w:rsidP="00AB3B37">
            <w:pPr>
              <w:jc w:val="center"/>
              <w:rPr>
                <w:bCs/>
                <w:szCs w:val="17"/>
              </w:rPr>
            </w:pPr>
            <w:r w:rsidRPr="002F01EF">
              <w:rPr>
                <w:bCs/>
                <w:szCs w:val="17"/>
              </w:rPr>
              <w:t>705</w:t>
            </w:r>
          </w:p>
        </w:tc>
        <w:tc>
          <w:tcPr>
            <w:tcW w:w="1866" w:type="dxa"/>
            <w:shd w:val="clear" w:color="auto" w:fill="auto"/>
            <w:vAlign w:val="center"/>
          </w:tcPr>
          <w:p w14:paraId="07D79EA9" w14:textId="3970111F" w:rsidR="00AB3B37" w:rsidRPr="002F01EF" w:rsidRDefault="00AB3B37" w:rsidP="00AB3B37">
            <w:pPr>
              <w:jc w:val="center"/>
            </w:pPr>
            <w:r w:rsidRPr="002F01EF">
              <w:t>Article 153 – paragraph 1</w:t>
            </w:r>
          </w:p>
        </w:tc>
        <w:tc>
          <w:tcPr>
            <w:tcW w:w="5964" w:type="dxa"/>
            <w:shd w:val="clear" w:color="auto" w:fill="auto"/>
          </w:tcPr>
          <w:p w14:paraId="75EE7B7A" w14:textId="52CCBAB1" w:rsidR="00AB3B37" w:rsidRPr="002F01EF" w:rsidRDefault="00AB3B37" w:rsidP="00AB3B37">
            <w:pPr>
              <w:jc w:val="left"/>
              <w:rPr>
                <w:bCs/>
                <w:szCs w:val="17"/>
              </w:rPr>
            </w:pPr>
            <w:r w:rsidRPr="002F01EF">
              <w:rPr>
                <w:bCs/>
                <w:szCs w:val="17"/>
              </w:rPr>
              <w:t>Prevents host NSA making direct approach to undertaking in first two weeks following initial request to home NSA</w:t>
            </w:r>
          </w:p>
        </w:tc>
        <w:tc>
          <w:tcPr>
            <w:tcW w:w="1865" w:type="dxa"/>
            <w:shd w:val="clear" w:color="auto" w:fill="auto"/>
            <w:vAlign w:val="center"/>
          </w:tcPr>
          <w:p w14:paraId="5903FF77" w14:textId="0A79DF99"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096C53B9" w14:textId="037E6BA7"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1BD48B5E" w14:textId="05D456E2" w:rsidR="00AB3B37" w:rsidRPr="002F01EF" w:rsidRDefault="002C21FF" w:rsidP="00AB3B37">
            <w:pPr>
              <w:jc w:val="center"/>
              <w:rPr>
                <w:bCs/>
                <w:szCs w:val="17"/>
              </w:rPr>
            </w:pPr>
            <w:r w:rsidRPr="00A41ECF">
              <w:rPr>
                <w:b/>
                <w:color w:val="F79646" w:themeColor="accent6"/>
                <w:szCs w:val="17"/>
              </w:rPr>
              <w:t>Mixed</w:t>
            </w:r>
          </w:p>
        </w:tc>
      </w:tr>
      <w:tr w:rsidR="00AB3B37" w:rsidRPr="002F01EF" w14:paraId="28E4EE35" w14:textId="77777777" w:rsidTr="00AB3B37">
        <w:trPr>
          <w:trHeight w:val="499"/>
        </w:trPr>
        <w:tc>
          <w:tcPr>
            <w:tcW w:w="679" w:type="dxa"/>
            <w:shd w:val="clear" w:color="auto" w:fill="auto"/>
            <w:vAlign w:val="center"/>
          </w:tcPr>
          <w:p w14:paraId="23E525E3" w14:textId="3ADE8689" w:rsidR="00AB3B37" w:rsidRPr="002F01EF" w:rsidRDefault="00AB3B37" w:rsidP="00AB3B37">
            <w:pPr>
              <w:jc w:val="center"/>
              <w:rPr>
                <w:bCs/>
                <w:szCs w:val="17"/>
              </w:rPr>
            </w:pPr>
            <w:r w:rsidRPr="002F01EF">
              <w:rPr>
                <w:bCs/>
                <w:szCs w:val="17"/>
              </w:rPr>
              <w:t>706</w:t>
            </w:r>
          </w:p>
        </w:tc>
        <w:tc>
          <w:tcPr>
            <w:tcW w:w="1866" w:type="dxa"/>
            <w:shd w:val="clear" w:color="auto" w:fill="auto"/>
            <w:vAlign w:val="center"/>
          </w:tcPr>
          <w:p w14:paraId="28EB4A83" w14:textId="24B5980E" w:rsidR="00AB3B37" w:rsidRPr="002F01EF" w:rsidRDefault="00AB3B37" w:rsidP="00AB3B37">
            <w:pPr>
              <w:jc w:val="center"/>
            </w:pPr>
            <w:r w:rsidRPr="002F01EF">
              <w:t>Article 159a</w:t>
            </w:r>
          </w:p>
        </w:tc>
        <w:tc>
          <w:tcPr>
            <w:tcW w:w="5964" w:type="dxa"/>
            <w:shd w:val="clear" w:color="auto" w:fill="auto"/>
          </w:tcPr>
          <w:p w14:paraId="65963D48" w14:textId="2E67BA10" w:rsidR="00AB3B37" w:rsidRPr="002F01EF" w:rsidRDefault="00AB3B37" w:rsidP="00AB3B37">
            <w:pPr>
              <w:jc w:val="left"/>
              <w:rPr>
                <w:bCs/>
                <w:szCs w:val="17"/>
              </w:rPr>
            </w:pPr>
            <w:r w:rsidRPr="002F01EF">
              <w:rPr>
                <w:bCs/>
                <w:szCs w:val="17"/>
              </w:rPr>
              <w:t>Deletes proposed article</w:t>
            </w:r>
          </w:p>
        </w:tc>
        <w:tc>
          <w:tcPr>
            <w:tcW w:w="1865" w:type="dxa"/>
            <w:shd w:val="clear" w:color="auto" w:fill="auto"/>
            <w:vAlign w:val="center"/>
          </w:tcPr>
          <w:p w14:paraId="4FB9EE1D" w14:textId="3D90FCA7"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2AF0AB26" w14:textId="0C85CFF8"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6DE297C2" w14:textId="249E9FCD" w:rsidR="00AB3B37" w:rsidRPr="002F01EF" w:rsidRDefault="00E05108" w:rsidP="00AB3B37">
            <w:pPr>
              <w:jc w:val="center"/>
              <w:rPr>
                <w:bCs/>
                <w:szCs w:val="17"/>
              </w:rPr>
            </w:pPr>
            <w:r w:rsidRPr="002F01EF">
              <w:rPr>
                <w:b/>
                <w:color w:val="00B050"/>
                <w:szCs w:val="17"/>
              </w:rPr>
              <w:t>Positive</w:t>
            </w:r>
          </w:p>
        </w:tc>
      </w:tr>
      <w:tr w:rsidR="00AB3B37" w:rsidRPr="002F01EF" w14:paraId="1FBC0C6E" w14:textId="77777777" w:rsidTr="00AB3B37">
        <w:trPr>
          <w:trHeight w:val="499"/>
        </w:trPr>
        <w:tc>
          <w:tcPr>
            <w:tcW w:w="679" w:type="dxa"/>
            <w:shd w:val="clear" w:color="auto" w:fill="auto"/>
            <w:vAlign w:val="center"/>
          </w:tcPr>
          <w:p w14:paraId="55B4188A" w14:textId="532AFB57" w:rsidR="00AB3B37" w:rsidRPr="002F01EF" w:rsidRDefault="00AB3B37" w:rsidP="00AB3B37">
            <w:pPr>
              <w:jc w:val="center"/>
              <w:rPr>
                <w:bCs/>
                <w:szCs w:val="17"/>
              </w:rPr>
            </w:pPr>
            <w:r w:rsidRPr="002F01EF">
              <w:rPr>
                <w:bCs/>
                <w:szCs w:val="17"/>
              </w:rPr>
              <w:t>707</w:t>
            </w:r>
          </w:p>
        </w:tc>
        <w:tc>
          <w:tcPr>
            <w:tcW w:w="1866" w:type="dxa"/>
            <w:shd w:val="clear" w:color="auto" w:fill="auto"/>
            <w:vAlign w:val="center"/>
          </w:tcPr>
          <w:p w14:paraId="791E3900" w14:textId="3E4EE088" w:rsidR="00AB3B37" w:rsidRPr="002F01EF" w:rsidRDefault="00AB3B37" w:rsidP="00AB3B37">
            <w:pPr>
              <w:jc w:val="center"/>
            </w:pPr>
            <w:r w:rsidRPr="002F01EF">
              <w:t>Article 159a – paragraph 1 – subparagraph 1</w:t>
            </w:r>
          </w:p>
        </w:tc>
        <w:tc>
          <w:tcPr>
            <w:tcW w:w="5964" w:type="dxa"/>
            <w:shd w:val="clear" w:color="auto" w:fill="auto"/>
          </w:tcPr>
          <w:p w14:paraId="177DB129" w14:textId="3E252F5B" w:rsidR="00AB3B37" w:rsidRPr="002F01EF" w:rsidRDefault="00AB3B37" w:rsidP="00AB3B37">
            <w:pPr>
              <w:jc w:val="left"/>
              <w:rPr>
                <w:bCs/>
                <w:szCs w:val="17"/>
              </w:rPr>
            </w:pPr>
            <w:r w:rsidRPr="002F01EF">
              <w:rPr>
                <w:bCs/>
                <w:szCs w:val="17"/>
              </w:rPr>
              <w:t>Introduces 1 month time limit for provision of requested information</w:t>
            </w:r>
          </w:p>
        </w:tc>
        <w:tc>
          <w:tcPr>
            <w:tcW w:w="1865" w:type="dxa"/>
            <w:shd w:val="clear" w:color="auto" w:fill="auto"/>
            <w:vAlign w:val="center"/>
          </w:tcPr>
          <w:p w14:paraId="2965771A" w14:textId="62AA7C6B" w:rsidR="00AB3B37" w:rsidRPr="002F01EF" w:rsidRDefault="00AB3B37" w:rsidP="00AB3B37">
            <w:pPr>
              <w:jc w:val="center"/>
              <w:rPr>
                <w:bCs/>
                <w:szCs w:val="17"/>
              </w:rPr>
            </w:pPr>
            <w:proofErr w:type="spellStart"/>
            <w:r w:rsidRPr="002F01EF">
              <w:rPr>
                <w:bCs/>
                <w:szCs w:val="17"/>
              </w:rPr>
              <w:t>Heinalouma</w:t>
            </w:r>
            <w:proofErr w:type="spellEnd"/>
            <w:r w:rsidRPr="002F01EF">
              <w:rPr>
                <w:bCs/>
                <w:szCs w:val="17"/>
              </w:rPr>
              <w:t>/</w:t>
            </w:r>
          </w:p>
          <w:p w14:paraId="4C02249F" w14:textId="6E342CE0" w:rsidR="00AB3B37" w:rsidRPr="002F01EF" w:rsidRDefault="00AB3B37" w:rsidP="00AB3B37">
            <w:pPr>
              <w:jc w:val="center"/>
              <w:rPr>
                <w:bCs/>
                <w:szCs w:val="17"/>
              </w:rPr>
            </w:pPr>
            <w:proofErr w:type="spellStart"/>
            <w:r w:rsidRPr="002F01EF">
              <w:rPr>
                <w:bCs/>
                <w:szCs w:val="17"/>
              </w:rPr>
              <w:t>Lalucq</w:t>
            </w:r>
            <w:proofErr w:type="spellEnd"/>
          </w:p>
        </w:tc>
        <w:tc>
          <w:tcPr>
            <w:tcW w:w="2483" w:type="dxa"/>
            <w:shd w:val="clear" w:color="auto" w:fill="auto"/>
            <w:vAlign w:val="center"/>
          </w:tcPr>
          <w:p w14:paraId="0943C07B" w14:textId="4BB91466"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73BE490" w14:textId="2D4220B4"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2176A12C" w14:textId="77777777" w:rsidTr="00AB3B37">
        <w:trPr>
          <w:trHeight w:val="499"/>
        </w:trPr>
        <w:tc>
          <w:tcPr>
            <w:tcW w:w="679" w:type="dxa"/>
            <w:shd w:val="clear" w:color="auto" w:fill="auto"/>
            <w:vAlign w:val="center"/>
          </w:tcPr>
          <w:p w14:paraId="22477F92" w14:textId="73737489" w:rsidR="00AB3B37" w:rsidRPr="002F01EF" w:rsidRDefault="00AB3B37" w:rsidP="00AB3B37">
            <w:pPr>
              <w:jc w:val="center"/>
              <w:rPr>
                <w:bCs/>
                <w:szCs w:val="17"/>
              </w:rPr>
            </w:pPr>
            <w:r w:rsidRPr="002F01EF">
              <w:rPr>
                <w:bCs/>
                <w:szCs w:val="17"/>
              </w:rPr>
              <w:t>708</w:t>
            </w:r>
          </w:p>
        </w:tc>
        <w:tc>
          <w:tcPr>
            <w:tcW w:w="1866" w:type="dxa"/>
            <w:shd w:val="clear" w:color="auto" w:fill="auto"/>
            <w:vAlign w:val="center"/>
          </w:tcPr>
          <w:p w14:paraId="2BF5C05C" w14:textId="422F99BC" w:rsidR="00AB3B37" w:rsidRPr="002F01EF" w:rsidRDefault="00AB3B37" w:rsidP="00AB3B37">
            <w:pPr>
              <w:jc w:val="center"/>
            </w:pPr>
            <w:r w:rsidRPr="002F01EF">
              <w:t>Article 159a – paragraph 1 – subparagraph 2</w:t>
            </w:r>
          </w:p>
        </w:tc>
        <w:tc>
          <w:tcPr>
            <w:tcW w:w="5964" w:type="dxa"/>
            <w:shd w:val="clear" w:color="auto" w:fill="auto"/>
          </w:tcPr>
          <w:p w14:paraId="0DE1455E" w14:textId="30E6E69B" w:rsidR="00AB3B37" w:rsidRPr="002F01EF" w:rsidRDefault="00AB3B37" w:rsidP="00AB3B37">
            <w:pPr>
              <w:jc w:val="left"/>
              <w:rPr>
                <w:bCs/>
                <w:szCs w:val="17"/>
              </w:rPr>
            </w:pPr>
            <w:r w:rsidRPr="002F01EF">
              <w:rPr>
                <w:bCs/>
                <w:szCs w:val="17"/>
              </w:rPr>
              <w:t>Links definition of “significant cross border activities” with Article 33a</w:t>
            </w:r>
          </w:p>
        </w:tc>
        <w:tc>
          <w:tcPr>
            <w:tcW w:w="1865" w:type="dxa"/>
            <w:shd w:val="clear" w:color="auto" w:fill="auto"/>
            <w:vAlign w:val="center"/>
          </w:tcPr>
          <w:p w14:paraId="162EE69E" w14:textId="44DE565F" w:rsidR="00AB3B37" w:rsidRPr="002F01EF" w:rsidRDefault="00AB3B37" w:rsidP="00AB3B37">
            <w:pPr>
              <w:jc w:val="center"/>
              <w:rPr>
                <w:bCs/>
                <w:szCs w:val="17"/>
              </w:rPr>
            </w:pPr>
            <w:r w:rsidRPr="002F01EF">
              <w:rPr>
                <w:bCs/>
                <w:szCs w:val="17"/>
              </w:rPr>
              <w:t>Yon-Courtin/Boyer</w:t>
            </w:r>
          </w:p>
        </w:tc>
        <w:tc>
          <w:tcPr>
            <w:tcW w:w="2483" w:type="dxa"/>
            <w:shd w:val="clear" w:color="auto" w:fill="auto"/>
            <w:vAlign w:val="center"/>
          </w:tcPr>
          <w:p w14:paraId="2051E91B" w14:textId="02300F23"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1688302" w14:textId="3DEA9F7C" w:rsidR="00AB3B37" w:rsidRPr="002F01EF" w:rsidRDefault="002E30E3" w:rsidP="00AB3B37">
            <w:pPr>
              <w:jc w:val="center"/>
              <w:rPr>
                <w:bCs/>
                <w:szCs w:val="17"/>
              </w:rPr>
            </w:pPr>
            <w:r w:rsidRPr="002F01EF">
              <w:rPr>
                <w:b/>
                <w:color w:val="808080" w:themeColor="background1" w:themeShade="80"/>
                <w:szCs w:val="17"/>
              </w:rPr>
              <w:t>Neutral</w:t>
            </w:r>
          </w:p>
        </w:tc>
      </w:tr>
      <w:tr w:rsidR="00AB3B37" w:rsidRPr="002F01EF" w14:paraId="0D11AADA" w14:textId="77777777" w:rsidTr="00AB3B37">
        <w:trPr>
          <w:trHeight w:val="499"/>
        </w:trPr>
        <w:tc>
          <w:tcPr>
            <w:tcW w:w="679" w:type="dxa"/>
            <w:shd w:val="clear" w:color="auto" w:fill="auto"/>
            <w:vAlign w:val="center"/>
          </w:tcPr>
          <w:p w14:paraId="6666A629" w14:textId="6F6141F5" w:rsidR="00AB3B37" w:rsidRPr="002F01EF" w:rsidRDefault="00AB3B37" w:rsidP="00AB3B37">
            <w:pPr>
              <w:jc w:val="center"/>
              <w:rPr>
                <w:bCs/>
                <w:szCs w:val="17"/>
              </w:rPr>
            </w:pPr>
            <w:r w:rsidRPr="002F01EF">
              <w:rPr>
                <w:bCs/>
                <w:szCs w:val="17"/>
              </w:rPr>
              <w:t>709</w:t>
            </w:r>
          </w:p>
        </w:tc>
        <w:tc>
          <w:tcPr>
            <w:tcW w:w="1866" w:type="dxa"/>
            <w:shd w:val="clear" w:color="auto" w:fill="auto"/>
            <w:vAlign w:val="center"/>
          </w:tcPr>
          <w:p w14:paraId="0B016DA1" w14:textId="7DEE3C9B" w:rsidR="00AB3B37" w:rsidRPr="002F01EF" w:rsidRDefault="00AB3B37" w:rsidP="00AB3B37">
            <w:pPr>
              <w:jc w:val="center"/>
            </w:pPr>
            <w:r w:rsidRPr="002F01EF">
              <w:t>Article 159a – paragraph 1 – subparagraph 2</w:t>
            </w:r>
          </w:p>
        </w:tc>
        <w:tc>
          <w:tcPr>
            <w:tcW w:w="5964" w:type="dxa"/>
            <w:shd w:val="clear" w:color="auto" w:fill="auto"/>
          </w:tcPr>
          <w:p w14:paraId="50D78132" w14:textId="3AF439A7" w:rsidR="00AB3B37" w:rsidRPr="002F01EF" w:rsidRDefault="00AB3B37" w:rsidP="00AB3B37">
            <w:pPr>
              <w:jc w:val="left"/>
              <w:rPr>
                <w:bCs/>
                <w:szCs w:val="17"/>
              </w:rPr>
            </w:pPr>
            <w:r w:rsidRPr="002F01EF">
              <w:rPr>
                <w:bCs/>
                <w:szCs w:val="17"/>
              </w:rPr>
              <w:t>Redefines “significant cross border activities” to be assessed under proportionality principle</w:t>
            </w:r>
          </w:p>
        </w:tc>
        <w:tc>
          <w:tcPr>
            <w:tcW w:w="1865" w:type="dxa"/>
            <w:shd w:val="clear" w:color="auto" w:fill="auto"/>
            <w:vAlign w:val="center"/>
          </w:tcPr>
          <w:p w14:paraId="76842E7B" w14:textId="43C3EA0A"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47F82449" w14:textId="299020E6"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1594EB40" w14:textId="5AB2E23E" w:rsidR="00AB3B37" w:rsidRPr="002F01EF" w:rsidRDefault="00A41ECF" w:rsidP="00AB3B37">
            <w:pPr>
              <w:jc w:val="center"/>
              <w:rPr>
                <w:bCs/>
                <w:szCs w:val="17"/>
              </w:rPr>
            </w:pPr>
            <w:r w:rsidRPr="00A41ECF">
              <w:rPr>
                <w:b/>
                <w:color w:val="F79646" w:themeColor="accent6"/>
                <w:szCs w:val="17"/>
              </w:rPr>
              <w:t>Mixed</w:t>
            </w:r>
          </w:p>
        </w:tc>
      </w:tr>
      <w:tr w:rsidR="00AB3B37" w:rsidRPr="002F01EF" w14:paraId="12481875" w14:textId="77777777" w:rsidTr="00AB3B37">
        <w:trPr>
          <w:trHeight w:val="499"/>
        </w:trPr>
        <w:tc>
          <w:tcPr>
            <w:tcW w:w="679" w:type="dxa"/>
            <w:shd w:val="clear" w:color="auto" w:fill="auto"/>
            <w:vAlign w:val="center"/>
          </w:tcPr>
          <w:p w14:paraId="2F5AA0B5" w14:textId="777446C9" w:rsidR="00AB3B37" w:rsidRPr="002F01EF" w:rsidRDefault="00AB3B37" w:rsidP="00AB3B37">
            <w:pPr>
              <w:jc w:val="center"/>
              <w:rPr>
                <w:bCs/>
                <w:szCs w:val="17"/>
              </w:rPr>
            </w:pPr>
            <w:r w:rsidRPr="002F01EF">
              <w:rPr>
                <w:bCs/>
                <w:szCs w:val="17"/>
              </w:rPr>
              <w:t>710</w:t>
            </w:r>
          </w:p>
        </w:tc>
        <w:tc>
          <w:tcPr>
            <w:tcW w:w="1866" w:type="dxa"/>
            <w:shd w:val="clear" w:color="auto" w:fill="auto"/>
            <w:vAlign w:val="center"/>
          </w:tcPr>
          <w:p w14:paraId="42D411CD" w14:textId="43063AF4" w:rsidR="00AB3B37" w:rsidRPr="002F01EF" w:rsidRDefault="00AB3B37" w:rsidP="00AB3B37">
            <w:pPr>
              <w:jc w:val="center"/>
            </w:pPr>
            <w:r w:rsidRPr="002F01EF">
              <w:t>Article 159a – paragraph 2 – subparagraph 1</w:t>
            </w:r>
          </w:p>
        </w:tc>
        <w:tc>
          <w:tcPr>
            <w:tcW w:w="5964" w:type="dxa"/>
            <w:shd w:val="clear" w:color="auto" w:fill="auto"/>
          </w:tcPr>
          <w:p w14:paraId="5CBBBB57" w14:textId="76A6178E" w:rsidR="00AB3B37" w:rsidRPr="002F01EF" w:rsidRDefault="00AB3B37" w:rsidP="00AB3B37">
            <w:pPr>
              <w:jc w:val="left"/>
              <w:rPr>
                <w:bCs/>
                <w:szCs w:val="17"/>
              </w:rPr>
            </w:pPr>
            <w:r w:rsidRPr="002F01EF">
              <w:rPr>
                <w:bCs/>
                <w:szCs w:val="17"/>
              </w:rPr>
              <w:t>Replaces the option of a joint on-site inspection with the possibility that the NSA of the home MS assists in the preparation of the on-site inspection with the NSA of the home MS only in the case when the undertaking is not compliant with its MCR (significant non-compliance with SCR is removed).</w:t>
            </w:r>
          </w:p>
        </w:tc>
        <w:tc>
          <w:tcPr>
            <w:tcW w:w="1865" w:type="dxa"/>
            <w:shd w:val="clear" w:color="auto" w:fill="auto"/>
            <w:vAlign w:val="center"/>
          </w:tcPr>
          <w:p w14:paraId="290ED897" w14:textId="7D2DAE76"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3997E67B" w14:textId="4E8F6A1C"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1371DD6B" w14:textId="6B9397B3" w:rsidR="00AB3B37" w:rsidRPr="002F01EF" w:rsidRDefault="00D44340"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37A7DEE" w14:textId="77777777" w:rsidTr="00AB3B37">
        <w:trPr>
          <w:trHeight w:val="499"/>
        </w:trPr>
        <w:tc>
          <w:tcPr>
            <w:tcW w:w="679" w:type="dxa"/>
            <w:shd w:val="clear" w:color="auto" w:fill="auto"/>
            <w:vAlign w:val="center"/>
          </w:tcPr>
          <w:p w14:paraId="32A5A1D7" w14:textId="5FF838B5" w:rsidR="00AB3B37" w:rsidRPr="002F01EF" w:rsidRDefault="00AB3B37" w:rsidP="00AB3B37">
            <w:pPr>
              <w:jc w:val="center"/>
              <w:rPr>
                <w:bCs/>
                <w:szCs w:val="17"/>
              </w:rPr>
            </w:pPr>
            <w:r w:rsidRPr="002F01EF">
              <w:rPr>
                <w:bCs/>
                <w:szCs w:val="17"/>
              </w:rPr>
              <w:t>711</w:t>
            </w:r>
          </w:p>
        </w:tc>
        <w:tc>
          <w:tcPr>
            <w:tcW w:w="1866" w:type="dxa"/>
            <w:shd w:val="clear" w:color="auto" w:fill="auto"/>
            <w:vAlign w:val="center"/>
          </w:tcPr>
          <w:p w14:paraId="173E7B04" w14:textId="79F4A3B4" w:rsidR="00AB3B37" w:rsidRPr="002F01EF" w:rsidRDefault="00AB3B37" w:rsidP="00AB3B37">
            <w:pPr>
              <w:jc w:val="center"/>
            </w:pPr>
            <w:r w:rsidRPr="002F01EF">
              <w:t>Article 159a – paragraph 3 – subparagraph 2</w:t>
            </w:r>
          </w:p>
        </w:tc>
        <w:tc>
          <w:tcPr>
            <w:tcW w:w="5964" w:type="dxa"/>
            <w:shd w:val="clear" w:color="auto" w:fill="auto"/>
          </w:tcPr>
          <w:p w14:paraId="53020DFC" w14:textId="47ED0430" w:rsidR="00AB3B37" w:rsidRPr="002F01EF" w:rsidRDefault="00AB3B37" w:rsidP="00AB3B37">
            <w:pPr>
              <w:jc w:val="left"/>
              <w:rPr>
                <w:bCs/>
                <w:szCs w:val="17"/>
              </w:rPr>
            </w:pPr>
            <w:r w:rsidRPr="002F01EF">
              <w:rPr>
                <w:bCs/>
                <w:szCs w:val="17"/>
              </w:rPr>
              <w:t>Clarification that recommended supervisory actions must be reached within two months after the conclusion of the join on-site inspection</w:t>
            </w:r>
          </w:p>
        </w:tc>
        <w:tc>
          <w:tcPr>
            <w:tcW w:w="1865" w:type="dxa"/>
            <w:shd w:val="clear" w:color="auto" w:fill="auto"/>
            <w:vAlign w:val="center"/>
          </w:tcPr>
          <w:p w14:paraId="10DF6BF8" w14:textId="0902E04B"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663DC064" w14:textId="713C976A"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6A0A981D" w14:textId="5406FA03"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F97B641" w14:textId="77777777" w:rsidTr="00AB3B37">
        <w:trPr>
          <w:trHeight w:val="499"/>
        </w:trPr>
        <w:tc>
          <w:tcPr>
            <w:tcW w:w="679" w:type="dxa"/>
            <w:shd w:val="clear" w:color="auto" w:fill="auto"/>
            <w:vAlign w:val="center"/>
          </w:tcPr>
          <w:p w14:paraId="44139AA8" w14:textId="654823B3" w:rsidR="00AB3B37" w:rsidRPr="002F01EF" w:rsidRDefault="00AB3B37" w:rsidP="00AB3B37">
            <w:pPr>
              <w:jc w:val="center"/>
              <w:rPr>
                <w:bCs/>
                <w:szCs w:val="17"/>
              </w:rPr>
            </w:pPr>
            <w:r w:rsidRPr="002F01EF">
              <w:rPr>
                <w:bCs/>
                <w:szCs w:val="17"/>
              </w:rPr>
              <w:t>712</w:t>
            </w:r>
          </w:p>
        </w:tc>
        <w:tc>
          <w:tcPr>
            <w:tcW w:w="1866" w:type="dxa"/>
            <w:shd w:val="clear" w:color="auto" w:fill="auto"/>
            <w:vAlign w:val="center"/>
          </w:tcPr>
          <w:p w14:paraId="3F20F5A6" w14:textId="25022E17" w:rsidR="00AB3B37" w:rsidRPr="002F01EF" w:rsidRDefault="00AB3B37" w:rsidP="00AB3B37">
            <w:pPr>
              <w:jc w:val="center"/>
            </w:pPr>
            <w:r w:rsidRPr="002F01EF">
              <w:t>Article 159a – paragraph 3 – subparagraph 3</w:t>
            </w:r>
          </w:p>
        </w:tc>
        <w:tc>
          <w:tcPr>
            <w:tcW w:w="5964" w:type="dxa"/>
            <w:shd w:val="clear" w:color="auto" w:fill="auto"/>
          </w:tcPr>
          <w:p w14:paraId="6E7CBA3E" w14:textId="45393424" w:rsidR="00AB3B37" w:rsidRPr="002F01EF" w:rsidRDefault="00AB3B37" w:rsidP="00AB3B37">
            <w:pPr>
              <w:jc w:val="left"/>
              <w:rPr>
                <w:bCs/>
                <w:szCs w:val="17"/>
              </w:rPr>
            </w:pPr>
            <w:r w:rsidRPr="002F01EF">
              <w:rPr>
                <w:bCs/>
                <w:szCs w:val="17"/>
              </w:rPr>
              <w:t>Removes the option to request EIOPA to assist when there is a non-compliance with the SCR and NSAs disagree on the conclusions of the on-site inspection. The option remains when there is a likelihood of non-compliance with the MCR.</w:t>
            </w:r>
          </w:p>
        </w:tc>
        <w:tc>
          <w:tcPr>
            <w:tcW w:w="1865" w:type="dxa"/>
            <w:shd w:val="clear" w:color="auto" w:fill="auto"/>
            <w:vAlign w:val="center"/>
          </w:tcPr>
          <w:p w14:paraId="4201CDAA" w14:textId="31E1CA40"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5A3BD763" w14:textId="4E1B2B62"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44C2C8A2" w14:textId="6763FFA7" w:rsidR="00AB3B37" w:rsidRPr="002F01EF" w:rsidRDefault="00D44340"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1BEFC2FF" w14:textId="77777777" w:rsidTr="00AB3B37">
        <w:trPr>
          <w:trHeight w:val="499"/>
        </w:trPr>
        <w:tc>
          <w:tcPr>
            <w:tcW w:w="679" w:type="dxa"/>
            <w:shd w:val="clear" w:color="auto" w:fill="auto"/>
            <w:vAlign w:val="center"/>
          </w:tcPr>
          <w:p w14:paraId="7A37DFC9" w14:textId="01518D3B" w:rsidR="00AB3B37" w:rsidRPr="002F01EF" w:rsidRDefault="00AB3B37" w:rsidP="00AB3B37">
            <w:pPr>
              <w:jc w:val="center"/>
              <w:rPr>
                <w:bCs/>
                <w:szCs w:val="17"/>
              </w:rPr>
            </w:pPr>
            <w:r w:rsidRPr="002F01EF">
              <w:rPr>
                <w:bCs/>
                <w:szCs w:val="17"/>
              </w:rPr>
              <w:t>713</w:t>
            </w:r>
          </w:p>
        </w:tc>
        <w:tc>
          <w:tcPr>
            <w:tcW w:w="1866" w:type="dxa"/>
            <w:shd w:val="clear" w:color="auto" w:fill="auto"/>
            <w:vAlign w:val="center"/>
          </w:tcPr>
          <w:p w14:paraId="5D5E7D56" w14:textId="77777777" w:rsidR="00AB3B37" w:rsidRPr="002F01EF" w:rsidRDefault="00AB3B37" w:rsidP="00AB3B37">
            <w:pPr>
              <w:jc w:val="center"/>
            </w:pPr>
            <w:r w:rsidRPr="002F01EF">
              <w:rPr>
                <w:vanish/>
              </w:rPr>
              <w:t>&lt;Article2&gt;</w:t>
            </w:r>
            <w:r w:rsidRPr="002F01EF">
              <w:t>Article 159a – paragraph 3 – subparagraph 4</w:t>
            </w:r>
            <w:r w:rsidRPr="002F01EF">
              <w:rPr>
                <w:vanish/>
              </w:rPr>
              <w:t>&lt;/Article2&gt;</w:t>
            </w:r>
          </w:p>
          <w:p w14:paraId="4C910BBE" w14:textId="77777777" w:rsidR="00AB3B37" w:rsidRPr="002F01EF" w:rsidRDefault="00AB3B37" w:rsidP="00AB3B37">
            <w:pPr>
              <w:jc w:val="center"/>
            </w:pPr>
          </w:p>
        </w:tc>
        <w:tc>
          <w:tcPr>
            <w:tcW w:w="5964" w:type="dxa"/>
            <w:shd w:val="clear" w:color="auto" w:fill="auto"/>
          </w:tcPr>
          <w:p w14:paraId="737C5D40" w14:textId="74D7B6C3" w:rsidR="00AB3B37" w:rsidRPr="002F01EF" w:rsidRDefault="00AB3B37" w:rsidP="00AB3B37">
            <w:pPr>
              <w:jc w:val="left"/>
            </w:pPr>
            <w:r w:rsidRPr="002F01EF">
              <w:t>Deletes the requirement for the home MS to adopt EIOPA’s conclusions when there is a disagreement between the home and host MS on an on-site inspection.</w:t>
            </w:r>
          </w:p>
        </w:tc>
        <w:tc>
          <w:tcPr>
            <w:tcW w:w="1865" w:type="dxa"/>
            <w:shd w:val="clear" w:color="auto" w:fill="auto"/>
            <w:vAlign w:val="center"/>
          </w:tcPr>
          <w:p w14:paraId="0512494E" w14:textId="0624C50B" w:rsidR="00AB3B37" w:rsidRPr="002F01EF" w:rsidRDefault="00AB3B37" w:rsidP="00AB3B37">
            <w:pPr>
              <w:jc w:val="center"/>
              <w:rPr>
                <w:bCs/>
                <w:szCs w:val="17"/>
              </w:rPr>
            </w:pPr>
            <w:r w:rsidRPr="002F01EF">
              <w:rPr>
                <w:bCs/>
                <w:szCs w:val="17"/>
              </w:rPr>
              <w:t>Hansen</w:t>
            </w:r>
          </w:p>
        </w:tc>
        <w:tc>
          <w:tcPr>
            <w:tcW w:w="2483" w:type="dxa"/>
            <w:shd w:val="clear" w:color="auto" w:fill="auto"/>
            <w:vAlign w:val="center"/>
          </w:tcPr>
          <w:p w14:paraId="2992DBED" w14:textId="5B816D02" w:rsidR="00AB3B37" w:rsidRPr="002F01EF" w:rsidRDefault="00AB3B37" w:rsidP="00AB3B37">
            <w:pPr>
              <w:jc w:val="center"/>
              <w:rPr>
                <w:bCs/>
                <w:szCs w:val="17"/>
              </w:rPr>
            </w:pPr>
            <w:r w:rsidRPr="002F01EF">
              <w:rPr>
                <w:bCs/>
                <w:szCs w:val="17"/>
              </w:rPr>
              <w:t>Cross border</w:t>
            </w:r>
          </w:p>
        </w:tc>
        <w:tc>
          <w:tcPr>
            <w:tcW w:w="1886" w:type="dxa"/>
            <w:shd w:val="clear" w:color="auto" w:fill="auto"/>
            <w:vAlign w:val="center"/>
          </w:tcPr>
          <w:p w14:paraId="020BDB7C" w14:textId="0888C5C8"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5CFA5CBE" w14:textId="77777777" w:rsidTr="00AB3B37">
        <w:trPr>
          <w:trHeight w:val="499"/>
        </w:trPr>
        <w:tc>
          <w:tcPr>
            <w:tcW w:w="679" w:type="dxa"/>
            <w:shd w:val="clear" w:color="auto" w:fill="auto"/>
            <w:vAlign w:val="center"/>
          </w:tcPr>
          <w:p w14:paraId="581864CA" w14:textId="2E1753EF" w:rsidR="00AB3B37" w:rsidRPr="002F01EF" w:rsidRDefault="00AB3B37" w:rsidP="00AB3B37">
            <w:pPr>
              <w:jc w:val="center"/>
              <w:rPr>
                <w:bCs/>
                <w:szCs w:val="17"/>
              </w:rPr>
            </w:pPr>
            <w:r w:rsidRPr="002F01EF">
              <w:rPr>
                <w:bCs/>
                <w:szCs w:val="17"/>
              </w:rPr>
              <w:t>714</w:t>
            </w:r>
          </w:p>
        </w:tc>
        <w:tc>
          <w:tcPr>
            <w:tcW w:w="1866" w:type="dxa"/>
            <w:shd w:val="clear" w:color="auto" w:fill="auto"/>
            <w:vAlign w:val="center"/>
          </w:tcPr>
          <w:p w14:paraId="3ADF740C" w14:textId="72E9BC55" w:rsidR="00AB3B37" w:rsidRPr="002F01EF" w:rsidRDefault="00AB3B37" w:rsidP="00AB3B37">
            <w:pPr>
              <w:jc w:val="center"/>
            </w:pPr>
            <w:r w:rsidRPr="002F01EF">
              <w:t>Article 186 – paragraph 1</w:t>
            </w:r>
          </w:p>
        </w:tc>
        <w:tc>
          <w:tcPr>
            <w:tcW w:w="5964" w:type="dxa"/>
            <w:shd w:val="clear" w:color="auto" w:fill="auto"/>
          </w:tcPr>
          <w:p w14:paraId="77009085" w14:textId="552BF202" w:rsidR="00AB3B37" w:rsidRPr="002F01EF" w:rsidRDefault="00AB3B37" w:rsidP="00AB3B37">
            <w:pPr>
              <w:jc w:val="left"/>
              <w:rPr>
                <w:bCs/>
                <w:szCs w:val="17"/>
              </w:rPr>
            </w:pPr>
            <w:r w:rsidRPr="002F01EF">
              <w:rPr>
                <w:bCs/>
                <w:szCs w:val="17"/>
              </w:rPr>
              <w:t>Proposes a fixed termination period of the cancellation rights for policyholders of life insurance contracts.</w:t>
            </w:r>
          </w:p>
          <w:p w14:paraId="213AFC84" w14:textId="77777777" w:rsidR="00AB3B37" w:rsidRPr="002F01EF" w:rsidRDefault="00AB3B37" w:rsidP="00AB3B37">
            <w:pPr>
              <w:jc w:val="left"/>
              <w:rPr>
                <w:bCs/>
                <w:szCs w:val="17"/>
              </w:rPr>
            </w:pPr>
          </w:p>
          <w:p w14:paraId="2973C1F5" w14:textId="2DE58476" w:rsidR="00AB3B37" w:rsidRPr="002F01EF" w:rsidRDefault="00AB3B37" w:rsidP="00AB3B37">
            <w:pPr>
              <w:jc w:val="left"/>
              <w:rPr>
                <w:i/>
                <w:szCs w:val="17"/>
              </w:rPr>
            </w:pPr>
            <w:r w:rsidRPr="002F01EF">
              <w:rPr>
                <w:bCs/>
                <w:i/>
                <w:iCs/>
                <w:szCs w:val="17"/>
              </w:rPr>
              <w:lastRenderedPageBreak/>
              <w:t>Justification: The lack of a fixed termination period of the cancellation right in the Directive has led to the problem of the ‘eternal cancellation right’ which is a source of substantial legal uncertainty, and, in some markets, already a major cause for litigation. If the insurance undertaking cannot prove the receipt of the information on the cancellation right by the customer or if the information is held to be incorrect, the cancellation right remains active without limit. For life insurance contracts, which run over several decades, this situation leads to significant uncertainty. The European Court of Justice has repeatedly held that attempts to limit the ‘eternal cancellation right’ at a national level are barred by the primacy of European law (e. g. Judgment of 19 December 2013, C-209/12 – Endress). The amendment is also in line with more recent legislation such as the Consumer Rights Directive. The period of 12 months is proportionate, allowing customers who wish to rescind the contract enough time to do so.</w:t>
            </w:r>
          </w:p>
        </w:tc>
        <w:tc>
          <w:tcPr>
            <w:tcW w:w="1865" w:type="dxa"/>
            <w:shd w:val="clear" w:color="auto" w:fill="auto"/>
            <w:vAlign w:val="center"/>
          </w:tcPr>
          <w:p w14:paraId="58E4A66D" w14:textId="55A86DA9" w:rsidR="00AB3B37" w:rsidRPr="002F01EF" w:rsidRDefault="00AB3B37" w:rsidP="00AB3B37">
            <w:pPr>
              <w:jc w:val="center"/>
              <w:rPr>
                <w:bCs/>
                <w:szCs w:val="17"/>
              </w:rPr>
            </w:pPr>
            <w:r w:rsidRPr="002F01EF">
              <w:rPr>
                <w:bCs/>
                <w:szCs w:val="17"/>
              </w:rPr>
              <w:lastRenderedPageBreak/>
              <w:t>Eroglu</w:t>
            </w:r>
          </w:p>
        </w:tc>
        <w:tc>
          <w:tcPr>
            <w:tcW w:w="2483" w:type="dxa"/>
            <w:shd w:val="clear" w:color="auto" w:fill="auto"/>
            <w:vAlign w:val="center"/>
          </w:tcPr>
          <w:p w14:paraId="56D175F1" w14:textId="2D0B415C" w:rsidR="00AB3B37" w:rsidRPr="002F01EF" w:rsidRDefault="00AB3B37" w:rsidP="00AB3B37">
            <w:pPr>
              <w:jc w:val="center"/>
              <w:rPr>
                <w:bCs/>
                <w:szCs w:val="17"/>
              </w:rPr>
            </w:pPr>
            <w:r w:rsidRPr="002F01EF">
              <w:rPr>
                <w:bCs/>
                <w:szCs w:val="17"/>
              </w:rPr>
              <w:t>Cancellation rights</w:t>
            </w:r>
          </w:p>
        </w:tc>
        <w:tc>
          <w:tcPr>
            <w:tcW w:w="1886" w:type="dxa"/>
            <w:shd w:val="clear" w:color="auto" w:fill="auto"/>
            <w:vAlign w:val="center"/>
          </w:tcPr>
          <w:p w14:paraId="5CA40009" w14:textId="2053F3CE" w:rsidR="00825571" w:rsidRPr="002F01EF" w:rsidRDefault="00825571" w:rsidP="00E605D2">
            <w:pPr>
              <w:jc w:val="center"/>
              <w:rPr>
                <w:b/>
                <w:color w:val="808080" w:themeColor="background1" w:themeShade="80"/>
                <w:szCs w:val="17"/>
              </w:rPr>
            </w:pPr>
            <w:r w:rsidRPr="002F01EF">
              <w:rPr>
                <w:b/>
                <w:color w:val="808080" w:themeColor="background1" w:themeShade="80"/>
                <w:szCs w:val="17"/>
              </w:rPr>
              <w:t>Neutral</w:t>
            </w:r>
          </w:p>
          <w:p w14:paraId="3CA6904B" w14:textId="4C2F26BB" w:rsidR="00AB3B37" w:rsidRPr="002F01EF" w:rsidRDefault="00AB3B37" w:rsidP="00825571">
            <w:pPr>
              <w:rPr>
                <w:b/>
                <w:color w:val="808080" w:themeColor="background1" w:themeShade="80"/>
                <w:szCs w:val="17"/>
              </w:rPr>
            </w:pPr>
          </w:p>
        </w:tc>
      </w:tr>
      <w:tr w:rsidR="00AB3B37" w:rsidRPr="002F01EF" w14:paraId="491D9EB6" w14:textId="77777777" w:rsidTr="00AB3B37">
        <w:trPr>
          <w:trHeight w:val="499"/>
        </w:trPr>
        <w:tc>
          <w:tcPr>
            <w:tcW w:w="679" w:type="dxa"/>
            <w:shd w:val="clear" w:color="auto" w:fill="auto"/>
            <w:vAlign w:val="center"/>
          </w:tcPr>
          <w:p w14:paraId="0BC4DA84" w14:textId="209FE7FD" w:rsidR="00AB3B37" w:rsidRPr="002F01EF" w:rsidRDefault="00AB3B37" w:rsidP="00AB3B37">
            <w:pPr>
              <w:jc w:val="center"/>
              <w:rPr>
                <w:bCs/>
                <w:szCs w:val="17"/>
              </w:rPr>
            </w:pPr>
            <w:r w:rsidRPr="002F01EF">
              <w:rPr>
                <w:bCs/>
                <w:szCs w:val="17"/>
              </w:rPr>
              <w:t>715</w:t>
            </w:r>
          </w:p>
        </w:tc>
        <w:tc>
          <w:tcPr>
            <w:tcW w:w="1866" w:type="dxa"/>
            <w:shd w:val="clear" w:color="auto" w:fill="auto"/>
            <w:vAlign w:val="center"/>
          </w:tcPr>
          <w:p w14:paraId="7240CD7F" w14:textId="77777777" w:rsidR="00AB3B37" w:rsidRPr="002F01EF" w:rsidRDefault="00AB3B37" w:rsidP="00AB3B37">
            <w:pPr>
              <w:jc w:val="center"/>
            </w:pPr>
            <w:r w:rsidRPr="002F01EF">
              <w:rPr>
                <w:rStyle w:val="HideTWBExt"/>
              </w:rPr>
              <w:t>&lt;Article2&gt;</w:t>
            </w:r>
            <w:r w:rsidRPr="002F01EF">
              <w:t>Article 212 – paragraph 1 – point f</w:t>
            </w:r>
            <w:r w:rsidRPr="002F01EF">
              <w:rPr>
                <w:rStyle w:val="HideTWBExt"/>
              </w:rPr>
              <w:t>&lt;/Article2&gt;</w:t>
            </w:r>
          </w:p>
          <w:p w14:paraId="19FFA63D" w14:textId="77777777" w:rsidR="00AB3B37" w:rsidRPr="002F01EF" w:rsidRDefault="00AB3B37" w:rsidP="00AB3B37">
            <w:pPr>
              <w:jc w:val="center"/>
            </w:pPr>
          </w:p>
        </w:tc>
        <w:tc>
          <w:tcPr>
            <w:tcW w:w="5964" w:type="dxa"/>
            <w:shd w:val="clear" w:color="auto" w:fill="auto"/>
          </w:tcPr>
          <w:p w14:paraId="371382BC" w14:textId="77777777" w:rsidR="00AB3B37" w:rsidRPr="002F01EF" w:rsidRDefault="00AB3B37" w:rsidP="00AB3B37">
            <w:pPr>
              <w:jc w:val="left"/>
              <w:rPr>
                <w:bCs/>
                <w:szCs w:val="17"/>
              </w:rPr>
            </w:pPr>
            <w:r w:rsidRPr="002F01EF">
              <w:rPr>
                <w:bCs/>
                <w:szCs w:val="17"/>
              </w:rPr>
              <w:t>Amends definition of insurance holding companies.</w:t>
            </w:r>
          </w:p>
          <w:p w14:paraId="33E0481C" w14:textId="77777777" w:rsidR="00AB3B37" w:rsidRPr="002F01EF" w:rsidRDefault="00AB3B37" w:rsidP="00AB3B37">
            <w:pPr>
              <w:jc w:val="left"/>
              <w:rPr>
                <w:bCs/>
                <w:szCs w:val="17"/>
              </w:rPr>
            </w:pPr>
          </w:p>
          <w:p w14:paraId="089F6A6C" w14:textId="77777777" w:rsidR="00AB3B37" w:rsidRPr="002F01EF" w:rsidRDefault="00AB3B37" w:rsidP="00AB3B37">
            <w:pPr>
              <w:jc w:val="left"/>
              <w:rPr>
                <w:bCs/>
                <w:i/>
                <w:iCs/>
                <w:szCs w:val="17"/>
              </w:rPr>
            </w:pPr>
            <w:r w:rsidRPr="002F01EF">
              <w:rPr>
                <w:bCs/>
                <w:i/>
                <w:iCs/>
                <w:szCs w:val="17"/>
              </w:rPr>
              <w:t>Justification: Recent events have highlighted the need to clarify the provisions on prudential consolidation to ensure that financial groups that are headed by fintech companies or include, in addition to insurance or reinsurance undertakings, other entities that engage directly or indirectly in financial activities are subject to consolidated supervision. To that end, the definition of an insurance holding company should be amended and clarified in line with the Council compromise, taking into account similar amendments brought to the definition of a financial holding company referred to in Article 4, paragraph 1, point (20) of Regulation (EU) No 575/2013 for the banking sector.</w:t>
            </w:r>
          </w:p>
          <w:p w14:paraId="7F99330B" w14:textId="66C269BA" w:rsidR="00AB3B37" w:rsidRPr="002F01EF" w:rsidRDefault="00AB3B37" w:rsidP="00AB3B37">
            <w:pPr>
              <w:jc w:val="left"/>
              <w:rPr>
                <w:i/>
                <w:szCs w:val="17"/>
              </w:rPr>
            </w:pPr>
          </w:p>
        </w:tc>
        <w:tc>
          <w:tcPr>
            <w:tcW w:w="1865" w:type="dxa"/>
            <w:shd w:val="clear" w:color="auto" w:fill="auto"/>
            <w:vAlign w:val="center"/>
          </w:tcPr>
          <w:p w14:paraId="334838BD" w14:textId="74659650" w:rsidR="00AB3B37" w:rsidRPr="002F01EF" w:rsidRDefault="00AB3B37" w:rsidP="00AB3B37">
            <w:pPr>
              <w:jc w:val="center"/>
              <w:rPr>
                <w:bCs/>
                <w:szCs w:val="17"/>
              </w:rPr>
            </w:pPr>
            <w:r w:rsidRPr="002F01EF">
              <w:rPr>
                <w:bCs/>
                <w:szCs w:val="17"/>
              </w:rPr>
              <w:t>Karas</w:t>
            </w:r>
          </w:p>
        </w:tc>
        <w:tc>
          <w:tcPr>
            <w:tcW w:w="2483" w:type="dxa"/>
            <w:shd w:val="clear" w:color="auto" w:fill="auto"/>
            <w:vAlign w:val="center"/>
          </w:tcPr>
          <w:p w14:paraId="74B57B5B" w14:textId="35F30AFD"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714A43F2" w14:textId="473F1E9C" w:rsidR="00AB3B37" w:rsidRPr="002F01EF" w:rsidRDefault="00E05108" w:rsidP="00AB3B37">
            <w:pPr>
              <w:jc w:val="center"/>
              <w:rPr>
                <w:bCs/>
                <w:szCs w:val="17"/>
              </w:rPr>
            </w:pPr>
            <w:r w:rsidRPr="002F01EF">
              <w:rPr>
                <w:b/>
                <w:color w:val="00B050"/>
                <w:szCs w:val="17"/>
              </w:rPr>
              <w:t>Positive</w:t>
            </w:r>
          </w:p>
        </w:tc>
      </w:tr>
      <w:tr w:rsidR="00AB3B37" w:rsidRPr="002F01EF" w14:paraId="6741557A" w14:textId="77777777" w:rsidTr="00AB3B37">
        <w:trPr>
          <w:trHeight w:val="499"/>
        </w:trPr>
        <w:tc>
          <w:tcPr>
            <w:tcW w:w="679" w:type="dxa"/>
            <w:shd w:val="clear" w:color="auto" w:fill="auto"/>
            <w:vAlign w:val="center"/>
          </w:tcPr>
          <w:p w14:paraId="105E9971" w14:textId="4309B4E6" w:rsidR="00AB3B37" w:rsidRPr="002F01EF" w:rsidRDefault="00AB3B37" w:rsidP="00AB3B37">
            <w:pPr>
              <w:jc w:val="center"/>
              <w:rPr>
                <w:bCs/>
                <w:szCs w:val="17"/>
              </w:rPr>
            </w:pPr>
            <w:r w:rsidRPr="002F01EF">
              <w:rPr>
                <w:bCs/>
                <w:szCs w:val="17"/>
              </w:rPr>
              <w:t>716</w:t>
            </w:r>
          </w:p>
        </w:tc>
        <w:tc>
          <w:tcPr>
            <w:tcW w:w="1866" w:type="dxa"/>
            <w:shd w:val="clear" w:color="auto" w:fill="auto"/>
            <w:vAlign w:val="center"/>
          </w:tcPr>
          <w:p w14:paraId="1B1B35E6" w14:textId="77777777" w:rsidR="00AB3B37" w:rsidRPr="002F01EF" w:rsidRDefault="00AB3B37" w:rsidP="00AB3B37">
            <w:pPr>
              <w:jc w:val="center"/>
            </w:pPr>
            <w:r w:rsidRPr="002F01EF">
              <w:rPr>
                <w:rStyle w:val="HideTWBExt"/>
              </w:rPr>
              <w:t>&lt;Article2&gt;</w:t>
            </w:r>
            <w:r w:rsidRPr="002F01EF">
              <w:t>Article 212 – paragraphs 3 to 6</w:t>
            </w:r>
            <w:r w:rsidRPr="002F01EF">
              <w:rPr>
                <w:rStyle w:val="HideTWBExt"/>
              </w:rPr>
              <w:t>&lt;/Article2&gt;</w:t>
            </w:r>
          </w:p>
          <w:p w14:paraId="1831380E" w14:textId="77777777" w:rsidR="00AB3B37" w:rsidRPr="002F01EF" w:rsidRDefault="00AB3B37" w:rsidP="00AB3B37">
            <w:pPr>
              <w:jc w:val="center"/>
            </w:pPr>
          </w:p>
        </w:tc>
        <w:tc>
          <w:tcPr>
            <w:tcW w:w="5964" w:type="dxa"/>
            <w:shd w:val="clear" w:color="auto" w:fill="auto"/>
          </w:tcPr>
          <w:p w14:paraId="60B48833" w14:textId="7C19ADD8" w:rsidR="00AB3B37" w:rsidRPr="002F01EF" w:rsidRDefault="00AB3B37" w:rsidP="00AB3B37">
            <w:pPr>
              <w:jc w:val="left"/>
              <w:rPr>
                <w:bCs/>
                <w:szCs w:val="17"/>
              </w:rPr>
            </w:pPr>
            <w:r w:rsidRPr="002F01EF">
              <w:rPr>
                <w:bCs/>
                <w:szCs w:val="17"/>
              </w:rPr>
              <w:t>Deletes paragraphs introducing ways to identify undertakings which form a group.</w:t>
            </w:r>
          </w:p>
          <w:p w14:paraId="2B78A08A" w14:textId="77777777" w:rsidR="00AB3B37" w:rsidRPr="002F01EF" w:rsidRDefault="00AB3B37" w:rsidP="00AB3B37">
            <w:pPr>
              <w:jc w:val="left"/>
              <w:rPr>
                <w:bCs/>
                <w:szCs w:val="17"/>
              </w:rPr>
            </w:pPr>
          </w:p>
          <w:p w14:paraId="334026D0" w14:textId="1C36CD6A" w:rsidR="00AB3B37" w:rsidRPr="002F01EF" w:rsidRDefault="00AB3B37" w:rsidP="00AB3B37">
            <w:pPr>
              <w:jc w:val="left"/>
              <w:rPr>
                <w:i/>
                <w:szCs w:val="17"/>
              </w:rPr>
            </w:pPr>
            <w:r w:rsidRPr="002F01EF">
              <w:rPr>
                <w:bCs/>
                <w:i/>
                <w:iCs/>
                <w:szCs w:val="17"/>
              </w:rPr>
              <w:t xml:space="preserve">Justification: The EC proposal extends group supervision beyond </w:t>
            </w:r>
            <w:r w:rsidRPr="002F01EF">
              <w:rPr>
                <w:bCs/>
                <w:i/>
                <w:iCs/>
                <w:szCs w:val="17"/>
              </w:rPr>
              <w:lastRenderedPageBreak/>
              <w:t>insurance activities of groups to other activities such as banking, thus creating an overlap between activities of banking supervisors and insurance supervisors and resulting in unnecessarily complex supervision. The proposal to segregate key functions between insurance and other activities moreover defeats the whole purpose of bancassurance groups. It is therefore suggested to delete these provisions. It would be better to deal with any changes to group supervision in the context of the Financial Conglomerates Directive.</w:t>
            </w:r>
          </w:p>
        </w:tc>
        <w:tc>
          <w:tcPr>
            <w:tcW w:w="1865" w:type="dxa"/>
            <w:shd w:val="clear" w:color="auto" w:fill="auto"/>
            <w:vAlign w:val="center"/>
          </w:tcPr>
          <w:p w14:paraId="3F1DB61B" w14:textId="18173E15" w:rsidR="00AB3B37" w:rsidRPr="002F01EF" w:rsidRDefault="00AB3B37" w:rsidP="00AB3B37">
            <w:pPr>
              <w:jc w:val="center"/>
              <w:rPr>
                <w:bCs/>
                <w:szCs w:val="17"/>
              </w:rPr>
            </w:pPr>
            <w:r w:rsidRPr="002F01EF">
              <w:rPr>
                <w:bCs/>
                <w:szCs w:val="17"/>
              </w:rPr>
              <w:lastRenderedPageBreak/>
              <w:t xml:space="preserve">Van </w:t>
            </w:r>
            <w:proofErr w:type="spellStart"/>
            <w:r w:rsidRPr="002F01EF">
              <w:rPr>
                <w:bCs/>
                <w:szCs w:val="17"/>
              </w:rPr>
              <w:t>Overtveldt</w:t>
            </w:r>
            <w:proofErr w:type="spellEnd"/>
          </w:p>
        </w:tc>
        <w:tc>
          <w:tcPr>
            <w:tcW w:w="2483" w:type="dxa"/>
            <w:shd w:val="clear" w:color="auto" w:fill="auto"/>
            <w:vAlign w:val="center"/>
          </w:tcPr>
          <w:p w14:paraId="71DFFAA7" w14:textId="4883836B"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389FD87F" w14:textId="2FC3B4AE" w:rsidR="00AB3B37" w:rsidRPr="002F01EF" w:rsidRDefault="00E05108" w:rsidP="00AB3B37">
            <w:pPr>
              <w:jc w:val="center"/>
              <w:rPr>
                <w:bCs/>
                <w:szCs w:val="17"/>
              </w:rPr>
            </w:pPr>
            <w:r w:rsidRPr="002F01EF">
              <w:rPr>
                <w:b/>
                <w:color w:val="00B050"/>
                <w:szCs w:val="17"/>
              </w:rPr>
              <w:t>Positive</w:t>
            </w:r>
          </w:p>
        </w:tc>
      </w:tr>
      <w:tr w:rsidR="00AB3B37" w:rsidRPr="002F01EF" w14:paraId="18B1F768" w14:textId="77777777" w:rsidTr="00633005">
        <w:trPr>
          <w:trHeight w:val="499"/>
        </w:trPr>
        <w:tc>
          <w:tcPr>
            <w:tcW w:w="679" w:type="dxa"/>
            <w:shd w:val="clear" w:color="auto" w:fill="auto"/>
            <w:vAlign w:val="center"/>
          </w:tcPr>
          <w:p w14:paraId="26442CC5" w14:textId="49A38502" w:rsidR="00AB3B37" w:rsidRPr="002F01EF" w:rsidRDefault="00AB3B37" w:rsidP="00AB3B37">
            <w:pPr>
              <w:jc w:val="center"/>
              <w:rPr>
                <w:bCs/>
                <w:szCs w:val="17"/>
              </w:rPr>
            </w:pPr>
            <w:r w:rsidRPr="002F01EF">
              <w:rPr>
                <w:bCs/>
                <w:szCs w:val="17"/>
              </w:rPr>
              <w:t>717-719</w:t>
            </w:r>
          </w:p>
        </w:tc>
        <w:tc>
          <w:tcPr>
            <w:tcW w:w="1866" w:type="dxa"/>
            <w:shd w:val="clear" w:color="auto" w:fill="auto"/>
            <w:vAlign w:val="center"/>
          </w:tcPr>
          <w:p w14:paraId="20764168" w14:textId="1C012509" w:rsidR="00AB3B37" w:rsidRPr="0092408F" w:rsidRDefault="00AB3B37" w:rsidP="00AB3B37">
            <w:pPr>
              <w:jc w:val="center"/>
              <w:rPr>
                <w:lang w:val="fr-FR"/>
              </w:rPr>
            </w:pPr>
            <w:r w:rsidRPr="0092408F">
              <w:rPr>
                <w:lang w:val="fr-FR"/>
              </w:rPr>
              <w:t>Article 212 – paragraph 3 – subparagraph 1 a (new)</w:t>
            </w:r>
          </w:p>
        </w:tc>
        <w:tc>
          <w:tcPr>
            <w:tcW w:w="5964" w:type="dxa"/>
            <w:shd w:val="clear" w:color="auto" w:fill="auto"/>
          </w:tcPr>
          <w:p w14:paraId="73B80354" w14:textId="4ADA205C" w:rsidR="00AB3B37" w:rsidRPr="002F01EF" w:rsidRDefault="00AB3B37" w:rsidP="00AB3B37">
            <w:pPr>
              <w:jc w:val="left"/>
              <w:rPr>
                <w:bCs/>
                <w:szCs w:val="17"/>
              </w:rPr>
            </w:pPr>
            <w:r w:rsidRPr="002F01EF">
              <w:rPr>
                <w:bCs/>
                <w:szCs w:val="17"/>
              </w:rPr>
              <w:t>Clarifies that when undertakings do not have their head office in the same MS, MSs shall ensure that only the national group supervisor can conclude that those undertakings form a group.</w:t>
            </w:r>
          </w:p>
        </w:tc>
        <w:tc>
          <w:tcPr>
            <w:tcW w:w="1865" w:type="dxa"/>
            <w:shd w:val="clear" w:color="auto" w:fill="auto"/>
            <w:vAlign w:val="center"/>
          </w:tcPr>
          <w:p w14:paraId="75649178" w14:textId="36B21252" w:rsidR="00AB3B37" w:rsidRPr="002F01EF" w:rsidRDefault="00AB3B37" w:rsidP="00AB3B37">
            <w:pPr>
              <w:jc w:val="center"/>
              <w:rPr>
                <w:bCs/>
                <w:szCs w:val="17"/>
              </w:rPr>
            </w:pPr>
            <w:r w:rsidRPr="002F01EF">
              <w:rPr>
                <w:bCs/>
                <w:szCs w:val="17"/>
              </w:rPr>
              <w:t xml:space="preserve">Hahn (717) and </w:t>
            </w:r>
            <w:proofErr w:type="spellStart"/>
            <w:r w:rsidRPr="002F01EF">
              <w:t>Heinäluoma</w:t>
            </w:r>
            <w:proofErr w:type="spellEnd"/>
            <w:r w:rsidRPr="002F01EF">
              <w:t xml:space="preserve">, </w:t>
            </w:r>
            <w:proofErr w:type="spellStart"/>
            <w:r w:rsidRPr="002F01EF">
              <w:t>Lalucq</w:t>
            </w:r>
            <w:proofErr w:type="spellEnd"/>
            <w:r w:rsidRPr="002F01EF">
              <w:t xml:space="preserve"> (718) and Yon-Courtin, Boyer (719)</w:t>
            </w:r>
          </w:p>
        </w:tc>
        <w:tc>
          <w:tcPr>
            <w:tcW w:w="2483" w:type="dxa"/>
            <w:shd w:val="clear" w:color="auto" w:fill="auto"/>
            <w:vAlign w:val="center"/>
          </w:tcPr>
          <w:p w14:paraId="2E2D8E6C" w14:textId="3A977359"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24BD9961" w14:textId="0585F39C" w:rsidR="00AB3B37" w:rsidRPr="002F01EF" w:rsidRDefault="00AB3B37" w:rsidP="00AB3B37">
            <w:pPr>
              <w:jc w:val="center"/>
              <w:rPr>
                <w:bCs/>
                <w:szCs w:val="17"/>
              </w:rPr>
            </w:pPr>
            <w:r w:rsidRPr="002F01EF">
              <w:rPr>
                <w:b/>
                <w:color w:val="808080" w:themeColor="background1" w:themeShade="80"/>
                <w:szCs w:val="17"/>
              </w:rPr>
              <w:t>Neutral</w:t>
            </w:r>
          </w:p>
        </w:tc>
      </w:tr>
      <w:tr w:rsidR="00AB3B37" w:rsidRPr="002F01EF" w14:paraId="7FBFFFCE" w14:textId="77777777" w:rsidTr="00633005">
        <w:trPr>
          <w:trHeight w:val="499"/>
        </w:trPr>
        <w:tc>
          <w:tcPr>
            <w:tcW w:w="679" w:type="dxa"/>
            <w:shd w:val="clear" w:color="auto" w:fill="auto"/>
            <w:vAlign w:val="center"/>
          </w:tcPr>
          <w:p w14:paraId="668A9EBD" w14:textId="46712132" w:rsidR="00AB3B37" w:rsidRPr="002F01EF" w:rsidRDefault="00AB3B37" w:rsidP="00AB3B37">
            <w:pPr>
              <w:jc w:val="center"/>
              <w:rPr>
                <w:bCs/>
                <w:szCs w:val="17"/>
              </w:rPr>
            </w:pPr>
            <w:r w:rsidRPr="002F01EF">
              <w:rPr>
                <w:bCs/>
                <w:szCs w:val="17"/>
              </w:rPr>
              <w:t>720-721</w:t>
            </w:r>
          </w:p>
        </w:tc>
        <w:tc>
          <w:tcPr>
            <w:tcW w:w="1866" w:type="dxa"/>
            <w:shd w:val="clear" w:color="auto" w:fill="auto"/>
            <w:vAlign w:val="center"/>
          </w:tcPr>
          <w:p w14:paraId="6EF894D2" w14:textId="3B9D4D98" w:rsidR="00AB3B37" w:rsidRPr="002F01EF" w:rsidRDefault="00AB3B37" w:rsidP="00AB3B37">
            <w:pPr>
              <w:jc w:val="center"/>
            </w:pPr>
            <w:r w:rsidRPr="002F01EF">
              <w:rPr>
                <w:rStyle w:val="HideTWBExt"/>
              </w:rPr>
              <w:t>&lt;Article2&gt;</w:t>
            </w:r>
            <w:r w:rsidRPr="002F01EF">
              <w:t>Article 212 – paragraph 5 – point c a (new)</w:t>
            </w:r>
            <w:r w:rsidRPr="002F01EF">
              <w:rPr>
                <w:rStyle w:val="HideTWBExt"/>
              </w:rPr>
              <w:t>&lt;/Article2&gt;</w:t>
            </w:r>
          </w:p>
        </w:tc>
        <w:tc>
          <w:tcPr>
            <w:tcW w:w="5964" w:type="dxa"/>
            <w:shd w:val="clear" w:color="auto" w:fill="auto"/>
          </w:tcPr>
          <w:p w14:paraId="51722629" w14:textId="163C5D14" w:rsidR="00AB3B37" w:rsidRPr="002F01EF" w:rsidRDefault="00AB3B37" w:rsidP="00AB3B37">
            <w:pPr>
              <w:jc w:val="left"/>
              <w:rPr>
                <w:bCs/>
                <w:szCs w:val="17"/>
              </w:rPr>
            </w:pPr>
            <w:r w:rsidRPr="002F01EF">
              <w:rPr>
                <w:bCs/>
                <w:szCs w:val="17"/>
              </w:rPr>
              <w:t>Includes that consistent strategies, operations and processes should also be considered when identifying a relationship between at least two undertakings.</w:t>
            </w:r>
          </w:p>
        </w:tc>
        <w:tc>
          <w:tcPr>
            <w:tcW w:w="1865" w:type="dxa"/>
            <w:shd w:val="clear" w:color="auto" w:fill="auto"/>
            <w:vAlign w:val="center"/>
          </w:tcPr>
          <w:p w14:paraId="232EE610" w14:textId="73D7735D" w:rsidR="00AB3B37" w:rsidRPr="002F01EF" w:rsidRDefault="00AB3B37" w:rsidP="00AB3B37">
            <w:pPr>
              <w:jc w:val="center"/>
              <w:rPr>
                <w:bCs/>
                <w:szCs w:val="17"/>
              </w:rPr>
            </w:pPr>
            <w:r w:rsidRPr="002F01EF">
              <w:rPr>
                <w:bCs/>
                <w:szCs w:val="17"/>
              </w:rPr>
              <w:t>Yon-Courtin, Boyer (720) and Hahn (721)</w:t>
            </w:r>
          </w:p>
        </w:tc>
        <w:tc>
          <w:tcPr>
            <w:tcW w:w="2483" w:type="dxa"/>
            <w:shd w:val="clear" w:color="auto" w:fill="auto"/>
            <w:vAlign w:val="center"/>
          </w:tcPr>
          <w:p w14:paraId="593CAE41" w14:textId="0575D7C5"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07F5E788" w14:textId="0945A1A5" w:rsidR="00AB3B37" w:rsidRPr="002F01EF" w:rsidRDefault="00633005" w:rsidP="00AB3B37">
            <w:pPr>
              <w:jc w:val="center"/>
              <w:rPr>
                <w:bCs/>
                <w:szCs w:val="17"/>
              </w:rPr>
            </w:pPr>
            <w:r w:rsidRPr="002F01EF">
              <w:rPr>
                <w:b/>
                <w:color w:val="FF0000"/>
                <w:szCs w:val="17"/>
              </w:rPr>
              <w:t>Negative</w:t>
            </w:r>
          </w:p>
        </w:tc>
      </w:tr>
      <w:tr w:rsidR="00AB3B37" w:rsidRPr="002F01EF" w14:paraId="34FD7EEE" w14:textId="77777777" w:rsidTr="00633005">
        <w:trPr>
          <w:trHeight w:val="499"/>
        </w:trPr>
        <w:tc>
          <w:tcPr>
            <w:tcW w:w="679" w:type="dxa"/>
            <w:shd w:val="clear" w:color="auto" w:fill="auto"/>
            <w:vAlign w:val="center"/>
          </w:tcPr>
          <w:p w14:paraId="03C572E8" w14:textId="317DC289" w:rsidR="00AB3B37" w:rsidRPr="002F01EF" w:rsidRDefault="00AB3B37" w:rsidP="00AB3B37">
            <w:pPr>
              <w:jc w:val="center"/>
              <w:rPr>
                <w:bCs/>
                <w:szCs w:val="17"/>
              </w:rPr>
            </w:pPr>
            <w:r w:rsidRPr="002F01EF">
              <w:rPr>
                <w:bCs/>
                <w:szCs w:val="17"/>
              </w:rPr>
              <w:t>722</w:t>
            </w:r>
          </w:p>
        </w:tc>
        <w:tc>
          <w:tcPr>
            <w:tcW w:w="1866" w:type="dxa"/>
            <w:shd w:val="clear" w:color="auto" w:fill="auto"/>
            <w:vAlign w:val="center"/>
          </w:tcPr>
          <w:p w14:paraId="1D407C24" w14:textId="77777777" w:rsidR="00AB3B37" w:rsidRPr="002F01EF" w:rsidRDefault="00AB3B37" w:rsidP="00AB3B37">
            <w:pPr>
              <w:jc w:val="center"/>
            </w:pPr>
            <w:r w:rsidRPr="002F01EF">
              <w:rPr>
                <w:rStyle w:val="HideTWBExt"/>
              </w:rPr>
              <w:t>&lt;Article2&gt;</w:t>
            </w:r>
            <w:r w:rsidRPr="002F01EF">
              <w:t>Article 212 – paragraph 5 a (new)</w:t>
            </w:r>
            <w:r w:rsidRPr="002F01EF">
              <w:rPr>
                <w:rStyle w:val="HideTWBExt"/>
              </w:rPr>
              <w:t>&lt;/Article2&gt;</w:t>
            </w:r>
          </w:p>
          <w:p w14:paraId="48D5E581" w14:textId="77777777" w:rsidR="00AB3B37" w:rsidRPr="002F01EF" w:rsidRDefault="00AB3B37" w:rsidP="00AB3B37">
            <w:pPr>
              <w:jc w:val="center"/>
            </w:pPr>
          </w:p>
        </w:tc>
        <w:tc>
          <w:tcPr>
            <w:tcW w:w="5964" w:type="dxa"/>
            <w:shd w:val="clear" w:color="auto" w:fill="auto"/>
          </w:tcPr>
          <w:p w14:paraId="50D25AAE" w14:textId="5229566E" w:rsidR="00AB3B37" w:rsidRPr="002F01EF" w:rsidRDefault="00AB3B37" w:rsidP="00AB3B37">
            <w:pPr>
              <w:jc w:val="left"/>
              <w:rPr>
                <w:bCs/>
                <w:szCs w:val="17"/>
              </w:rPr>
            </w:pPr>
            <w:r w:rsidRPr="002F01EF">
              <w:rPr>
                <w:bCs/>
                <w:szCs w:val="17"/>
              </w:rPr>
              <w:t>Requires EIOPA to develop RTS to supplement and further specify the factors that NSAs need to consider when identifying a relationship between at least two undertakings.</w:t>
            </w:r>
          </w:p>
        </w:tc>
        <w:tc>
          <w:tcPr>
            <w:tcW w:w="1865" w:type="dxa"/>
            <w:shd w:val="clear" w:color="auto" w:fill="auto"/>
            <w:vAlign w:val="center"/>
          </w:tcPr>
          <w:p w14:paraId="30EDB6BB" w14:textId="679F433B" w:rsidR="00AB3B37" w:rsidRPr="002F01EF" w:rsidRDefault="00AB3B37" w:rsidP="00AB3B37">
            <w:pPr>
              <w:jc w:val="center"/>
              <w:rPr>
                <w:bCs/>
                <w:szCs w:val="17"/>
              </w:rPr>
            </w:pPr>
            <w:proofErr w:type="spellStart"/>
            <w:r w:rsidRPr="002F01EF">
              <w:rPr>
                <w:bCs/>
                <w:szCs w:val="17"/>
              </w:rPr>
              <w:t>Heinäluoma</w:t>
            </w:r>
            <w:proofErr w:type="spellEnd"/>
            <w:r w:rsidRPr="002F01EF">
              <w:rPr>
                <w:bCs/>
                <w:szCs w:val="17"/>
              </w:rPr>
              <w:t xml:space="preserve">, </w:t>
            </w:r>
            <w:proofErr w:type="spellStart"/>
            <w:r w:rsidRPr="002F01EF">
              <w:rPr>
                <w:bCs/>
                <w:szCs w:val="17"/>
              </w:rPr>
              <w:t>Lalucq</w:t>
            </w:r>
            <w:proofErr w:type="spellEnd"/>
          </w:p>
        </w:tc>
        <w:tc>
          <w:tcPr>
            <w:tcW w:w="2483" w:type="dxa"/>
            <w:shd w:val="clear" w:color="auto" w:fill="auto"/>
            <w:vAlign w:val="center"/>
          </w:tcPr>
          <w:p w14:paraId="2A87DE87" w14:textId="57C1BE17"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3970BC88" w14:textId="43F31C07" w:rsidR="00AB3B37" w:rsidRPr="002F01EF" w:rsidRDefault="00633005" w:rsidP="00AB3B37">
            <w:pPr>
              <w:jc w:val="center"/>
              <w:rPr>
                <w:bCs/>
                <w:szCs w:val="17"/>
              </w:rPr>
            </w:pPr>
            <w:r w:rsidRPr="002F01EF">
              <w:rPr>
                <w:b/>
                <w:color w:val="FF0000"/>
                <w:szCs w:val="17"/>
              </w:rPr>
              <w:t>Negative</w:t>
            </w:r>
          </w:p>
        </w:tc>
      </w:tr>
      <w:tr w:rsidR="00AB3B37" w:rsidRPr="002F01EF" w14:paraId="190404E4" w14:textId="77777777" w:rsidTr="00633005">
        <w:trPr>
          <w:trHeight w:val="499"/>
        </w:trPr>
        <w:tc>
          <w:tcPr>
            <w:tcW w:w="679" w:type="dxa"/>
            <w:shd w:val="clear" w:color="auto" w:fill="auto"/>
            <w:vAlign w:val="center"/>
          </w:tcPr>
          <w:p w14:paraId="7BFB3BE9" w14:textId="57A08FD3" w:rsidR="00AB3B37" w:rsidRPr="002F01EF" w:rsidRDefault="00AB3B37" w:rsidP="00AB3B37">
            <w:pPr>
              <w:jc w:val="center"/>
              <w:rPr>
                <w:bCs/>
                <w:szCs w:val="17"/>
              </w:rPr>
            </w:pPr>
            <w:r w:rsidRPr="002F01EF">
              <w:rPr>
                <w:bCs/>
                <w:szCs w:val="17"/>
              </w:rPr>
              <w:t>723-724</w:t>
            </w:r>
          </w:p>
        </w:tc>
        <w:tc>
          <w:tcPr>
            <w:tcW w:w="1866" w:type="dxa"/>
            <w:shd w:val="clear" w:color="auto" w:fill="auto"/>
            <w:vAlign w:val="center"/>
          </w:tcPr>
          <w:p w14:paraId="2BDEF83D" w14:textId="3341008E" w:rsidR="00AB3B37" w:rsidRPr="002F01EF" w:rsidRDefault="00AB3B37" w:rsidP="00AB3B37">
            <w:pPr>
              <w:keepNext/>
              <w:jc w:val="center"/>
            </w:pPr>
            <w:r w:rsidRPr="002F01EF">
              <w:rPr>
                <w:rStyle w:val="HideTWBExt"/>
              </w:rPr>
              <w:t>&lt;DocAmend2&gt; &lt;/DocAmend2&gt;&lt;Article2&gt;</w:t>
            </w:r>
            <w:r w:rsidRPr="002F01EF">
              <w:t>Article 212 – paragraph 6 – subparagraph 1 (new)</w:t>
            </w:r>
            <w:r w:rsidRPr="002F01EF">
              <w:rPr>
                <w:rStyle w:val="HideTWBExt"/>
              </w:rPr>
              <w:t>&lt;/Article2&gt;</w:t>
            </w:r>
          </w:p>
          <w:p w14:paraId="70365679" w14:textId="77777777" w:rsidR="00AB3B37" w:rsidRPr="002F01EF" w:rsidRDefault="00AB3B37" w:rsidP="00AB3B37">
            <w:pPr>
              <w:jc w:val="center"/>
            </w:pPr>
          </w:p>
        </w:tc>
        <w:tc>
          <w:tcPr>
            <w:tcW w:w="5964" w:type="dxa"/>
            <w:shd w:val="clear" w:color="auto" w:fill="auto"/>
          </w:tcPr>
          <w:p w14:paraId="6FA05179" w14:textId="4EF40EA2" w:rsidR="00AB3B37" w:rsidRPr="002F01EF" w:rsidRDefault="00AB3B37" w:rsidP="00AB3B37">
            <w:pPr>
              <w:jc w:val="left"/>
              <w:rPr>
                <w:bCs/>
                <w:szCs w:val="17"/>
              </w:rPr>
            </w:pPr>
            <w:r w:rsidRPr="002F01EF">
              <w:rPr>
                <w:bCs/>
                <w:szCs w:val="17"/>
              </w:rPr>
              <w:t>Clarifies that group supervisor shall comply with Article 247 and is responsible for designating a parent undertaking after having consulted</w:t>
            </w:r>
            <w:r w:rsidR="0092408F">
              <w:rPr>
                <w:bCs/>
                <w:szCs w:val="17"/>
              </w:rPr>
              <w:t xml:space="preserve"> all NSAs concerned</w:t>
            </w:r>
            <w:r w:rsidRPr="002F01EF">
              <w:rPr>
                <w:bCs/>
                <w:szCs w:val="17"/>
              </w:rPr>
              <w:t>.</w:t>
            </w:r>
          </w:p>
        </w:tc>
        <w:tc>
          <w:tcPr>
            <w:tcW w:w="1865" w:type="dxa"/>
            <w:shd w:val="clear" w:color="auto" w:fill="auto"/>
            <w:vAlign w:val="center"/>
          </w:tcPr>
          <w:p w14:paraId="74626FFC" w14:textId="4E2E850F" w:rsidR="00AB3B37" w:rsidRPr="002F01EF" w:rsidRDefault="00AB3B37" w:rsidP="00AB3B37">
            <w:pPr>
              <w:jc w:val="center"/>
              <w:rPr>
                <w:bCs/>
                <w:szCs w:val="17"/>
              </w:rPr>
            </w:pPr>
            <w:r w:rsidRPr="002F01EF">
              <w:rPr>
                <w:bCs/>
                <w:szCs w:val="17"/>
              </w:rPr>
              <w:t>Hahn (723) and Yon-Courtin, Boyer (724)</w:t>
            </w:r>
          </w:p>
        </w:tc>
        <w:tc>
          <w:tcPr>
            <w:tcW w:w="2483" w:type="dxa"/>
            <w:shd w:val="clear" w:color="auto" w:fill="auto"/>
            <w:vAlign w:val="center"/>
          </w:tcPr>
          <w:p w14:paraId="7F6F1F70" w14:textId="501DC30B"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6516067E" w14:textId="79D07EF7" w:rsidR="00AB3B37" w:rsidRPr="002F01EF" w:rsidRDefault="00E05108" w:rsidP="00AB3B37">
            <w:pPr>
              <w:jc w:val="center"/>
              <w:rPr>
                <w:bCs/>
                <w:szCs w:val="17"/>
              </w:rPr>
            </w:pPr>
            <w:r w:rsidRPr="002F01EF">
              <w:rPr>
                <w:b/>
                <w:color w:val="808080" w:themeColor="background1" w:themeShade="80"/>
                <w:szCs w:val="17"/>
              </w:rPr>
              <w:t>Neutral</w:t>
            </w:r>
          </w:p>
        </w:tc>
      </w:tr>
      <w:tr w:rsidR="00AB3B37" w:rsidRPr="002F01EF" w14:paraId="45525D85" w14:textId="77777777" w:rsidTr="00633005">
        <w:trPr>
          <w:trHeight w:val="499"/>
        </w:trPr>
        <w:tc>
          <w:tcPr>
            <w:tcW w:w="679" w:type="dxa"/>
            <w:shd w:val="clear" w:color="auto" w:fill="auto"/>
            <w:vAlign w:val="center"/>
          </w:tcPr>
          <w:p w14:paraId="589AF684" w14:textId="49781F84" w:rsidR="00AB3B37" w:rsidRPr="002F01EF" w:rsidRDefault="00AB3B37" w:rsidP="00AB3B37">
            <w:pPr>
              <w:jc w:val="center"/>
              <w:rPr>
                <w:bCs/>
                <w:szCs w:val="17"/>
              </w:rPr>
            </w:pPr>
            <w:r w:rsidRPr="002F01EF">
              <w:rPr>
                <w:bCs/>
                <w:szCs w:val="17"/>
              </w:rPr>
              <w:t>725</w:t>
            </w:r>
          </w:p>
        </w:tc>
        <w:tc>
          <w:tcPr>
            <w:tcW w:w="1866" w:type="dxa"/>
            <w:shd w:val="clear" w:color="auto" w:fill="auto"/>
            <w:vAlign w:val="center"/>
          </w:tcPr>
          <w:p w14:paraId="6E67C6FE" w14:textId="77777777" w:rsidR="00AB3B37" w:rsidRPr="002F01EF" w:rsidRDefault="00AB3B37" w:rsidP="00AB3B37">
            <w:pPr>
              <w:jc w:val="center"/>
            </w:pPr>
            <w:r w:rsidRPr="002F01EF">
              <w:rPr>
                <w:rStyle w:val="HideTWBExt"/>
              </w:rPr>
              <w:t>&lt;Article2&gt;</w:t>
            </w:r>
            <w:r w:rsidRPr="002F01EF">
              <w:t>Article 212 – paragraph 6 – subparagraph 2 – introductory part</w:t>
            </w:r>
            <w:r w:rsidRPr="002F01EF">
              <w:rPr>
                <w:rStyle w:val="HideTWBExt"/>
              </w:rPr>
              <w:t>&lt;/Article2&gt;</w:t>
            </w:r>
          </w:p>
          <w:p w14:paraId="4BF00689" w14:textId="77777777" w:rsidR="00AB3B37" w:rsidRPr="002F01EF" w:rsidRDefault="00AB3B37" w:rsidP="00AB3B37">
            <w:pPr>
              <w:jc w:val="center"/>
            </w:pPr>
          </w:p>
        </w:tc>
        <w:tc>
          <w:tcPr>
            <w:tcW w:w="5964" w:type="dxa"/>
            <w:shd w:val="clear" w:color="auto" w:fill="auto"/>
          </w:tcPr>
          <w:p w14:paraId="523794C7" w14:textId="1DABFBD6" w:rsidR="00AB3B37" w:rsidRPr="002F01EF" w:rsidRDefault="00AB3B37" w:rsidP="00AB3B37">
            <w:pPr>
              <w:jc w:val="left"/>
              <w:rPr>
                <w:bCs/>
                <w:szCs w:val="17"/>
              </w:rPr>
            </w:pPr>
            <w:r w:rsidRPr="002F01EF">
              <w:rPr>
                <w:bCs/>
                <w:szCs w:val="17"/>
              </w:rPr>
              <w:t>Editorial changes</w:t>
            </w:r>
          </w:p>
        </w:tc>
        <w:tc>
          <w:tcPr>
            <w:tcW w:w="1865" w:type="dxa"/>
            <w:shd w:val="clear" w:color="auto" w:fill="auto"/>
            <w:vAlign w:val="center"/>
          </w:tcPr>
          <w:p w14:paraId="39537C6C" w14:textId="612B51B5"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52D904D0" w14:textId="20D06E97" w:rsidR="00AB3B37" w:rsidRPr="002F01EF" w:rsidRDefault="00AB3B37" w:rsidP="00AB3B37">
            <w:pPr>
              <w:jc w:val="center"/>
              <w:rPr>
                <w:bCs/>
                <w:szCs w:val="17"/>
              </w:rPr>
            </w:pPr>
            <w:r w:rsidRPr="002F01EF">
              <w:rPr>
                <w:bCs/>
                <w:szCs w:val="17"/>
              </w:rPr>
              <w:t>Groups</w:t>
            </w:r>
            <w:r w:rsidR="00F301CB" w:rsidRPr="002F01EF">
              <w:rPr>
                <w:bCs/>
                <w:szCs w:val="17"/>
              </w:rPr>
              <w:t>/editorial</w:t>
            </w:r>
          </w:p>
        </w:tc>
        <w:tc>
          <w:tcPr>
            <w:tcW w:w="1886" w:type="dxa"/>
            <w:shd w:val="clear" w:color="auto" w:fill="auto"/>
            <w:vAlign w:val="center"/>
          </w:tcPr>
          <w:p w14:paraId="6A9A87A3" w14:textId="2C3C591F" w:rsidR="00AB3B37" w:rsidRPr="002F01EF" w:rsidRDefault="00AB3B37" w:rsidP="00AB3B37">
            <w:pPr>
              <w:jc w:val="center"/>
              <w:rPr>
                <w:bCs/>
                <w:szCs w:val="17"/>
              </w:rPr>
            </w:pPr>
          </w:p>
        </w:tc>
      </w:tr>
      <w:tr w:rsidR="00AB3B37" w:rsidRPr="002F01EF" w14:paraId="6234F0BA" w14:textId="77777777" w:rsidTr="00633005">
        <w:trPr>
          <w:trHeight w:val="499"/>
        </w:trPr>
        <w:tc>
          <w:tcPr>
            <w:tcW w:w="679" w:type="dxa"/>
            <w:shd w:val="clear" w:color="auto" w:fill="auto"/>
            <w:vAlign w:val="center"/>
          </w:tcPr>
          <w:p w14:paraId="51960749" w14:textId="7B079ABE" w:rsidR="00AB3B37" w:rsidRPr="002F01EF" w:rsidRDefault="00AB3B37" w:rsidP="00AB3B37">
            <w:pPr>
              <w:jc w:val="center"/>
              <w:rPr>
                <w:bCs/>
                <w:szCs w:val="17"/>
              </w:rPr>
            </w:pPr>
            <w:r w:rsidRPr="002F01EF">
              <w:rPr>
                <w:bCs/>
                <w:szCs w:val="17"/>
              </w:rPr>
              <w:t>726</w:t>
            </w:r>
          </w:p>
        </w:tc>
        <w:tc>
          <w:tcPr>
            <w:tcW w:w="1866" w:type="dxa"/>
            <w:shd w:val="clear" w:color="auto" w:fill="auto"/>
            <w:vAlign w:val="center"/>
          </w:tcPr>
          <w:p w14:paraId="03A25CEE" w14:textId="59FF50C9" w:rsidR="00AB3B37" w:rsidRPr="002F01EF" w:rsidRDefault="00AB3B37" w:rsidP="00AB3B37">
            <w:pPr>
              <w:jc w:val="center"/>
            </w:pPr>
            <w:r w:rsidRPr="002F01EF">
              <w:t>Article 212 – paragraph 6 – subparagraph 3</w:t>
            </w:r>
          </w:p>
        </w:tc>
        <w:tc>
          <w:tcPr>
            <w:tcW w:w="5964" w:type="dxa"/>
            <w:shd w:val="clear" w:color="auto" w:fill="auto"/>
          </w:tcPr>
          <w:p w14:paraId="06D3CF09" w14:textId="194CCFA8" w:rsidR="00AB3B37" w:rsidRPr="002F01EF" w:rsidRDefault="00AB3B37" w:rsidP="00AB3B37">
            <w:pPr>
              <w:jc w:val="left"/>
              <w:rPr>
                <w:bCs/>
                <w:szCs w:val="17"/>
              </w:rPr>
            </w:pPr>
            <w:r w:rsidRPr="002F01EF">
              <w:rPr>
                <w:bCs/>
                <w:szCs w:val="17"/>
              </w:rPr>
              <w:t>Editorial changes</w:t>
            </w:r>
          </w:p>
        </w:tc>
        <w:tc>
          <w:tcPr>
            <w:tcW w:w="1865" w:type="dxa"/>
            <w:shd w:val="clear" w:color="auto" w:fill="auto"/>
            <w:vAlign w:val="center"/>
          </w:tcPr>
          <w:p w14:paraId="06BA4512" w14:textId="0B9233C2"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32F86AE1" w14:textId="6DF76E34" w:rsidR="00AB3B37" w:rsidRPr="002F01EF" w:rsidRDefault="00AB3B37" w:rsidP="00AB3B37">
            <w:pPr>
              <w:jc w:val="center"/>
              <w:rPr>
                <w:bCs/>
                <w:szCs w:val="17"/>
              </w:rPr>
            </w:pPr>
            <w:r w:rsidRPr="002F01EF">
              <w:rPr>
                <w:bCs/>
                <w:szCs w:val="17"/>
              </w:rPr>
              <w:t>Groups</w:t>
            </w:r>
            <w:r w:rsidR="00F301CB" w:rsidRPr="002F01EF">
              <w:rPr>
                <w:bCs/>
                <w:szCs w:val="17"/>
              </w:rPr>
              <w:t>/editorial</w:t>
            </w:r>
          </w:p>
        </w:tc>
        <w:tc>
          <w:tcPr>
            <w:tcW w:w="1886" w:type="dxa"/>
            <w:shd w:val="clear" w:color="auto" w:fill="auto"/>
            <w:vAlign w:val="center"/>
          </w:tcPr>
          <w:p w14:paraId="7F28FB12" w14:textId="67AA545E" w:rsidR="00AB3B37" w:rsidRPr="002F01EF" w:rsidRDefault="00AB3B37" w:rsidP="00AB3B37">
            <w:pPr>
              <w:jc w:val="center"/>
              <w:rPr>
                <w:bCs/>
                <w:szCs w:val="17"/>
              </w:rPr>
            </w:pPr>
          </w:p>
        </w:tc>
      </w:tr>
      <w:tr w:rsidR="00AB3B37" w:rsidRPr="002F01EF" w14:paraId="3B60E9EF" w14:textId="77777777" w:rsidTr="00633005">
        <w:trPr>
          <w:trHeight w:val="499"/>
        </w:trPr>
        <w:tc>
          <w:tcPr>
            <w:tcW w:w="679" w:type="dxa"/>
            <w:shd w:val="clear" w:color="auto" w:fill="auto"/>
            <w:vAlign w:val="center"/>
          </w:tcPr>
          <w:p w14:paraId="5461E098" w14:textId="20ED216B" w:rsidR="00AB3B37" w:rsidRPr="002F01EF" w:rsidRDefault="00AB3B37" w:rsidP="00AB3B37">
            <w:pPr>
              <w:jc w:val="center"/>
              <w:rPr>
                <w:bCs/>
                <w:szCs w:val="17"/>
              </w:rPr>
            </w:pPr>
            <w:r w:rsidRPr="002F01EF">
              <w:rPr>
                <w:bCs/>
                <w:szCs w:val="17"/>
              </w:rPr>
              <w:lastRenderedPageBreak/>
              <w:t>727</w:t>
            </w:r>
          </w:p>
        </w:tc>
        <w:tc>
          <w:tcPr>
            <w:tcW w:w="1866" w:type="dxa"/>
            <w:shd w:val="clear" w:color="auto" w:fill="auto"/>
            <w:vAlign w:val="center"/>
          </w:tcPr>
          <w:p w14:paraId="49F21C42" w14:textId="4B58032D" w:rsidR="00AB3B37" w:rsidRPr="002F01EF" w:rsidRDefault="00AB3B37" w:rsidP="00AB3B37">
            <w:pPr>
              <w:jc w:val="center"/>
            </w:pPr>
            <w:r w:rsidRPr="002F01EF">
              <w:t>Article 213 – paragraphs 3a to 3c</w:t>
            </w:r>
            <w:r w:rsidRPr="002F01EF">
              <w:rPr>
                <w:rStyle w:val="HideTWBExt"/>
              </w:rPr>
              <w:t>&lt;/Article2&gt;</w:t>
            </w:r>
          </w:p>
        </w:tc>
        <w:tc>
          <w:tcPr>
            <w:tcW w:w="5964" w:type="dxa"/>
            <w:shd w:val="clear" w:color="auto" w:fill="auto"/>
          </w:tcPr>
          <w:p w14:paraId="2CA28B65" w14:textId="7B5EBD79" w:rsidR="00AB3B37" w:rsidRPr="002F01EF" w:rsidRDefault="00AB3B37" w:rsidP="00AB3B37">
            <w:pPr>
              <w:jc w:val="left"/>
              <w:rPr>
                <w:bCs/>
                <w:i/>
                <w:iCs/>
                <w:szCs w:val="17"/>
              </w:rPr>
            </w:pPr>
          </w:p>
          <w:p w14:paraId="7C97CFBA" w14:textId="1423BCDE" w:rsidR="00AB3B37" w:rsidRPr="002F01EF" w:rsidRDefault="00AB3B37" w:rsidP="00AB3B37">
            <w:pPr>
              <w:jc w:val="left"/>
              <w:rPr>
                <w:bCs/>
                <w:szCs w:val="17"/>
              </w:rPr>
            </w:pPr>
            <w:r w:rsidRPr="002F01EF">
              <w:rPr>
                <w:bCs/>
                <w:szCs w:val="17"/>
              </w:rPr>
              <w:t>Deletes requirements for internal governance and corporate structure for groups whose parent undertaking is a holding company and removes power from NSAs to request an internal restructure.</w:t>
            </w:r>
          </w:p>
          <w:p w14:paraId="1AA639E4" w14:textId="77777777" w:rsidR="00AB3B37" w:rsidRPr="002F01EF" w:rsidRDefault="00AB3B37" w:rsidP="00AB3B37">
            <w:pPr>
              <w:jc w:val="left"/>
              <w:rPr>
                <w:bCs/>
                <w:i/>
                <w:iCs/>
                <w:szCs w:val="17"/>
              </w:rPr>
            </w:pPr>
          </w:p>
          <w:p w14:paraId="6832DF2C" w14:textId="4EA492F2" w:rsidR="00AB3B37" w:rsidRPr="002F01EF" w:rsidRDefault="00AB3B37" w:rsidP="00AB3B37">
            <w:pPr>
              <w:jc w:val="left"/>
              <w:rPr>
                <w:bCs/>
                <w:i/>
                <w:iCs/>
                <w:szCs w:val="17"/>
              </w:rPr>
            </w:pPr>
            <w:r w:rsidRPr="002F01EF">
              <w:rPr>
                <w:bCs/>
                <w:i/>
                <w:iCs/>
                <w:szCs w:val="17"/>
              </w:rPr>
              <w:t>Justification: The EC proposal extends group supervision beyond insurance activities of groups to other activities such as banking, thus creating an overlap between activities of banking supervisors and insurance supervisors and resulting in unnecessarily complex supervision. The proposal to segregate key functions between insurance and other activities moreover defeats the whole purpose of bancassurance groups. It is therefore suggested to delete these provisions. It would be better to deal with any changes to group supervision in the context of the Financial Conglomerates Directive.</w:t>
            </w:r>
          </w:p>
        </w:tc>
        <w:tc>
          <w:tcPr>
            <w:tcW w:w="1865" w:type="dxa"/>
            <w:shd w:val="clear" w:color="auto" w:fill="auto"/>
            <w:vAlign w:val="center"/>
          </w:tcPr>
          <w:p w14:paraId="02A89AF7" w14:textId="5C78BCDA" w:rsidR="00AB3B37" w:rsidRPr="002F01EF" w:rsidRDefault="00AB3B37" w:rsidP="00AB3B37">
            <w:pPr>
              <w:jc w:val="center"/>
              <w:rPr>
                <w:bCs/>
                <w:szCs w:val="17"/>
              </w:rPr>
            </w:pPr>
            <w:r w:rsidRPr="002F01EF">
              <w:rPr>
                <w:bCs/>
                <w:szCs w:val="17"/>
              </w:rPr>
              <w:t xml:space="preserve">Van </w:t>
            </w:r>
            <w:proofErr w:type="spellStart"/>
            <w:r w:rsidRPr="002F01EF">
              <w:rPr>
                <w:bCs/>
                <w:szCs w:val="17"/>
              </w:rPr>
              <w:t>Overtveldt</w:t>
            </w:r>
            <w:proofErr w:type="spellEnd"/>
          </w:p>
        </w:tc>
        <w:tc>
          <w:tcPr>
            <w:tcW w:w="2483" w:type="dxa"/>
            <w:shd w:val="clear" w:color="auto" w:fill="auto"/>
            <w:vAlign w:val="center"/>
          </w:tcPr>
          <w:p w14:paraId="194DB280" w14:textId="5EAA6205"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54C597E4" w14:textId="112912C0" w:rsidR="00AB3B37" w:rsidRPr="002F01EF" w:rsidRDefault="00E05108" w:rsidP="00AB3B37">
            <w:pPr>
              <w:jc w:val="center"/>
              <w:rPr>
                <w:bCs/>
                <w:szCs w:val="17"/>
              </w:rPr>
            </w:pPr>
            <w:r w:rsidRPr="002F01EF">
              <w:rPr>
                <w:b/>
                <w:color w:val="00B050"/>
                <w:szCs w:val="17"/>
              </w:rPr>
              <w:t>Positive</w:t>
            </w:r>
          </w:p>
        </w:tc>
      </w:tr>
      <w:tr w:rsidR="00AB3B37" w:rsidRPr="002F01EF" w14:paraId="3770884A" w14:textId="77777777" w:rsidTr="00633005">
        <w:trPr>
          <w:trHeight w:val="499"/>
        </w:trPr>
        <w:tc>
          <w:tcPr>
            <w:tcW w:w="679" w:type="dxa"/>
            <w:shd w:val="clear" w:color="auto" w:fill="auto"/>
            <w:vAlign w:val="center"/>
          </w:tcPr>
          <w:p w14:paraId="01CEB5C6" w14:textId="1AFABAB5" w:rsidR="00AB3B37" w:rsidRPr="002F01EF" w:rsidRDefault="00AB3B37" w:rsidP="00AB3B37">
            <w:pPr>
              <w:jc w:val="center"/>
              <w:rPr>
                <w:bCs/>
                <w:szCs w:val="17"/>
              </w:rPr>
            </w:pPr>
            <w:r w:rsidRPr="002F01EF">
              <w:rPr>
                <w:bCs/>
                <w:szCs w:val="17"/>
              </w:rPr>
              <w:t>728</w:t>
            </w:r>
          </w:p>
        </w:tc>
        <w:tc>
          <w:tcPr>
            <w:tcW w:w="1866" w:type="dxa"/>
            <w:shd w:val="clear" w:color="auto" w:fill="auto"/>
            <w:vAlign w:val="center"/>
          </w:tcPr>
          <w:p w14:paraId="55D32E3D" w14:textId="77777777" w:rsidR="00AB3B37" w:rsidRPr="002F01EF" w:rsidRDefault="00AB3B37" w:rsidP="00AB3B37">
            <w:pPr>
              <w:jc w:val="center"/>
            </w:pPr>
            <w:r w:rsidRPr="002F01EF">
              <w:rPr>
                <w:rStyle w:val="HideTWBExt"/>
              </w:rPr>
              <w:t>&lt;Article2&gt;</w:t>
            </w:r>
            <w:r w:rsidRPr="002F01EF">
              <w:t>Article 213 – paragraph 3b – subparagraph 2</w:t>
            </w:r>
            <w:r w:rsidRPr="002F01EF">
              <w:rPr>
                <w:rStyle w:val="HideTWBExt"/>
              </w:rPr>
              <w:t>&lt;/Article2&gt;</w:t>
            </w:r>
          </w:p>
          <w:p w14:paraId="72201B28" w14:textId="77777777" w:rsidR="00AB3B37" w:rsidRPr="002F01EF" w:rsidRDefault="00AB3B37" w:rsidP="00AB3B37">
            <w:pPr>
              <w:jc w:val="center"/>
            </w:pPr>
          </w:p>
        </w:tc>
        <w:tc>
          <w:tcPr>
            <w:tcW w:w="5964" w:type="dxa"/>
            <w:shd w:val="clear" w:color="auto" w:fill="auto"/>
          </w:tcPr>
          <w:p w14:paraId="54BED082" w14:textId="053CBB69" w:rsidR="00AB3B37" w:rsidRPr="002F01EF" w:rsidRDefault="00AB3B37" w:rsidP="00AB3B37">
            <w:pPr>
              <w:jc w:val="left"/>
              <w:rPr>
                <w:bCs/>
                <w:szCs w:val="17"/>
              </w:rPr>
            </w:pPr>
            <w:r w:rsidRPr="002F01EF">
              <w:rPr>
                <w:bCs/>
                <w:szCs w:val="17"/>
              </w:rPr>
              <w:t>Editorial change clarifying that supervisory authorities are acting as group supervisors in accordance with Article 247-the right of group supervisors to require an internal restructure is maintained.</w:t>
            </w:r>
          </w:p>
        </w:tc>
        <w:tc>
          <w:tcPr>
            <w:tcW w:w="1865" w:type="dxa"/>
            <w:shd w:val="clear" w:color="auto" w:fill="auto"/>
            <w:vAlign w:val="center"/>
          </w:tcPr>
          <w:p w14:paraId="3751E943" w14:textId="329DC86F" w:rsidR="00AB3B37" w:rsidRPr="002F01EF" w:rsidRDefault="00AB3B37" w:rsidP="00AB3B37">
            <w:pPr>
              <w:jc w:val="center"/>
              <w:rPr>
                <w:bCs/>
                <w:szCs w:val="17"/>
              </w:rPr>
            </w:pPr>
            <w:r w:rsidRPr="002F01EF">
              <w:rPr>
                <w:bCs/>
                <w:szCs w:val="17"/>
              </w:rPr>
              <w:t>Yon-Courtin, Boyer</w:t>
            </w:r>
          </w:p>
        </w:tc>
        <w:tc>
          <w:tcPr>
            <w:tcW w:w="2483" w:type="dxa"/>
            <w:shd w:val="clear" w:color="auto" w:fill="auto"/>
            <w:vAlign w:val="center"/>
          </w:tcPr>
          <w:p w14:paraId="5C6E879B" w14:textId="12D0056D" w:rsidR="00AB3B37" w:rsidRPr="002F01EF" w:rsidRDefault="00AB3B37" w:rsidP="00AB3B37">
            <w:pPr>
              <w:jc w:val="center"/>
              <w:rPr>
                <w:bCs/>
                <w:szCs w:val="17"/>
              </w:rPr>
            </w:pPr>
            <w:r w:rsidRPr="002F01EF">
              <w:rPr>
                <w:bCs/>
                <w:szCs w:val="17"/>
              </w:rPr>
              <w:t>Groups</w:t>
            </w:r>
            <w:r w:rsidR="00AF1F71" w:rsidRPr="002F01EF">
              <w:rPr>
                <w:bCs/>
                <w:szCs w:val="17"/>
              </w:rPr>
              <w:t>/editorial</w:t>
            </w:r>
          </w:p>
        </w:tc>
        <w:tc>
          <w:tcPr>
            <w:tcW w:w="1886" w:type="dxa"/>
            <w:shd w:val="clear" w:color="auto" w:fill="auto"/>
            <w:vAlign w:val="center"/>
          </w:tcPr>
          <w:p w14:paraId="17551E1A" w14:textId="6289E569" w:rsidR="00AB3B37" w:rsidRPr="002F01EF" w:rsidRDefault="00AB3B37" w:rsidP="00AB3B37">
            <w:pPr>
              <w:jc w:val="center"/>
              <w:rPr>
                <w:bCs/>
                <w:szCs w:val="17"/>
              </w:rPr>
            </w:pPr>
          </w:p>
        </w:tc>
      </w:tr>
      <w:tr w:rsidR="00AB3B37" w:rsidRPr="002F01EF" w14:paraId="4F509A6B" w14:textId="77777777" w:rsidTr="00633005">
        <w:trPr>
          <w:trHeight w:val="499"/>
        </w:trPr>
        <w:tc>
          <w:tcPr>
            <w:tcW w:w="679" w:type="dxa"/>
            <w:shd w:val="clear" w:color="auto" w:fill="auto"/>
            <w:vAlign w:val="center"/>
          </w:tcPr>
          <w:p w14:paraId="133E88E5" w14:textId="33649F8B" w:rsidR="00AB3B37" w:rsidRPr="002F01EF" w:rsidRDefault="00AB3B37" w:rsidP="00AB3B37">
            <w:pPr>
              <w:jc w:val="center"/>
              <w:rPr>
                <w:bCs/>
                <w:szCs w:val="17"/>
              </w:rPr>
            </w:pPr>
            <w:r w:rsidRPr="002F01EF">
              <w:rPr>
                <w:bCs/>
                <w:szCs w:val="17"/>
              </w:rPr>
              <w:t>729</w:t>
            </w:r>
          </w:p>
        </w:tc>
        <w:tc>
          <w:tcPr>
            <w:tcW w:w="1866" w:type="dxa"/>
            <w:shd w:val="clear" w:color="auto" w:fill="auto"/>
            <w:vAlign w:val="center"/>
          </w:tcPr>
          <w:p w14:paraId="61167163" w14:textId="1926197F" w:rsidR="00AB3B37" w:rsidRPr="0092408F" w:rsidRDefault="00AB3B37" w:rsidP="00AB3B37">
            <w:pPr>
              <w:jc w:val="center"/>
              <w:rPr>
                <w:lang w:val="fr-FR"/>
              </w:rPr>
            </w:pPr>
            <w:r w:rsidRPr="0092408F">
              <w:rPr>
                <w:lang w:val="fr-FR"/>
              </w:rPr>
              <w:t>Article 213a – paragraph 1 – point c</w:t>
            </w:r>
          </w:p>
        </w:tc>
        <w:tc>
          <w:tcPr>
            <w:tcW w:w="5964" w:type="dxa"/>
            <w:shd w:val="clear" w:color="auto" w:fill="auto"/>
          </w:tcPr>
          <w:p w14:paraId="3508C5A5" w14:textId="7EF18728" w:rsidR="00AB3B37" w:rsidRPr="002F01EF" w:rsidRDefault="00941407" w:rsidP="00AB3B37">
            <w:pPr>
              <w:jc w:val="left"/>
              <w:rPr>
                <w:bCs/>
                <w:szCs w:val="17"/>
              </w:rPr>
            </w:pPr>
            <w:r w:rsidRPr="002F01EF">
              <w:rPr>
                <w:bCs/>
                <w:szCs w:val="17"/>
              </w:rPr>
              <w:t>Removes</w:t>
            </w:r>
            <w:r w:rsidR="00EB3C33" w:rsidRPr="002F01EF">
              <w:rPr>
                <w:bCs/>
                <w:szCs w:val="17"/>
              </w:rPr>
              <w:t xml:space="preserve"> </w:t>
            </w:r>
            <w:r w:rsidR="002D288C" w:rsidRPr="002F01EF">
              <w:rPr>
                <w:bCs/>
                <w:szCs w:val="17"/>
              </w:rPr>
              <w:t>5% cross border criterion from the requirements to be eligible for LRPU group status</w:t>
            </w:r>
            <w:r w:rsidR="00EB3C33" w:rsidRPr="002F01EF">
              <w:rPr>
                <w:bCs/>
                <w:szCs w:val="17"/>
              </w:rPr>
              <w:t>.</w:t>
            </w:r>
          </w:p>
        </w:tc>
        <w:tc>
          <w:tcPr>
            <w:tcW w:w="1865" w:type="dxa"/>
            <w:shd w:val="clear" w:color="auto" w:fill="auto"/>
            <w:vAlign w:val="center"/>
          </w:tcPr>
          <w:p w14:paraId="2C932D40" w14:textId="313EB1D2"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253BAFB7" w14:textId="618F7488"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7DD0D38C" w14:textId="0F09E602" w:rsidR="00AB3B37" w:rsidRPr="002F01EF" w:rsidRDefault="00E05108" w:rsidP="00AB3B37">
            <w:pPr>
              <w:jc w:val="center"/>
              <w:rPr>
                <w:bCs/>
                <w:szCs w:val="17"/>
              </w:rPr>
            </w:pPr>
            <w:r w:rsidRPr="002F01EF">
              <w:rPr>
                <w:b/>
                <w:color w:val="00B050"/>
                <w:szCs w:val="17"/>
              </w:rPr>
              <w:t>Positive</w:t>
            </w:r>
          </w:p>
        </w:tc>
      </w:tr>
      <w:tr w:rsidR="00AB3B37" w:rsidRPr="002F01EF" w14:paraId="6BB852A8" w14:textId="77777777" w:rsidTr="00633005">
        <w:trPr>
          <w:trHeight w:val="499"/>
        </w:trPr>
        <w:tc>
          <w:tcPr>
            <w:tcW w:w="679" w:type="dxa"/>
            <w:shd w:val="clear" w:color="auto" w:fill="auto"/>
            <w:vAlign w:val="center"/>
          </w:tcPr>
          <w:p w14:paraId="6240DEC0" w14:textId="0972C803" w:rsidR="00AB3B37" w:rsidRPr="002F01EF" w:rsidRDefault="00AB3B37" w:rsidP="00AB3B37">
            <w:pPr>
              <w:jc w:val="center"/>
              <w:rPr>
                <w:bCs/>
                <w:szCs w:val="17"/>
              </w:rPr>
            </w:pPr>
            <w:r w:rsidRPr="002F01EF">
              <w:rPr>
                <w:bCs/>
                <w:szCs w:val="17"/>
              </w:rPr>
              <w:t>730</w:t>
            </w:r>
          </w:p>
        </w:tc>
        <w:tc>
          <w:tcPr>
            <w:tcW w:w="1866" w:type="dxa"/>
            <w:shd w:val="clear" w:color="auto" w:fill="auto"/>
            <w:vAlign w:val="center"/>
          </w:tcPr>
          <w:p w14:paraId="6DAE4A75" w14:textId="282A15B5" w:rsidR="00AB3B37" w:rsidRPr="0092408F" w:rsidRDefault="00AB3B37" w:rsidP="00AB3B37">
            <w:pPr>
              <w:jc w:val="center"/>
              <w:rPr>
                <w:lang w:val="fr-FR"/>
              </w:rPr>
            </w:pPr>
            <w:r w:rsidRPr="0092408F">
              <w:rPr>
                <w:lang w:val="fr-FR"/>
              </w:rPr>
              <w:t>Article 213a – paragraph 1 – point c</w:t>
            </w:r>
          </w:p>
        </w:tc>
        <w:tc>
          <w:tcPr>
            <w:tcW w:w="5964" w:type="dxa"/>
            <w:shd w:val="clear" w:color="auto" w:fill="auto"/>
          </w:tcPr>
          <w:p w14:paraId="526B5B1F" w14:textId="02174F72" w:rsidR="00AB3B37" w:rsidRPr="002F01EF" w:rsidRDefault="00AB3B37" w:rsidP="00AB3B37">
            <w:pPr>
              <w:jc w:val="left"/>
              <w:rPr>
                <w:bCs/>
                <w:szCs w:val="17"/>
              </w:rPr>
            </w:pPr>
            <w:r w:rsidRPr="002F01EF">
              <w:rPr>
                <w:bCs/>
                <w:szCs w:val="17"/>
              </w:rPr>
              <w:t>Editorial change</w:t>
            </w:r>
          </w:p>
        </w:tc>
        <w:tc>
          <w:tcPr>
            <w:tcW w:w="1865" w:type="dxa"/>
            <w:shd w:val="clear" w:color="auto" w:fill="auto"/>
            <w:vAlign w:val="center"/>
          </w:tcPr>
          <w:p w14:paraId="7B938E66" w14:textId="20CA6939"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66CACC99" w14:textId="59C6D5FC" w:rsidR="00AB3B37" w:rsidRPr="002F01EF" w:rsidRDefault="00AB3B37" w:rsidP="00AB3B37">
            <w:pPr>
              <w:jc w:val="center"/>
              <w:rPr>
                <w:bCs/>
                <w:szCs w:val="17"/>
              </w:rPr>
            </w:pPr>
            <w:r w:rsidRPr="002F01EF">
              <w:rPr>
                <w:bCs/>
                <w:szCs w:val="17"/>
              </w:rPr>
              <w:t>Groups/Proportionality</w:t>
            </w:r>
            <w:r w:rsidR="002D288C" w:rsidRPr="002F01EF">
              <w:rPr>
                <w:bCs/>
                <w:szCs w:val="17"/>
              </w:rPr>
              <w:t>/</w:t>
            </w:r>
            <w:proofErr w:type="spellStart"/>
            <w:r w:rsidR="002D288C" w:rsidRPr="002F01EF">
              <w:rPr>
                <w:bCs/>
                <w:szCs w:val="17"/>
              </w:rPr>
              <w:t>editiorial</w:t>
            </w:r>
            <w:proofErr w:type="spellEnd"/>
          </w:p>
        </w:tc>
        <w:tc>
          <w:tcPr>
            <w:tcW w:w="1886" w:type="dxa"/>
            <w:shd w:val="clear" w:color="auto" w:fill="auto"/>
            <w:vAlign w:val="center"/>
          </w:tcPr>
          <w:p w14:paraId="0D17F901" w14:textId="4E1BF682" w:rsidR="00AB3B37" w:rsidRPr="002F01EF" w:rsidRDefault="00AB3B37" w:rsidP="00AB3B37">
            <w:pPr>
              <w:jc w:val="center"/>
              <w:rPr>
                <w:bCs/>
                <w:szCs w:val="17"/>
              </w:rPr>
            </w:pPr>
          </w:p>
        </w:tc>
      </w:tr>
      <w:tr w:rsidR="00AB3B37" w:rsidRPr="002F01EF" w14:paraId="2768B407" w14:textId="77777777" w:rsidTr="00633005">
        <w:trPr>
          <w:trHeight w:val="499"/>
        </w:trPr>
        <w:tc>
          <w:tcPr>
            <w:tcW w:w="679" w:type="dxa"/>
            <w:shd w:val="clear" w:color="auto" w:fill="auto"/>
            <w:vAlign w:val="center"/>
          </w:tcPr>
          <w:p w14:paraId="1947F92F" w14:textId="3B8719DF" w:rsidR="00AB3B37" w:rsidRPr="002F01EF" w:rsidRDefault="00AB3B37" w:rsidP="00AB3B37">
            <w:pPr>
              <w:jc w:val="center"/>
              <w:rPr>
                <w:bCs/>
                <w:szCs w:val="17"/>
              </w:rPr>
            </w:pPr>
            <w:r w:rsidRPr="002F01EF">
              <w:rPr>
                <w:bCs/>
                <w:szCs w:val="17"/>
              </w:rPr>
              <w:t>731</w:t>
            </w:r>
          </w:p>
        </w:tc>
        <w:tc>
          <w:tcPr>
            <w:tcW w:w="1866" w:type="dxa"/>
            <w:shd w:val="clear" w:color="auto" w:fill="auto"/>
            <w:vAlign w:val="center"/>
          </w:tcPr>
          <w:p w14:paraId="792F472E" w14:textId="1E7FACAA" w:rsidR="00AB3B37" w:rsidRPr="0092408F" w:rsidRDefault="00AB3B37" w:rsidP="00AB3B37">
            <w:pPr>
              <w:jc w:val="center"/>
              <w:rPr>
                <w:lang w:val="fr-FR"/>
              </w:rPr>
            </w:pPr>
            <w:r w:rsidRPr="0092408F">
              <w:rPr>
                <w:lang w:val="fr-FR"/>
              </w:rPr>
              <w:t>Article 213a – paragraph 1 – point d</w:t>
            </w:r>
          </w:p>
        </w:tc>
        <w:tc>
          <w:tcPr>
            <w:tcW w:w="5964" w:type="dxa"/>
            <w:shd w:val="clear" w:color="auto" w:fill="auto"/>
          </w:tcPr>
          <w:p w14:paraId="25CA9803" w14:textId="529AC9C6" w:rsidR="00AB3B37" w:rsidRPr="002F01EF" w:rsidRDefault="002D288C" w:rsidP="00AB3B37">
            <w:pPr>
              <w:jc w:val="left"/>
              <w:rPr>
                <w:bCs/>
                <w:szCs w:val="17"/>
              </w:rPr>
            </w:pPr>
            <w:r w:rsidRPr="002F01EF">
              <w:rPr>
                <w:bCs/>
                <w:szCs w:val="17"/>
              </w:rPr>
              <w:t>Removes 5% cross border criterion from the requirements to be eligible for LRPU group status.</w:t>
            </w:r>
          </w:p>
        </w:tc>
        <w:tc>
          <w:tcPr>
            <w:tcW w:w="1865" w:type="dxa"/>
            <w:shd w:val="clear" w:color="auto" w:fill="auto"/>
            <w:vAlign w:val="center"/>
          </w:tcPr>
          <w:p w14:paraId="68367EEF" w14:textId="0E7B5B0D" w:rsidR="00AB3B37" w:rsidRPr="002F01EF" w:rsidRDefault="00AB3B37" w:rsidP="00AB3B37">
            <w:pPr>
              <w:jc w:val="center"/>
              <w:rPr>
                <w:bCs/>
                <w:szCs w:val="17"/>
              </w:rPr>
            </w:pPr>
            <w:r w:rsidRPr="002F01EF">
              <w:rPr>
                <w:bCs/>
                <w:szCs w:val="17"/>
              </w:rPr>
              <w:t>Fitzgerald</w:t>
            </w:r>
          </w:p>
        </w:tc>
        <w:tc>
          <w:tcPr>
            <w:tcW w:w="2483" w:type="dxa"/>
            <w:shd w:val="clear" w:color="auto" w:fill="auto"/>
            <w:vAlign w:val="center"/>
          </w:tcPr>
          <w:p w14:paraId="0DB07A7B" w14:textId="1AA88D45"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46578A7D" w14:textId="65B4F943" w:rsidR="00AB3B37" w:rsidRPr="002F01EF" w:rsidRDefault="00E05108" w:rsidP="00AB3B37">
            <w:pPr>
              <w:jc w:val="center"/>
              <w:rPr>
                <w:bCs/>
                <w:szCs w:val="17"/>
              </w:rPr>
            </w:pPr>
            <w:r w:rsidRPr="002F01EF">
              <w:rPr>
                <w:b/>
                <w:color w:val="00B050"/>
                <w:szCs w:val="17"/>
              </w:rPr>
              <w:t>Positive</w:t>
            </w:r>
          </w:p>
        </w:tc>
      </w:tr>
      <w:tr w:rsidR="00AB3B37" w:rsidRPr="002F01EF" w14:paraId="37B398B4" w14:textId="77777777" w:rsidTr="00633005">
        <w:trPr>
          <w:trHeight w:val="499"/>
        </w:trPr>
        <w:tc>
          <w:tcPr>
            <w:tcW w:w="679" w:type="dxa"/>
            <w:shd w:val="clear" w:color="auto" w:fill="auto"/>
            <w:vAlign w:val="center"/>
          </w:tcPr>
          <w:p w14:paraId="76CF497B" w14:textId="481032DF" w:rsidR="00AB3B37" w:rsidRPr="002F01EF" w:rsidRDefault="00AB3B37" w:rsidP="00AB3B37">
            <w:pPr>
              <w:jc w:val="center"/>
              <w:rPr>
                <w:bCs/>
                <w:szCs w:val="17"/>
              </w:rPr>
            </w:pPr>
            <w:r w:rsidRPr="002F01EF">
              <w:rPr>
                <w:bCs/>
                <w:szCs w:val="17"/>
              </w:rPr>
              <w:t>732</w:t>
            </w:r>
          </w:p>
        </w:tc>
        <w:tc>
          <w:tcPr>
            <w:tcW w:w="1866" w:type="dxa"/>
            <w:shd w:val="clear" w:color="auto" w:fill="auto"/>
            <w:vAlign w:val="center"/>
          </w:tcPr>
          <w:p w14:paraId="0942E4D4" w14:textId="26C5AB11" w:rsidR="00AB3B37" w:rsidRPr="0092408F" w:rsidRDefault="00AB3B37" w:rsidP="00AB3B37">
            <w:pPr>
              <w:jc w:val="center"/>
              <w:rPr>
                <w:lang w:val="fr-FR"/>
              </w:rPr>
            </w:pPr>
            <w:r w:rsidRPr="0092408F">
              <w:rPr>
                <w:lang w:val="fr-FR"/>
              </w:rPr>
              <w:t>Article 213a – paragraph 1 – point e</w:t>
            </w:r>
          </w:p>
        </w:tc>
        <w:tc>
          <w:tcPr>
            <w:tcW w:w="5964" w:type="dxa"/>
            <w:shd w:val="clear" w:color="auto" w:fill="auto"/>
          </w:tcPr>
          <w:p w14:paraId="66515747" w14:textId="748D5EBF" w:rsidR="00AB3B37" w:rsidRPr="002F01EF" w:rsidRDefault="00AB3B37" w:rsidP="00AB3B37">
            <w:pPr>
              <w:jc w:val="left"/>
              <w:rPr>
                <w:bCs/>
                <w:szCs w:val="17"/>
              </w:rPr>
            </w:pPr>
            <w:r w:rsidRPr="002F01EF">
              <w:rPr>
                <w:bCs/>
                <w:szCs w:val="17"/>
              </w:rPr>
              <w:t xml:space="preserve">Increases the level of non-traditional investments from 20% to 30% that a group can keep to be classified as </w:t>
            </w:r>
            <w:r w:rsidR="00AB4A09" w:rsidRPr="002F01EF">
              <w:rPr>
                <w:bCs/>
                <w:szCs w:val="17"/>
              </w:rPr>
              <w:t>LRPU</w:t>
            </w:r>
            <w:r w:rsidRPr="002F01EF">
              <w:rPr>
                <w:bCs/>
                <w:szCs w:val="17"/>
              </w:rPr>
              <w:t xml:space="preserve"> group.</w:t>
            </w:r>
          </w:p>
        </w:tc>
        <w:tc>
          <w:tcPr>
            <w:tcW w:w="1865" w:type="dxa"/>
            <w:shd w:val="clear" w:color="auto" w:fill="auto"/>
            <w:vAlign w:val="center"/>
          </w:tcPr>
          <w:p w14:paraId="598E3CD2" w14:textId="2F967929" w:rsidR="00AB3B37" w:rsidRPr="002F01EF" w:rsidRDefault="00AB3B37" w:rsidP="00AB3B37">
            <w:pPr>
              <w:jc w:val="center"/>
              <w:rPr>
                <w:bCs/>
                <w:szCs w:val="17"/>
              </w:rPr>
            </w:pPr>
            <w:proofErr w:type="spellStart"/>
            <w:r w:rsidRPr="002F01EF">
              <w:rPr>
                <w:bCs/>
                <w:szCs w:val="17"/>
              </w:rPr>
              <w:t>Zanni</w:t>
            </w:r>
            <w:proofErr w:type="spellEnd"/>
            <w:r w:rsidRPr="002F01EF">
              <w:rPr>
                <w:bCs/>
                <w:szCs w:val="17"/>
              </w:rPr>
              <w:t>, Grant, Rinaldi</w:t>
            </w:r>
          </w:p>
        </w:tc>
        <w:tc>
          <w:tcPr>
            <w:tcW w:w="2483" w:type="dxa"/>
            <w:shd w:val="clear" w:color="auto" w:fill="auto"/>
            <w:vAlign w:val="center"/>
          </w:tcPr>
          <w:p w14:paraId="40C0320F" w14:textId="5320BC38"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284D4743" w14:textId="6AF4C635" w:rsidR="00AB3B37" w:rsidRPr="002F01EF" w:rsidRDefault="00E05108" w:rsidP="00AB3B37">
            <w:pPr>
              <w:jc w:val="center"/>
              <w:rPr>
                <w:bCs/>
                <w:szCs w:val="17"/>
              </w:rPr>
            </w:pPr>
            <w:r w:rsidRPr="002F01EF">
              <w:rPr>
                <w:b/>
                <w:color w:val="00B050"/>
                <w:szCs w:val="17"/>
              </w:rPr>
              <w:t>Positive</w:t>
            </w:r>
          </w:p>
        </w:tc>
      </w:tr>
      <w:tr w:rsidR="00AB3B37" w:rsidRPr="002F01EF" w14:paraId="5D687BDD" w14:textId="77777777" w:rsidTr="00633005">
        <w:trPr>
          <w:trHeight w:val="499"/>
        </w:trPr>
        <w:tc>
          <w:tcPr>
            <w:tcW w:w="679" w:type="dxa"/>
            <w:shd w:val="clear" w:color="auto" w:fill="auto"/>
            <w:vAlign w:val="center"/>
          </w:tcPr>
          <w:p w14:paraId="0AE15634" w14:textId="17D15E4B" w:rsidR="00AB3B37" w:rsidRPr="002F01EF" w:rsidRDefault="00AB3B37" w:rsidP="00AB3B37">
            <w:pPr>
              <w:jc w:val="center"/>
              <w:rPr>
                <w:bCs/>
                <w:szCs w:val="17"/>
              </w:rPr>
            </w:pPr>
            <w:r w:rsidRPr="002F01EF">
              <w:rPr>
                <w:bCs/>
                <w:szCs w:val="17"/>
              </w:rPr>
              <w:t>733</w:t>
            </w:r>
          </w:p>
        </w:tc>
        <w:tc>
          <w:tcPr>
            <w:tcW w:w="1866" w:type="dxa"/>
            <w:shd w:val="clear" w:color="auto" w:fill="auto"/>
            <w:vAlign w:val="center"/>
          </w:tcPr>
          <w:p w14:paraId="01B4CF54" w14:textId="2D42E9D3" w:rsidR="00AB3B37" w:rsidRPr="002F01EF" w:rsidRDefault="00AB3B37" w:rsidP="00AB3B37">
            <w:pPr>
              <w:jc w:val="center"/>
            </w:pPr>
            <w:r w:rsidRPr="002F01EF">
              <w:t xml:space="preserve">Article 213a – paragraph 1 – </w:t>
            </w:r>
            <w:r w:rsidRPr="002F01EF">
              <w:lastRenderedPageBreak/>
              <w:t>point f a (new)</w:t>
            </w:r>
          </w:p>
        </w:tc>
        <w:tc>
          <w:tcPr>
            <w:tcW w:w="5964" w:type="dxa"/>
            <w:shd w:val="clear" w:color="auto" w:fill="auto"/>
          </w:tcPr>
          <w:p w14:paraId="1082731B" w14:textId="686C18FA" w:rsidR="00AB3B37" w:rsidRPr="002F01EF" w:rsidRDefault="00AB3B37" w:rsidP="00AB3B37">
            <w:pPr>
              <w:jc w:val="left"/>
              <w:rPr>
                <w:bCs/>
                <w:szCs w:val="17"/>
              </w:rPr>
            </w:pPr>
            <w:r w:rsidRPr="002F01EF">
              <w:rPr>
                <w:bCs/>
                <w:szCs w:val="17"/>
              </w:rPr>
              <w:lastRenderedPageBreak/>
              <w:t xml:space="preserve">Includes the new requirement for groups to be classified as </w:t>
            </w:r>
            <w:r w:rsidR="00F02242" w:rsidRPr="002F01EF">
              <w:rPr>
                <w:bCs/>
                <w:szCs w:val="17"/>
              </w:rPr>
              <w:t>LRPU</w:t>
            </w:r>
            <w:r w:rsidRPr="002F01EF">
              <w:rPr>
                <w:bCs/>
                <w:szCs w:val="17"/>
              </w:rPr>
              <w:t xml:space="preserve"> groups that group SCR is complied with, and a capital add on has </w:t>
            </w:r>
            <w:r w:rsidRPr="002F01EF">
              <w:rPr>
                <w:bCs/>
                <w:szCs w:val="17"/>
              </w:rPr>
              <w:lastRenderedPageBreak/>
              <w:t>not been set.</w:t>
            </w:r>
          </w:p>
        </w:tc>
        <w:tc>
          <w:tcPr>
            <w:tcW w:w="1865" w:type="dxa"/>
            <w:shd w:val="clear" w:color="auto" w:fill="auto"/>
            <w:vAlign w:val="center"/>
          </w:tcPr>
          <w:p w14:paraId="77867F04" w14:textId="220D60D8" w:rsidR="00AB3B37" w:rsidRPr="002F01EF" w:rsidRDefault="00AB3B37" w:rsidP="00AB3B37">
            <w:pPr>
              <w:jc w:val="center"/>
              <w:rPr>
                <w:bCs/>
                <w:szCs w:val="17"/>
              </w:rPr>
            </w:pPr>
            <w:r w:rsidRPr="002F01EF">
              <w:rPr>
                <w:bCs/>
                <w:szCs w:val="17"/>
              </w:rPr>
              <w:lastRenderedPageBreak/>
              <w:t>Hahn</w:t>
            </w:r>
          </w:p>
        </w:tc>
        <w:tc>
          <w:tcPr>
            <w:tcW w:w="2483" w:type="dxa"/>
            <w:shd w:val="clear" w:color="auto" w:fill="auto"/>
            <w:vAlign w:val="center"/>
          </w:tcPr>
          <w:p w14:paraId="7DC3B3BC" w14:textId="37445B4B"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57D33A17" w14:textId="59895F3E" w:rsidR="00AB3B37" w:rsidRPr="002F01EF" w:rsidRDefault="00E05108" w:rsidP="00AB3B37">
            <w:pPr>
              <w:jc w:val="center"/>
              <w:rPr>
                <w:bCs/>
                <w:szCs w:val="17"/>
              </w:rPr>
            </w:pPr>
            <w:r w:rsidRPr="002F01EF">
              <w:rPr>
                <w:b/>
                <w:color w:val="808080" w:themeColor="background1" w:themeShade="80"/>
                <w:szCs w:val="17"/>
              </w:rPr>
              <w:t>Neutral</w:t>
            </w:r>
          </w:p>
        </w:tc>
      </w:tr>
      <w:tr w:rsidR="00AB3B37" w:rsidRPr="002F01EF" w14:paraId="4FFDCC63" w14:textId="77777777" w:rsidTr="00633005">
        <w:trPr>
          <w:trHeight w:val="499"/>
        </w:trPr>
        <w:tc>
          <w:tcPr>
            <w:tcW w:w="679" w:type="dxa"/>
            <w:shd w:val="clear" w:color="auto" w:fill="auto"/>
            <w:vAlign w:val="center"/>
          </w:tcPr>
          <w:p w14:paraId="5363338B" w14:textId="231B5D40" w:rsidR="00AB3B37" w:rsidRPr="002F01EF" w:rsidRDefault="00AB3B37" w:rsidP="00AB3B37">
            <w:pPr>
              <w:jc w:val="center"/>
              <w:rPr>
                <w:bCs/>
                <w:szCs w:val="17"/>
              </w:rPr>
            </w:pPr>
            <w:r w:rsidRPr="002F01EF">
              <w:rPr>
                <w:bCs/>
                <w:szCs w:val="17"/>
              </w:rPr>
              <w:t>734</w:t>
            </w:r>
          </w:p>
        </w:tc>
        <w:tc>
          <w:tcPr>
            <w:tcW w:w="1866" w:type="dxa"/>
            <w:shd w:val="clear" w:color="auto" w:fill="auto"/>
            <w:vAlign w:val="center"/>
          </w:tcPr>
          <w:p w14:paraId="1FBD2F1E" w14:textId="766A2235" w:rsidR="00AB3B37" w:rsidRPr="002F01EF" w:rsidRDefault="00AB3B37" w:rsidP="00AB3B37">
            <w:pPr>
              <w:jc w:val="center"/>
            </w:pPr>
            <w:r w:rsidRPr="002F01EF">
              <w:t>Article 213a – paragraph 1 – point f b (new)</w:t>
            </w:r>
          </w:p>
        </w:tc>
        <w:tc>
          <w:tcPr>
            <w:tcW w:w="5964" w:type="dxa"/>
            <w:shd w:val="clear" w:color="auto" w:fill="auto"/>
          </w:tcPr>
          <w:p w14:paraId="37C560A6" w14:textId="5EC61F4D" w:rsidR="00AB3B37" w:rsidRPr="002F01EF" w:rsidRDefault="00AB3B37" w:rsidP="00AB3B37">
            <w:pPr>
              <w:jc w:val="left"/>
              <w:rPr>
                <w:bCs/>
                <w:szCs w:val="17"/>
              </w:rPr>
            </w:pPr>
            <w:r w:rsidRPr="002F01EF">
              <w:rPr>
                <w:bCs/>
                <w:szCs w:val="17"/>
              </w:rPr>
              <w:t xml:space="preserve">Includes the new requirement for groups to be classified as </w:t>
            </w:r>
            <w:r w:rsidR="009F0424" w:rsidRPr="002F01EF">
              <w:rPr>
                <w:bCs/>
                <w:szCs w:val="17"/>
              </w:rPr>
              <w:t>LRPU</w:t>
            </w:r>
            <w:r w:rsidRPr="002F01EF">
              <w:rPr>
                <w:bCs/>
                <w:szCs w:val="17"/>
              </w:rPr>
              <w:t xml:space="preserve"> groups that the group has not been involved in money laundering or terrorist financing activities.</w:t>
            </w:r>
          </w:p>
        </w:tc>
        <w:tc>
          <w:tcPr>
            <w:tcW w:w="1865" w:type="dxa"/>
            <w:shd w:val="clear" w:color="auto" w:fill="auto"/>
            <w:vAlign w:val="center"/>
          </w:tcPr>
          <w:p w14:paraId="2A199679" w14:textId="7ECF520B"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32AE7574" w14:textId="3272DE5A"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69DCA048" w14:textId="7A7680B9" w:rsidR="00AB3B37" w:rsidRPr="002F01EF" w:rsidRDefault="00E05108" w:rsidP="00AB3B37">
            <w:pPr>
              <w:jc w:val="center"/>
              <w:rPr>
                <w:bCs/>
                <w:szCs w:val="17"/>
              </w:rPr>
            </w:pPr>
            <w:r w:rsidRPr="002F01EF">
              <w:rPr>
                <w:b/>
                <w:color w:val="808080" w:themeColor="background1" w:themeShade="80"/>
                <w:szCs w:val="17"/>
              </w:rPr>
              <w:t>Neutral</w:t>
            </w:r>
          </w:p>
        </w:tc>
      </w:tr>
      <w:tr w:rsidR="00AB3B37" w:rsidRPr="002F01EF" w14:paraId="1231F49A" w14:textId="77777777" w:rsidTr="00633005">
        <w:trPr>
          <w:trHeight w:val="499"/>
        </w:trPr>
        <w:tc>
          <w:tcPr>
            <w:tcW w:w="679" w:type="dxa"/>
            <w:shd w:val="clear" w:color="auto" w:fill="auto"/>
            <w:vAlign w:val="center"/>
          </w:tcPr>
          <w:p w14:paraId="6FCB6DE1" w14:textId="0D8617E1" w:rsidR="00AB3B37" w:rsidRPr="002F01EF" w:rsidRDefault="00AB3B37" w:rsidP="00AB3B37">
            <w:pPr>
              <w:jc w:val="center"/>
              <w:rPr>
                <w:bCs/>
                <w:szCs w:val="17"/>
              </w:rPr>
            </w:pPr>
            <w:r w:rsidRPr="002F01EF">
              <w:rPr>
                <w:bCs/>
                <w:szCs w:val="17"/>
              </w:rPr>
              <w:t>735</w:t>
            </w:r>
          </w:p>
        </w:tc>
        <w:tc>
          <w:tcPr>
            <w:tcW w:w="1866" w:type="dxa"/>
            <w:shd w:val="clear" w:color="auto" w:fill="auto"/>
            <w:vAlign w:val="center"/>
          </w:tcPr>
          <w:p w14:paraId="6A434CBE" w14:textId="0F330897" w:rsidR="00AB3B37" w:rsidRPr="002F01EF" w:rsidRDefault="00AB3B37" w:rsidP="00AB3B37">
            <w:pPr>
              <w:jc w:val="center"/>
            </w:pPr>
            <w:r w:rsidRPr="002F01EF">
              <w:t>Article 213a – paragraph 4 a (new)</w:t>
            </w:r>
            <w:r w:rsidRPr="002F01EF">
              <w:rPr>
                <w:rStyle w:val="HideTWBExt"/>
              </w:rPr>
              <w:t>&lt;/Article2&gt;</w:t>
            </w:r>
          </w:p>
        </w:tc>
        <w:tc>
          <w:tcPr>
            <w:tcW w:w="5964" w:type="dxa"/>
            <w:shd w:val="clear" w:color="auto" w:fill="auto"/>
          </w:tcPr>
          <w:p w14:paraId="7195AE05" w14:textId="19BDAA4C" w:rsidR="00AB3B37" w:rsidRPr="002F01EF" w:rsidRDefault="00AB3B37" w:rsidP="00AB3B37">
            <w:pPr>
              <w:jc w:val="left"/>
              <w:rPr>
                <w:bCs/>
                <w:szCs w:val="17"/>
              </w:rPr>
            </w:pPr>
            <w:r w:rsidRPr="002F01EF">
              <w:rPr>
                <w:bCs/>
                <w:szCs w:val="17"/>
              </w:rPr>
              <w:t>Additional criteria that exclude some groups from being classified as small and non-complex groups:</w:t>
            </w:r>
          </w:p>
          <w:p w14:paraId="1A172854" w14:textId="64093F38" w:rsidR="00AB3B37" w:rsidRPr="002F01EF" w:rsidRDefault="00AB3B37" w:rsidP="00AB3B37">
            <w:pPr>
              <w:jc w:val="left"/>
              <w:rPr>
                <w:bCs/>
                <w:i/>
                <w:iCs/>
                <w:szCs w:val="17"/>
              </w:rPr>
            </w:pPr>
            <w:r w:rsidRPr="002F01EF">
              <w:rPr>
                <w:bCs/>
                <w:szCs w:val="17"/>
              </w:rPr>
              <w:t>“(</w:t>
            </w:r>
            <w:r w:rsidRPr="002F01EF">
              <w:rPr>
                <w:bCs/>
                <w:i/>
                <w:iCs/>
                <w:szCs w:val="17"/>
              </w:rPr>
              <w:t>a) groups which are financial conglomerates within the meaning of Article 2, point 14 of Directive 2002/87/EC;</w:t>
            </w:r>
          </w:p>
          <w:p w14:paraId="32E4068A" w14:textId="611DF152" w:rsidR="00AB3B37" w:rsidRPr="002F01EF" w:rsidRDefault="00AB3B37" w:rsidP="00AB3B37">
            <w:pPr>
              <w:jc w:val="left"/>
              <w:rPr>
                <w:bCs/>
                <w:szCs w:val="17"/>
              </w:rPr>
            </w:pPr>
            <w:r w:rsidRPr="002F01EF">
              <w:rPr>
                <w:bCs/>
                <w:i/>
                <w:iCs/>
                <w:szCs w:val="17"/>
              </w:rPr>
              <w:t>(b) groups where at least one subsidiary undertaking is an undertaking referred to in Article 228(1).”</w:t>
            </w:r>
          </w:p>
        </w:tc>
        <w:tc>
          <w:tcPr>
            <w:tcW w:w="1865" w:type="dxa"/>
            <w:shd w:val="clear" w:color="auto" w:fill="auto"/>
            <w:vAlign w:val="center"/>
          </w:tcPr>
          <w:p w14:paraId="70DBBD16" w14:textId="7F8A9BB0" w:rsidR="00AB3B37" w:rsidRPr="002F01EF" w:rsidRDefault="00AB3B37" w:rsidP="00AB3B37">
            <w:pPr>
              <w:jc w:val="center"/>
              <w:rPr>
                <w:bCs/>
                <w:szCs w:val="17"/>
              </w:rPr>
            </w:pPr>
            <w:proofErr w:type="spellStart"/>
            <w:r w:rsidRPr="002F01EF">
              <w:t>Heinäluoma</w:t>
            </w:r>
            <w:proofErr w:type="spellEnd"/>
            <w:r w:rsidRPr="002F01EF">
              <w:t xml:space="preserve">, </w:t>
            </w:r>
            <w:proofErr w:type="spellStart"/>
            <w:r w:rsidRPr="002F01EF">
              <w:t>Lalucq</w:t>
            </w:r>
            <w:proofErr w:type="spellEnd"/>
          </w:p>
        </w:tc>
        <w:tc>
          <w:tcPr>
            <w:tcW w:w="2483" w:type="dxa"/>
            <w:shd w:val="clear" w:color="auto" w:fill="auto"/>
            <w:vAlign w:val="center"/>
          </w:tcPr>
          <w:p w14:paraId="38F1F6D8" w14:textId="7D652476" w:rsidR="00AB3B37" w:rsidRPr="002F01EF" w:rsidRDefault="00AB3B37" w:rsidP="00AB3B37">
            <w:pPr>
              <w:jc w:val="center"/>
              <w:rPr>
                <w:bCs/>
                <w:szCs w:val="17"/>
              </w:rPr>
            </w:pPr>
            <w:r w:rsidRPr="002F01EF">
              <w:rPr>
                <w:bCs/>
                <w:szCs w:val="17"/>
              </w:rPr>
              <w:t>Groups/Proportionality</w:t>
            </w:r>
          </w:p>
        </w:tc>
        <w:tc>
          <w:tcPr>
            <w:tcW w:w="1886" w:type="dxa"/>
            <w:shd w:val="clear" w:color="auto" w:fill="auto"/>
            <w:vAlign w:val="center"/>
          </w:tcPr>
          <w:p w14:paraId="35978E11" w14:textId="310C9924" w:rsidR="00AB3B37" w:rsidRPr="002F01EF" w:rsidRDefault="00E05108" w:rsidP="00AB3B37">
            <w:pPr>
              <w:jc w:val="center"/>
              <w:rPr>
                <w:bCs/>
                <w:szCs w:val="17"/>
              </w:rPr>
            </w:pPr>
            <w:r w:rsidRPr="002F01EF">
              <w:rPr>
                <w:b/>
                <w:color w:val="FF0000"/>
                <w:szCs w:val="17"/>
              </w:rPr>
              <w:t>Negative</w:t>
            </w:r>
          </w:p>
        </w:tc>
      </w:tr>
      <w:tr w:rsidR="00AB3B37" w:rsidRPr="002F01EF" w14:paraId="3E227211" w14:textId="77777777" w:rsidTr="00633005">
        <w:trPr>
          <w:trHeight w:val="499"/>
        </w:trPr>
        <w:tc>
          <w:tcPr>
            <w:tcW w:w="679" w:type="dxa"/>
            <w:shd w:val="clear" w:color="auto" w:fill="auto"/>
            <w:vAlign w:val="center"/>
          </w:tcPr>
          <w:p w14:paraId="79616B37" w14:textId="2FEBB699" w:rsidR="00AB3B37" w:rsidRPr="002F01EF" w:rsidRDefault="00AB3B37" w:rsidP="00AB3B37">
            <w:pPr>
              <w:jc w:val="center"/>
              <w:rPr>
                <w:bCs/>
                <w:szCs w:val="17"/>
              </w:rPr>
            </w:pPr>
            <w:r w:rsidRPr="002F01EF">
              <w:rPr>
                <w:bCs/>
                <w:szCs w:val="17"/>
              </w:rPr>
              <w:t>736</w:t>
            </w:r>
          </w:p>
        </w:tc>
        <w:tc>
          <w:tcPr>
            <w:tcW w:w="1866" w:type="dxa"/>
            <w:shd w:val="clear" w:color="auto" w:fill="auto"/>
            <w:vAlign w:val="center"/>
          </w:tcPr>
          <w:p w14:paraId="295B1AA3" w14:textId="379AEB35" w:rsidR="00AB3B37" w:rsidRPr="0092408F" w:rsidRDefault="00AB3B37" w:rsidP="00AB3B37">
            <w:pPr>
              <w:jc w:val="center"/>
              <w:rPr>
                <w:lang w:val="fr-FR"/>
              </w:rPr>
            </w:pPr>
            <w:r w:rsidRPr="0092408F">
              <w:rPr>
                <w:lang w:val="fr-FR"/>
              </w:rPr>
              <w:t>Article 214 – paragraph 1 – subparagraph 1 a (new)</w:t>
            </w:r>
          </w:p>
        </w:tc>
        <w:tc>
          <w:tcPr>
            <w:tcW w:w="5964" w:type="dxa"/>
            <w:shd w:val="clear" w:color="auto" w:fill="auto"/>
          </w:tcPr>
          <w:p w14:paraId="2719AA38" w14:textId="08AB52DE" w:rsidR="00AB3B37" w:rsidRPr="002F01EF" w:rsidRDefault="00AB3B37" w:rsidP="00AB3B37">
            <w:pPr>
              <w:jc w:val="left"/>
              <w:rPr>
                <w:bCs/>
                <w:szCs w:val="17"/>
              </w:rPr>
            </w:pPr>
            <w:r w:rsidRPr="002F01EF">
              <w:rPr>
                <w:bCs/>
                <w:szCs w:val="17"/>
              </w:rPr>
              <w:t>Clarifies that:” the</w:t>
            </w:r>
            <w:r w:rsidRPr="002F01EF">
              <w:rPr>
                <w:bCs/>
                <w:i/>
                <w:iCs/>
                <w:szCs w:val="17"/>
              </w:rPr>
              <w:t xml:space="preserve"> exercise of</w:t>
            </w:r>
            <w:r w:rsidRPr="002F01EF">
              <w:rPr>
                <w:bCs/>
                <w:szCs w:val="17"/>
              </w:rPr>
              <w:t xml:space="preserve"> </w:t>
            </w:r>
            <w:r w:rsidRPr="002F01EF">
              <w:rPr>
                <w:bCs/>
                <w:i/>
                <w:iCs/>
                <w:szCs w:val="17"/>
              </w:rPr>
              <w:t>group supervision may imply direct supervision and the exercise of supervisory powers over insurance holding companies and mixed financial holding companies by supervisory authorities</w:t>
            </w:r>
            <w:r w:rsidRPr="002F01EF">
              <w:rPr>
                <w:bCs/>
                <w:szCs w:val="17"/>
              </w:rPr>
              <w:t>”.</w:t>
            </w:r>
          </w:p>
        </w:tc>
        <w:tc>
          <w:tcPr>
            <w:tcW w:w="1865" w:type="dxa"/>
            <w:shd w:val="clear" w:color="auto" w:fill="auto"/>
            <w:vAlign w:val="center"/>
          </w:tcPr>
          <w:p w14:paraId="1EA3F95E" w14:textId="13686963" w:rsidR="00AB3B37" w:rsidRPr="002F01EF" w:rsidRDefault="00AB3B37" w:rsidP="00AB3B37">
            <w:pPr>
              <w:jc w:val="center"/>
            </w:pPr>
            <w:proofErr w:type="spellStart"/>
            <w:r w:rsidRPr="002F01EF">
              <w:t>Heinäluoma</w:t>
            </w:r>
            <w:proofErr w:type="spellEnd"/>
            <w:r w:rsidRPr="002F01EF">
              <w:t xml:space="preserve">, </w:t>
            </w:r>
            <w:proofErr w:type="spellStart"/>
            <w:r w:rsidRPr="002F01EF">
              <w:t>Lalucq</w:t>
            </w:r>
            <w:proofErr w:type="spellEnd"/>
          </w:p>
        </w:tc>
        <w:tc>
          <w:tcPr>
            <w:tcW w:w="2483" w:type="dxa"/>
            <w:shd w:val="clear" w:color="auto" w:fill="auto"/>
            <w:vAlign w:val="center"/>
          </w:tcPr>
          <w:p w14:paraId="13A24885" w14:textId="48041EEB"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53C4C0BA" w14:textId="744E8021" w:rsidR="00AB3B37" w:rsidRPr="002F01EF" w:rsidRDefault="00633005" w:rsidP="00AB3B37">
            <w:pPr>
              <w:jc w:val="center"/>
              <w:rPr>
                <w:bCs/>
                <w:szCs w:val="17"/>
                <w:highlight w:val="yellow"/>
              </w:rPr>
            </w:pPr>
            <w:r w:rsidRPr="002F01EF">
              <w:rPr>
                <w:b/>
                <w:color w:val="FF0000"/>
                <w:szCs w:val="17"/>
              </w:rPr>
              <w:t>Negative</w:t>
            </w:r>
          </w:p>
        </w:tc>
      </w:tr>
      <w:tr w:rsidR="00AB3B37" w:rsidRPr="002F01EF" w14:paraId="2F8D42B9" w14:textId="77777777" w:rsidTr="00633005">
        <w:trPr>
          <w:trHeight w:val="499"/>
        </w:trPr>
        <w:tc>
          <w:tcPr>
            <w:tcW w:w="679" w:type="dxa"/>
            <w:shd w:val="clear" w:color="auto" w:fill="auto"/>
            <w:vAlign w:val="center"/>
          </w:tcPr>
          <w:p w14:paraId="07F086FA" w14:textId="22D022B4" w:rsidR="00AB3B37" w:rsidRPr="002F01EF" w:rsidRDefault="00AB3B37" w:rsidP="00AB3B37">
            <w:pPr>
              <w:jc w:val="center"/>
              <w:rPr>
                <w:bCs/>
                <w:szCs w:val="17"/>
              </w:rPr>
            </w:pPr>
            <w:r w:rsidRPr="002F01EF">
              <w:rPr>
                <w:bCs/>
                <w:szCs w:val="17"/>
              </w:rPr>
              <w:t>737-740</w:t>
            </w:r>
          </w:p>
        </w:tc>
        <w:tc>
          <w:tcPr>
            <w:tcW w:w="1866" w:type="dxa"/>
            <w:shd w:val="clear" w:color="auto" w:fill="auto"/>
            <w:vAlign w:val="center"/>
          </w:tcPr>
          <w:p w14:paraId="26B326C8" w14:textId="581CAAA4" w:rsidR="00AB3B37" w:rsidRPr="0092408F" w:rsidRDefault="00AB3B37" w:rsidP="00AB3B37">
            <w:pPr>
              <w:jc w:val="center"/>
              <w:rPr>
                <w:lang w:val="fr-FR"/>
              </w:rPr>
            </w:pPr>
            <w:r w:rsidRPr="0092408F">
              <w:rPr>
                <w:vanish/>
                <w:lang w:val="fr-FR"/>
              </w:rPr>
              <w:t>&lt;Article2&gt;</w:t>
            </w:r>
            <w:r w:rsidRPr="0092408F">
              <w:rPr>
                <w:lang w:val="fr-FR"/>
              </w:rPr>
              <w:t>Article 214 – paragraph 2 – point b – point ii</w:t>
            </w:r>
            <w:r w:rsidRPr="0092408F">
              <w:rPr>
                <w:vanish/>
                <w:lang w:val="fr-FR"/>
              </w:rPr>
              <w:t>&lt;/Article2&gt;</w:t>
            </w:r>
          </w:p>
          <w:p w14:paraId="3176EA6E" w14:textId="77777777" w:rsidR="00AB3B37" w:rsidRPr="0092408F" w:rsidRDefault="00AB3B37" w:rsidP="00AB3B37">
            <w:pPr>
              <w:jc w:val="center"/>
              <w:rPr>
                <w:lang w:val="fr-FR"/>
              </w:rPr>
            </w:pPr>
          </w:p>
        </w:tc>
        <w:tc>
          <w:tcPr>
            <w:tcW w:w="5964" w:type="dxa"/>
            <w:shd w:val="clear" w:color="auto" w:fill="auto"/>
          </w:tcPr>
          <w:p w14:paraId="68016A30" w14:textId="71C78875" w:rsidR="00AB3B37" w:rsidRPr="002F01EF" w:rsidRDefault="00AB3B37" w:rsidP="00AB3B37">
            <w:pPr>
              <w:jc w:val="left"/>
              <w:rPr>
                <w:bCs/>
                <w:szCs w:val="17"/>
              </w:rPr>
            </w:pPr>
            <w:r w:rsidRPr="002F01EF">
              <w:rPr>
                <w:bCs/>
                <w:szCs w:val="17"/>
              </w:rPr>
              <w:t>Removes the requirement that the exclusion of the undertaking from the scope of group supervision</w:t>
            </w:r>
          </w:p>
          <w:p w14:paraId="3A0C4DFC" w14:textId="7647E864" w:rsidR="00AB3B37" w:rsidRPr="002F01EF" w:rsidRDefault="00AB3B37" w:rsidP="00AB3B37">
            <w:pPr>
              <w:jc w:val="left"/>
              <w:rPr>
                <w:bCs/>
                <w:szCs w:val="17"/>
              </w:rPr>
            </w:pPr>
            <w:r w:rsidRPr="002F01EF">
              <w:rPr>
                <w:bCs/>
                <w:szCs w:val="17"/>
              </w:rPr>
              <w:t>would have no material impact on the group solvency.</w:t>
            </w:r>
          </w:p>
        </w:tc>
        <w:tc>
          <w:tcPr>
            <w:tcW w:w="1865" w:type="dxa"/>
            <w:shd w:val="clear" w:color="auto" w:fill="auto"/>
            <w:vAlign w:val="center"/>
          </w:tcPr>
          <w:p w14:paraId="05189617" w14:textId="6633C6F1" w:rsidR="00AB3B37" w:rsidRPr="002F01EF" w:rsidRDefault="00AB3B37" w:rsidP="00AB3B37">
            <w:pPr>
              <w:jc w:val="center"/>
            </w:pPr>
            <w:proofErr w:type="spellStart"/>
            <w:r w:rsidRPr="002F01EF">
              <w:t>Evren</w:t>
            </w:r>
            <w:proofErr w:type="spellEnd"/>
            <w:r w:rsidRPr="002F01EF">
              <w:t xml:space="preserve"> (737) and Calenda (738) and Tajani, </w:t>
            </w:r>
            <w:proofErr w:type="spellStart"/>
            <w:r w:rsidRPr="002F01EF">
              <w:t>Dorfmann</w:t>
            </w:r>
            <w:proofErr w:type="spellEnd"/>
            <w:r w:rsidRPr="002F01EF">
              <w:t xml:space="preserve">, </w:t>
            </w:r>
            <w:proofErr w:type="spellStart"/>
            <w:r w:rsidRPr="002F01EF">
              <w:t>Martusciello</w:t>
            </w:r>
            <w:proofErr w:type="spellEnd"/>
            <w:r w:rsidRPr="002F01EF">
              <w:t xml:space="preserve"> (739) and </w:t>
            </w:r>
            <w:proofErr w:type="spellStart"/>
            <w:r w:rsidRPr="002F01EF">
              <w:t>Zanni</w:t>
            </w:r>
            <w:proofErr w:type="spellEnd"/>
            <w:r w:rsidRPr="002F01EF">
              <w:t>, Grant, Rinaldi (740)</w:t>
            </w:r>
          </w:p>
        </w:tc>
        <w:tc>
          <w:tcPr>
            <w:tcW w:w="2483" w:type="dxa"/>
            <w:shd w:val="clear" w:color="auto" w:fill="auto"/>
            <w:vAlign w:val="center"/>
          </w:tcPr>
          <w:p w14:paraId="1B42A628" w14:textId="1BAD9572"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66ED100A" w14:textId="3E4EA8E9"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D738E6B" w14:textId="77777777" w:rsidTr="00633005">
        <w:trPr>
          <w:trHeight w:val="499"/>
        </w:trPr>
        <w:tc>
          <w:tcPr>
            <w:tcW w:w="679" w:type="dxa"/>
            <w:shd w:val="clear" w:color="auto" w:fill="auto"/>
            <w:vAlign w:val="center"/>
          </w:tcPr>
          <w:p w14:paraId="59458D0B" w14:textId="665D5A2D" w:rsidR="00AB3B37" w:rsidRPr="002F01EF" w:rsidRDefault="00AB3B37" w:rsidP="00AB3B37">
            <w:pPr>
              <w:jc w:val="center"/>
              <w:rPr>
                <w:bCs/>
                <w:szCs w:val="17"/>
              </w:rPr>
            </w:pPr>
            <w:r w:rsidRPr="002F01EF">
              <w:rPr>
                <w:bCs/>
                <w:szCs w:val="17"/>
              </w:rPr>
              <w:t>741</w:t>
            </w:r>
          </w:p>
        </w:tc>
        <w:tc>
          <w:tcPr>
            <w:tcW w:w="1866" w:type="dxa"/>
            <w:shd w:val="clear" w:color="auto" w:fill="auto"/>
            <w:vAlign w:val="center"/>
          </w:tcPr>
          <w:p w14:paraId="5C40D708" w14:textId="120023F6" w:rsidR="00AB3B37" w:rsidRPr="002F01EF" w:rsidRDefault="00AB3B37" w:rsidP="00AB3B37">
            <w:pPr>
              <w:jc w:val="center"/>
            </w:pPr>
            <w:r w:rsidRPr="002F01EF">
              <w:t>Article 214 – paragraph 3 – subparagraph 2</w:t>
            </w:r>
          </w:p>
        </w:tc>
        <w:tc>
          <w:tcPr>
            <w:tcW w:w="5964" w:type="dxa"/>
            <w:shd w:val="clear" w:color="auto" w:fill="auto"/>
          </w:tcPr>
          <w:p w14:paraId="76EBFEAC" w14:textId="26D84515" w:rsidR="00AB3B37" w:rsidRPr="002F01EF" w:rsidRDefault="00AB3B37" w:rsidP="00AB3B37">
            <w:pPr>
              <w:jc w:val="left"/>
              <w:rPr>
                <w:bCs/>
                <w:szCs w:val="17"/>
              </w:rPr>
            </w:pPr>
            <w:r w:rsidRPr="002F01EF">
              <w:rPr>
                <w:bCs/>
                <w:szCs w:val="17"/>
              </w:rPr>
              <w:t>Introduces new conditions that need to be met to exclude a parent undertaking from group supervision in case of material improvement in the solvency position of the group:</w:t>
            </w:r>
          </w:p>
          <w:p w14:paraId="039739E2" w14:textId="77777777" w:rsidR="00AB3B37" w:rsidRPr="002F01EF" w:rsidRDefault="00AB3B37" w:rsidP="00AB3B37">
            <w:pPr>
              <w:jc w:val="left"/>
              <w:rPr>
                <w:bCs/>
                <w:i/>
                <w:iCs/>
                <w:szCs w:val="17"/>
              </w:rPr>
            </w:pPr>
            <w:r w:rsidRPr="002F01EF">
              <w:rPr>
                <w:bCs/>
                <w:i/>
                <w:iCs/>
                <w:szCs w:val="17"/>
              </w:rPr>
              <w:t>“(</w:t>
            </w:r>
            <w:proofErr w:type="spellStart"/>
            <w:r w:rsidRPr="002F01EF">
              <w:rPr>
                <w:bCs/>
                <w:i/>
                <w:iCs/>
                <w:szCs w:val="17"/>
              </w:rPr>
              <w:t>i</w:t>
            </w:r>
            <w:proofErr w:type="spellEnd"/>
            <w:r w:rsidRPr="002F01EF">
              <w:rPr>
                <w:bCs/>
                <w:i/>
                <w:iCs/>
                <w:szCs w:val="17"/>
              </w:rPr>
              <w:t>) the by-laws of ultimate parent undertaking expressly preclude such undertaking from performing direction and coordination of its subsidiaries;</w:t>
            </w:r>
          </w:p>
          <w:p w14:paraId="3E86274C" w14:textId="05417636" w:rsidR="00AB3B37" w:rsidRPr="002F01EF" w:rsidRDefault="00AB3B37" w:rsidP="00AB3B37">
            <w:pPr>
              <w:jc w:val="left"/>
              <w:rPr>
                <w:bCs/>
                <w:i/>
                <w:iCs/>
                <w:szCs w:val="17"/>
              </w:rPr>
            </w:pPr>
            <w:r w:rsidRPr="002F01EF">
              <w:rPr>
                <w:bCs/>
                <w:i/>
                <w:iCs/>
                <w:szCs w:val="17"/>
              </w:rPr>
              <w:t>(ii) an intermediate entity is proven to actively manage the insurance activities in the group’.</w:t>
            </w:r>
          </w:p>
        </w:tc>
        <w:tc>
          <w:tcPr>
            <w:tcW w:w="1865" w:type="dxa"/>
            <w:shd w:val="clear" w:color="auto" w:fill="auto"/>
            <w:vAlign w:val="center"/>
          </w:tcPr>
          <w:p w14:paraId="3B9E5CD6" w14:textId="5935BEB8" w:rsidR="00AB3B37" w:rsidRPr="002F01EF" w:rsidRDefault="00AB3B37" w:rsidP="00AB3B37">
            <w:pPr>
              <w:jc w:val="center"/>
            </w:pPr>
            <w:proofErr w:type="spellStart"/>
            <w:r w:rsidRPr="002F01EF">
              <w:t>Gualmini</w:t>
            </w:r>
            <w:proofErr w:type="spellEnd"/>
          </w:p>
        </w:tc>
        <w:tc>
          <w:tcPr>
            <w:tcW w:w="2483" w:type="dxa"/>
            <w:shd w:val="clear" w:color="auto" w:fill="auto"/>
            <w:vAlign w:val="center"/>
          </w:tcPr>
          <w:p w14:paraId="455C497F" w14:textId="06F6756C"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007C591E" w14:textId="2B531281"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01063BC" w14:textId="77777777" w:rsidTr="00633005">
        <w:trPr>
          <w:trHeight w:val="499"/>
        </w:trPr>
        <w:tc>
          <w:tcPr>
            <w:tcW w:w="679" w:type="dxa"/>
            <w:shd w:val="clear" w:color="auto" w:fill="auto"/>
            <w:vAlign w:val="center"/>
          </w:tcPr>
          <w:p w14:paraId="152B7365" w14:textId="2ABD051F" w:rsidR="00AB3B37" w:rsidRPr="002F01EF" w:rsidRDefault="00AB3B37" w:rsidP="00AB3B37">
            <w:pPr>
              <w:jc w:val="center"/>
              <w:rPr>
                <w:bCs/>
                <w:szCs w:val="17"/>
              </w:rPr>
            </w:pPr>
            <w:r w:rsidRPr="002F01EF">
              <w:rPr>
                <w:bCs/>
                <w:szCs w:val="17"/>
              </w:rPr>
              <w:t>742-744</w:t>
            </w:r>
          </w:p>
        </w:tc>
        <w:tc>
          <w:tcPr>
            <w:tcW w:w="1866" w:type="dxa"/>
            <w:shd w:val="clear" w:color="auto" w:fill="auto"/>
            <w:vAlign w:val="center"/>
          </w:tcPr>
          <w:p w14:paraId="3EF6A470" w14:textId="131111FE" w:rsidR="00AB3B37" w:rsidRPr="002F01EF" w:rsidRDefault="00AB3B37" w:rsidP="00AB3B37">
            <w:pPr>
              <w:jc w:val="center"/>
            </w:pPr>
            <w:r w:rsidRPr="002F01EF">
              <w:t>Article 214 – paragraph 3 – subparagraph 2</w:t>
            </w:r>
          </w:p>
        </w:tc>
        <w:tc>
          <w:tcPr>
            <w:tcW w:w="5964" w:type="dxa"/>
            <w:shd w:val="clear" w:color="auto" w:fill="auto"/>
          </w:tcPr>
          <w:p w14:paraId="170F1FC0" w14:textId="237ADE7B" w:rsidR="00AB3B37" w:rsidRPr="002F01EF" w:rsidRDefault="00AB3B37" w:rsidP="00AB3B37">
            <w:pPr>
              <w:jc w:val="left"/>
              <w:rPr>
                <w:bCs/>
                <w:szCs w:val="17"/>
              </w:rPr>
            </w:pPr>
            <w:r w:rsidRPr="002F01EF">
              <w:rPr>
                <w:bCs/>
                <w:szCs w:val="17"/>
              </w:rPr>
              <w:t>Removes the requirement that, to exclude an ultimate parent undertaking from group supervision, there should be no material improvement in the solvency position of the group.</w:t>
            </w:r>
          </w:p>
        </w:tc>
        <w:tc>
          <w:tcPr>
            <w:tcW w:w="1865" w:type="dxa"/>
            <w:shd w:val="clear" w:color="auto" w:fill="auto"/>
            <w:vAlign w:val="center"/>
          </w:tcPr>
          <w:p w14:paraId="3A41D208" w14:textId="634A143D" w:rsidR="00AB3B37" w:rsidRPr="002E30E3" w:rsidRDefault="00AB3B37" w:rsidP="00AB3B37">
            <w:pPr>
              <w:jc w:val="center"/>
              <w:rPr>
                <w:lang w:val="it-IT"/>
              </w:rPr>
            </w:pPr>
            <w:r w:rsidRPr="002E30E3">
              <w:rPr>
                <w:lang w:val="it-IT"/>
              </w:rPr>
              <w:t>Calenda (742) and Zanni, Grant, Rinaldi (743) and Tajani, Dorfmann, Martusciello (744)</w:t>
            </w:r>
          </w:p>
        </w:tc>
        <w:tc>
          <w:tcPr>
            <w:tcW w:w="2483" w:type="dxa"/>
            <w:shd w:val="clear" w:color="auto" w:fill="auto"/>
            <w:vAlign w:val="center"/>
          </w:tcPr>
          <w:p w14:paraId="0A23491D" w14:textId="78DA237A"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06B8869A" w14:textId="2377FD15"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653F7F5" w14:textId="77777777" w:rsidTr="00633005">
        <w:trPr>
          <w:trHeight w:val="499"/>
        </w:trPr>
        <w:tc>
          <w:tcPr>
            <w:tcW w:w="679" w:type="dxa"/>
            <w:shd w:val="clear" w:color="auto" w:fill="auto"/>
            <w:vAlign w:val="center"/>
          </w:tcPr>
          <w:p w14:paraId="4A7ECF7D" w14:textId="29C59D7D" w:rsidR="00AB3B37" w:rsidRPr="002F01EF" w:rsidRDefault="00AB3B37" w:rsidP="00AB3B37">
            <w:pPr>
              <w:jc w:val="center"/>
              <w:rPr>
                <w:bCs/>
                <w:szCs w:val="17"/>
              </w:rPr>
            </w:pPr>
            <w:r w:rsidRPr="002F01EF">
              <w:rPr>
                <w:bCs/>
                <w:szCs w:val="17"/>
              </w:rPr>
              <w:lastRenderedPageBreak/>
              <w:t>745</w:t>
            </w:r>
          </w:p>
        </w:tc>
        <w:tc>
          <w:tcPr>
            <w:tcW w:w="1866" w:type="dxa"/>
            <w:shd w:val="clear" w:color="auto" w:fill="auto"/>
            <w:vAlign w:val="center"/>
          </w:tcPr>
          <w:p w14:paraId="7DEADC07" w14:textId="0EB4DDB3" w:rsidR="00AB3B37" w:rsidRPr="002F01EF" w:rsidRDefault="00AB3B37" w:rsidP="00AB3B37">
            <w:pPr>
              <w:jc w:val="center"/>
            </w:pPr>
            <w:r w:rsidRPr="002F01EF">
              <w:t>Article 214 – paragraph 3 – subparagraph 2</w:t>
            </w:r>
          </w:p>
        </w:tc>
        <w:tc>
          <w:tcPr>
            <w:tcW w:w="5964" w:type="dxa"/>
            <w:shd w:val="clear" w:color="auto" w:fill="auto"/>
          </w:tcPr>
          <w:p w14:paraId="3607EEC8" w14:textId="60F5625C" w:rsidR="00AB3B37" w:rsidRPr="002F01EF" w:rsidRDefault="00AB3B37" w:rsidP="00AB3B37">
            <w:pPr>
              <w:jc w:val="left"/>
              <w:rPr>
                <w:bCs/>
                <w:szCs w:val="17"/>
              </w:rPr>
            </w:pPr>
            <w:r w:rsidRPr="002F01EF">
              <w:rPr>
                <w:bCs/>
                <w:szCs w:val="17"/>
              </w:rPr>
              <w:t>Requires group supervisor to assess at least annually if its decision of the exclusion of the parent undertaking from group supervision remains appropriate.</w:t>
            </w:r>
          </w:p>
        </w:tc>
        <w:tc>
          <w:tcPr>
            <w:tcW w:w="1865" w:type="dxa"/>
            <w:shd w:val="clear" w:color="auto" w:fill="auto"/>
            <w:vAlign w:val="center"/>
          </w:tcPr>
          <w:p w14:paraId="69603A68" w14:textId="6B8DB358" w:rsidR="00AB3B37" w:rsidRPr="002F01EF" w:rsidRDefault="00AB3B37" w:rsidP="00AB3B37">
            <w:pPr>
              <w:jc w:val="center"/>
            </w:pPr>
            <w:r w:rsidRPr="002F01EF">
              <w:t>Hahn</w:t>
            </w:r>
          </w:p>
        </w:tc>
        <w:tc>
          <w:tcPr>
            <w:tcW w:w="2483" w:type="dxa"/>
            <w:shd w:val="clear" w:color="auto" w:fill="auto"/>
            <w:vAlign w:val="center"/>
          </w:tcPr>
          <w:p w14:paraId="2BAD9A20" w14:textId="57D18D1C"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3DFE7825" w14:textId="6EF019EB"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F0B1102" w14:textId="77777777" w:rsidTr="00633005">
        <w:trPr>
          <w:trHeight w:val="499"/>
        </w:trPr>
        <w:tc>
          <w:tcPr>
            <w:tcW w:w="679" w:type="dxa"/>
            <w:shd w:val="clear" w:color="auto" w:fill="auto"/>
            <w:vAlign w:val="center"/>
          </w:tcPr>
          <w:p w14:paraId="670B868C" w14:textId="0C6A77BA" w:rsidR="00AB3B37" w:rsidRPr="002F01EF" w:rsidRDefault="00AB3B37" w:rsidP="00AB3B37">
            <w:pPr>
              <w:jc w:val="center"/>
              <w:rPr>
                <w:bCs/>
                <w:szCs w:val="17"/>
              </w:rPr>
            </w:pPr>
            <w:r w:rsidRPr="002F01EF">
              <w:rPr>
                <w:bCs/>
                <w:szCs w:val="17"/>
              </w:rPr>
              <w:t>746</w:t>
            </w:r>
          </w:p>
        </w:tc>
        <w:tc>
          <w:tcPr>
            <w:tcW w:w="1866" w:type="dxa"/>
            <w:shd w:val="clear" w:color="auto" w:fill="auto"/>
            <w:vAlign w:val="center"/>
          </w:tcPr>
          <w:p w14:paraId="40359C54" w14:textId="743E56AA" w:rsidR="00AB3B37" w:rsidRPr="0092408F" w:rsidRDefault="00AB3B37" w:rsidP="00AB3B37">
            <w:pPr>
              <w:jc w:val="center"/>
              <w:rPr>
                <w:lang w:val="fr-FR"/>
              </w:rPr>
            </w:pPr>
            <w:r w:rsidRPr="0092408F">
              <w:rPr>
                <w:lang w:val="fr-FR"/>
              </w:rPr>
              <w:t>Article 214 – paragraph 3 – subparagraph 2 a (new)</w:t>
            </w:r>
          </w:p>
        </w:tc>
        <w:tc>
          <w:tcPr>
            <w:tcW w:w="5964" w:type="dxa"/>
            <w:shd w:val="clear" w:color="auto" w:fill="auto"/>
          </w:tcPr>
          <w:p w14:paraId="63BB0979" w14:textId="4B1C890F" w:rsidR="00AB3B37" w:rsidRPr="002F01EF" w:rsidRDefault="00AB3B37" w:rsidP="00AB3B37">
            <w:pPr>
              <w:jc w:val="left"/>
              <w:rPr>
                <w:bCs/>
                <w:szCs w:val="17"/>
              </w:rPr>
            </w:pPr>
            <w:r w:rsidRPr="002F01EF">
              <w:rPr>
                <w:bCs/>
                <w:szCs w:val="17"/>
              </w:rPr>
              <w:t>Introduces requirement for EIOPA to issue guidelines to further specify the exceptional circumstances that would justify the exclusion of the ultimate parent undertaking from the scope of group supervision.</w:t>
            </w:r>
          </w:p>
        </w:tc>
        <w:tc>
          <w:tcPr>
            <w:tcW w:w="1865" w:type="dxa"/>
            <w:shd w:val="clear" w:color="auto" w:fill="auto"/>
            <w:vAlign w:val="center"/>
          </w:tcPr>
          <w:p w14:paraId="19674153" w14:textId="58D1EA7A"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2941C2E1" w14:textId="102D0DAE"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5ADDEE47" w14:textId="4E3CAA72"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0A232F0" w14:textId="77777777" w:rsidTr="00AB3B37">
        <w:trPr>
          <w:trHeight w:val="499"/>
        </w:trPr>
        <w:tc>
          <w:tcPr>
            <w:tcW w:w="679" w:type="dxa"/>
            <w:shd w:val="clear" w:color="auto" w:fill="auto"/>
            <w:vAlign w:val="center"/>
          </w:tcPr>
          <w:p w14:paraId="386329EF" w14:textId="5FB551BF" w:rsidR="00AB3B37" w:rsidRPr="002F01EF" w:rsidRDefault="00AB3B37" w:rsidP="00AB3B37">
            <w:pPr>
              <w:jc w:val="center"/>
              <w:rPr>
                <w:bCs/>
                <w:szCs w:val="17"/>
              </w:rPr>
            </w:pPr>
            <w:r w:rsidRPr="002F01EF">
              <w:rPr>
                <w:bCs/>
                <w:szCs w:val="17"/>
              </w:rPr>
              <w:t>747-749</w:t>
            </w:r>
          </w:p>
        </w:tc>
        <w:tc>
          <w:tcPr>
            <w:tcW w:w="1866" w:type="dxa"/>
            <w:shd w:val="clear" w:color="auto" w:fill="auto"/>
            <w:vAlign w:val="center"/>
          </w:tcPr>
          <w:p w14:paraId="4F4C973B" w14:textId="1E292975" w:rsidR="00AB3B37" w:rsidRPr="002F01EF" w:rsidRDefault="00AB3B37" w:rsidP="00AB3B37">
            <w:pPr>
              <w:jc w:val="center"/>
            </w:pPr>
            <w:r w:rsidRPr="002F01EF">
              <w:t>Article 228 – paragraph 1 – introductory part</w:t>
            </w:r>
          </w:p>
        </w:tc>
        <w:tc>
          <w:tcPr>
            <w:tcW w:w="5964" w:type="dxa"/>
            <w:shd w:val="clear" w:color="auto" w:fill="auto"/>
          </w:tcPr>
          <w:p w14:paraId="79BCD2DF" w14:textId="13590361" w:rsidR="00AB3B37" w:rsidRPr="002F01EF" w:rsidRDefault="00AB3B37" w:rsidP="00AB3B37">
            <w:pPr>
              <w:jc w:val="left"/>
              <w:rPr>
                <w:bCs/>
                <w:szCs w:val="17"/>
              </w:rPr>
            </w:pPr>
            <w:r w:rsidRPr="002F01EF">
              <w:rPr>
                <w:bCs/>
                <w:szCs w:val="17"/>
              </w:rPr>
              <w:t>Undertakings shall take into account the contribution to the group</w:t>
            </w:r>
          </w:p>
          <w:p w14:paraId="4852915E" w14:textId="3EE91A20" w:rsidR="00AB3B37" w:rsidRPr="002F01EF" w:rsidRDefault="00AB3B37" w:rsidP="00AB3B37">
            <w:pPr>
              <w:jc w:val="left"/>
              <w:rPr>
                <w:bCs/>
                <w:szCs w:val="17"/>
              </w:rPr>
            </w:pPr>
            <w:r w:rsidRPr="002F01EF">
              <w:rPr>
                <w:bCs/>
                <w:szCs w:val="17"/>
              </w:rPr>
              <w:t>eligible own funds and to the group SCR when participations from other financial sectors represent 20% or more of the voting rights or capital of the undertaking.</w:t>
            </w:r>
          </w:p>
        </w:tc>
        <w:tc>
          <w:tcPr>
            <w:tcW w:w="1865" w:type="dxa"/>
            <w:shd w:val="clear" w:color="auto" w:fill="auto"/>
            <w:vAlign w:val="center"/>
          </w:tcPr>
          <w:p w14:paraId="229FA24F" w14:textId="348CF911" w:rsidR="00AB3B37" w:rsidRPr="002E30E3" w:rsidRDefault="00AB3B37" w:rsidP="00AB3B37">
            <w:pPr>
              <w:jc w:val="center"/>
              <w:rPr>
                <w:szCs w:val="17"/>
                <w:lang w:val="it-IT"/>
              </w:rPr>
            </w:pPr>
            <w:r w:rsidRPr="002E30E3">
              <w:rPr>
                <w:lang w:val="it-IT"/>
              </w:rPr>
              <w:t>Antonio Tajani, Herbert Dorfmann, Fulvio Martusciello (747) and Fabio Massimo Castaldo (748) and Marco Zanni, Valentino Grant, Antonio Maria Rinaldi (749)</w:t>
            </w:r>
          </w:p>
        </w:tc>
        <w:tc>
          <w:tcPr>
            <w:tcW w:w="2483" w:type="dxa"/>
            <w:shd w:val="clear" w:color="auto" w:fill="auto"/>
            <w:vAlign w:val="center"/>
          </w:tcPr>
          <w:p w14:paraId="61227E66" w14:textId="4A11ED3B"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0357F6C2" w14:textId="77F465C5" w:rsidR="00AB3B37" w:rsidRPr="002F01EF" w:rsidRDefault="008B61DA"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0294850C" w14:textId="77777777" w:rsidTr="00AB3B37">
        <w:trPr>
          <w:trHeight w:val="499"/>
        </w:trPr>
        <w:tc>
          <w:tcPr>
            <w:tcW w:w="679" w:type="dxa"/>
            <w:shd w:val="clear" w:color="auto" w:fill="auto"/>
            <w:vAlign w:val="center"/>
          </w:tcPr>
          <w:p w14:paraId="4988FF72" w14:textId="3D3427AD" w:rsidR="00AB3B37" w:rsidRPr="002F01EF" w:rsidRDefault="00AB3B37" w:rsidP="00AB3B37">
            <w:pPr>
              <w:jc w:val="center"/>
              <w:rPr>
                <w:bCs/>
                <w:szCs w:val="17"/>
              </w:rPr>
            </w:pPr>
            <w:r w:rsidRPr="002F01EF">
              <w:rPr>
                <w:bCs/>
                <w:szCs w:val="17"/>
              </w:rPr>
              <w:t>750</w:t>
            </w:r>
          </w:p>
        </w:tc>
        <w:tc>
          <w:tcPr>
            <w:tcW w:w="1866" w:type="dxa"/>
            <w:shd w:val="clear" w:color="auto" w:fill="auto"/>
            <w:vAlign w:val="center"/>
          </w:tcPr>
          <w:p w14:paraId="27BCA596" w14:textId="645299E8" w:rsidR="00AB3B37" w:rsidRPr="002F01EF" w:rsidRDefault="00AB3B37" w:rsidP="00AB3B37">
            <w:pPr>
              <w:jc w:val="center"/>
            </w:pPr>
            <w:r w:rsidRPr="002F01EF">
              <w:t>Article 228 – paragraph 3 – point g</w:t>
            </w:r>
          </w:p>
        </w:tc>
        <w:tc>
          <w:tcPr>
            <w:tcW w:w="5964" w:type="dxa"/>
            <w:shd w:val="clear" w:color="auto" w:fill="auto"/>
          </w:tcPr>
          <w:p w14:paraId="0B2937EC" w14:textId="6CD241CC" w:rsidR="00AB3B37" w:rsidRPr="002F01EF" w:rsidRDefault="00AB3B37" w:rsidP="00AB3B37">
            <w:pPr>
              <w:jc w:val="left"/>
              <w:rPr>
                <w:bCs/>
                <w:szCs w:val="17"/>
              </w:rPr>
            </w:pPr>
            <w:r w:rsidRPr="002F01EF">
              <w:rPr>
                <w:bCs/>
                <w:szCs w:val="17"/>
              </w:rPr>
              <w:t>To calculate the capital requirement or notional capital requirement for each related undertaking, the undertaking shall consider the higher of the required solvency margin and any capital requirement imposed by the undertaking’s MS.</w:t>
            </w:r>
          </w:p>
        </w:tc>
        <w:tc>
          <w:tcPr>
            <w:tcW w:w="1865" w:type="dxa"/>
            <w:shd w:val="clear" w:color="auto" w:fill="auto"/>
            <w:vAlign w:val="center"/>
          </w:tcPr>
          <w:p w14:paraId="475316B3" w14:textId="43A51D95" w:rsidR="00AB3B37" w:rsidRPr="002F01EF" w:rsidRDefault="00AB3B37" w:rsidP="00AB3B37">
            <w:pPr>
              <w:jc w:val="center"/>
              <w:rPr>
                <w:bCs/>
                <w:szCs w:val="17"/>
              </w:rPr>
            </w:pPr>
            <w:proofErr w:type="spellStart"/>
            <w:r w:rsidRPr="002F01EF">
              <w:t>Eero</w:t>
            </w:r>
            <w:proofErr w:type="spellEnd"/>
            <w:r w:rsidRPr="002F01EF">
              <w:t xml:space="preserve">, Aurore </w:t>
            </w:r>
            <w:proofErr w:type="spellStart"/>
            <w:r w:rsidRPr="002F01EF">
              <w:t>Lalucq</w:t>
            </w:r>
            <w:proofErr w:type="spellEnd"/>
          </w:p>
        </w:tc>
        <w:tc>
          <w:tcPr>
            <w:tcW w:w="2483" w:type="dxa"/>
            <w:shd w:val="clear" w:color="auto" w:fill="auto"/>
            <w:vAlign w:val="center"/>
          </w:tcPr>
          <w:p w14:paraId="599AB32F" w14:textId="45AF72DA"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1ED8E9F8" w14:textId="444A9B77" w:rsidR="00AB3B37" w:rsidRPr="002F01EF" w:rsidRDefault="00633005" w:rsidP="00AB3B37">
            <w:pPr>
              <w:jc w:val="center"/>
              <w:rPr>
                <w:bCs/>
                <w:szCs w:val="17"/>
              </w:rPr>
            </w:pPr>
            <w:r w:rsidRPr="002F01EF">
              <w:rPr>
                <w:b/>
                <w:color w:val="FF0000"/>
                <w:szCs w:val="17"/>
              </w:rPr>
              <w:t>Negative</w:t>
            </w:r>
          </w:p>
        </w:tc>
      </w:tr>
      <w:tr w:rsidR="00AB3B37" w:rsidRPr="002F01EF" w14:paraId="2F518221" w14:textId="77777777" w:rsidTr="00AB3B37">
        <w:trPr>
          <w:trHeight w:val="499"/>
        </w:trPr>
        <w:tc>
          <w:tcPr>
            <w:tcW w:w="679" w:type="dxa"/>
            <w:shd w:val="clear" w:color="auto" w:fill="auto"/>
            <w:vAlign w:val="center"/>
          </w:tcPr>
          <w:p w14:paraId="16C0C872" w14:textId="3D700521" w:rsidR="00AB3B37" w:rsidRPr="002F01EF" w:rsidRDefault="00AB3B37" w:rsidP="00AB3B37">
            <w:pPr>
              <w:jc w:val="center"/>
              <w:rPr>
                <w:bCs/>
                <w:szCs w:val="17"/>
              </w:rPr>
            </w:pPr>
            <w:r w:rsidRPr="002F01EF">
              <w:rPr>
                <w:bCs/>
                <w:szCs w:val="17"/>
              </w:rPr>
              <w:t>751-754</w:t>
            </w:r>
          </w:p>
        </w:tc>
        <w:tc>
          <w:tcPr>
            <w:tcW w:w="1866" w:type="dxa"/>
            <w:shd w:val="clear" w:color="auto" w:fill="auto"/>
            <w:vAlign w:val="center"/>
          </w:tcPr>
          <w:p w14:paraId="7CD681E6" w14:textId="7CCF2111" w:rsidR="00AB3B37" w:rsidRPr="002F01EF" w:rsidRDefault="00AB3B37" w:rsidP="00AB3B37">
            <w:pPr>
              <w:jc w:val="center"/>
            </w:pPr>
            <w:r w:rsidRPr="002F01EF">
              <w:t>Article 228 – paragraph 5 a (new)</w:t>
            </w:r>
          </w:p>
        </w:tc>
        <w:tc>
          <w:tcPr>
            <w:tcW w:w="5964" w:type="dxa"/>
            <w:shd w:val="clear" w:color="auto" w:fill="auto"/>
          </w:tcPr>
          <w:p w14:paraId="4C424625" w14:textId="2BE32087" w:rsidR="00AB3B37" w:rsidRPr="002F01EF" w:rsidRDefault="00AB3B37" w:rsidP="00AB3B37">
            <w:pPr>
              <w:jc w:val="left"/>
              <w:rPr>
                <w:bCs/>
                <w:szCs w:val="17"/>
              </w:rPr>
            </w:pPr>
            <w:r w:rsidRPr="002F01EF">
              <w:rPr>
                <w:bCs/>
                <w:szCs w:val="17"/>
              </w:rPr>
              <w:t>Introduction of a capital requirement according to market risk module approach that should be applied by the participating undertaking to its participations in related undertakings from other financial sectors.</w:t>
            </w:r>
          </w:p>
        </w:tc>
        <w:tc>
          <w:tcPr>
            <w:tcW w:w="1865" w:type="dxa"/>
            <w:shd w:val="clear" w:color="auto" w:fill="auto"/>
            <w:vAlign w:val="center"/>
          </w:tcPr>
          <w:p w14:paraId="2589E15E" w14:textId="3E732448" w:rsidR="00AB3B37" w:rsidRPr="002E30E3" w:rsidRDefault="00AB3B37" w:rsidP="00AB3B37">
            <w:pPr>
              <w:jc w:val="center"/>
              <w:rPr>
                <w:szCs w:val="17"/>
                <w:lang w:val="it-IT"/>
              </w:rPr>
            </w:pPr>
            <w:r w:rsidRPr="002E30E3">
              <w:rPr>
                <w:lang w:val="it-IT"/>
              </w:rPr>
              <w:t>Elisabetta Gualmini (751) and Antonio Tajani, Herbert Dorfmann, Fulvio Martusciello (752) and Fabio Massimo Castaldo (753) and Marco Zanni, Valentino Grant, Antonio Maria Rinaldi (754)</w:t>
            </w:r>
          </w:p>
        </w:tc>
        <w:tc>
          <w:tcPr>
            <w:tcW w:w="2483" w:type="dxa"/>
            <w:shd w:val="clear" w:color="auto" w:fill="auto"/>
            <w:vAlign w:val="center"/>
          </w:tcPr>
          <w:p w14:paraId="3597AA84" w14:textId="4711440A"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16755BDA" w14:textId="56AD3EE0" w:rsidR="00AB3B37" w:rsidRPr="002F01EF" w:rsidRDefault="00E05108" w:rsidP="00AB3B37">
            <w:pPr>
              <w:jc w:val="center"/>
              <w:rPr>
                <w:bCs/>
                <w:szCs w:val="17"/>
              </w:rPr>
            </w:pPr>
            <w:r w:rsidRPr="002F01EF">
              <w:rPr>
                <w:b/>
                <w:color w:val="00B050"/>
                <w:szCs w:val="17"/>
              </w:rPr>
              <w:t>Positive</w:t>
            </w:r>
          </w:p>
        </w:tc>
      </w:tr>
      <w:tr w:rsidR="00AB3B37" w:rsidRPr="002F01EF" w14:paraId="7E7371A2" w14:textId="77777777" w:rsidTr="00AB3B37">
        <w:trPr>
          <w:trHeight w:val="499"/>
        </w:trPr>
        <w:tc>
          <w:tcPr>
            <w:tcW w:w="679" w:type="dxa"/>
            <w:shd w:val="clear" w:color="auto" w:fill="auto"/>
            <w:vAlign w:val="center"/>
          </w:tcPr>
          <w:p w14:paraId="4A2DA886" w14:textId="0E005F39" w:rsidR="00AB3B37" w:rsidRPr="002F01EF" w:rsidRDefault="00AB3B37" w:rsidP="00AB3B37">
            <w:pPr>
              <w:jc w:val="center"/>
              <w:rPr>
                <w:bCs/>
                <w:szCs w:val="17"/>
              </w:rPr>
            </w:pPr>
            <w:r w:rsidRPr="002F01EF">
              <w:rPr>
                <w:bCs/>
                <w:szCs w:val="17"/>
              </w:rPr>
              <w:t>755</w:t>
            </w:r>
          </w:p>
        </w:tc>
        <w:tc>
          <w:tcPr>
            <w:tcW w:w="1866" w:type="dxa"/>
            <w:shd w:val="clear" w:color="auto" w:fill="auto"/>
            <w:vAlign w:val="center"/>
          </w:tcPr>
          <w:p w14:paraId="54A6EC67" w14:textId="513AD597" w:rsidR="00AB3B37" w:rsidRPr="002F01EF" w:rsidRDefault="00AB3B37" w:rsidP="00AB3B37">
            <w:pPr>
              <w:jc w:val="center"/>
            </w:pPr>
            <w:r w:rsidRPr="002F01EF">
              <w:t>Article 228 – paragraph 5 b (new)</w:t>
            </w:r>
          </w:p>
        </w:tc>
        <w:tc>
          <w:tcPr>
            <w:tcW w:w="5964" w:type="dxa"/>
            <w:shd w:val="clear" w:color="auto" w:fill="auto"/>
          </w:tcPr>
          <w:p w14:paraId="4657AE16" w14:textId="77777777" w:rsidR="00AB3B37" w:rsidRPr="002F01EF" w:rsidRDefault="00AB3B37" w:rsidP="00AB3B37">
            <w:pPr>
              <w:jc w:val="left"/>
              <w:rPr>
                <w:bCs/>
                <w:szCs w:val="17"/>
              </w:rPr>
            </w:pPr>
          </w:p>
          <w:p w14:paraId="1EE12007" w14:textId="432CD1FC" w:rsidR="00AB3B37" w:rsidRPr="002F01EF" w:rsidRDefault="00AB3B37" w:rsidP="00AB3B37">
            <w:pPr>
              <w:jc w:val="left"/>
              <w:rPr>
                <w:szCs w:val="17"/>
              </w:rPr>
            </w:pPr>
            <w:r w:rsidRPr="002F01EF">
              <w:rPr>
                <w:bCs/>
                <w:szCs w:val="17"/>
              </w:rPr>
              <w:t xml:space="preserve">The EC to adopt delegated acts specifying the market risk module to be applied by participating undertakings to their participations </w:t>
            </w:r>
            <w:r w:rsidRPr="002F01EF">
              <w:rPr>
                <w:bCs/>
                <w:szCs w:val="17"/>
              </w:rPr>
              <w:lastRenderedPageBreak/>
              <w:t>from other financial sectors.</w:t>
            </w:r>
          </w:p>
          <w:p w14:paraId="19441B8D" w14:textId="77777777" w:rsidR="00AB3B37" w:rsidRPr="002F01EF" w:rsidRDefault="00AB3B37" w:rsidP="00AB3B37">
            <w:pPr>
              <w:jc w:val="left"/>
              <w:rPr>
                <w:bCs/>
                <w:szCs w:val="17"/>
              </w:rPr>
            </w:pPr>
          </w:p>
          <w:p w14:paraId="22C80F73" w14:textId="2CBE62CD" w:rsidR="00AB3B37" w:rsidRPr="002F01EF" w:rsidRDefault="00AB3B37" w:rsidP="00AB3B37">
            <w:pPr>
              <w:jc w:val="left"/>
              <w:rPr>
                <w:i/>
                <w:szCs w:val="17"/>
              </w:rPr>
            </w:pPr>
            <w:r w:rsidRPr="002F01EF">
              <w:rPr>
                <w:bCs/>
                <w:i/>
                <w:iCs/>
                <w:szCs w:val="17"/>
              </w:rPr>
              <w:t xml:space="preserve">Justification: </w:t>
            </w:r>
            <w:r w:rsidRPr="002F01EF">
              <w:rPr>
                <w:i/>
                <w:iCs/>
              </w:rPr>
              <w:t>This proposal would create a more proportionate and consistent level playing field between insurance-led and banking-led financial groups.</w:t>
            </w:r>
          </w:p>
        </w:tc>
        <w:tc>
          <w:tcPr>
            <w:tcW w:w="1865" w:type="dxa"/>
            <w:shd w:val="clear" w:color="auto" w:fill="auto"/>
            <w:vAlign w:val="center"/>
          </w:tcPr>
          <w:p w14:paraId="7005750F" w14:textId="4626BE31" w:rsidR="00AB3B37" w:rsidRPr="002F01EF" w:rsidRDefault="00AB3B37" w:rsidP="00AB3B37">
            <w:pPr>
              <w:jc w:val="center"/>
              <w:rPr>
                <w:bCs/>
                <w:szCs w:val="17"/>
              </w:rPr>
            </w:pPr>
            <w:r w:rsidRPr="002F01EF">
              <w:lastRenderedPageBreak/>
              <w:t xml:space="preserve">Elisabetta </w:t>
            </w:r>
            <w:proofErr w:type="spellStart"/>
            <w:r w:rsidRPr="002F01EF">
              <w:t>Gualmini</w:t>
            </w:r>
            <w:proofErr w:type="spellEnd"/>
          </w:p>
        </w:tc>
        <w:tc>
          <w:tcPr>
            <w:tcW w:w="2483" w:type="dxa"/>
            <w:shd w:val="clear" w:color="auto" w:fill="auto"/>
            <w:vAlign w:val="center"/>
          </w:tcPr>
          <w:p w14:paraId="1C68A8D4" w14:textId="6B4D84BB"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7621818A" w14:textId="68A70E06" w:rsidR="00AB3B37" w:rsidRPr="002F01EF" w:rsidRDefault="00E05108" w:rsidP="00AB3B37">
            <w:pPr>
              <w:jc w:val="center"/>
              <w:rPr>
                <w:bCs/>
                <w:szCs w:val="17"/>
              </w:rPr>
            </w:pPr>
            <w:r w:rsidRPr="002F01EF">
              <w:rPr>
                <w:b/>
                <w:color w:val="808080" w:themeColor="background1" w:themeShade="80"/>
                <w:szCs w:val="17"/>
              </w:rPr>
              <w:t>Neutral</w:t>
            </w:r>
          </w:p>
        </w:tc>
      </w:tr>
      <w:tr w:rsidR="00AB3B37" w:rsidRPr="002F01EF" w14:paraId="08CFB7BF" w14:textId="77777777" w:rsidTr="00AB3B37">
        <w:trPr>
          <w:trHeight w:val="499"/>
        </w:trPr>
        <w:tc>
          <w:tcPr>
            <w:tcW w:w="679" w:type="dxa"/>
            <w:shd w:val="clear" w:color="auto" w:fill="auto"/>
            <w:vAlign w:val="center"/>
          </w:tcPr>
          <w:p w14:paraId="2DDB4046" w14:textId="199D918A" w:rsidR="00AB3B37" w:rsidRPr="002F01EF" w:rsidRDefault="00AB3B37" w:rsidP="00AB3B37">
            <w:pPr>
              <w:jc w:val="center"/>
              <w:rPr>
                <w:bCs/>
                <w:szCs w:val="17"/>
              </w:rPr>
            </w:pPr>
            <w:r w:rsidRPr="002F01EF">
              <w:rPr>
                <w:bCs/>
                <w:szCs w:val="17"/>
              </w:rPr>
              <w:t>756</w:t>
            </w:r>
          </w:p>
        </w:tc>
        <w:tc>
          <w:tcPr>
            <w:tcW w:w="1866" w:type="dxa"/>
            <w:shd w:val="clear" w:color="auto" w:fill="auto"/>
            <w:vAlign w:val="center"/>
          </w:tcPr>
          <w:p w14:paraId="4F3D90F9" w14:textId="5D74A44A" w:rsidR="00AB3B37" w:rsidRPr="002F01EF" w:rsidRDefault="00AB3B37" w:rsidP="00AB3B37">
            <w:pPr>
              <w:jc w:val="center"/>
            </w:pPr>
            <w:r w:rsidRPr="002F01EF">
              <w:t>Article 2</w:t>
            </w:r>
            <w:r w:rsidR="0059625D">
              <w:t>30</w:t>
            </w:r>
            <w:r w:rsidRPr="002F01EF">
              <w:t xml:space="preserve"> – paragraph 1 – subparagraph 4</w:t>
            </w:r>
          </w:p>
        </w:tc>
        <w:tc>
          <w:tcPr>
            <w:tcW w:w="5964" w:type="dxa"/>
            <w:shd w:val="clear" w:color="auto" w:fill="auto"/>
          </w:tcPr>
          <w:p w14:paraId="07EF8E9B" w14:textId="4D87BBD1" w:rsidR="00AB3B37" w:rsidRPr="002F01EF" w:rsidRDefault="00AB3B37" w:rsidP="00AB3B37">
            <w:pPr>
              <w:jc w:val="left"/>
              <w:rPr>
                <w:bCs/>
                <w:szCs w:val="17"/>
              </w:rPr>
            </w:pPr>
            <w:r w:rsidRPr="002F01EF">
              <w:rPr>
                <w:bCs/>
                <w:szCs w:val="17"/>
              </w:rPr>
              <w:t xml:space="preserve">Removal of </w:t>
            </w:r>
            <w:r w:rsidRPr="002F01EF">
              <w:t>“</w:t>
            </w:r>
            <w:r w:rsidRPr="002F01EF">
              <w:rPr>
                <w:i/>
                <w:iCs/>
              </w:rPr>
              <w:t>In particular, an own fund item that is issued by a participating undertaking shall not be considered clear of encumbrances within the meaning of Article 93(2), second subparagraph, point (c), if the repayment of this item cannot be refused to its holder when a related insurance or reinsurance undertaking is wound up</w:t>
            </w:r>
            <w:r w:rsidRPr="002F01EF">
              <w:t>”.</w:t>
            </w:r>
          </w:p>
        </w:tc>
        <w:tc>
          <w:tcPr>
            <w:tcW w:w="1865" w:type="dxa"/>
            <w:shd w:val="clear" w:color="auto" w:fill="auto"/>
            <w:vAlign w:val="center"/>
          </w:tcPr>
          <w:p w14:paraId="0C3E843D" w14:textId="7ACAEC97" w:rsidR="00AB3B37" w:rsidRPr="002F01EF" w:rsidRDefault="00AB3B37" w:rsidP="00AB3B37">
            <w:pPr>
              <w:jc w:val="center"/>
              <w:rPr>
                <w:bCs/>
                <w:szCs w:val="17"/>
              </w:rPr>
            </w:pPr>
            <w:r w:rsidRPr="002F01EF">
              <w:t>Esther de Lange</w:t>
            </w:r>
          </w:p>
        </w:tc>
        <w:tc>
          <w:tcPr>
            <w:tcW w:w="2483" w:type="dxa"/>
            <w:shd w:val="clear" w:color="auto" w:fill="auto"/>
            <w:vAlign w:val="center"/>
          </w:tcPr>
          <w:p w14:paraId="5563C6EA" w14:textId="48ADA44E" w:rsidR="00AB3B37" w:rsidRPr="002F01EF" w:rsidRDefault="00AB3B37" w:rsidP="00AB3B37">
            <w:pPr>
              <w:jc w:val="center"/>
              <w:rPr>
                <w:bCs/>
                <w:szCs w:val="17"/>
              </w:rPr>
            </w:pPr>
            <w:r w:rsidRPr="002F01EF">
              <w:rPr>
                <w:bCs/>
                <w:szCs w:val="17"/>
              </w:rPr>
              <w:t>Groups</w:t>
            </w:r>
          </w:p>
        </w:tc>
        <w:tc>
          <w:tcPr>
            <w:tcW w:w="1886" w:type="dxa"/>
            <w:shd w:val="clear" w:color="auto" w:fill="auto"/>
            <w:vAlign w:val="center"/>
          </w:tcPr>
          <w:p w14:paraId="6FD2E608" w14:textId="34F46667" w:rsidR="00AB3B37" w:rsidRPr="002F01EF" w:rsidRDefault="00E05108" w:rsidP="00AB3B37">
            <w:pPr>
              <w:jc w:val="center"/>
              <w:rPr>
                <w:bCs/>
                <w:szCs w:val="17"/>
              </w:rPr>
            </w:pPr>
            <w:r w:rsidRPr="002F01EF">
              <w:rPr>
                <w:b/>
                <w:color w:val="00B050"/>
                <w:szCs w:val="17"/>
              </w:rPr>
              <w:t>Positive</w:t>
            </w:r>
          </w:p>
        </w:tc>
      </w:tr>
      <w:tr w:rsidR="00AB3B37" w:rsidRPr="002F01EF" w14:paraId="50A4FED6" w14:textId="77777777" w:rsidTr="00AB3B37">
        <w:trPr>
          <w:trHeight w:val="499"/>
        </w:trPr>
        <w:tc>
          <w:tcPr>
            <w:tcW w:w="679" w:type="dxa"/>
            <w:shd w:val="clear" w:color="auto" w:fill="auto"/>
            <w:vAlign w:val="center"/>
          </w:tcPr>
          <w:p w14:paraId="47D4B2E1" w14:textId="0306BA8D" w:rsidR="00AB3B37" w:rsidRPr="002F01EF" w:rsidRDefault="00AB3B37" w:rsidP="00AB3B37">
            <w:pPr>
              <w:jc w:val="center"/>
              <w:rPr>
                <w:bCs/>
                <w:szCs w:val="17"/>
              </w:rPr>
            </w:pPr>
            <w:r w:rsidRPr="002F01EF">
              <w:rPr>
                <w:bCs/>
                <w:szCs w:val="17"/>
              </w:rPr>
              <w:t>757, 758</w:t>
            </w:r>
          </w:p>
        </w:tc>
        <w:tc>
          <w:tcPr>
            <w:tcW w:w="1866" w:type="dxa"/>
            <w:shd w:val="clear" w:color="auto" w:fill="auto"/>
            <w:vAlign w:val="center"/>
          </w:tcPr>
          <w:p w14:paraId="774C4EC6" w14:textId="77777777" w:rsidR="00AB3B37" w:rsidRPr="0092408F" w:rsidRDefault="00AB3B37" w:rsidP="00AB3B37">
            <w:pPr>
              <w:jc w:val="center"/>
              <w:rPr>
                <w:lang w:val="fr-FR"/>
              </w:rPr>
            </w:pPr>
            <w:r w:rsidRPr="0092408F">
              <w:rPr>
                <w:rStyle w:val="HideTWBExt"/>
                <w:lang w:val="fr-FR"/>
              </w:rPr>
              <w:t>&lt;Article2&gt;</w:t>
            </w:r>
            <w:r w:rsidRPr="0092408F">
              <w:rPr>
                <w:lang w:val="fr-FR"/>
              </w:rPr>
              <w:t>Article 230 – paragraph 2 – subparagraph 2 – point d</w:t>
            </w:r>
            <w:r w:rsidRPr="0092408F">
              <w:rPr>
                <w:rStyle w:val="HideTWBExt"/>
                <w:lang w:val="fr-FR"/>
              </w:rPr>
              <w:t>&lt;/Article2&gt;</w:t>
            </w:r>
          </w:p>
          <w:p w14:paraId="45DF3150" w14:textId="77777777" w:rsidR="00AB3B37" w:rsidRPr="0092408F" w:rsidRDefault="00AB3B37" w:rsidP="00AB3B37">
            <w:pPr>
              <w:jc w:val="center"/>
              <w:rPr>
                <w:bCs/>
                <w:szCs w:val="17"/>
                <w:lang w:val="fr-FR"/>
              </w:rPr>
            </w:pPr>
          </w:p>
        </w:tc>
        <w:tc>
          <w:tcPr>
            <w:tcW w:w="5964" w:type="dxa"/>
            <w:shd w:val="clear" w:color="auto" w:fill="auto"/>
          </w:tcPr>
          <w:p w14:paraId="1B2E4B4F" w14:textId="77777777" w:rsidR="00AB3B37" w:rsidRPr="002F01EF" w:rsidRDefault="00AB3B37" w:rsidP="00AB3B37">
            <w:pPr>
              <w:jc w:val="left"/>
              <w:rPr>
                <w:bCs/>
                <w:szCs w:val="17"/>
              </w:rPr>
            </w:pPr>
            <w:r w:rsidRPr="002F01EF">
              <w:rPr>
                <w:bCs/>
                <w:szCs w:val="17"/>
              </w:rPr>
              <w:t>Deleted from minimum group consolidated SCR: ‘</w:t>
            </w:r>
            <w:r w:rsidRPr="002F01EF">
              <w:rPr>
                <w:bCs/>
                <w:i/>
                <w:iCs/>
                <w:szCs w:val="17"/>
              </w:rPr>
              <w:t>the proportional share of the notional Minimum Capital Requirement of the insurance holding companies and mixed financial holding companies</w:t>
            </w:r>
            <w:r w:rsidRPr="002F01EF">
              <w:rPr>
                <w:bCs/>
                <w:szCs w:val="17"/>
              </w:rPr>
              <w:t>.’</w:t>
            </w:r>
          </w:p>
          <w:p w14:paraId="6A4F568F" w14:textId="77777777" w:rsidR="00AB3B37" w:rsidRPr="002F01EF" w:rsidRDefault="00AB3B37" w:rsidP="00AB3B37">
            <w:pPr>
              <w:jc w:val="left"/>
              <w:rPr>
                <w:bCs/>
                <w:szCs w:val="17"/>
              </w:rPr>
            </w:pPr>
          </w:p>
          <w:p w14:paraId="1E73A028" w14:textId="5462B890" w:rsidR="00AB3B37" w:rsidRPr="00CD0DCC" w:rsidRDefault="00AB3B37" w:rsidP="00AB3B37">
            <w:pPr>
              <w:jc w:val="left"/>
              <w:rPr>
                <w:bCs/>
                <w:i/>
                <w:iCs/>
                <w:szCs w:val="17"/>
              </w:rPr>
            </w:pPr>
            <w:r w:rsidRPr="00CD0DCC">
              <w:rPr>
                <w:bCs/>
                <w:i/>
                <w:iCs/>
                <w:szCs w:val="17"/>
              </w:rPr>
              <w:t>Justification: To avoid double counting</w:t>
            </w:r>
          </w:p>
        </w:tc>
        <w:tc>
          <w:tcPr>
            <w:tcW w:w="1865" w:type="dxa"/>
            <w:shd w:val="clear" w:color="auto" w:fill="auto"/>
            <w:vAlign w:val="center"/>
          </w:tcPr>
          <w:p w14:paraId="54D3ED0E" w14:textId="14631878" w:rsidR="00AB3B37" w:rsidRPr="002F01EF" w:rsidRDefault="00AB3B37" w:rsidP="00AB3B37">
            <w:pPr>
              <w:jc w:val="center"/>
              <w:rPr>
                <w:bCs/>
                <w:szCs w:val="17"/>
              </w:rPr>
            </w:pPr>
            <w:r w:rsidRPr="002F01EF">
              <w:rPr>
                <w:bCs/>
                <w:szCs w:val="17"/>
              </w:rPr>
              <w:t>Ferber/de Lange</w:t>
            </w:r>
          </w:p>
        </w:tc>
        <w:tc>
          <w:tcPr>
            <w:tcW w:w="2483" w:type="dxa"/>
            <w:shd w:val="clear" w:color="auto" w:fill="auto"/>
            <w:vAlign w:val="center"/>
          </w:tcPr>
          <w:p w14:paraId="613A19B6" w14:textId="4072FEE2"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0CF93CFA" w14:textId="792A0CEC" w:rsidR="00AB3B37" w:rsidRPr="002F01EF" w:rsidRDefault="00E05108" w:rsidP="00AB3B37">
            <w:pPr>
              <w:jc w:val="center"/>
              <w:rPr>
                <w:bCs/>
                <w:szCs w:val="17"/>
              </w:rPr>
            </w:pPr>
            <w:r w:rsidRPr="002F01EF">
              <w:rPr>
                <w:b/>
                <w:color w:val="00B050"/>
                <w:szCs w:val="17"/>
              </w:rPr>
              <w:t>Positive</w:t>
            </w:r>
          </w:p>
        </w:tc>
      </w:tr>
      <w:tr w:rsidR="00AB3B37" w:rsidRPr="002F01EF" w14:paraId="712C10F7" w14:textId="77777777" w:rsidTr="00AB3B37">
        <w:trPr>
          <w:trHeight w:val="499"/>
        </w:trPr>
        <w:tc>
          <w:tcPr>
            <w:tcW w:w="679" w:type="dxa"/>
            <w:shd w:val="clear" w:color="auto" w:fill="auto"/>
            <w:vAlign w:val="center"/>
          </w:tcPr>
          <w:p w14:paraId="2239340F" w14:textId="1610C60B" w:rsidR="00AB3B37" w:rsidRPr="002F01EF" w:rsidRDefault="00AB3B37" w:rsidP="00AB3B37">
            <w:pPr>
              <w:jc w:val="center"/>
              <w:rPr>
                <w:bCs/>
                <w:szCs w:val="17"/>
              </w:rPr>
            </w:pPr>
            <w:r w:rsidRPr="002F01EF">
              <w:rPr>
                <w:bCs/>
                <w:szCs w:val="17"/>
              </w:rPr>
              <w:t>759, 760</w:t>
            </w:r>
          </w:p>
        </w:tc>
        <w:tc>
          <w:tcPr>
            <w:tcW w:w="1866" w:type="dxa"/>
            <w:shd w:val="clear" w:color="auto" w:fill="auto"/>
            <w:vAlign w:val="center"/>
          </w:tcPr>
          <w:p w14:paraId="672FF5F8" w14:textId="77777777" w:rsidR="00AB3B37" w:rsidRPr="002F01EF" w:rsidRDefault="00AB3B37" w:rsidP="00AB3B37">
            <w:pPr>
              <w:jc w:val="center"/>
            </w:pPr>
            <w:r w:rsidRPr="002F01EF">
              <w:rPr>
                <w:rStyle w:val="HideTWBExt"/>
              </w:rPr>
              <w:t>&lt;Article2&gt;</w:t>
            </w:r>
            <w:r w:rsidRPr="002F01EF">
              <w:t>Article 230 – paragraph 2 – subparagraph 3</w:t>
            </w:r>
            <w:r w:rsidRPr="002F01EF">
              <w:rPr>
                <w:rStyle w:val="HideTWBExt"/>
              </w:rPr>
              <w:t>&lt;/Article2&gt;</w:t>
            </w:r>
          </w:p>
          <w:p w14:paraId="078EEB4F" w14:textId="77777777" w:rsidR="00AB3B37" w:rsidRPr="002F01EF" w:rsidRDefault="00AB3B37" w:rsidP="00AB3B37">
            <w:pPr>
              <w:jc w:val="center"/>
              <w:rPr>
                <w:rStyle w:val="HideTWBExt"/>
              </w:rPr>
            </w:pPr>
          </w:p>
        </w:tc>
        <w:tc>
          <w:tcPr>
            <w:tcW w:w="5964" w:type="dxa"/>
            <w:shd w:val="clear" w:color="auto" w:fill="auto"/>
          </w:tcPr>
          <w:p w14:paraId="2A36A493" w14:textId="1E91B3A2" w:rsidR="00AB3B37" w:rsidRPr="002F01EF" w:rsidRDefault="00AB3B37" w:rsidP="00AB3B37">
            <w:pPr>
              <w:jc w:val="left"/>
              <w:rPr>
                <w:bCs/>
                <w:szCs w:val="17"/>
              </w:rPr>
            </w:pPr>
            <w:r w:rsidRPr="002F01EF">
              <w:rPr>
                <w:bCs/>
                <w:szCs w:val="17"/>
              </w:rPr>
              <w:t>Deleted provision that notional minimum SCR of an IHC is 35% of its notional SCR.</w:t>
            </w:r>
          </w:p>
          <w:p w14:paraId="783D2A11" w14:textId="77777777" w:rsidR="00AB3B37" w:rsidRPr="002F01EF" w:rsidRDefault="00AB3B37" w:rsidP="00AB3B37">
            <w:pPr>
              <w:jc w:val="left"/>
              <w:rPr>
                <w:bCs/>
                <w:szCs w:val="17"/>
              </w:rPr>
            </w:pPr>
          </w:p>
          <w:p w14:paraId="10E5F099" w14:textId="6C780494" w:rsidR="00AB3B37" w:rsidRPr="00CD0DCC" w:rsidRDefault="00AB3B37" w:rsidP="00AB3B37">
            <w:pPr>
              <w:jc w:val="left"/>
              <w:rPr>
                <w:bCs/>
                <w:i/>
                <w:iCs/>
                <w:szCs w:val="17"/>
              </w:rPr>
            </w:pPr>
            <w:r w:rsidRPr="00CD0DCC">
              <w:rPr>
                <w:bCs/>
                <w:i/>
                <w:iCs/>
                <w:szCs w:val="17"/>
              </w:rPr>
              <w:t>Justification: To avoid double counting</w:t>
            </w:r>
          </w:p>
        </w:tc>
        <w:tc>
          <w:tcPr>
            <w:tcW w:w="1865" w:type="dxa"/>
            <w:shd w:val="clear" w:color="auto" w:fill="auto"/>
            <w:vAlign w:val="center"/>
          </w:tcPr>
          <w:p w14:paraId="604BC837" w14:textId="383AB2E5" w:rsidR="00AB3B37" w:rsidRPr="002F01EF" w:rsidRDefault="00AB3B37" w:rsidP="00AB3B37">
            <w:pPr>
              <w:jc w:val="center"/>
              <w:rPr>
                <w:bCs/>
                <w:szCs w:val="17"/>
              </w:rPr>
            </w:pPr>
            <w:r w:rsidRPr="002F01EF">
              <w:rPr>
                <w:bCs/>
                <w:szCs w:val="17"/>
              </w:rPr>
              <w:t>De Lange/Ferber</w:t>
            </w:r>
          </w:p>
        </w:tc>
        <w:tc>
          <w:tcPr>
            <w:tcW w:w="2483" w:type="dxa"/>
            <w:shd w:val="clear" w:color="auto" w:fill="auto"/>
            <w:vAlign w:val="center"/>
          </w:tcPr>
          <w:p w14:paraId="564CCD61" w14:textId="28FC8C67"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5B6FF58D" w14:textId="49EFDD38" w:rsidR="00AB3B37" w:rsidRPr="002F01EF" w:rsidRDefault="00E05108" w:rsidP="00AB3B37">
            <w:pPr>
              <w:jc w:val="center"/>
              <w:rPr>
                <w:bCs/>
                <w:szCs w:val="17"/>
              </w:rPr>
            </w:pPr>
            <w:r w:rsidRPr="002F01EF">
              <w:rPr>
                <w:b/>
                <w:color w:val="00B050"/>
                <w:szCs w:val="17"/>
              </w:rPr>
              <w:t>Positive</w:t>
            </w:r>
          </w:p>
        </w:tc>
      </w:tr>
      <w:tr w:rsidR="00AB3B37" w:rsidRPr="002F01EF" w14:paraId="365371BA" w14:textId="77777777" w:rsidTr="00AB3B37">
        <w:trPr>
          <w:trHeight w:val="499"/>
        </w:trPr>
        <w:tc>
          <w:tcPr>
            <w:tcW w:w="679" w:type="dxa"/>
            <w:shd w:val="clear" w:color="auto" w:fill="auto"/>
            <w:vAlign w:val="center"/>
          </w:tcPr>
          <w:p w14:paraId="11421E82" w14:textId="7974A5E5" w:rsidR="00AB3B37" w:rsidRPr="002F01EF" w:rsidRDefault="00AB3B37" w:rsidP="00AB3B37">
            <w:pPr>
              <w:jc w:val="center"/>
              <w:rPr>
                <w:bCs/>
                <w:szCs w:val="17"/>
              </w:rPr>
            </w:pPr>
            <w:r w:rsidRPr="002F01EF">
              <w:rPr>
                <w:bCs/>
                <w:szCs w:val="17"/>
              </w:rPr>
              <w:t>761</w:t>
            </w:r>
          </w:p>
        </w:tc>
        <w:tc>
          <w:tcPr>
            <w:tcW w:w="1866" w:type="dxa"/>
            <w:shd w:val="clear" w:color="auto" w:fill="auto"/>
            <w:vAlign w:val="center"/>
          </w:tcPr>
          <w:p w14:paraId="5886AB46" w14:textId="77777777" w:rsidR="00AB3B37" w:rsidRPr="002F01EF" w:rsidRDefault="00AB3B37" w:rsidP="00AB3B37">
            <w:pPr>
              <w:jc w:val="center"/>
            </w:pPr>
            <w:r w:rsidRPr="002F01EF">
              <w:rPr>
                <w:rStyle w:val="HideTWBExt"/>
              </w:rPr>
              <w:t>&lt;Article2&gt;</w:t>
            </w:r>
            <w:r w:rsidRPr="002F01EF">
              <w:t>Article 230 – paragraph 2 – subparagraph 4</w:t>
            </w:r>
            <w:r w:rsidRPr="002F01EF">
              <w:rPr>
                <w:rStyle w:val="HideTWBExt"/>
              </w:rPr>
              <w:t>&lt;/Article2&gt;</w:t>
            </w:r>
          </w:p>
          <w:p w14:paraId="30991BAC" w14:textId="77777777" w:rsidR="00AB3B37" w:rsidRPr="002F01EF" w:rsidRDefault="00AB3B37" w:rsidP="00AB3B37">
            <w:pPr>
              <w:jc w:val="center"/>
              <w:rPr>
                <w:rStyle w:val="HideTWBExt"/>
              </w:rPr>
            </w:pPr>
          </w:p>
        </w:tc>
        <w:tc>
          <w:tcPr>
            <w:tcW w:w="5964" w:type="dxa"/>
            <w:shd w:val="clear" w:color="auto" w:fill="auto"/>
          </w:tcPr>
          <w:p w14:paraId="7CC76308" w14:textId="5173A047" w:rsidR="00AB3B37" w:rsidRPr="002F01EF" w:rsidRDefault="00AB3B37" w:rsidP="00AB3B37">
            <w:pPr>
              <w:jc w:val="left"/>
              <w:rPr>
                <w:bCs/>
                <w:szCs w:val="17"/>
              </w:rPr>
            </w:pPr>
            <w:r w:rsidRPr="002F01EF">
              <w:rPr>
                <w:bCs/>
                <w:szCs w:val="17"/>
              </w:rPr>
              <w:t>Cancelled the proposal to delete the 4</w:t>
            </w:r>
            <w:r w:rsidRPr="002F01EF">
              <w:rPr>
                <w:bCs/>
                <w:szCs w:val="17"/>
                <w:vertAlign w:val="superscript"/>
              </w:rPr>
              <w:t>th</w:t>
            </w:r>
            <w:r w:rsidRPr="002F01EF">
              <w:rPr>
                <w:bCs/>
                <w:szCs w:val="17"/>
              </w:rPr>
              <w:t xml:space="preserve"> subparagraph stating that:</w:t>
            </w:r>
            <w:r w:rsidRPr="002F01EF">
              <w:t xml:space="preserve"> </w:t>
            </w:r>
            <w:r w:rsidRPr="002F01EF">
              <w:rPr>
                <w:bCs/>
                <w:i/>
                <w:iCs/>
                <w:szCs w:val="17"/>
              </w:rPr>
              <w:t>For the purposes of determining whether such eligible own funds qualify to cover the minimum consolidated group Solvency Capital Requirement, the principles set out in Articles 221 to 229 shall apply mutatis mutandis. Article 139(1) and (2) shall apply mutatis mutandis.</w:t>
            </w:r>
          </w:p>
        </w:tc>
        <w:tc>
          <w:tcPr>
            <w:tcW w:w="1865" w:type="dxa"/>
            <w:shd w:val="clear" w:color="auto" w:fill="auto"/>
            <w:vAlign w:val="center"/>
          </w:tcPr>
          <w:p w14:paraId="082F2A0A" w14:textId="60833CEB" w:rsidR="00AB3B37" w:rsidRPr="002F01EF" w:rsidRDefault="00AB3B37" w:rsidP="00AB3B37">
            <w:pPr>
              <w:jc w:val="center"/>
              <w:rPr>
                <w:bCs/>
                <w:szCs w:val="17"/>
              </w:rPr>
            </w:pPr>
            <w:r w:rsidRPr="002F01EF">
              <w:rPr>
                <w:bCs/>
                <w:szCs w:val="17"/>
              </w:rPr>
              <w:t>Ferber</w:t>
            </w:r>
          </w:p>
        </w:tc>
        <w:tc>
          <w:tcPr>
            <w:tcW w:w="2483" w:type="dxa"/>
            <w:shd w:val="clear" w:color="auto" w:fill="auto"/>
            <w:vAlign w:val="center"/>
          </w:tcPr>
          <w:p w14:paraId="146C6620" w14:textId="78B7570A"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1D969EB6" w14:textId="08D625F6" w:rsidR="00AB3B37" w:rsidRPr="002F01EF" w:rsidRDefault="00E05108" w:rsidP="00AB3B37">
            <w:pPr>
              <w:jc w:val="center"/>
              <w:rPr>
                <w:bCs/>
                <w:szCs w:val="17"/>
              </w:rPr>
            </w:pPr>
            <w:r w:rsidRPr="002F01EF">
              <w:rPr>
                <w:b/>
                <w:color w:val="808080" w:themeColor="background1" w:themeShade="80"/>
                <w:szCs w:val="17"/>
              </w:rPr>
              <w:t>Neutral</w:t>
            </w:r>
          </w:p>
        </w:tc>
      </w:tr>
      <w:tr w:rsidR="00AB3B37" w:rsidRPr="002F01EF" w14:paraId="06075D58" w14:textId="77777777" w:rsidTr="00AB3B37">
        <w:trPr>
          <w:trHeight w:val="499"/>
        </w:trPr>
        <w:tc>
          <w:tcPr>
            <w:tcW w:w="679" w:type="dxa"/>
            <w:shd w:val="clear" w:color="auto" w:fill="auto"/>
            <w:vAlign w:val="center"/>
          </w:tcPr>
          <w:p w14:paraId="66656FC4" w14:textId="13E02EE8" w:rsidR="00AB3B37" w:rsidRPr="002F01EF" w:rsidRDefault="00AB3B37" w:rsidP="00AB3B37">
            <w:pPr>
              <w:jc w:val="center"/>
              <w:rPr>
                <w:bCs/>
                <w:szCs w:val="17"/>
              </w:rPr>
            </w:pPr>
            <w:r w:rsidRPr="002F01EF">
              <w:rPr>
                <w:bCs/>
                <w:szCs w:val="17"/>
              </w:rPr>
              <w:t>762</w:t>
            </w:r>
          </w:p>
        </w:tc>
        <w:tc>
          <w:tcPr>
            <w:tcW w:w="1866" w:type="dxa"/>
            <w:shd w:val="clear" w:color="auto" w:fill="auto"/>
            <w:vAlign w:val="center"/>
          </w:tcPr>
          <w:p w14:paraId="5C7D9721" w14:textId="3A54076D" w:rsidR="00AB3B37" w:rsidRPr="002F01EF" w:rsidRDefault="00AB3B37" w:rsidP="00AB3B37">
            <w:pPr>
              <w:jc w:val="center"/>
              <w:rPr>
                <w:rStyle w:val="HideTWBExt"/>
              </w:rPr>
            </w:pPr>
            <w:r w:rsidRPr="002F01EF">
              <w:t>Article 230 – paragraph 3</w:t>
            </w:r>
            <w:r w:rsidRPr="002F01EF">
              <w:rPr>
                <w:rStyle w:val="HideTWBExt"/>
              </w:rPr>
              <w:t>&lt;/Article2&gt;</w:t>
            </w:r>
          </w:p>
        </w:tc>
        <w:tc>
          <w:tcPr>
            <w:tcW w:w="5964" w:type="dxa"/>
            <w:shd w:val="clear" w:color="auto" w:fill="auto"/>
          </w:tcPr>
          <w:p w14:paraId="591BC087" w14:textId="12BACBBC" w:rsidR="00AB3B37" w:rsidRPr="002F01EF" w:rsidRDefault="00AB3B37" w:rsidP="00AB3B37">
            <w:pPr>
              <w:jc w:val="left"/>
              <w:rPr>
                <w:bCs/>
                <w:szCs w:val="17"/>
              </w:rPr>
            </w:pPr>
            <w:r w:rsidRPr="002F01EF">
              <w:rPr>
                <w:bCs/>
                <w:szCs w:val="17"/>
              </w:rPr>
              <w:t>Removes the trigger inversion solution proposed by EC</w:t>
            </w:r>
          </w:p>
        </w:tc>
        <w:tc>
          <w:tcPr>
            <w:tcW w:w="1865" w:type="dxa"/>
            <w:shd w:val="clear" w:color="auto" w:fill="auto"/>
            <w:vAlign w:val="center"/>
          </w:tcPr>
          <w:p w14:paraId="18B5D855" w14:textId="4D14DC3C" w:rsidR="00AB3B37" w:rsidRPr="002F01EF" w:rsidRDefault="00AB3B37" w:rsidP="00AB3B37">
            <w:pPr>
              <w:jc w:val="center"/>
              <w:rPr>
                <w:bCs/>
                <w:szCs w:val="17"/>
              </w:rPr>
            </w:pPr>
            <w:r w:rsidRPr="002F01EF">
              <w:rPr>
                <w:bCs/>
                <w:szCs w:val="17"/>
              </w:rPr>
              <w:t>de Lange</w:t>
            </w:r>
          </w:p>
        </w:tc>
        <w:tc>
          <w:tcPr>
            <w:tcW w:w="2483" w:type="dxa"/>
            <w:shd w:val="clear" w:color="auto" w:fill="auto"/>
            <w:vAlign w:val="center"/>
          </w:tcPr>
          <w:p w14:paraId="1338EDD4" w14:textId="3936BDE4"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0A08934B" w14:textId="62411842" w:rsidR="00AB3B37" w:rsidRPr="002F01EF" w:rsidRDefault="00633005" w:rsidP="00AB3B37">
            <w:pPr>
              <w:jc w:val="center"/>
              <w:rPr>
                <w:bCs/>
                <w:szCs w:val="17"/>
              </w:rPr>
            </w:pPr>
            <w:r w:rsidRPr="002F01EF">
              <w:rPr>
                <w:b/>
                <w:color w:val="FF0000"/>
                <w:szCs w:val="17"/>
              </w:rPr>
              <w:t>Negative</w:t>
            </w:r>
          </w:p>
        </w:tc>
      </w:tr>
      <w:tr w:rsidR="00AB3B37" w:rsidRPr="002F01EF" w14:paraId="249369F5" w14:textId="77777777" w:rsidTr="00AB3B37">
        <w:trPr>
          <w:trHeight w:val="499"/>
        </w:trPr>
        <w:tc>
          <w:tcPr>
            <w:tcW w:w="679" w:type="dxa"/>
            <w:shd w:val="clear" w:color="auto" w:fill="auto"/>
            <w:vAlign w:val="center"/>
          </w:tcPr>
          <w:p w14:paraId="16F29D22" w14:textId="012F932E" w:rsidR="00AB3B37" w:rsidRPr="002F01EF" w:rsidRDefault="00AB3B37" w:rsidP="00AB3B37">
            <w:pPr>
              <w:jc w:val="center"/>
              <w:rPr>
                <w:bCs/>
                <w:szCs w:val="17"/>
              </w:rPr>
            </w:pPr>
            <w:r w:rsidRPr="002F01EF">
              <w:rPr>
                <w:bCs/>
                <w:szCs w:val="17"/>
              </w:rPr>
              <w:t>763, 764</w:t>
            </w:r>
          </w:p>
        </w:tc>
        <w:tc>
          <w:tcPr>
            <w:tcW w:w="1866" w:type="dxa"/>
            <w:shd w:val="clear" w:color="auto" w:fill="auto"/>
            <w:vAlign w:val="center"/>
          </w:tcPr>
          <w:p w14:paraId="282EB210" w14:textId="77777777" w:rsidR="00AB3B37" w:rsidRPr="002F01EF" w:rsidRDefault="00AB3B37" w:rsidP="00AB3B37">
            <w:pPr>
              <w:jc w:val="center"/>
            </w:pPr>
            <w:r w:rsidRPr="002F01EF">
              <w:rPr>
                <w:rStyle w:val="HideTWBExt"/>
              </w:rPr>
              <w:t>&lt;Article2&gt;</w:t>
            </w:r>
            <w:r w:rsidRPr="002F01EF">
              <w:t>Article 233a – paragraph 3 – subparagraph 2</w:t>
            </w:r>
            <w:r w:rsidRPr="002F01EF">
              <w:rPr>
                <w:rStyle w:val="HideTWBExt"/>
              </w:rPr>
              <w:t>&lt;/Article2&gt;</w:t>
            </w:r>
          </w:p>
          <w:p w14:paraId="7482E469" w14:textId="77777777" w:rsidR="00AB3B37" w:rsidRPr="002F01EF" w:rsidRDefault="00AB3B37" w:rsidP="00AB3B37">
            <w:pPr>
              <w:jc w:val="center"/>
              <w:rPr>
                <w:rStyle w:val="HideTWBExt"/>
              </w:rPr>
            </w:pPr>
          </w:p>
        </w:tc>
        <w:tc>
          <w:tcPr>
            <w:tcW w:w="5964" w:type="dxa"/>
            <w:shd w:val="clear" w:color="auto" w:fill="auto"/>
          </w:tcPr>
          <w:p w14:paraId="5C817FC9" w14:textId="75F535FD" w:rsidR="00AB3B37" w:rsidRPr="002F01EF" w:rsidRDefault="00AB3B37" w:rsidP="00AB3B37">
            <w:pPr>
              <w:jc w:val="left"/>
              <w:rPr>
                <w:bCs/>
                <w:szCs w:val="17"/>
              </w:rPr>
            </w:pPr>
            <w:r w:rsidRPr="002F01EF">
              <w:rPr>
                <w:bCs/>
                <w:szCs w:val="17"/>
              </w:rPr>
              <w:t>The currency risk is part of a sensitivity in the ORSA and not an SCR</w:t>
            </w:r>
          </w:p>
        </w:tc>
        <w:tc>
          <w:tcPr>
            <w:tcW w:w="1865" w:type="dxa"/>
            <w:shd w:val="clear" w:color="auto" w:fill="auto"/>
            <w:vAlign w:val="center"/>
          </w:tcPr>
          <w:p w14:paraId="6F1034BB" w14:textId="5F44F938" w:rsidR="00AB3B37" w:rsidRPr="002F01EF" w:rsidRDefault="00AB3B37" w:rsidP="00AB3B37">
            <w:pPr>
              <w:jc w:val="center"/>
              <w:rPr>
                <w:bCs/>
                <w:szCs w:val="17"/>
              </w:rPr>
            </w:pPr>
            <w:r w:rsidRPr="002F01EF">
              <w:rPr>
                <w:bCs/>
                <w:szCs w:val="17"/>
              </w:rPr>
              <w:t xml:space="preserve">de Lange/ Van </w:t>
            </w:r>
            <w:proofErr w:type="spellStart"/>
            <w:r w:rsidRPr="002F01EF">
              <w:rPr>
                <w:bCs/>
                <w:szCs w:val="17"/>
              </w:rPr>
              <w:t>Overtveldt</w:t>
            </w:r>
            <w:proofErr w:type="spellEnd"/>
          </w:p>
        </w:tc>
        <w:tc>
          <w:tcPr>
            <w:tcW w:w="2483" w:type="dxa"/>
            <w:shd w:val="clear" w:color="auto" w:fill="auto"/>
            <w:vAlign w:val="center"/>
          </w:tcPr>
          <w:p w14:paraId="5BC3EDA8" w14:textId="70527762"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06812C76" w14:textId="3A1D5D03" w:rsidR="00AB3B37" w:rsidRPr="002F01EF" w:rsidRDefault="00E05108" w:rsidP="00AB3B37">
            <w:pPr>
              <w:jc w:val="center"/>
              <w:rPr>
                <w:bCs/>
                <w:szCs w:val="17"/>
              </w:rPr>
            </w:pPr>
            <w:r w:rsidRPr="002F01EF">
              <w:rPr>
                <w:b/>
                <w:color w:val="00B050"/>
                <w:szCs w:val="17"/>
              </w:rPr>
              <w:t>Positive</w:t>
            </w:r>
          </w:p>
        </w:tc>
      </w:tr>
      <w:tr w:rsidR="00AB3B37" w:rsidRPr="002F01EF" w14:paraId="51DE8BF5" w14:textId="77777777" w:rsidTr="00AB3B37">
        <w:trPr>
          <w:trHeight w:val="499"/>
        </w:trPr>
        <w:tc>
          <w:tcPr>
            <w:tcW w:w="679" w:type="dxa"/>
            <w:shd w:val="clear" w:color="auto" w:fill="auto"/>
            <w:vAlign w:val="center"/>
          </w:tcPr>
          <w:p w14:paraId="6D4B699D" w14:textId="307C0994" w:rsidR="00AB3B37" w:rsidRPr="002F01EF" w:rsidRDefault="00AB3B37" w:rsidP="00AB3B37">
            <w:pPr>
              <w:jc w:val="center"/>
              <w:rPr>
                <w:bCs/>
                <w:szCs w:val="17"/>
              </w:rPr>
            </w:pPr>
            <w:r w:rsidRPr="002F01EF">
              <w:rPr>
                <w:bCs/>
                <w:szCs w:val="17"/>
              </w:rPr>
              <w:lastRenderedPageBreak/>
              <w:t>765</w:t>
            </w:r>
          </w:p>
        </w:tc>
        <w:tc>
          <w:tcPr>
            <w:tcW w:w="1866" w:type="dxa"/>
            <w:shd w:val="clear" w:color="auto" w:fill="auto"/>
            <w:vAlign w:val="center"/>
          </w:tcPr>
          <w:p w14:paraId="011F91DE" w14:textId="058596DB" w:rsidR="00AB3B37" w:rsidRPr="002F01EF" w:rsidRDefault="00AB3B37" w:rsidP="00AB3B37">
            <w:pPr>
              <w:jc w:val="center"/>
              <w:rPr>
                <w:rStyle w:val="HideTWBExt"/>
              </w:rPr>
            </w:pPr>
            <w:r w:rsidRPr="002F01EF">
              <w:t>Article 246 – paragraph 1, 2(2), 2(3), 4(1) second sentence and 5</w:t>
            </w:r>
          </w:p>
        </w:tc>
        <w:tc>
          <w:tcPr>
            <w:tcW w:w="5964" w:type="dxa"/>
            <w:shd w:val="clear" w:color="auto" w:fill="auto"/>
          </w:tcPr>
          <w:p w14:paraId="332C2883" w14:textId="5A974EB0" w:rsidR="00AB3B37" w:rsidRDefault="00AB3B37" w:rsidP="00AB3B37">
            <w:pPr>
              <w:jc w:val="left"/>
              <w:rPr>
                <w:bCs/>
                <w:szCs w:val="17"/>
              </w:rPr>
            </w:pPr>
            <w:r w:rsidRPr="002F01EF">
              <w:rPr>
                <w:bCs/>
                <w:szCs w:val="17"/>
              </w:rPr>
              <w:t>Deleted changes to article on supervision of system of governance</w:t>
            </w:r>
          </w:p>
          <w:p w14:paraId="34EF5F51" w14:textId="77777777" w:rsidR="00CD0DCC" w:rsidRPr="002F01EF" w:rsidRDefault="00CD0DCC" w:rsidP="00AB3B37">
            <w:pPr>
              <w:jc w:val="left"/>
              <w:rPr>
                <w:bCs/>
                <w:szCs w:val="17"/>
              </w:rPr>
            </w:pPr>
          </w:p>
          <w:p w14:paraId="332B9F6E" w14:textId="3AD5BDF9" w:rsidR="00AB3B37" w:rsidRPr="002F01EF" w:rsidRDefault="00AB3B37" w:rsidP="00AB3B37">
            <w:pPr>
              <w:jc w:val="left"/>
              <w:rPr>
                <w:i/>
                <w:szCs w:val="17"/>
              </w:rPr>
            </w:pPr>
            <w:r w:rsidRPr="002F01EF">
              <w:rPr>
                <w:bCs/>
                <w:i/>
                <w:iCs/>
                <w:szCs w:val="17"/>
              </w:rPr>
              <w:t>Justification: The EC proposal extends group supervision beyond insurance activities of groups to other activities such as banking, thus creating an overlap between activities of banking NSAs and insurance NSAs and resulting in unnecessarily complex supervision. The proposal to expand the Mutatis Mutandis principle to the group level, meaning that the SII risk management, internal control systems and reporting procedures should also be implemented for banking activities, seems to be disproportionate.</w:t>
            </w:r>
          </w:p>
        </w:tc>
        <w:tc>
          <w:tcPr>
            <w:tcW w:w="1865" w:type="dxa"/>
            <w:shd w:val="clear" w:color="auto" w:fill="auto"/>
            <w:vAlign w:val="center"/>
          </w:tcPr>
          <w:p w14:paraId="2B901821" w14:textId="2BDD7DA9" w:rsidR="00AB3B37" w:rsidRPr="002F01EF" w:rsidRDefault="00AB3B37" w:rsidP="00AB3B37">
            <w:pPr>
              <w:jc w:val="center"/>
              <w:rPr>
                <w:bCs/>
                <w:szCs w:val="17"/>
              </w:rPr>
            </w:pPr>
            <w:r w:rsidRPr="002F01EF">
              <w:rPr>
                <w:bCs/>
                <w:szCs w:val="17"/>
              </w:rPr>
              <w:t xml:space="preserve">Van </w:t>
            </w:r>
            <w:proofErr w:type="spellStart"/>
            <w:r w:rsidRPr="002F01EF">
              <w:rPr>
                <w:bCs/>
                <w:szCs w:val="17"/>
              </w:rPr>
              <w:t>Overtveldt</w:t>
            </w:r>
            <w:proofErr w:type="spellEnd"/>
          </w:p>
        </w:tc>
        <w:tc>
          <w:tcPr>
            <w:tcW w:w="2483" w:type="dxa"/>
            <w:shd w:val="clear" w:color="auto" w:fill="auto"/>
            <w:vAlign w:val="center"/>
          </w:tcPr>
          <w:p w14:paraId="51FA6ECF" w14:textId="19C39787" w:rsidR="00AB3B37" w:rsidRPr="002F01EF" w:rsidRDefault="00AB3B37" w:rsidP="00AB3B37">
            <w:pPr>
              <w:jc w:val="center"/>
              <w:rPr>
                <w:bCs/>
                <w:szCs w:val="17"/>
              </w:rPr>
            </w:pPr>
            <w:r w:rsidRPr="002F01EF">
              <w:rPr>
                <w:bCs/>
                <w:szCs w:val="17"/>
              </w:rPr>
              <w:t>Group Supervision</w:t>
            </w:r>
          </w:p>
        </w:tc>
        <w:tc>
          <w:tcPr>
            <w:tcW w:w="1886" w:type="dxa"/>
            <w:shd w:val="clear" w:color="auto" w:fill="auto"/>
            <w:vAlign w:val="center"/>
          </w:tcPr>
          <w:p w14:paraId="0F79E1F7" w14:textId="4D8EAFC4" w:rsidR="00AB3B37" w:rsidRPr="002F01EF" w:rsidRDefault="00E05108" w:rsidP="00AB3B37">
            <w:pPr>
              <w:jc w:val="center"/>
              <w:rPr>
                <w:bCs/>
                <w:szCs w:val="17"/>
              </w:rPr>
            </w:pPr>
            <w:r w:rsidRPr="002F01EF">
              <w:rPr>
                <w:b/>
                <w:color w:val="00B050"/>
                <w:szCs w:val="17"/>
              </w:rPr>
              <w:t>Positive</w:t>
            </w:r>
          </w:p>
        </w:tc>
      </w:tr>
      <w:tr w:rsidR="00AB3B37" w:rsidRPr="002F01EF" w14:paraId="07D28803" w14:textId="77777777" w:rsidTr="00AB3B37">
        <w:trPr>
          <w:trHeight w:val="499"/>
        </w:trPr>
        <w:tc>
          <w:tcPr>
            <w:tcW w:w="679" w:type="dxa"/>
            <w:shd w:val="clear" w:color="auto" w:fill="auto"/>
            <w:vAlign w:val="center"/>
          </w:tcPr>
          <w:p w14:paraId="24A515D8" w14:textId="48CBF767" w:rsidR="00AB3B37" w:rsidRPr="002F01EF" w:rsidRDefault="00AB3B37" w:rsidP="00AB3B37">
            <w:pPr>
              <w:jc w:val="center"/>
              <w:rPr>
                <w:bCs/>
                <w:szCs w:val="17"/>
              </w:rPr>
            </w:pPr>
            <w:r w:rsidRPr="002F01EF">
              <w:rPr>
                <w:bCs/>
                <w:szCs w:val="17"/>
              </w:rPr>
              <w:t>766</w:t>
            </w:r>
          </w:p>
        </w:tc>
        <w:tc>
          <w:tcPr>
            <w:tcW w:w="1866" w:type="dxa"/>
            <w:shd w:val="clear" w:color="auto" w:fill="auto"/>
            <w:vAlign w:val="center"/>
          </w:tcPr>
          <w:p w14:paraId="6C43BE42" w14:textId="32D57E27" w:rsidR="00AB3B37" w:rsidRPr="002F01EF" w:rsidRDefault="00AB3B37" w:rsidP="00AB3B37">
            <w:pPr>
              <w:jc w:val="center"/>
              <w:rPr>
                <w:rStyle w:val="HideTWBExt"/>
              </w:rPr>
            </w:pPr>
            <w:r w:rsidRPr="002F01EF">
              <w:t>Article 246 – paragraph 1 – subparagraph 4</w:t>
            </w:r>
          </w:p>
        </w:tc>
        <w:tc>
          <w:tcPr>
            <w:tcW w:w="5964" w:type="dxa"/>
            <w:shd w:val="clear" w:color="auto" w:fill="auto"/>
          </w:tcPr>
          <w:p w14:paraId="7DE6CC0E" w14:textId="4CAA722F" w:rsidR="00AB3B37" w:rsidRPr="002F01EF" w:rsidRDefault="00AB3B37" w:rsidP="00AB3B37">
            <w:pPr>
              <w:jc w:val="left"/>
              <w:rPr>
                <w:bCs/>
                <w:szCs w:val="17"/>
              </w:rPr>
            </w:pPr>
            <w:r w:rsidRPr="002F01EF">
              <w:rPr>
                <w:bCs/>
                <w:szCs w:val="17"/>
              </w:rPr>
              <w:t>Sustainability risk shall also be covered by the risk management system</w:t>
            </w:r>
          </w:p>
        </w:tc>
        <w:tc>
          <w:tcPr>
            <w:tcW w:w="1865" w:type="dxa"/>
            <w:shd w:val="clear" w:color="auto" w:fill="auto"/>
            <w:vAlign w:val="center"/>
          </w:tcPr>
          <w:p w14:paraId="1A2F2C73" w14:textId="02841CD0"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1EC8F8E4" w14:textId="6479F60D" w:rsidR="00AB3B37" w:rsidRPr="002F01EF" w:rsidRDefault="00AB3B37" w:rsidP="00AB3B37">
            <w:pPr>
              <w:jc w:val="center"/>
              <w:rPr>
                <w:bCs/>
                <w:szCs w:val="17"/>
              </w:rPr>
            </w:pPr>
            <w:r w:rsidRPr="002F01EF">
              <w:rPr>
                <w:bCs/>
                <w:szCs w:val="17"/>
              </w:rPr>
              <w:t>Groups/Sustainability</w:t>
            </w:r>
          </w:p>
        </w:tc>
        <w:tc>
          <w:tcPr>
            <w:tcW w:w="1886" w:type="dxa"/>
            <w:shd w:val="clear" w:color="auto" w:fill="auto"/>
            <w:vAlign w:val="center"/>
          </w:tcPr>
          <w:p w14:paraId="1F0116C0" w14:textId="034A7793" w:rsidR="00AB3B37" w:rsidRPr="002F01EF" w:rsidRDefault="00FD0011"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5FD4D2AF" w14:textId="77777777" w:rsidTr="00AB3B37">
        <w:trPr>
          <w:trHeight w:val="499"/>
        </w:trPr>
        <w:tc>
          <w:tcPr>
            <w:tcW w:w="679" w:type="dxa"/>
            <w:shd w:val="clear" w:color="auto" w:fill="auto"/>
            <w:vAlign w:val="center"/>
          </w:tcPr>
          <w:p w14:paraId="52223929" w14:textId="14937EF1" w:rsidR="00AB3B37" w:rsidRPr="002F01EF" w:rsidRDefault="00AB3B37" w:rsidP="00AB3B37">
            <w:pPr>
              <w:jc w:val="center"/>
              <w:rPr>
                <w:bCs/>
                <w:szCs w:val="17"/>
              </w:rPr>
            </w:pPr>
            <w:r w:rsidRPr="002F01EF">
              <w:rPr>
                <w:bCs/>
                <w:szCs w:val="17"/>
              </w:rPr>
              <w:t>767</w:t>
            </w:r>
          </w:p>
        </w:tc>
        <w:tc>
          <w:tcPr>
            <w:tcW w:w="1866" w:type="dxa"/>
            <w:shd w:val="clear" w:color="auto" w:fill="auto"/>
            <w:vAlign w:val="center"/>
          </w:tcPr>
          <w:p w14:paraId="4D2521F0" w14:textId="77777777" w:rsidR="00AB3B37" w:rsidRPr="002F01EF" w:rsidRDefault="00AB3B37" w:rsidP="00AB3B37">
            <w:pPr>
              <w:jc w:val="center"/>
            </w:pPr>
            <w:r w:rsidRPr="002F01EF">
              <w:rPr>
                <w:rStyle w:val="HideTWBExt"/>
              </w:rPr>
              <w:t>&lt;Article2&gt;</w:t>
            </w:r>
            <w:r w:rsidRPr="002F01EF">
              <w:t>Article 246 – paragraph 4 – first sentence (new)</w:t>
            </w:r>
            <w:r w:rsidRPr="002F01EF">
              <w:rPr>
                <w:rStyle w:val="HideTWBExt"/>
              </w:rPr>
              <w:t>&lt;/Article2&gt;</w:t>
            </w:r>
          </w:p>
          <w:p w14:paraId="05F7B66F" w14:textId="77777777" w:rsidR="00AB3B37" w:rsidRPr="002F01EF" w:rsidRDefault="00AB3B37" w:rsidP="00AB3B37">
            <w:pPr>
              <w:jc w:val="center"/>
              <w:rPr>
                <w:rStyle w:val="HideTWBExt"/>
              </w:rPr>
            </w:pPr>
          </w:p>
        </w:tc>
        <w:tc>
          <w:tcPr>
            <w:tcW w:w="5964" w:type="dxa"/>
            <w:shd w:val="clear" w:color="auto" w:fill="auto"/>
          </w:tcPr>
          <w:p w14:paraId="0B1E8051" w14:textId="288EF3C0" w:rsidR="00AB3B37" w:rsidRPr="002F01EF" w:rsidRDefault="00AB3B37" w:rsidP="00AB3B37">
            <w:pPr>
              <w:jc w:val="left"/>
              <w:rPr>
                <w:bCs/>
                <w:szCs w:val="17"/>
              </w:rPr>
            </w:pPr>
            <w:r w:rsidRPr="002F01EF">
              <w:rPr>
                <w:bCs/>
                <w:szCs w:val="17"/>
              </w:rPr>
              <w:t>Added art 45a (climate change scenario analysis) to the requirements for groups. (ORSA itself was already added)</w:t>
            </w:r>
          </w:p>
        </w:tc>
        <w:tc>
          <w:tcPr>
            <w:tcW w:w="1865" w:type="dxa"/>
            <w:shd w:val="clear" w:color="auto" w:fill="auto"/>
            <w:vAlign w:val="center"/>
          </w:tcPr>
          <w:p w14:paraId="2C2D5B8C" w14:textId="0D8FBA95"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631DE592" w14:textId="0D06924D" w:rsidR="00AB3B37" w:rsidRPr="002F01EF" w:rsidRDefault="00AB3B37" w:rsidP="00AB3B37">
            <w:pPr>
              <w:jc w:val="center"/>
              <w:rPr>
                <w:szCs w:val="17"/>
              </w:rPr>
            </w:pPr>
            <w:r w:rsidRPr="002F01EF">
              <w:rPr>
                <w:bCs/>
                <w:szCs w:val="17"/>
              </w:rPr>
              <w:t>Groups/Sustainability</w:t>
            </w:r>
          </w:p>
        </w:tc>
        <w:tc>
          <w:tcPr>
            <w:tcW w:w="1886" w:type="dxa"/>
            <w:shd w:val="clear" w:color="auto" w:fill="auto"/>
            <w:vAlign w:val="center"/>
          </w:tcPr>
          <w:p w14:paraId="0CFCF878" w14:textId="258258C0"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2CF180F8" w14:textId="77777777" w:rsidTr="00AB3B37">
        <w:trPr>
          <w:trHeight w:val="499"/>
        </w:trPr>
        <w:tc>
          <w:tcPr>
            <w:tcW w:w="679" w:type="dxa"/>
            <w:shd w:val="clear" w:color="auto" w:fill="auto"/>
            <w:vAlign w:val="center"/>
          </w:tcPr>
          <w:p w14:paraId="77AA3D38" w14:textId="4EBF8C9E" w:rsidR="00AB3B37" w:rsidRPr="002F01EF" w:rsidRDefault="00AB3B37" w:rsidP="00AB3B37">
            <w:pPr>
              <w:jc w:val="center"/>
              <w:rPr>
                <w:bCs/>
                <w:szCs w:val="17"/>
              </w:rPr>
            </w:pPr>
            <w:r w:rsidRPr="002F01EF">
              <w:rPr>
                <w:bCs/>
                <w:szCs w:val="17"/>
              </w:rPr>
              <w:t>768</w:t>
            </w:r>
          </w:p>
        </w:tc>
        <w:tc>
          <w:tcPr>
            <w:tcW w:w="1866" w:type="dxa"/>
            <w:shd w:val="clear" w:color="auto" w:fill="auto"/>
            <w:vAlign w:val="center"/>
          </w:tcPr>
          <w:p w14:paraId="3204C95B" w14:textId="77777777" w:rsidR="00AB3B37" w:rsidRPr="0092408F" w:rsidRDefault="00AB3B37" w:rsidP="00AB3B37">
            <w:pPr>
              <w:jc w:val="center"/>
              <w:rPr>
                <w:lang w:val="fr-FR"/>
              </w:rPr>
            </w:pPr>
            <w:r w:rsidRPr="0092408F">
              <w:rPr>
                <w:rStyle w:val="HideTWBExt"/>
                <w:lang w:val="fr-FR"/>
              </w:rPr>
              <w:t>&lt;Article2&gt;</w:t>
            </w:r>
            <w:r w:rsidRPr="0092408F">
              <w:rPr>
                <w:lang w:val="fr-FR"/>
              </w:rPr>
              <w:t>Article 246 – paragraph 5 – subparagraph 4 a (new)</w:t>
            </w:r>
            <w:r w:rsidRPr="0092408F">
              <w:rPr>
                <w:rStyle w:val="HideTWBExt"/>
                <w:lang w:val="fr-FR"/>
              </w:rPr>
              <w:t>&lt;/Article2&gt;</w:t>
            </w:r>
          </w:p>
          <w:p w14:paraId="58FB95DD" w14:textId="77777777" w:rsidR="00AB3B37" w:rsidRPr="0092408F" w:rsidRDefault="00AB3B37" w:rsidP="00AB3B37">
            <w:pPr>
              <w:jc w:val="center"/>
              <w:rPr>
                <w:rStyle w:val="HideTWBExt"/>
                <w:lang w:val="fr-FR"/>
              </w:rPr>
            </w:pPr>
          </w:p>
        </w:tc>
        <w:tc>
          <w:tcPr>
            <w:tcW w:w="5964" w:type="dxa"/>
            <w:shd w:val="clear" w:color="auto" w:fill="auto"/>
          </w:tcPr>
          <w:p w14:paraId="4BFB41C6" w14:textId="122038A6" w:rsidR="00AB3B37" w:rsidRPr="002F01EF" w:rsidRDefault="00AB3B37" w:rsidP="00AB3B37">
            <w:pPr>
              <w:jc w:val="left"/>
              <w:rPr>
                <w:bCs/>
                <w:szCs w:val="17"/>
              </w:rPr>
            </w:pPr>
            <w:r w:rsidRPr="002F01EF">
              <w:rPr>
                <w:bCs/>
                <w:szCs w:val="17"/>
              </w:rPr>
              <w:t>Added to the requirement that groups should have in place robust governance arrangements the following: ‘</w:t>
            </w:r>
            <w:r w:rsidRPr="002F01EF">
              <w:rPr>
                <w:i/>
                <w:szCs w:val="17"/>
              </w:rPr>
              <w:t>participating undertaking shall ensure that the persons who effectively run the insurance group have sufficient time and resources to adequately perform their tasks.</w:t>
            </w:r>
            <w:r w:rsidRPr="002F01EF">
              <w:rPr>
                <w:bCs/>
                <w:szCs w:val="17"/>
              </w:rPr>
              <w:t>’</w:t>
            </w:r>
          </w:p>
          <w:p w14:paraId="46B11753" w14:textId="2867EBA9" w:rsidR="00AB3B37" w:rsidRPr="002F01EF" w:rsidRDefault="00AB3B37" w:rsidP="00AB3B37">
            <w:pPr>
              <w:jc w:val="left"/>
              <w:rPr>
                <w:bCs/>
                <w:szCs w:val="17"/>
              </w:rPr>
            </w:pPr>
            <w:r w:rsidRPr="002F01EF">
              <w:rPr>
                <w:bCs/>
                <w:szCs w:val="17"/>
              </w:rPr>
              <w:t>And a policy to manage conflicts of interest should be established</w:t>
            </w:r>
          </w:p>
        </w:tc>
        <w:tc>
          <w:tcPr>
            <w:tcW w:w="1865" w:type="dxa"/>
            <w:shd w:val="clear" w:color="auto" w:fill="auto"/>
            <w:vAlign w:val="center"/>
          </w:tcPr>
          <w:p w14:paraId="12D8B567" w14:textId="62D99CBD" w:rsidR="00AB3B37" w:rsidRPr="002F01EF" w:rsidRDefault="00AB3B37" w:rsidP="00AB3B37">
            <w:pPr>
              <w:jc w:val="center"/>
              <w:rPr>
                <w:bCs/>
                <w:szCs w:val="17"/>
              </w:rPr>
            </w:pPr>
            <w:r w:rsidRPr="002F01EF">
              <w:rPr>
                <w:bCs/>
                <w:szCs w:val="17"/>
              </w:rPr>
              <w:t>Hahn</w:t>
            </w:r>
          </w:p>
        </w:tc>
        <w:tc>
          <w:tcPr>
            <w:tcW w:w="2483" w:type="dxa"/>
            <w:shd w:val="clear" w:color="auto" w:fill="auto"/>
            <w:vAlign w:val="center"/>
          </w:tcPr>
          <w:p w14:paraId="1EB3F9A0" w14:textId="3FEA1076" w:rsidR="00AB3B37" w:rsidRPr="002F01EF" w:rsidRDefault="00AB3B37" w:rsidP="00AB3B37">
            <w:pPr>
              <w:jc w:val="center"/>
              <w:rPr>
                <w:szCs w:val="17"/>
              </w:rPr>
            </w:pPr>
            <w:r w:rsidRPr="002F01EF">
              <w:rPr>
                <w:bCs/>
                <w:szCs w:val="17"/>
              </w:rPr>
              <w:t>Groups</w:t>
            </w:r>
          </w:p>
        </w:tc>
        <w:tc>
          <w:tcPr>
            <w:tcW w:w="1886" w:type="dxa"/>
            <w:shd w:val="clear" w:color="auto" w:fill="auto"/>
            <w:vAlign w:val="center"/>
          </w:tcPr>
          <w:p w14:paraId="797C345B" w14:textId="222DB683"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2D4B64BA" w14:textId="77777777" w:rsidTr="00AB3B37">
        <w:trPr>
          <w:trHeight w:val="499"/>
        </w:trPr>
        <w:tc>
          <w:tcPr>
            <w:tcW w:w="679" w:type="dxa"/>
            <w:shd w:val="clear" w:color="auto" w:fill="auto"/>
            <w:vAlign w:val="center"/>
          </w:tcPr>
          <w:p w14:paraId="7C8DB061" w14:textId="63F752BB" w:rsidR="00AB3B37" w:rsidRPr="002F01EF" w:rsidRDefault="00AB3B37" w:rsidP="00AB3B37">
            <w:pPr>
              <w:jc w:val="center"/>
              <w:rPr>
                <w:szCs w:val="17"/>
              </w:rPr>
            </w:pPr>
            <w:r w:rsidRPr="002F01EF">
              <w:rPr>
                <w:bCs/>
                <w:szCs w:val="17"/>
              </w:rPr>
              <w:t>769</w:t>
            </w:r>
          </w:p>
        </w:tc>
        <w:tc>
          <w:tcPr>
            <w:tcW w:w="1866" w:type="dxa"/>
            <w:shd w:val="clear" w:color="auto" w:fill="auto"/>
            <w:vAlign w:val="center"/>
          </w:tcPr>
          <w:p w14:paraId="2AD71ED4" w14:textId="77777777" w:rsidR="00AB3B37" w:rsidRPr="002F01EF" w:rsidRDefault="00AB3B37" w:rsidP="00AB3B37">
            <w:pPr>
              <w:jc w:val="center"/>
            </w:pPr>
            <w:r w:rsidRPr="002F01EF">
              <w:rPr>
                <w:rStyle w:val="HideTWBExt"/>
              </w:rPr>
              <w:t>&lt;Article2&gt;</w:t>
            </w:r>
            <w:r w:rsidRPr="002F01EF">
              <w:t>Article 246a – paragraph 2 – subparagraph 1 a (new)</w:t>
            </w:r>
            <w:r w:rsidRPr="002F01EF">
              <w:rPr>
                <w:rStyle w:val="HideTWBExt"/>
              </w:rPr>
              <w:t>&lt;/Article2&gt;</w:t>
            </w:r>
          </w:p>
          <w:p w14:paraId="62B4740B" w14:textId="77777777" w:rsidR="00AB3B37" w:rsidRPr="002F01EF" w:rsidRDefault="00AB3B37" w:rsidP="00AB3B37">
            <w:pPr>
              <w:jc w:val="center"/>
              <w:rPr>
                <w:rStyle w:val="HideTWBExt"/>
              </w:rPr>
            </w:pPr>
          </w:p>
        </w:tc>
        <w:tc>
          <w:tcPr>
            <w:tcW w:w="5964" w:type="dxa"/>
            <w:shd w:val="clear" w:color="auto" w:fill="auto"/>
          </w:tcPr>
          <w:p w14:paraId="3FD4BF1C" w14:textId="643543D1" w:rsidR="00AB3B37" w:rsidRPr="002F01EF" w:rsidRDefault="00AB3B37" w:rsidP="00AB3B37">
            <w:pPr>
              <w:jc w:val="left"/>
              <w:rPr>
                <w:szCs w:val="17"/>
              </w:rPr>
            </w:pPr>
            <w:r w:rsidRPr="002F01EF">
              <w:rPr>
                <w:bCs/>
                <w:szCs w:val="17"/>
              </w:rPr>
              <w:t>Requirement to transfer the LRMP to the NSA of the subsidiaries when these are located in another MS than the participating undertaking’s MS</w:t>
            </w:r>
          </w:p>
        </w:tc>
        <w:tc>
          <w:tcPr>
            <w:tcW w:w="1865" w:type="dxa"/>
            <w:shd w:val="clear" w:color="auto" w:fill="auto"/>
            <w:vAlign w:val="center"/>
          </w:tcPr>
          <w:p w14:paraId="5FB46B56" w14:textId="57D538EB" w:rsidR="00AB3B37" w:rsidRPr="002F01EF" w:rsidRDefault="00AB3B37" w:rsidP="00AB3B37">
            <w:pPr>
              <w:jc w:val="center"/>
              <w:rPr>
                <w:szCs w:val="17"/>
              </w:rPr>
            </w:pPr>
            <w:r w:rsidRPr="002F01EF">
              <w:rPr>
                <w:bCs/>
                <w:szCs w:val="17"/>
              </w:rPr>
              <w:t>Hahn</w:t>
            </w:r>
          </w:p>
        </w:tc>
        <w:tc>
          <w:tcPr>
            <w:tcW w:w="2483" w:type="dxa"/>
            <w:shd w:val="clear" w:color="auto" w:fill="auto"/>
            <w:vAlign w:val="center"/>
          </w:tcPr>
          <w:p w14:paraId="2786BE1A" w14:textId="5911C886" w:rsidR="00AB3B37" w:rsidRPr="002F01EF" w:rsidRDefault="00AB3B37" w:rsidP="00AB3B37">
            <w:pPr>
              <w:jc w:val="center"/>
              <w:rPr>
                <w:szCs w:val="17"/>
              </w:rPr>
            </w:pPr>
            <w:r w:rsidRPr="002F01EF">
              <w:rPr>
                <w:bCs/>
                <w:szCs w:val="17"/>
              </w:rPr>
              <w:t>Groups/Liquidity risk management plans</w:t>
            </w:r>
          </w:p>
        </w:tc>
        <w:tc>
          <w:tcPr>
            <w:tcW w:w="1886" w:type="dxa"/>
            <w:shd w:val="clear" w:color="auto" w:fill="auto"/>
            <w:vAlign w:val="center"/>
          </w:tcPr>
          <w:p w14:paraId="7737A895" w14:textId="31DC1AA7"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5C6AA5A" w14:textId="77777777" w:rsidTr="00AB3B37">
        <w:trPr>
          <w:trHeight w:val="499"/>
        </w:trPr>
        <w:tc>
          <w:tcPr>
            <w:tcW w:w="679" w:type="dxa"/>
            <w:shd w:val="clear" w:color="auto" w:fill="auto"/>
            <w:vAlign w:val="center"/>
          </w:tcPr>
          <w:p w14:paraId="37A1DE09" w14:textId="0875FF9F" w:rsidR="00AB3B37" w:rsidRPr="002F01EF" w:rsidRDefault="00AB3B37" w:rsidP="00AB3B37">
            <w:pPr>
              <w:jc w:val="center"/>
              <w:rPr>
                <w:szCs w:val="17"/>
              </w:rPr>
            </w:pPr>
            <w:r w:rsidRPr="002F01EF">
              <w:rPr>
                <w:bCs/>
                <w:szCs w:val="17"/>
              </w:rPr>
              <w:t>770</w:t>
            </w:r>
          </w:p>
        </w:tc>
        <w:tc>
          <w:tcPr>
            <w:tcW w:w="1866" w:type="dxa"/>
            <w:shd w:val="clear" w:color="auto" w:fill="auto"/>
            <w:vAlign w:val="center"/>
          </w:tcPr>
          <w:p w14:paraId="57CFC7F3" w14:textId="36076AD0" w:rsidR="00AB3B37" w:rsidRPr="002F01EF" w:rsidRDefault="00AB3B37" w:rsidP="00AB3B37">
            <w:pPr>
              <w:jc w:val="center"/>
              <w:rPr>
                <w:rStyle w:val="HideTWBExt"/>
              </w:rPr>
            </w:pPr>
            <w:r w:rsidRPr="002F01EF">
              <w:t>Article 246a – paragraph 3</w:t>
            </w:r>
          </w:p>
        </w:tc>
        <w:tc>
          <w:tcPr>
            <w:tcW w:w="5964" w:type="dxa"/>
            <w:shd w:val="clear" w:color="auto" w:fill="auto"/>
          </w:tcPr>
          <w:p w14:paraId="59369675" w14:textId="55061328" w:rsidR="00AB3B37" w:rsidRPr="002F01EF" w:rsidRDefault="00AB3B37" w:rsidP="00AB3B37">
            <w:pPr>
              <w:jc w:val="left"/>
              <w:rPr>
                <w:szCs w:val="17"/>
              </w:rPr>
            </w:pPr>
            <w:r w:rsidRPr="002F01EF">
              <w:rPr>
                <w:bCs/>
                <w:szCs w:val="17"/>
              </w:rPr>
              <w:t>Requirement</w:t>
            </w:r>
            <w:r w:rsidR="00724988" w:rsidRPr="002F01EF">
              <w:rPr>
                <w:bCs/>
                <w:szCs w:val="17"/>
              </w:rPr>
              <w:t xml:space="preserve"> </w:t>
            </w:r>
            <w:r w:rsidR="00771A33" w:rsidRPr="002F01EF">
              <w:rPr>
                <w:bCs/>
                <w:szCs w:val="17"/>
              </w:rPr>
              <w:t>(previously may)</w:t>
            </w:r>
            <w:r w:rsidRPr="002F01EF">
              <w:rPr>
                <w:bCs/>
                <w:szCs w:val="17"/>
              </w:rPr>
              <w:t xml:space="preserve"> for subsidiaries to draw and maintain a LRMP at individual level when NSAs detect a specific liquidity vulnerability or when the LRMP at group level does not include required information.</w:t>
            </w:r>
          </w:p>
        </w:tc>
        <w:tc>
          <w:tcPr>
            <w:tcW w:w="1865" w:type="dxa"/>
            <w:shd w:val="clear" w:color="auto" w:fill="auto"/>
            <w:vAlign w:val="center"/>
          </w:tcPr>
          <w:p w14:paraId="1E36F6E6" w14:textId="0EA324B7" w:rsidR="00AB3B37" w:rsidRPr="002F01EF" w:rsidRDefault="00AB3B37" w:rsidP="00AB3B37">
            <w:pPr>
              <w:jc w:val="center"/>
              <w:rPr>
                <w:szCs w:val="17"/>
              </w:rPr>
            </w:pPr>
            <w:proofErr w:type="spellStart"/>
            <w:r w:rsidRPr="002F01EF">
              <w:t>Eero</w:t>
            </w:r>
            <w:proofErr w:type="spellEnd"/>
            <w:r w:rsidRPr="002F01EF">
              <w:t xml:space="preserve"> </w:t>
            </w:r>
            <w:proofErr w:type="spellStart"/>
            <w:r w:rsidRPr="002F01EF">
              <w:t>Heinäluoma</w:t>
            </w:r>
            <w:proofErr w:type="spellEnd"/>
            <w:r w:rsidRPr="002F01EF">
              <w:t xml:space="preserve">, Aurore </w:t>
            </w:r>
            <w:proofErr w:type="spellStart"/>
            <w:r w:rsidRPr="002F01EF">
              <w:t>Lalucq</w:t>
            </w:r>
            <w:proofErr w:type="spellEnd"/>
          </w:p>
        </w:tc>
        <w:tc>
          <w:tcPr>
            <w:tcW w:w="2483" w:type="dxa"/>
            <w:shd w:val="clear" w:color="auto" w:fill="auto"/>
            <w:vAlign w:val="center"/>
          </w:tcPr>
          <w:p w14:paraId="3DAA9AB7" w14:textId="30F11CF2" w:rsidR="00AB3B37" w:rsidRPr="002F01EF" w:rsidRDefault="00AB3B37" w:rsidP="00AB3B37">
            <w:pPr>
              <w:jc w:val="center"/>
              <w:rPr>
                <w:szCs w:val="17"/>
              </w:rPr>
            </w:pPr>
            <w:r w:rsidRPr="002F01EF">
              <w:rPr>
                <w:bCs/>
                <w:szCs w:val="17"/>
              </w:rPr>
              <w:t>Groups/Liquidity risk management plans</w:t>
            </w:r>
          </w:p>
        </w:tc>
        <w:tc>
          <w:tcPr>
            <w:tcW w:w="1886" w:type="dxa"/>
            <w:shd w:val="clear" w:color="auto" w:fill="auto"/>
            <w:vAlign w:val="center"/>
          </w:tcPr>
          <w:p w14:paraId="54FE2B0E" w14:textId="77C2D518"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D78D8F6" w14:textId="77777777" w:rsidTr="00AB3B37">
        <w:trPr>
          <w:trHeight w:val="499"/>
        </w:trPr>
        <w:tc>
          <w:tcPr>
            <w:tcW w:w="679" w:type="dxa"/>
            <w:shd w:val="clear" w:color="auto" w:fill="auto"/>
            <w:vAlign w:val="center"/>
          </w:tcPr>
          <w:p w14:paraId="79D3403E" w14:textId="78628CDC" w:rsidR="00AB3B37" w:rsidRPr="002F01EF" w:rsidRDefault="00AB3B37" w:rsidP="00AB3B37">
            <w:pPr>
              <w:jc w:val="center"/>
              <w:rPr>
                <w:bCs/>
                <w:szCs w:val="17"/>
              </w:rPr>
            </w:pPr>
            <w:r w:rsidRPr="002F01EF">
              <w:rPr>
                <w:bCs/>
                <w:szCs w:val="17"/>
              </w:rPr>
              <w:lastRenderedPageBreak/>
              <w:t>771</w:t>
            </w:r>
          </w:p>
        </w:tc>
        <w:tc>
          <w:tcPr>
            <w:tcW w:w="1866" w:type="dxa"/>
            <w:shd w:val="clear" w:color="auto" w:fill="auto"/>
            <w:vAlign w:val="center"/>
          </w:tcPr>
          <w:p w14:paraId="38547A64" w14:textId="73C12AF0" w:rsidR="00AB3B37" w:rsidRPr="002F01EF" w:rsidRDefault="00AB3B37" w:rsidP="00AB3B37">
            <w:pPr>
              <w:jc w:val="center"/>
              <w:rPr>
                <w:rStyle w:val="HideTWBExt"/>
              </w:rPr>
            </w:pPr>
            <w:r w:rsidRPr="002F01EF">
              <w:t>Article 246a – paragraph 4 – subparagraph 1</w:t>
            </w:r>
          </w:p>
        </w:tc>
        <w:tc>
          <w:tcPr>
            <w:tcW w:w="5964" w:type="dxa"/>
            <w:shd w:val="clear" w:color="auto" w:fill="auto"/>
          </w:tcPr>
          <w:p w14:paraId="1BE82F83" w14:textId="001DE90B" w:rsidR="00AB3B37" w:rsidRPr="002F01EF" w:rsidRDefault="00AB3B37" w:rsidP="00AB3B37">
            <w:pPr>
              <w:jc w:val="left"/>
              <w:rPr>
                <w:bCs/>
                <w:szCs w:val="17"/>
              </w:rPr>
            </w:pPr>
            <w:r w:rsidRPr="002F01EF">
              <w:rPr>
                <w:bCs/>
                <w:szCs w:val="17"/>
              </w:rPr>
              <w:t>Addition that EIOPA shall specify the format of LRMPs in the RTS.</w:t>
            </w:r>
          </w:p>
        </w:tc>
        <w:tc>
          <w:tcPr>
            <w:tcW w:w="1865" w:type="dxa"/>
            <w:shd w:val="clear" w:color="auto" w:fill="auto"/>
            <w:vAlign w:val="center"/>
          </w:tcPr>
          <w:p w14:paraId="35737E9F" w14:textId="65A9F1AC" w:rsidR="00AB3B37" w:rsidRPr="002F01EF" w:rsidRDefault="00AB3B37" w:rsidP="00AB3B37">
            <w:pPr>
              <w:jc w:val="center"/>
              <w:rPr>
                <w:bCs/>
                <w:szCs w:val="17"/>
              </w:rPr>
            </w:pPr>
            <w:proofErr w:type="spellStart"/>
            <w:r w:rsidRPr="002F01EF">
              <w:t>Eero</w:t>
            </w:r>
            <w:proofErr w:type="spellEnd"/>
            <w:r w:rsidRPr="002F01EF">
              <w:t xml:space="preserve"> </w:t>
            </w:r>
            <w:proofErr w:type="spellStart"/>
            <w:r w:rsidRPr="002F01EF">
              <w:t>Heinäluoma</w:t>
            </w:r>
            <w:proofErr w:type="spellEnd"/>
            <w:r w:rsidRPr="002F01EF">
              <w:t xml:space="preserve">, Aurore </w:t>
            </w:r>
            <w:proofErr w:type="spellStart"/>
            <w:r w:rsidRPr="002F01EF">
              <w:t>Lalucq</w:t>
            </w:r>
            <w:proofErr w:type="spellEnd"/>
          </w:p>
        </w:tc>
        <w:tc>
          <w:tcPr>
            <w:tcW w:w="2483" w:type="dxa"/>
            <w:shd w:val="clear" w:color="auto" w:fill="auto"/>
            <w:vAlign w:val="center"/>
          </w:tcPr>
          <w:p w14:paraId="2ACD5EEC" w14:textId="2F5845DE" w:rsidR="00AB3B37" w:rsidRPr="002F01EF" w:rsidRDefault="00AB3B37" w:rsidP="00AB3B37">
            <w:pPr>
              <w:jc w:val="center"/>
              <w:rPr>
                <w:bCs/>
                <w:szCs w:val="17"/>
              </w:rPr>
            </w:pPr>
            <w:r w:rsidRPr="002F01EF">
              <w:rPr>
                <w:bCs/>
                <w:szCs w:val="17"/>
              </w:rPr>
              <w:t>Groups/Liquidity risk management plans</w:t>
            </w:r>
          </w:p>
        </w:tc>
        <w:tc>
          <w:tcPr>
            <w:tcW w:w="1886" w:type="dxa"/>
            <w:shd w:val="clear" w:color="auto" w:fill="auto"/>
            <w:vAlign w:val="center"/>
          </w:tcPr>
          <w:p w14:paraId="23BF5050" w14:textId="29D5541B" w:rsidR="00AB3B37" w:rsidRPr="002F01EF" w:rsidRDefault="000F5A74" w:rsidP="00AB3B37">
            <w:pPr>
              <w:jc w:val="center"/>
              <w:rPr>
                <w:bCs/>
                <w:szCs w:val="17"/>
              </w:rPr>
            </w:pPr>
            <w:r w:rsidRPr="000F5A74">
              <w:rPr>
                <w:b/>
                <w:color w:val="A6A6A6" w:themeColor="background1" w:themeShade="A6"/>
                <w:szCs w:val="17"/>
              </w:rPr>
              <w:t>Neutral</w:t>
            </w:r>
          </w:p>
        </w:tc>
      </w:tr>
      <w:tr w:rsidR="00AB3B37" w:rsidRPr="002F01EF" w14:paraId="19CFDCFB" w14:textId="77777777" w:rsidTr="00AB3B37">
        <w:trPr>
          <w:trHeight w:val="499"/>
        </w:trPr>
        <w:tc>
          <w:tcPr>
            <w:tcW w:w="679" w:type="dxa"/>
            <w:shd w:val="clear" w:color="auto" w:fill="auto"/>
            <w:vAlign w:val="center"/>
          </w:tcPr>
          <w:p w14:paraId="4B7F2D8C" w14:textId="6922102C" w:rsidR="00AB3B37" w:rsidRPr="002F01EF" w:rsidRDefault="00AB3B37" w:rsidP="00AB3B37">
            <w:pPr>
              <w:jc w:val="center"/>
              <w:rPr>
                <w:bCs/>
                <w:szCs w:val="17"/>
              </w:rPr>
            </w:pPr>
            <w:r w:rsidRPr="002F01EF">
              <w:rPr>
                <w:bCs/>
                <w:szCs w:val="17"/>
              </w:rPr>
              <w:t>772</w:t>
            </w:r>
          </w:p>
        </w:tc>
        <w:tc>
          <w:tcPr>
            <w:tcW w:w="1866" w:type="dxa"/>
            <w:shd w:val="clear" w:color="auto" w:fill="auto"/>
            <w:vAlign w:val="center"/>
          </w:tcPr>
          <w:p w14:paraId="69033D82" w14:textId="7051AEA5" w:rsidR="00AB3B37" w:rsidRPr="002F01EF" w:rsidRDefault="00AB3B37" w:rsidP="00AB3B37">
            <w:pPr>
              <w:jc w:val="center"/>
              <w:rPr>
                <w:rStyle w:val="HideTWBExt"/>
              </w:rPr>
            </w:pPr>
            <w:r w:rsidRPr="002F01EF">
              <w:t>Article 254 – paragraph 3</w:t>
            </w:r>
          </w:p>
        </w:tc>
        <w:tc>
          <w:tcPr>
            <w:tcW w:w="5964" w:type="dxa"/>
            <w:shd w:val="clear" w:color="auto" w:fill="auto"/>
          </w:tcPr>
          <w:p w14:paraId="3C5B8269" w14:textId="59AC7524" w:rsidR="00AB3B37" w:rsidRPr="002F01EF" w:rsidRDefault="00AB3B37" w:rsidP="00AB3B37">
            <w:pPr>
              <w:jc w:val="left"/>
              <w:rPr>
                <w:bCs/>
                <w:szCs w:val="17"/>
              </w:rPr>
            </w:pPr>
            <w:r w:rsidRPr="002F01EF">
              <w:rPr>
                <w:bCs/>
                <w:szCs w:val="17"/>
              </w:rPr>
              <w:t>The quarterly submission of information requested by the group supervisor is extended to 13 weeks (instead of 11 weeks), while the annual is maintained at 20 weeks.</w:t>
            </w:r>
          </w:p>
        </w:tc>
        <w:tc>
          <w:tcPr>
            <w:tcW w:w="1865" w:type="dxa"/>
            <w:shd w:val="clear" w:color="auto" w:fill="auto"/>
            <w:vAlign w:val="center"/>
          </w:tcPr>
          <w:p w14:paraId="1DA6DC59" w14:textId="43094388" w:rsidR="00AB3B37" w:rsidRPr="002F01EF" w:rsidRDefault="00AB3B37" w:rsidP="00AB3B37">
            <w:pPr>
              <w:jc w:val="center"/>
              <w:rPr>
                <w:bCs/>
                <w:szCs w:val="17"/>
              </w:rPr>
            </w:pPr>
            <w:r w:rsidRPr="002F01EF">
              <w:t>Frances Fitzgerald</w:t>
            </w:r>
          </w:p>
        </w:tc>
        <w:tc>
          <w:tcPr>
            <w:tcW w:w="2483" w:type="dxa"/>
            <w:shd w:val="clear" w:color="auto" w:fill="auto"/>
            <w:vAlign w:val="center"/>
          </w:tcPr>
          <w:p w14:paraId="256012E2" w14:textId="1A7652CC" w:rsidR="00AB3B37" w:rsidRPr="002F01EF" w:rsidRDefault="00AB3B37" w:rsidP="00AB3B37">
            <w:pPr>
              <w:jc w:val="center"/>
              <w:rPr>
                <w:bCs/>
                <w:szCs w:val="17"/>
              </w:rPr>
            </w:pPr>
            <w:r w:rsidRPr="002F01EF">
              <w:rPr>
                <w:bCs/>
                <w:szCs w:val="17"/>
              </w:rPr>
              <w:t>Groups/Reporting</w:t>
            </w:r>
          </w:p>
        </w:tc>
        <w:tc>
          <w:tcPr>
            <w:tcW w:w="1886" w:type="dxa"/>
            <w:shd w:val="clear" w:color="auto" w:fill="auto"/>
            <w:vAlign w:val="center"/>
          </w:tcPr>
          <w:p w14:paraId="71C125B1" w14:textId="4CE43069" w:rsidR="00AB3B37" w:rsidRPr="002F01EF" w:rsidRDefault="00AB3B37" w:rsidP="00AB3B37">
            <w:pPr>
              <w:jc w:val="center"/>
              <w:rPr>
                <w:bCs/>
                <w:szCs w:val="17"/>
              </w:rPr>
            </w:pPr>
            <w:r w:rsidRPr="002F01EF">
              <w:rPr>
                <w:b/>
                <w:color w:val="808080" w:themeColor="background1" w:themeShade="80"/>
                <w:szCs w:val="17"/>
              </w:rPr>
              <w:t>Mixed</w:t>
            </w:r>
          </w:p>
        </w:tc>
      </w:tr>
      <w:tr w:rsidR="00AB3B37" w:rsidRPr="002F01EF" w14:paraId="25E8543E" w14:textId="77777777" w:rsidTr="00AB3B37">
        <w:trPr>
          <w:trHeight w:val="499"/>
        </w:trPr>
        <w:tc>
          <w:tcPr>
            <w:tcW w:w="679" w:type="dxa"/>
            <w:shd w:val="clear" w:color="auto" w:fill="auto"/>
            <w:vAlign w:val="center"/>
          </w:tcPr>
          <w:p w14:paraId="3E47F6D4" w14:textId="2C477870" w:rsidR="00AB3B37" w:rsidRPr="002F01EF" w:rsidRDefault="00AB3B37" w:rsidP="00AB3B37">
            <w:pPr>
              <w:jc w:val="center"/>
              <w:rPr>
                <w:bCs/>
                <w:szCs w:val="17"/>
              </w:rPr>
            </w:pPr>
            <w:r w:rsidRPr="002F01EF">
              <w:rPr>
                <w:bCs/>
                <w:szCs w:val="17"/>
              </w:rPr>
              <w:t>773</w:t>
            </w:r>
          </w:p>
        </w:tc>
        <w:tc>
          <w:tcPr>
            <w:tcW w:w="1866" w:type="dxa"/>
            <w:shd w:val="clear" w:color="auto" w:fill="auto"/>
            <w:vAlign w:val="center"/>
          </w:tcPr>
          <w:p w14:paraId="69D4F942" w14:textId="5E69146F" w:rsidR="00AB3B37" w:rsidRPr="002F01EF" w:rsidRDefault="00AB3B37" w:rsidP="00AB3B37">
            <w:pPr>
              <w:jc w:val="center"/>
              <w:rPr>
                <w:rStyle w:val="HideTWBExt"/>
              </w:rPr>
            </w:pPr>
            <w:r w:rsidRPr="002F01EF">
              <w:t>Article 256b – paragraph 1 a (new)</w:t>
            </w:r>
          </w:p>
        </w:tc>
        <w:tc>
          <w:tcPr>
            <w:tcW w:w="5964" w:type="dxa"/>
            <w:shd w:val="clear" w:color="auto" w:fill="auto"/>
          </w:tcPr>
          <w:p w14:paraId="2A6B3571" w14:textId="586273B2" w:rsidR="00AB3B37" w:rsidRPr="002F01EF" w:rsidRDefault="00AB3B37" w:rsidP="00AB3B37">
            <w:pPr>
              <w:jc w:val="left"/>
              <w:rPr>
                <w:bCs/>
                <w:szCs w:val="17"/>
              </w:rPr>
            </w:pPr>
            <w:r w:rsidRPr="002F01EF">
              <w:t>The EC can adopt delegated acts to amend deadlines of the group regular supervisory report, in case of sanitary emergencies, natural catastrophes or other extreme events.</w:t>
            </w:r>
          </w:p>
        </w:tc>
        <w:tc>
          <w:tcPr>
            <w:tcW w:w="1865" w:type="dxa"/>
            <w:shd w:val="clear" w:color="auto" w:fill="auto"/>
            <w:vAlign w:val="center"/>
          </w:tcPr>
          <w:p w14:paraId="6DEDE912" w14:textId="3FF7CC90" w:rsidR="00AB3B37" w:rsidRPr="002F01EF" w:rsidRDefault="00AB3B37" w:rsidP="00AB3B37">
            <w:pPr>
              <w:jc w:val="center"/>
              <w:rPr>
                <w:bCs/>
                <w:szCs w:val="17"/>
              </w:rPr>
            </w:pPr>
            <w:proofErr w:type="spellStart"/>
            <w:r w:rsidRPr="002F01EF">
              <w:t>Eero</w:t>
            </w:r>
            <w:proofErr w:type="spellEnd"/>
            <w:r w:rsidRPr="002F01EF">
              <w:t xml:space="preserve"> </w:t>
            </w:r>
            <w:proofErr w:type="spellStart"/>
            <w:r w:rsidRPr="002F01EF">
              <w:t>Heinäluoma</w:t>
            </w:r>
            <w:proofErr w:type="spellEnd"/>
            <w:r w:rsidRPr="002F01EF">
              <w:t xml:space="preserve">, Aurore </w:t>
            </w:r>
            <w:proofErr w:type="spellStart"/>
            <w:r w:rsidRPr="002F01EF">
              <w:t>Lalucq</w:t>
            </w:r>
            <w:proofErr w:type="spellEnd"/>
          </w:p>
        </w:tc>
        <w:tc>
          <w:tcPr>
            <w:tcW w:w="2483" w:type="dxa"/>
            <w:shd w:val="clear" w:color="auto" w:fill="auto"/>
            <w:vAlign w:val="center"/>
          </w:tcPr>
          <w:p w14:paraId="5B133A25" w14:textId="71B44334" w:rsidR="00AB3B37" w:rsidRPr="002F01EF" w:rsidRDefault="00AB3B37" w:rsidP="00AB3B37">
            <w:pPr>
              <w:jc w:val="center"/>
              <w:rPr>
                <w:bCs/>
                <w:szCs w:val="17"/>
              </w:rPr>
            </w:pPr>
            <w:r w:rsidRPr="002F01EF">
              <w:rPr>
                <w:bCs/>
                <w:szCs w:val="17"/>
              </w:rPr>
              <w:t>Groups/Reporting</w:t>
            </w:r>
          </w:p>
        </w:tc>
        <w:tc>
          <w:tcPr>
            <w:tcW w:w="1886" w:type="dxa"/>
            <w:shd w:val="clear" w:color="auto" w:fill="auto"/>
            <w:vAlign w:val="center"/>
          </w:tcPr>
          <w:p w14:paraId="0BAA78C8" w14:textId="04E21D95" w:rsidR="00AB3B37" w:rsidRPr="002F01EF" w:rsidRDefault="00E05108" w:rsidP="00AB3B37">
            <w:pPr>
              <w:jc w:val="center"/>
              <w:rPr>
                <w:bCs/>
                <w:szCs w:val="17"/>
              </w:rPr>
            </w:pPr>
            <w:r w:rsidRPr="002F01EF">
              <w:rPr>
                <w:b/>
                <w:color w:val="00B050"/>
                <w:szCs w:val="17"/>
              </w:rPr>
              <w:t>Positive</w:t>
            </w:r>
          </w:p>
        </w:tc>
      </w:tr>
      <w:tr w:rsidR="00AB3B37" w:rsidRPr="002F01EF" w14:paraId="302E7CAA" w14:textId="77777777" w:rsidTr="00AB3B37">
        <w:trPr>
          <w:trHeight w:val="499"/>
        </w:trPr>
        <w:tc>
          <w:tcPr>
            <w:tcW w:w="679" w:type="dxa"/>
            <w:shd w:val="clear" w:color="auto" w:fill="auto"/>
            <w:vAlign w:val="center"/>
          </w:tcPr>
          <w:p w14:paraId="5CF4A238" w14:textId="6EB7335D" w:rsidR="00AB3B37" w:rsidRPr="002F01EF" w:rsidRDefault="00AB3B37" w:rsidP="00AB3B37">
            <w:pPr>
              <w:jc w:val="center"/>
              <w:rPr>
                <w:bCs/>
                <w:szCs w:val="17"/>
              </w:rPr>
            </w:pPr>
            <w:r w:rsidRPr="002F01EF">
              <w:rPr>
                <w:bCs/>
                <w:szCs w:val="17"/>
              </w:rPr>
              <w:t>774</w:t>
            </w:r>
          </w:p>
        </w:tc>
        <w:tc>
          <w:tcPr>
            <w:tcW w:w="1866" w:type="dxa"/>
            <w:shd w:val="clear" w:color="auto" w:fill="auto"/>
            <w:vAlign w:val="center"/>
          </w:tcPr>
          <w:p w14:paraId="30001410" w14:textId="1064EED4" w:rsidR="00AB3B37" w:rsidRPr="002F01EF" w:rsidRDefault="00AB3B37" w:rsidP="00AB3B37">
            <w:pPr>
              <w:jc w:val="center"/>
              <w:rPr>
                <w:rStyle w:val="HideTWBExt"/>
              </w:rPr>
            </w:pPr>
            <w:r w:rsidRPr="002F01EF">
              <w:t>Article 256c – paragraph 1</w:t>
            </w:r>
          </w:p>
        </w:tc>
        <w:tc>
          <w:tcPr>
            <w:tcW w:w="5964" w:type="dxa"/>
            <w:shd w:val="clear" w:color="auto" w:fill="auto"/>
          </w:tcPr>
          <w:p w14:paraId="0E0E7BDD" w14:textId="00CAEC92" w:rsidR="00AB3B37" w:rsidRPr="002F01EF" w:rsidRDefault="00AB3B37" w:rsidP="00AB3B37">
            <w:pPr>
              <w:jc w:val="left"/>
              <w:rPr>
                <w:bCs/>
                <w:szCs w:val="17"/>
              </w:rPr>
            </w:pPr>
            <w:r w:rsidRPr="002F01EF">
              <w:rPr>
                <w:bCs/>
                <w:szCs w:val="17"/>
              </w:rPr>
              <w:t>Editorial change-audit requirement for the consolidated balance sheet disclosed in SFCR is maintained.</w:t>
            </w:r>
          </w:p>
        </w:tc>
        <w:tc>
          <w:tcPr>
            <w:tcW w:w="1865" w:type="dxa"/>
            <w:shd w:val="clear" w:color="auto" w:fill="auto"/>
            <w:vAlign w:val="center"/>
          </w:tcPr>
          <w:p w14:paraId="5CB27CCA" w14:textId="3ADA66DA" w:rsidR="00AB3B37" w:rsidRPr="002F01EF" w:rsidRDefault="00AB3B37" w:rsidP="00AB3B37">
            <w:pPr>
              <w:jc w:val="center"/>
              <w:rPr>
                <w:szCs w:val="17"/>
              </w:rPr>
            </w:pPr>
            <w:proofErr w:type="spellStart"/>
            <w:r w:rsidRPr="002F01EF">
              <w:t>Stéphanie</w:t>
            </w:r>
            <w:proofErr w:type="spellEnd"/>
            <w:r w:rsidRPr="002F01EF">
              <w:t xml:space="preserve"> Yon-Courtin, Pascal Durand, Gilles Boyer</w:t>
            </w:r>
          </w:p>
        </w:tc>
        <w:tc>
          <w:tcPr>
            <w:tcW w:w="2483" w:type="dxa"/>
            <w:shd w:val="clear" w:color="auto" w:fill="auto"/>
            <w:vAlign w:val="center"/>
          </w:tcPr>
          <w:p w14:paraId="466A315E" w14:textId="3E7C110F" w:rsidR="00AB3B37" w:rsidRPr="002F01EF" w:rsidRDefault="00AB3B37" w:rsidP="00AB3B37">
            <w:pPr>
              <w:jc w:val="center"/>
              <w:rPr>
                <w:szCs w:val="17"/>
              </w:rPr>
            </w:pPr>
            <w:r w:rsidRPr="002F01EF">
              <w:rPr>
                <w:bCs/>
                <w:szCs w:val="17"/>
              </w:rPr>
              <w:t>Groups/Reporting</w:t>
            </w:r>
            <w:r w:rsidR="00730FEC" w:rsidRPr="002F01EF">
              <w:rPr>
                <w:bCs/>
                <w:szCs w:val="17"/>
              </w:rPr>
              <w:t>/editorial</w:t>
            </w:r>
          </w:p>
        </w:tc>
        <w:tc>
          <w:tcPr>
            <w:tcW w:w="1886" w:type="dxa"/>
            <w:shd w:val="clear" w:color="auto" w:fill="auto"/>
            <w:vAlign w:val="center"/>
          </w:tcPr>
          <w:p w14:paraId="72F4B0C5" w14:textId="4B5918FC" w:rsidR="00AB3B37" w:rsidRPr="002F01EF" w:rsidRDefault="00AB3B37" w:rsidP="00AB3B37">
            <w:pPr>
              <w:jc w:val="center"/>
              <w:rPr>
                <w:szCs w:val="17"/>
              </w:rPr>
            </w:pPr>
          </w:p>
        </w:tc>
      </w:tr>
      <w:tr w:rsidR="00AB3B37" w:rsidRPr="002F01EF" w14:paraId="77013099" w14:textId="77777777" w:rsidTr="00AB3B37">
        <w:trPr>
          <w:trHeight w:val="499"/>
        </w:trPr>
        <w:tc>
          <w:tcPr>
            <w:tcW w:w="679" w:type="dxa"/>
            <w:shd w:val="clear" w:color="auto" w:fill="auto"/>
            <w:vAlign w:val="center"/>
          </w:tcPr>
          <w:p w14:paraId="6B191EC9" w14:textId="2721FC39" w:rsidR="00AB3B37" w:rsidRPr="002F01EF" w:rsidRDefault="00AB3B37" w:rsidP="00AB3B37">
            <w:pPr>
              <w:jc w:val="center"/>
              <w:rPr>
                <w:szCs w:val="17"/>
              </w:rPr>
            </w:pPr>
            <w:r w:rsidRPr="002F01EF">
              <w:rPr>
                <w:bCs/>
                <w:szCs w:val="17"/>
              </w:rPr>
              <w:t>775</w:t>
            </w:r>
          </w:p>
        </w:tc>
        <w:tc>
          <w:tcPr>
            <w:tcW w:w="1866" w:type="dxa"/>
            <w:shd w:val="clear" w:color="auto" w:fill="auto"/>
            <w:vAlign w:val="center"/>
          </w:tcPr>
          <w:p w14:paraId="3DBEE621" w14:textId="42FC0508" w:rsidR="00AB3B37" w:rsidRPr="002F01EF" w:rsidRDefault="00AB3B37" w:rsidP="00AB3B37">
            <w:pPr>
              <w:jc w:val="center"/>
              <w:rPr>
                <w:rStyle w:val="HideTWBExt"/>
              </w:rPr>
            </w:pPr>
            <w:r w:rsidRPr="002F01EF">
              <w:t>Article 258 – paragraph 2 c (new)</w:t>
            </w:r>
          </w:p>
        </w:tc>
        <w:tc>
          <w:tcPr>
            <w:tcW w:w="5964" w:type="dxa"/>
            <w:shd w:val="clear" w:color="auto" w:fill="auto"/>
          </w:tcPr>
          <w:p w14:paraId="5F8F430C" w14:textId="39AEAEB6" w:rsidR="00AB3B37" w:rsidRPr="002F01EF" w:rsidRDefault="00AB3B37" w:rsidP="00AB3B37">
            <w:pPr>
              <w:jc w:val="left"/>
              <w:rPr>
                <w:szCs w:val="17"/>
              </w:rPr>
            </w:pPr>
            <w:r w:rsidRPr="002F01EF">
              <w:rPr>
                <w:bCs/>
                <w:szCs w:val="17"/>
              </w:rPr>
              <w:t xml:space="preserve">EIOPA to issue guidelines regarding the application of the supervisory measures that may be applied to insurance holding companies and </w:t>
            </w:r>
            <w:r w:rsidR="00E57923">
              <w:rPr>
                <w:bCs/>
                <w:szCs w:val="17"/>
              </w:rPr>
              <w:t>m</w:t>
            </w:r>
            <w:r w:rsidRPr="002F01EF">
              <w:rPr>
                <w:bCs/>
                <w:szCs w:val="17"/>
              </w:rPr>
              <w:t>ixed financial holding companies. Therefore, supervisory measures such as restrictions of dividends are maintained.</w:t>
            </w:r>
          </w:p>
        </w:tc>
        <w:tc>
          <w:tcPr>
            <w:tcW w:w="1865" w:type="dxa"/>
            <w:shd w:val="clear" w:color="auto" w:fill="auto"/>
            <w:vAlign w:val="center"/>
          </w:tcPr>
          <w:p w14:paraId="160C1301" w14:textId="4AAA766C" w:rsidR="00AB3B37" w:rsidRPr="002F01EF" w:rsidRDefault="00AB3B37" w:rsidP="00AB3B37">
            <w:pPr>
              <w:jc w:val="center"/>
              <w:rPr>
                <w:szCs w:val="17"/>
              </w:rPr>
            </w:pPr>
            <w:proofErr w:type="spellStart"/>
            <w:r w:rsidRPr="002F01EF">
              <w:t>Eero</w:t>
            </w:r>
            <w:proofErr w:type="spellEnd"/>
            <w:r w:rsidRPr="002F01EF">
              <w:t xml:space="preserve"> </w:t>
            </w:r>
            <w:proofErr w:type="spellStart"/>
            <w:r w:rsidRPr="002F01EF">
              <w:t>Heinäluoma</w:t>
            </w:r>
            <w:proofErr w:type="spellEnd"/>
            <w:r w:rsidRPr="002F01EF">
              <w:t xml:space="preserve">, Aurore </w:t>
            </w:r>
            <w:proofErr w:type="spellStart"/>
            <w:r w:rsidRPr="002F01EF">
              <w:t>Lalucq</w:t>
            </w:r>
            <w:proofErr w:type="spellEnd"/>
          </w:p>
        </w:tc>
        <w:tc>
          <w:tcPr>
            <w:tcW w:w="2483" w:type="dxa"/>
            <w:shd w:val="clear" w:color="auto" w:fill="auto"/>
            <w:vAlign w:val="center"/>
          </w:tcPr>
          <w:p w14:paraId="6841D990" w14:textId="6C2EAFEC" w:rsidR="00AB3B37" w:rsidRPr="002F01EF" w:rsidRDefault="00AB3B37" w:rsidP="00AB3B37">
            <w:pPr>
              <w:jc w:val="center"/>
              <w:rPr>
                <w:szCs w:val="17"/>
              </w:rPr>
            </w:pPr>
            <w:r w:rsidRPr="002F01EF">
              <w:rPr>
                <w:bCs/>
                <w:szCs w:val="17"/>
              </w:rPr>
              <w:t>Groups/Supervisory powers/EIOPA powers</w:t>
            </w:r>
          </w:p>
        </w:tc>
        <w:tc>
          <w:tcPr>
            <w:tcW w:w="1886" w:type="dxa"/>
            <w:shd w:val="clear" w:color="auto" w:fill="auto"/>
            <w:vAlign w:val="center"/>
          </w:tcPr>
          <w:p w14:paraId="41445F1A" w14:textId="4998640F" w:rsidR="00AB3B37" w:rsidRPr="002F01EF" w:rsidRDefault="00633005" w:rsidP="00AB3B37">
            <w:pPr>
              <w:jc w:val="center"/>
              <w:rPr>
                <w:szCs w:val="17"/>
              </w:rPr>
            </w:pPr>
            <w:r w:rsidRPr="002F01EF">
              <w:rPr>
                <w:b/>
                <w:color w:val="FF0000"/>
                <w:szCs w:val="17"/>
              </w:rPr>
              <w:t>Negative</w:t>
            </w:r>
          </w:p>
        </w:tc>
      </w:tr>
      <w:tr w:rsidR="00AB3B37" w:rsidRPr="002F01EF" w14:paraId="3AF0E0C3" w14:textId="77777777" w:rsidTr="00AB3B37">
        <w:trPr>
          <w:trHeight w:val="499"/>
        </w:trPr>
        <w:tc>
          <w:tcPr>
            <w:tcW w:w="679" w:type="dxa"/>
            <w:shd w:val="clear" w:color="auto" w:fill="auto"/>
            <w:vAlign w:val="center"/>
          </w:tcPr>
          <w:p w14:paraId="03B25AB7" w14:textId="2DAE07D4" w:rsidR="00AB3B37" w:rsidRPr="002F01EF" w:rsidRDefault="00AB3B37" w:rsidP="00AB3B37">
            <w:pPr>
              <w:jc w:val="center"/>
              <w:rPr>
                <w:szCs w:val="17"/>
              </w:rPr>
            </w:pPr>
            <w:r w:rsidRPr="002F01EF">
              <w:rPr>
                <w:bCs/>
                <w:szCs w:val="17"/>
              </w:rPr>
              <w:t>776</w:t>
            </w:r>
          </w:p>
        </w:tc>
        <w:tc>
          <w:tcPr>
            <w:tcW w:w="1866" w:type="dxa"/>
            <w:shd w:val="clear" w:color="auto" w:fill="auto"/>
            <w:vAlign w:val="center"/>
          </w:tcPr>
          <w:p w14:paraId="6C4EDF24" w14:textId="2F218B2E" w:rsidR="00AB3B37" w:rsidRPr="002F01EF" w:rsidRDefault="00AB3B37" w:rsidP="00AB3B37">
            <w:pPr>
              <w:jc w:val="center"/>
              <w:rPr>
                <w:rStyle w:val="HideTWBExt"/>
              </w:rPr>
            </w:pPr>
            <w:r w:rsidRPr="002F01EF">
              <w:t>Article 258 – paragraph 2 d (new)</w:t>
            </w:r>
          </w:p>
        </w:tc>
        <w:tc>
          <w:tcPr>
            <w:tcW w:w="5964" w:type="dxa"/>
            <w:shd w:val="clear" w:color="auto" w:fill="auto"/>
          </w:tcPr>
          <w:p w14:paraId="28D35EEB" w14:textId="1A841256" w:rsidR="00AB3B37" w:rsidRPr="002F01EF" w:rsidRDefault="00AB3B37" w:rsidP="00AB3B37">
            <w:pPr>
              <w:jc w:val="left"/>
              <w:rPr>
                <w:szCs w:val="17"/>
              </w:rPr>
            </w:pPr>
            <w:r w:rsidRPr="002F01EF">
              <w:rPr>
                <w:bCs/>
                <w:szCs w:val="17"/>
              </w:rPr>
              <w:t>EIOPA is empowered to issue recommendations to the NSAs in respect of several supervisory measures such as suspension of voting rights, issuance of injunctions, sanctions or penalties against the holding companies or the management of those, etc.</w:t>
            </w:r>
          </w:p>
        </w:tc>
        <w:tc>
          <w:tcPr>
            <w:tcW w:w="1865" w:type="dxa"/>
            <w:shd w:val="clear" w:color="auto" w:fill="auto"/>
            <w:vAlign w:val="center"/>
          </w:tcPr>
          <w:p w14:paraId="4FED1425" w14:textId="5F29EF08" w:rsidR="00AB3B37" w:rsidRPr="002F01EF" w:rsidRDefault="00AB3B37" w:rsidP="00AB3B37">
            <w:pPr>
              <w:jc w:val="center"/>
              <w:rPr>
                <w:szCs w:val="17"/>
              </w:rPr>
            </w:pPr>
            <w:proofErr w:type="spellStart"/>
            <w:r w:rsidRPr="002F01EF">
              <w:t>Eero</w:t>
            </w:r>
            <w:proofErr w:type="spellEnd"/>
            <w:r w:rsidRPr="002F01EF">
              <w:t xml:space="preserve"> </w:t>
            </w:r>
            <w:proofErr w:type="spellStart"/>
            <w:r w:rsidRPr="002F01EF">
              <w:t>Heinäluoma</w:t>
            </w:r>
            <w:proofErr w:type="spellEnd"/>
            <w:r w:rsidRPr="002F01EF">
              <w:t xml:space="preserve">, Aurore </w:t>
            </w:r>
            <w:proofErr w:type="spellStart"/>
            <w:r w:rsidRPr="002F01EF">
              <w:t>Lalucq</w:t>
            </w:r>
            <w:proofErr w:type="spellEnd"/>
          </w:p>
        </w:tc>
        <w:tc>
          <w:tcPr>
            <w:tcW w:w="2483" w:type="dxa"/>
            <w:shd w:val="clear" w:color="auto" w:fill="auto"/>
            <w:vAlign w:val="center"/>
          </w:tcPr>
          <w:p w14:paraId="552AA0D0" w14:textId="78191CF3" w:rsidR="00AB3B37" w:rsidRPr="002F01EF" w:rsidRDefault="00AB3B37" w:rsidP="00AB3B37">
            <w:pPr>
              <w:jc w:val="center"/>
              <w:rPr>
                <w:szCs w:val="17"/>
              </w:rPr>
            </w:pPr>
            <w:r w:rsidRPr="002F01EF">
              <w:rPr>
                <w:bCs/>
                <w:szCs w:val="17"/>
              </w:rPr>
              <w:t>Groups/Supervisory powers/EIOPA powers</w:t>
            </w:r>
          </w:p>
        </w:tc>
        <w:tc>
          <w:tcPr>
            <w:tcW w:w="1886" w:type="dxa"/>
            <w:shd w:val="clear" w:color="auto" w:fill="auto"/>
            <w:vAlign w:val="center"/>
          </w:tcPr>
          <w:p w14:paraId="5F682F71" w14:textId="48425150" w:rsidR="00AB3B37" w:rsidRPr="002F01EF" w:rsidRDefault="00E05108" w:rsidP="00AB3B37">
            <w:pPr>
              <w:jc w:val="center"/>
              <w:rPr>
                <w:b/>
                <w:color w:val="808080" w:themeColor="background1" w:themeShade="80"/>
                <w:szCs w:val="17"/>
              </w:rPr>
            </w:pPr>
            <w:r w:rsidRPr="002F01EF">
              <w:rPr>
                <w:b/>
                <w:color w:val="FF0000"/>
                <w:szCs w:val="17"/>
              </w:rPr>
              <w:t>Negative</w:t>
            </w:r>
          </w:p>
        </w:tc>
      </w:tr>
      <w:tr w:rsidR="00AB3B37" w:rsidRPr="002F01EF" w14:paraId="7A1B3533" w14:textId="77777777" w:rsidTr="00AB3B37">
        <w:trPr>
          <w:trHeight w:val="499"/>
        </w:trPr>
        <w:tc>
          <w:tcPr>
            <w:tcW w:w="679" w:type="dxa"/>
            <w:shd w:val="clear" w:color="auto" w:fill="auto"/>
            <w:vAlign w:val="center"/>
          </w:tcPr>
          <w:p w14:paraId="45EB6318" w14:textId="23DE9040" w:rsidR="00AB3B37" w:rsidRPr="002F01EF" w:rsidRDefault="00AB3B37" w:rsidP="00AB3B37">
            <w:pPr>
              <w:jc w:val="center"/>
              <w:rPr>
                <w:szCs w:val="17"/>
              </w:rPr>
            </w:pPr>
            <w:r w:rsidRPr="002F01EF">
              <w:rPr>
                <w:bCs/>
                <w:szCs w:val="17"/>
              </w:rPr>
              <w:t>777-779</w:t>
            </w:r>
          </w:p>
        </w:tc>
        <w:tc>
          <w:tcPr>
            <w:tcW w:w="1866" w:type="dxa"/>
            <w:shd w:val="clear" w:color="auto" w:fill="auto"/>
            <w:vAlign w:val="center"/>
          </w:tcPr>
          <w:p w14:paraId="724569C8" w14:textId="5A9D8D8F" w:rsidR="00AB3B37" w:rsidRPr="002F01EF" w:rsidRDefault="00AB3B37" w:rsidP="00AB3B37">
            <w:pPr>
              <w:jc w:val="center"/>
              <w:rPr>
                <w:rStyle w:val="HideTWBExt"/>
              </w:rPr>
            </w:pPr>
            <w:r w:rsidRPr="002F01EF">
              <w:t>Article 301a – paragraph 5</w:t>
            </w:r>
          </w:p>
        </w:tc>
        <w:tc>
          <w:tcPr>
            <w:tcW w:w="5964" w:type="dxa"/>
            <w:shd w:val="clear" w:color="auto" w:fill="auto"/>
          </w:tcPr>
          <w:p w14:paraId="6BF8043B" w14:textId="0CE48B0C" w:rsidR="00AB3B37" w:rsidRPr="002F01EF" w:rsidRDefault="00AB3B37" w:rsidP="00AB3B37">
            <w:pPr>
              <w:jc w:val="left"/>
              <w:rPr>
                <w:szCs w:val="17"/>
              </w:rPr>
            </w:pPr>
            <w:r w:rsidRPr="002F01EF">
              <w:rPr>
                <w:bCs/>
                <w:szCs w:val="17"/>
              </w:rPr>
              <w:t>Inclusion of articles 44 and 44a (777) or 44 (778, 779) to the list of articles that delegated acts can be adopted and enter into force in case of no objection from the European Parliament or the Council.</w:t>
            </w:r>
          </w:p>
        </w:tc>
        <w:tc>
          <w:tcPr>
            <w:tcW w:w="1865" w:type="dxa"/>
            <w:shd w:val="clear" w:color="auto" w:fill="auto"/>
            <w:vAlign w:val="center"/>
          </w:tcPr>
          <w:p w14:paraId="24C73EE6" w14:textId="135BD249" w:rsidR="00AB3B37" w:rsidRPr="002F01EF" w:rsidRDefault="00AB3B37" w:rsidP="00AB3B37">
            <w:pPr>
              <w:jc w:val="center"/>
              <w:rPr>
                <w:szCs w:val="17"/>
              </w:rPr>
            </w:pPr>
            <w:r w:rsidRPr="002F01EF">
              <w:t xml:space="preserve">Chris MacManus (777) and Paul Tang (778) and Aurore </w:t>
            </w:r>
            <w:proofErr w:type="spellStart"/>
            <w:r w:rsidRPr="002F01EF">
              <w:t>Lalucq</w:t>
            </w:r>
            <w:proofErr w:type="spellEnd"/>
            <w:r w:rsidRPr="002F01EF">
              <w:t xml:space="preserve"> (779)</w:t>
            </w:r>
          </w:p>
        </w:tc>
        <w:tc>
          <w:tcPr>
            <w:tcW w:w="2483" w:type="dxa"/>
            <w:shd w:val="clear" w:color="auto" w:fill="auto"/>
            <w:vAlign w:val="center"/>
          </w:tcPr>
          <w:p w14:paraId="0AC4D3F3" w14:textId="3D5E3AF7" w:rsidR="00AB3B37" w:rsidRPr="002F01EF" w:rsidRDefault="00AB3B37" w:rsidP="00AB3B37">
            <w:pPr>
              <w:jc w:val="center"/>
              <w:rPr>
                <w:szCs w:val="17"/>
              </w:rPr>
            </w:pPr>
            <w:r w:rsidRPr="002F01EF">
              <w:rPr>
                <w:bCs/>
                <w:szCs w:val="17"/>
              </w:rPr>
              <w:t>Exercise of delegation</w:t>
            </w:r>
          </w:p>
        </w:tc>
        <w:tc>
          <w:tcPr>
            <w:tcW w:w="1886" w:type="dxa"/>
            <w:shd w:val="clear" w:color="auto" w:fill="auto"/>
            <w:vAlign w:val="center"/>
          </w:tcPr>
          <w:p w14:paraId="3C03D550" w14:textId="79008440"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1C4DFE08" w14:textId="77777777" w:rsidTr="00AB3B37">
        <w:trPr>
          <w:trHeight w:val="499"/>
        </w:trPr>
        <w:tc>
          <w:tcPr>
            <w:tcW w:w="679" w:type="dxa"/>
            <w:shd w:val="clear" w:color="auto" w:fill="auto"/>
            <w:vAlign w:val="center"/>
          </w:tcPr>
          <w:p w14:paraId="00D4EF40" w14:textId="2CD16AF2" w:rsidR="00AB3B37" w:rsidRPr="002F01EF" w:rsidRDefault="00AB3B37" w:rsidP="00AB3B37">
            <w:pPr>
              <w:jc w:val="center"/>
              <w:rPr>
                <w:szCs w:val="17"/>
              </w:rPr>
            </w:pPr>
            <w:r w:rsidRPr="002F01EF">
              <w:rPr>
                <w:szCs w:val="17"/>
              </w:rPr>
              <w:t>780</w:t>
            </w:r>
          </w:p>
        </w:tc>
        <w:tc>
          <w:tcPr>
            <w:tcW w:w="1866" w:type="dxa"/>
            <w:shd w:val="clear" w:color="auto" w:fill="auto"/>
            <w:vAlign w:val="center"/>
          </w:tcPr>
          <w:p w14:paraId="03EB1856" w14:textId="743E94A7" w:rsidR="00AB3B37" w:rsidRPr="002F01EF" w:rsidRDefault="00AB3B37" w:rsidP="00AB3B37">
            <w:pPr>
              <w:jc w:val="center"/>
              <w:rPr>
                <w:rStyle w:val="HideTWBExt"/>
              </w:rPr>
            </w:pPr>
            <w:r w:rsidRPr="002F01EF">
              <w:t>Article 304 – paragraph 1</w:t>
            </w:r>
          </w:p>
        </w:tc>
        <w:tc>
          <w:tcPr>
            <w:tcW w:w="5964" w:type="dxa"/>
            <w:shd w:val="clear" w:color="auto" w:fill="auto"/>
          </w:tcPr>
          <w:p w14:paraId="6D11438D" w14:textId="3B8247D8" w:rsidR="00AB3B37" w:rsidRPr="002F01EF" w:rsidRDefault="00AB3B37" w:rsidP="00AB3B37">
            <w:pPr>
              <w:jc w:val="left"/>
              <w:rPr>
                <w:szCs w:val="17"/>
              </w:rPr>
            </w:pPr>
            <w:r w:rsidRPr="002F01EF">
              <w:rPr>
                <w:bCs/>
                <w:szCs w:val="17"/>
              </w:rPr>
              <w:t>Undertakings only need to meet the requirement of an average duration of liabilities that exceeds 8 years in order be authorised to apply an equity risk sub-module consistent with the typical holding period of the undertaking’s equity investments.</w:t>
            </w:r>
          </w:p>
        </w:tc>
        <w:tc>
          <w:tcPr>
            <w:tcW w:w="1865" w:type="dxa"/>
            <w:shd w:val="clear" w:color="auto" w:fill="auto"/>
            <w:vAlign w:val="center"/>
          </w:tcPr>
          <w:p w14:paraId="4A597948" w14:textId="2785E0BC" w:rsidR="00AB3B37" w:rsidRPr="002E30E3" w:rsidRDefault="00AB3B37" w:rsidP="00AB3B37">
            <w:pPr>
              <w:jc w:val="center"/>
              <w:rPr>
                <w:szCs w:val="17"/>
                <w:lang w:val="it-IT"/>
              </w:rPr>
            </w:pPr>
            <w:r w:rsidRPr="002E30E3">
              <w:rPr>
                <w:lang w:val="it-IT"/>
              </w:rPr>
              <w:t>Marco Zanni, Valentino Grant, Antonio Maria Rinaldi</w:t>
            </w:r>
          </w:p>
        </w:tc>
        <w:tc>
          <w:tcPr>
            <w:tcW w:w="2483" w:type="dxa"/>
            <w:shd w:val="clear" w:color="auto" w:fill="auto"/>
            <w:vAlign w:val="center"/>
          </w:tcPr>
          <w:p w14:paraId="658E9FE3" w14:textId="2C7CC215" w:rsidR="00AB3B37" w:rsidRPr="002F01EF" w:rsidRDefault="00AB3B37" w:rsidP="00AB3B37">
            <w:pPr>
              <w:jc w:val="center"/>
              <w:rPr>
                <w:szCs w:val="17"/>
              </w:rPr>
            </w:pPr>
            <w:r w:rsidRPr="002F01EF">
              <w:rPr>
                <w:szCs w:val="17"/>
              </w:rPr>
              <w:t>Duration-based equity</w:t>
            </w:r>
          </w:p>
        </w:tc>
        <w:tc>
          <w:tcPr>
            <w:tcW w:w="1886" w:type="dxa"/>
            <w:shd w:val="clear" w:color="auto" w:fill="auto"/>
            <w:vAlign w:val="center"/>
          </w:tcPr>
          <w:p w14:paraId="2B98B46A" w14:textId="6D04F3A4" w:rsidR="00AB3B37" w:rsidRPr="002F01EF" w:rsidRDefault="00C03571" w:rsidP="00AB3B37">
            <w:pPr>
              <w:jc w:val="center"/>
              <w:rPr>
                <w:b/>
                <w:color w:val="808080" w:themeColor="background1" w:themeShade="80"/>
                <w:szCs w:val="17"/>
              </w:rPr>
            </w:pPr>
            <w:r w:rsidRPr="00116C47">
              <w:rPr>
                <w:b/>
                <w:color w:val="00B050"/>
                <w:szCs w:val="17"/>
              </w:rPr>
              <w:t>Positive</w:t>
            </w:r>
          </w:p>
        </w:tc>
      </w:tr>
      <w:tr w:rsidR="00AB3B37" w:rsidRPr="002F01EF" w14:paraId="057B6BA7" w14:textId="77777777" w:rsidTr="00AB3B37">
        <w:trPr>
          <w:trHeight w:val="499"/>
        </w:trPr>
        <w:tc>
          <w:tcPr>
            <w:tcW w:w="679" w:type="dxa"/>
            <w:shd w:val="clear" w:color="auto" w:fill="auto"/>
            <w:vAlign w:val="center"/>
          </w:tcPr>
          <w:p w14:paraId="7269C44B" w14:textId="13A06898" w:rsidR="00AB3B37" w:rsidRPr="002F01EF" w:rsidRDefault="00AB3B37" w:rsidP="00AB3B37">
            <w:pPr>
              <w:jc w:val="center"/>
              <w:rPr>
                <w:szCs w:val="17"/>
              </w:rPr>
            </w:pPr>
            <w:r w:rsidRPr="002F01EF">
              <w:rPr>
                <w:bCs/>
                <w:szCs w:val="17"/>
              </w:rPr>
              <w:t>781</w:t>
            </w:r>
          </w:p>
        </w:tc>
        <w:tc>
          <w:tcPr>
            <w:tcW w:w="1866" w:type="dxa"/>
            <w:shd w:val="clear" w:color="auto" w:fill="auto"/>
            <w:vAlign w:val="center"/>
          </w:tcPr>
          <w:p w14:paraId="5E9C57F9" w14:textId="46C00588" w:rsidR="00AB3B37" w:rsidRPr="002F01EF" w:rsidRDefault="00AB3B37" w:rsidP="00AB3B37">
            <w:pPr>
              <w:jc w:val="center"/>
              <w:rPr>
                <w:rStyle w:val="HideTWBExt"/>
              </w:rPr>
            </w:pPr>
            <w:r w:rsidRPr="002F01EF">
              <w:t>Article 304 – paragraph 2</w:t>
            </w:r>
          </w:p>
        </w:tc>
        <w:tc>
          <w:tcPr>
            <w:tcW w:w="5964" w:type="dxa"/>
            <w:shd w:val="clear" w:color="auto" w:fill="auto"/>
          </w:tcPr>
          <w:p w14:paraId="2EE7C67F" w14:textId="3EB6BD78" w:rsidR="00AB3B37" w:rsidRPr="002F01EF" w:rsidRDefault="00AB3B37" w:rsidP="00AB3B37">
            <w:pPr>
              <w:jc w:val="left"/>
              <w:rPr>
                <w:szCs w:val="17"/>
              </w:rPr>
            </w:pPr>
            <w:r w:rsidRPr="002F01EF">
              <w:rPr>
                <w:bCs/>
                <w:szCs w:val="17"/>
              </w:rPr>
              <w:t>Deletion of paragraph requiring life undertakings to request supervisory approval to apply the duration-based equity sub-module.</w:t>
            </w:r>
          </w:p>
        </w:tc>
        <w:tc>
          <w:tcPr>
            <w:tcW w:w="1865" w:type="dxa"/>
            <w:shd w:val="clear" w:color="auto" w:fill="auto"/>
            <w:vAlign w:val="center"/>
          </w:tcPr>
          <w:p w14:paraId="0CB6C437" w14:textId="1DBC85A7" w:rsidR="00AB3B37" w:rsidRPr="002E30E3" w:rsidRDefault="00AB3B37" w:rsidP="00AB3B37">
            <w:pPr>
              <w:jc w:val="center"/>
              <w:rPr>
                <w:szCs w:val="17"/>
                <w:lang w:val="it-IT"/>
              </w:rPr>
            </w:pPr>
            <w:r w:rsidRPr="002E30E3">
              <w:rPr>
                <w:lang w:val="it-IT"/>
              </w:rPr>
              <w:t xml:space="preserve">Marco Zanni, Valentino Grant, Antonio Maria </w:t>
            </w:r>
            <w:r w:rsidRPr="002E30E3">
              <w:rPr>
                <w:lang w:val="it-IT"/>
              </w:rPr>
              <w:lastRenderedPageBreak/>
              <w:t>Rinaldi</w:t>
            </w:r>
          </w:p>
        </w:tc>
        <w:tc>
          <w:tcPr>
            <w:tcW w:w="2483" w:type="dxa"/>
            <w:shd w:val="clear" w:color="auto" w:fill="auto"/>
            <w:vAlign w:val="center"/>
          </w:tcPr>
          <w:p w14:paraId="5A922FCC" w14:textId="22572829" w:rsidR="00AB3B37" w:rsidRPr="002F01EF" w:rsidRDefault="00AB3B37" w:rsidP="00AB3B37">
            <w:pPr>
              <w:jc w:val="center"/>
              <w:rPr>
                <w:szCs w:val="17"/>
              </w:rPr>
            </w:pPr>
            <w:r w:rsidRPr="002F01EF">
              <w:rPr>
                <w:szCs w:val="17"/>
              </w:rPr>
              <w:lastRenderedPageBreak/>
              <w:t>Duration-based equity</w:t>
            </w:r>
          </w:p>
        </w:tc>
        <w:tc>
          <w:tcPr>
            <w:tcW w:w="1886" w:type="dxa"/>
            <w:shd w:val="clear" w:color="auto" w:fill="auto"/>
            <w:vAlign w:val="center"/>
          </w:tcPr>
          <w:p w14:paraId="35407954" w14:textId="16F0335F" w:rsidR="00AB3B37" w:rsidRPr="002F01EF" w:rsidRDefault="00C03571" w:rsidP="00AB3B37">
            <w:pPr>
              <w:jc w:val="center"/>
              <w:rPr>
                <w:b/>
                <w:color w:val="808080" w:themeColor="background1" w:themeShade="80"/>
                <w:szCs w:val="17"/>
              </w:rPr>
            </w:pPr>
            <w:r w:rsidRPr="000F295F">
              <w:rPr>
                <w:b/>
                <w:color w:val="00B050"/>
                <w:szCs w:val="17"/>
              </w:rPr>
              <w:t>Positive</w:t>
            </w:r>
          </w:p>
        </w:tc>
      </w:tr>
      <w:tr w:rsidR="00AB3B37" w:rsidRPr="002F01EF" w14:paraId="499C27C8" w14:textId="77777777" w:rsidTr="00AB3B37">
        <w:trPr>
          <w:trHeight w:val="499"/>
        </w:trPr>
        <w:tc>
          <w:tcPr>
            <w:tcW w:w="679" w:type="dxa"/>
            <w:shd w:val="clear" w:color="auto" w:fill="auto"/>
            <w:vAlign w:val="center"/>
          </w:tcPr>
          <w:p w14:paraId="6ADD9ADD" w14:textId="6A432932" w:rsidR="00AB3B37" w:rsidRPr="002F01EF" w:rsidRDefault="00AB3B37" w:rsidP="00AB3B37">
            <w:pPr>
              <w:jc w:val="center"/>
              <w:rPr>
                <w:szCs w:val="17"/>
              </w:rPr>
            </w:pPr>
            <w:r w:rsidRPr="002F01EF">
              <w:rPr>
                <w:bCs/>
                <w:szCs w:val="17"/>
              </w:rPr>
              <w:t>782</w:t>
            </w:r>
          </w:p>
        </w:tc>
        <w:tc>
          <w:tcPr>
            <w:tcW w:w="1866" w:type="dxa"/>
            <w:shd w:val="clear" w:color="auto" w:fill="auto"/>
            <w:vAlign w:val="center"/>
          </w:tcPr>
          <w:p w14:paraId="528B0F23" w14:textId="10229AE4" w:rsidR="00AB3B37" w:rsidRPr="002F01EF" w:rsidRDefault="00AB3B37" w:rsidP="00AB3B37">
            <w:pPr>
              <w:jc w:val="center"/>
              <w:rPr>
                <w:rStyle w:val="HideTWBExt"/>
              </w:rPr>
            </w:pPr>
            <w:r w:rsidRPr="002F01EF">
              <w:t>Article 304a – paragraph 1 – subparagraph 1</w:t>
            </w:r>
          </w:p>
        </w:tc>
        <w:tc>
          <w:tcPr>
            <w:tcW w:w="5964" w:type="dxa"/>
            <w:shd w:val="clear" w:color="auto" w:fill="auto"/>
          </w:tcPr>
          <w:p w14:paraId="12725B16" w14:textId="6874DC7A" w:rsidR="00AB3B37" w:rsidRPr="002F01EF" w:rsidRDefault="00AB3B37" w:rsidP="00AB3B37">
            <w:pPr>
              <w:jc w:val="left"/>
              <w:rPr>
                <w:bCs/>
                <w:szCs w:val="17"/>
              </w:rPr>
            </w:pPr>
            <w:r w:rsidRPr="002F01EF">
              <w:rPr>
                <w:bCs/>
                <w:szCs w:val="17"/>
              </w:rPr>
              <w:t xml:space="preserve">EIOPA to include fossil fuel related assets in its assessment of </w:t>
            </w:r>
            <w:proofErr w:type="gramStart"/>
            <w:r w:rsidRPr="002F01EF">
              <w:rPr>
                <w:bCs/>
                <w:szCs w:val="17"/>
              </w:rPr>
              <w:t xml:space="preserve">the  </w:t>
            </w:r>
            <w:r w:rsidRPr="002F01EF">
              <w:rPr>
                <w:bCs/>
                <w:i/>
                <w:iCs/>
                <w:szCs w:val="17"/>
              </w:rPr>
              <w:t>”</w:t>
            </w:r>
            <w:proofErr w:type="gramEnd"/>
            <w:r w:rsidRPr="002F01EF">
              <w:rPr>
                <w:bCs/>
                <w:i/>
                <w:iCs/>
                <w:szCs w:val="17"/>
              </w:rPr>
              <w:t>potential effects of a dedicated prudential treatment of exposures related to assets and activities which are associated substantially with environmental and/or social objectives or which are associated substantially with harm to such objectives on the protection of policy holders and financial stability in the Union”.</w:t>
            </w:r>
          </w:p>
          <w:p w14:paraId="1C95F0B8" w14:textId="77777777" w:rsidR="00AB3B37" w:rsidRPr="002F01EF" w:rsidRDefault="00AB3B37" w:rsidP="00AB3B37">
            <w:pPr>
              <w:jc w:val="left"/>
              <w:rPr>
                <w:bCs/>
                <w:szCs w:val="17"/>
              </w:rPr>
            </w:pPr>
          </w:p>
          <w:p w14:paraId="3BD09F7C" w14:textId="7B48FA39" w:rsidR="00AB3B37" w:rsidRPr="002F01EF" w:rsidRDefault="00AB3B37" w:rsidP="00AB3B37">
            <w:pPr>
              <w:jc w:val="left"/>
              <w:rPr>
                <w:i/>
                <w:szCs w:val="17"/>
              </w:rPr>
            </w:pPr>
            <w:r w:rsidRPr="002F01EF">
              <w:rPr>
                <w:bCs/>
                <w:i/>
                <w:iCs/>
                <w:szCs w:val="17"/>
              </w:rPr>
              <w:t xml:space="preserve">Justification: </w:t>
            </w:r>
            <w:r w:rsidRPr="002F01EF">
              <w:rPr>
                <w:i/>
                <w:iCs/>
              </w:rPr>
              <w:t>Beyond working on green and brown assets, EIOPA's mandate should include an in-depth work on transition risks affecting fossil fuel-related assets to mitigate risks on financial stability.</w:t>
            </w:r>
          </w:p>
        </w:tc>
        <w:tc>
          <w:tcPr>
            <w:tcW w:w="1865" w:type="dxa"/>
            <w:shd w:val="clear" w:color="auto" w:fill="auto"/>
            <w:vAlign w:val="center"/>
          </w:tcPr>
          <w:p w14:paraId="4D8335DB" w14:textId="757787D2" w:rsidR="00AB3B37" w:rsidRPr="002E30E3" w:rsidRDefault="00AB3B37" w:rsidP="00AB3B37">
            <w:pPr>
              <w:jc w:val="center"/>
              <w:rPr>
                <w:szCs w:val="17"/>
                <w:lang w:val="fr-BE"/>
              </w:rPr>
            </w:pPr>
            <w:r w:rsidRPr="002E30E3">
              <w:rPr>
                <w:lang w:val="fr-BE"/>
              </w:rPr>
              <w:t>Stéphanie Yon-Courtin, Gilles Boyer, Pascal Canfin, Pascal Durand</w:t>
            </w:r>
          </w:p>
        </w:tc>
        <w:tc>
          <w:tcPr>
            <w:tcW w:w="2483" w:type="dxa"/>
            <w:shd w:val="clear" w:color="auto" w:fill="auto"/>
            <w:vAlign w:val="center"/>
          </w:tcPr>
          <w:p w14:paraId="3DB5FC48" w14:textId="74C1D4B6" w:rsidR="00AB3B37" w:rsidRPr="002F01EF" w:rsidRDefault="00AB3B37" w:rsidP="00AB3B37">
            <w:pPr>
              <w:jc w:val="center"/>
              <w:rPr>
                <w:szCs w:val="17"/>
              </w:rPr>
            </w:pPr>
            <w:r w:rsidRPr="002F01EF">
              <w:rPr>
                <w:bCs/>
                <w:szCs w:val="17"/>
              </w:rPr>
              <w:t>Sustainable finance</w:t>
            </w:r>
          </w:p>
        </w:tc>
        <w:tc>
          <w:tcPr>
            <w:tcW w:w="1886" w:type="dxa"/>
            <w:shd w:val="clear" w:color="auto" w:fill="auto"/>
            <w:vAlign w:val="center"/>
          </w:tcPr>
          <w:p w14:paraId="099C3B50" w14:textId="6048F74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506F2585" w14:textId="77777777" w:rsidTr="00AB3B37">
        <w:trPr>
          <w:trHeight w:val="499"/>
        </w:trPr>
        <w:tc>
          <w:tcPr>
            <w:tcW w:w="679" w:type="dxa"/>
            <w:shd w:val="clear" w:color="auto" w:fill="auto"/>
            <w:vAlign w:val="center"/>
          </w:tcPr>
          <w:p w14:paraId="06AEF495" w14:textId="047D91A4" w:rsidR="00AB3B37" w:rsidRPr="002F01EF" w:rsidRDefault="00AB3B37" w:rsidP="00AB3B37">
            <w:pPr>
              <w:jc w:val="center"/>
              <w:rPr>
                <w:szCs w:val="17"/>
              </w:rPr>
            </w:pPr>
            <w:r w:rsidRPr="002F01EF">
              <w:rPr>
                <w:bCs/>
                <w:szCs w:val="17"/>
              </w:rPr>
              <w:t>783</w:t>
            </w:r>
          </w:p>
        </w:tc>
        <w:tc>
          <w:tcPr>
            <w:tcW w:w="1866" w:type="dxa"/>
            <w:shd w:val="clear" w:color="auto" w:fill="auto"/>
            <w:vAlign w:val="center"/>
          </w:tcPr>
          <w:p w14:paraId="00E9B234" w14:textId="28DCC480" w:rsidR="00AB3B37" w:rsidRPr="002F01EF" w:rsidRDefault="00AB3B37" w:rsidP="00AB3B37">
            <w:pPr>
              <w:jc w:val="center"/>
              <w:rPr>
                <w:rStyle w:val="HideTWBExt"/>
              </w:rPr>
            </w:pPr>
            <w:r w:rsidRPr="002F01EF">
              <w:t>Article 304a – paragraph 1 – subparagraph 1</w:t>
            </w:r>
          </w:p>
        </w:tc>
        <w:tc>
          <w:tcPr>
            <w:tcW w:w="5964" w:type="dxa"/>
            <w:shd w:val="clear" w:color="auto" w:fill="auto"/>
          </w:tcPr>
          <w:p w14:paraId="20661F9A" w14:textId="120C0EB9" w:rsidR="00AB3B37" w:rsidRPr="002F01EF" w:rsidRDefault="00AB3B37" w:rsidP="00AB3B37">
            <w:pPr>
              <w:jc w:val="left"/>
              <w:rPr>
                <w:szCs w:val="17"/>
              </w:rPr>
            </w:pPr>
            <w:r w:rsidRPr="002F01EF">
              <w:rPr>
                <w:bCs/>
                <w:szCs w:val="17"/>
              </w:rPr>
              <w:t>Amendment to specify that EIOPA shall assess the effects of a dedicated prudential treatment investments and underwriting.</w:t>
            </w:r>
          </w:p>
        </w:tc>
        <w:tc>
          <w:tcPr>
            <w:tcW w:w="1865" w:type="dxa"/>
            <w:shd w:val="clear" w:color="auto" w:fill="auto"/>
            <w:vAlign w:val="center"/>
          </w:tcPr>
          <w:p w14:paraId="08D71EF5" w14:textId="609A20CE" w:rsidR="00AB3B37" w:rsidRPr="002F01EF" w:rsidRDefault="00AB3B37" w:rsidP="00AB3B37">
            <w:pPr>
              <w:jc w:val="center"/>
              <w:rPr>
                <w:szCs w:val="17"/>
              </w:rPr>
            </w:pPr>
            <w:proofErr w:type="spellStart"/>
            <w:r w:rsidRPr="002F01EF">
              <w:t>Heinäluoma</w:t>
            </w:r>
            <w:proofErr w:type="spellEnd"/>
            <w:r w:rsidRPr="002F01EF">
              <w:t xml:space="preserve">, </w:t>
            </w:r>
            <w:proofErr w:type="spellStart"/>
            <w:r w:rsidRPr="002F01EF">
              <w:t>Lalucq</w:t>
            </w:r>
            <w:proofErr w:type="spellEnd"/>
          </w:p>
        </w:tc>
        <w:tc>
          <w:tcPr>
            <w:tcW w:w="2483" w:type="dxa"/>
            <w:shd w:val="clear" w:color="auto" w:fill="auto"/>
            <w:vAlign w:val="center"/>
          </w:tcPr>
          <w:p w14:paraId="3FCB4AF9" w14:textId="3AFE58AB" w:rsidR="00AB3B37" w:rsidRPr="002F01EF" w:rsidRDefault="00CF3400" w:rsidP="00AB3B37">
            <w:pPr>
              <w:jc w:val="center"/>
              <w:rPr>
                <w:szCs w:val="17"/>
              </w:rPr>
            </w:pPr>
            <w:r w:rsidRPr="002F01EF">
              <w:rPr>
                <w:bCs/>
                <w:szCs w:val="17"/>
              </w:rPr>
              <w:t>Sustainability</w:t>
            </w:r>
          </w:p>
        </w:tc>
        <w:tc>
          <w:tcPr>
            <w:tcW w:w="1886" w:type="dxa"/>
            <w:shd w:val="clear" w:color="auto" w:fill="auto"/>
            <w:vAlign w:val="center"/>
          </w:tcPr>
          <w:p w14:paraId="750809DC" w14:textId="46BE1021"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1AA34A42" w14:textId="77777777" w:rsidTr="00AB3B37">
        <w:trPr>
          <w:trHeight w:val="499"/>
        </w:trPr>
        <w:tc>
          <w:tcPr>
            <w:tcW w:w="679" w:type="dxa"/>
            <w:shd w:val="clear" w:color="auto" w:fill="auto"/>
            <w:vAlign w:val="center"/>
          </w:tcPr>
          <w:p w14:paraId="52FF4F09" w14:textId="4C146D9D" w:rsidR="00AB3B37" w:rsidRPr="002F01EF" w:rsidRDefault="00AB3B37" w:rsidP="00AB3B37">
            <w:pPr>
              <w:jc w:val="center"/>
              <w:rPr>
                <w:szCs w:val="17"/>
              </w:rPr>
            </w:pPr>
            <w:r w:rsidRPr="002F01EF">
              <w:rPr>
                <w:bCs/>
                <w:szCs w:val="17"/>
              </w:rPr>
              <w:t>784-785</w:t>
            </w:r>
          </w:p>
        </w:tc>
        <w:tc>
          <w:tcPr>
            <w:tcW w:w="1866" w:type="dxa"/>
            <w:shd w:val="clear" w:color="auto" w:fill="auto"/>
            <w:vAlign w:val="center"/>
          </w:tcPr>
          <w:p w14:paraId="2787DF71" w14:textId="615A5D58" w:rsidR="00AB3B37" w:rsidRPr="002F01EF" w:rsidRDefault="00AB3B37" w:rsidP="00AB3B37">
            <w:pPr>
              <w:jc w:val="center"/>
              <w:rPr>
                <w:rStyle w:val="HideTWBExt"/>
              </w:rPr>
            </w:pPr>
            <w:r w:rsidRPr="002F01EF">
              <w:t>Article 304a – paragraph 1 – subparagraph 1</w:t>
            </w:r>
          </w:p>
        </w:tc>
        <w:tc>
          <w:tcPr>
            <w:tcW w:w="5964" w:type="dxa"/>
            <w:shd w:val="clear" w:color="auto" w:fill="auto"/>
          </w:tcPr>
          <w:p w14:paraId="51BFE705" w14:textId="77777777" w:rsidR="00AB3B37" w:rsidRPr="002F01EF" w:rsidRDefault="00AB3B37" w:rsidP="00AB3B37">
            <w:pPr>
              <w:jc w:val="left"/>
              <w:rPr>
                <w:bCs/>
                <w:szCs w:val="17"/>
              </w:rPr>
            </w:pPr>
            <w:r w:rsidRPr="002F01EF">
              <w:rPr>
                <w:bCs/>
                <w:szCs w:val="17"/>
              </w:rPr>
              <w:t>Amendment to specify that activities refer to insurance liabilities (784 and 785) that harm environmental and/or social objectives (784).</w:t>
            </w:r>
          </w:p>
          <w:p w14:paraId="2B40321E" w14:textId="77777777" w:rsidR="00AB3B37" w:rsidRPr="002F01EF" w:rsidRDefault="00AB3B37" w:rsidP="00AB3B37">
            <w:pPr>
              <w:jc w:val="left"/>
              <w:rPr>
                <w:bCs/>
                <w:szCs w:val="17"/>
              </w:rPr>
            </w:pPr>
          </w:p>
          <w:p w14:paraId="2293BD5B" w14:textId="2A3DBA88" w:rsidR="00AB3B37" w:rsidRPr="002F01EF" w:rsidRDefault="00AB3B37" w:rsidP="00AB3B37">
            <w:pPr>
              <w:jc w:val="left"/>
              <w:rPr>
                <w:i/>
                <w:szCs w:val="17"/>
              </w:rPr>
            </w:pPr>
            <w:r w:rsidRPr="002F01EF">
              <w:rPr>
                <w:i/>
                <w:iCs/>
              </w:rPr>
              <w:t>Justification: Based on EIOPA's recommendation during internal seminar.</w:t>
            </w:r>
          </w:p>
        </w:tc>
        <w:tc>
          <w:tcPr>
            <w:tcW w:w="1865" w:type="dxa"/>
            <w:shd w:val="clear" w:color="auto" w:fill="auto"/>
            <w:vAlign w:val="center"/>
          </w:tcPr>
          <w:p w14:paraId="18D41498" w14:textId="1C3513D0" w:rsidR="00AB3B37" w:rsidRPr="002F01EF" w:rsidRDefault="007A2B69" w:rsidP="00AB3B37">
            <w:pPr>
              <w:jc w:val="center"/>
              <w:rPr>
                <w:szCs w:val="17"/>
              </w:rPr>
            </w:pPr>
            <w:r w:rsidRPr="002F01EF">
              <w:t>Hahn (784) and MacManus (785)</w:t>
            </w:r>
          </w:p>
        </w:tc>
        <w:tc>
          <w:tcPr>
            <w:tcW w:w="2483" w:type="dxa"/>
            <w:shd w:val="clear" w:color="auto" w:fill="auto"/>
            <w:vAlign w:val="center"/>
          </w:tcPr>
          <w:p w14:paraId="1B26B81A" w14:textId="13613721" w:rsidR="00AB3B37" w:rsidRPr="002F01EF" w:rsidRDefault="00634DF7" w:rsidP="00AB3B37">
            <w:pPr>
              <w:jc w:val="center"/>
              <w:rPr>
                <w:szCs w:val="17"/>
              </w:rPr>
            </w:pPr>
            <w:r w:rsidRPr="002F01EF">
              <w:rPr>
                <w:bCs/>
                <w:szCs w:val="17"/>
              </w:rPr>
              <w:t>Sustainability</w:t>
            </w:r>
          </w:p>
        </w:tc>
        <w:tc>
          <w:tcPr>
            <w:tcW w:w="1886" w:type="dxa"/>
            <w:shd w:val="clear" w:color="auto" w:fill="auto"/>
            <w:vAlign w:val="center"/>
          </w:tcPr>
          <w:p w14:paraId="37718FB8" w14:textId="4E5C757F"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7D737828" w14:textId="77777777" w:rsidTr="00AB3B37">
        <w:trPr>
          <w:trHeight w:val="499"/>
        </w:trPr>
        <w:tc>
          <w:tcPr>
            <w:tcW w:w="679" w:type="dxa"/>
            <w:shd w:val="clear" w:color="auto" w:fill="auto"/>
            <w:vAlign w:val="center"/>
          </w:tcPr>
          <w:p w14:paraId="0564733D" w14:textId="15573A18" w:rsidR="00AB3B37" w:rsidRPr="002F01EF" w:rsidRDefault="00AB3B37" w:rsidP="00AB3B37">
            <w:pPr>
              <w:jc w:val="center"/>
              <w:rPr>
                <w:szCs w:val="17"/>
              </w:rPr>
            </w:pPr>
            <w:r w:rsidRPr="002F01EF">
              <w:rPr>
                <w:bCs/>
                <w:szCs w:val="17"/>
              </w:rPr>
              <w:t>786</w:t>
            </w:r>
          </w:p>
        </w:tc>
        <w:tc>
          <w:tcPr>
            <w:tcW w:w="1866" w:type="dxa"/>
            <w:shd w:val="clear" w:color="auto" w:fill="auto"/>
            <w:vAlign w:val="center"/>
          </w:tcPr>
          <w:p w14:paraId="79A5938B" w14:textId="29289D68" w:rsidR="00AB3B37" w:rsidRPr="002F01EF" w:rsidRDefault="00AB3B37" w:rsidP="00AB3B37">
            <w:pPr>
              <w:jc w:val="center"/>
              <w:rPr>
                <w:rStyle w:val="HideTWBExt"/>
              </w:rPr>
            </w:pPr>
            <w:r w:rsidRPr="002F01EF">
              <w:t>Article 304a – paragraph 1 – subparagraph 2</w:t>
            </w:r>
          </w:p>
        </w:tc>
        <w:tc>
          <w:tcPr>
            <w:tcW w:w="5964" w:type="dxa"/>
            <w:shd w:val="clear" w:color="auto" w:fill="auto"/>
          </w:tcPr>
          <w:p w14:paraId="601A3806" w14:textId="23BF34C9" w:rsidR="00AB3B37" w:rsidRPr="002F01EF" w:rsidRDefault="00AB3B37" w:rsidP="00AB3B37">
            <w:pPr>
              <w:jc w:val="left"/>
              <w:rPr>
                <w:szCs w:val="17"/>
              </w:rPr>
            </w:pPr>
            <w:r w:rsidRPr="002F01EF">
              <w:rPr>
                <w:bCs/>
                <w:szCs w:val="17"/>
              </w:rPr>
              <w:t>Editorial: replaced activities with insurance liabilities</w:t>
            </w:r>
          </w:p>
        </w:tc>
        <w:tc>
          <w:tcPr>
            <w:tcW w:w="1865" w:type="dxa"/>
            <w:shd w:val="clear" w:color="auto" w:fill="auto"/>
            <w:vAlign w:val="center"/>
          </w:tcPr>
          <w:p w14:paraId="68E43A2F" w14:textId="3A5CB463" w:rsidR="00AB3B37" w:rsidRPr="002F01EF" w:rsidRDefault="00A4798B" w:rsidP="00AB3B37">
            <w:pPr>
              <w:jc w:val="center"/>
              <w:rPr>
                <w:szCs w:val="17"/>
              </w:rPr>
            </w:pPr>
            <w:r w:rsidRPr="002F01EF">
              <w:t>Hahn</w:t>
            </w:r>
          </w:p>
        </w:tc>
        <w:tc>
          <w:tcPr>
            <w:tcW w:w="2483" w:type="dxa"/>
            <w:shd w:val="clear" w:color="auto" w:fill="auto"/>
            <w:vAlign w:val="center"/>
          </w:tcPr>
          <w:p w14:paraId="16990E85" w14:textId="0EFD93A6" w:rsidR="00AB3B37" w:rsidRPr="002F01EF" w:rsidRDefault="00634DF7" w:rsidP="00AB3B37">
            <w:pPr>
              <w:jc w:val="center"/>
              <w:rPr>
                <w:szCs w:val="17"/>
              </w:rPr>
            </w:pPr>
            <w:r w:rsidRPr="002F01EF">
              <w:rPr>
                <w:bCs/>
                <w:szCs w:val="17"/>
              </w:rPr>
              <w:t>Sustainability</w:t>
            </w:r>
          </w:p>
        </w:tc>
        <w:tc>
          <w:tcPr>
            <w:tcW w:w="1886" w:type="dxa"/>
            <w:shd w:val="clear" w:color="auto" w:fill="auto"/>
            <w:vAlign w:val="center"/>
          </w:tcPr>
          <w:p w14:paraId="08CEB7F2" w14:textId="138CB7C5" w:rsidR="00AB3B37" w:rsidRPr="002F01EF" w:rsidRDefault="00AB3B37" w:rsidP="00AB3B37">
            <w:pPr>
              <w:jc w:val="center"/>
              <w:rPr>
                <w:b/>
                <w:color w:val="808080" w:themeColor="background1" w:themeShade="80"/>
                <w:szCs w:val="17"/>
              </w:rPr>
            </w:pPr>
          </w:p>
        </w:tc>
      </w:tr>
      <w:tr w:rsidR="00AB3B37" w:rsidRPr="002F01EF" w14:paraId="45191B7C" w14:textId="77777777" w:rsidTr="00AB3B37">
        <w:trPr>
          <w:trHeight w:val="499"/>
        </w:trPr>
        <w:tc>
          <w:tcPr>
            <w:tcW w:w="679" w:type="dxa"/>
            <w:shd w:val="clear" w:color="auto" w:fill="auto"/>
            <w:vAlign w:val="center"/>
          </w:tcPr>
          <w:p w14:paraId="51D58E0B" w14:textId="73EC325A" w:rsidR="00AB3B37" w:rsidRPr="002F01EF" w:rsidRDefault="00AB3B37" w:rsidP="00AB3B37">
            <w:pPr>
              <w:jc w:val="center"/>
              <w:rPr>
                <w:szCs w:val="17"/>
              </w:rPr>
            </w:pPr>
            <w:r w:rsidRPr="002F01EF">
              <w:rPr>
                <w:bCs/>
                <w:szCs w:val="17"/>
              </w:rPr>
              <w:t>787</w:t>
            </w:r>
          </w:p>
        </w:tc>
        <w:tc>
          <w:tcPr>
            <w:tcW w:w="1866" w:type="dxa"/>
            <w:shd w:val="clear" w:color="auto" w:fill="auto"/>
            <w:vAlign w:val="center"/>
          </w:tcPr>
          <w:p w14:paraId="08B70B0D" w14:textId="78399A4E" w:rsidR="00AB3B37" w:rsidRPr="002F01EF" w:rsidRDefault="00AB3B37" w:rsidP="00AB3B37">
            <w:pPr>
              <w:jc w:val="center"/>
              <w:rPr>
                <w:rStyle w:val="HideTWBExt"/>
              </w:rPr>
            </w:pPr>
            <w:r w:rsidRPr="002F01EF">
              <w:t>Paragraph 304a – paragraph 1 – subparagraphs 2 a (new) and 2 b (new)</w:t>
            </w:r>
          </w:p>
        </w:tc>
        <w:tc>
          <w:tcPr>
            <w:tcW w:w="5964" w:type="dxa"/>
            <w:shd w:val="clear" w:color="auto" w:fill="auto"/>
          </w:tcPr>
          <w:p w14:paraId="712F9709" w14:textId="07E07FA6" w:rsidR="00AB3B37" w:rsidRPr="002F01EF" w:rsidRDefault="00AB3B37" w:rsidP="00AB3B37">
            <w:pPr>
              <w:jc w:val="left"/>
              <w:rPr>
                <w:szCs w:val="17"/>
              </w:rPr>
            </w:pPr>
            <w:r w:rsidRPr="002F01EF">
              <w:rPr>
                <w:bCs/>
                <w:szCs w:val="17"/>
              </w:rPr>
              <w:t xml:space="preserve">EIOPA to update the report every two years based on existing evidence and to also assess impact of prudential changes on the underwriting and investment activities of an undertaking, as well as the objective of achieving </w:t>
            </w:r>
            <w:proofErr w:type="gramStart"/>
            <w:r w:rsidRPr="002F01EF">
              <w:rPr>
                <w:bCs/>
                <w:szCs w:val="17"/>
              </w:rPr>
              <w:t>a</w:t>
            </w:r>
            <w:proofErr w:type="gramEnd"/>
            <w:r w:rsidRPr="002F01EF">
              <w:rPr>
                <w:bCs/>
                <w:szCs w:val="17"/>
              </w:rPr>
              <w:t xml:space="preserve"> EU climate neutrality by 2050.</w:t>
            </w:r>
          </w:p>
        </w:tc>
        <w:tc>
          <w:tcPr>
            <w:tcW w:w="1865" w:type="dxa"/>
            <w:shd w:val="clear" w:color="auto" w:fill="auto"/>
            <w:vAlign w:val="center"/>
          </w:tcPr>
          <w:p w14:paraId="49C21FA4" w14:textId="5498F60B" w:rsidR="00AB3B37" w:rsidRPr="002F01EF" w:rsidRDefault="00AB3B37" w:rsidP="00AB3B37">
            <w:pPr>
              <w:jc w:val="center"/>
              <w:rPr>
                <w:szCs w:val="17"/>
              </w:rPr>
            </w:pPr>
            <w:r w:rsidRPr="002F01EF">
              <w:t>MacManus</w:t>
            </w:r>
          </w:p>
        </w:tc>
        <w:tc>
          <w:tcPr>
            <w:tcW w:w="2483" w:type="dxa"/>
            <w:shd w:val="clear" w:color="auto" w:fill="auto"/>
            <w:vAlign w:val="center"/>
          </w:tcPr>
          <w:p w14:paraId="3744BBA8" w14:textId="7A31EB2E" w:rsidR="00AB3B37" w:rsidRPr="002F01EF" w:rsidRDefault="00634DF7" w:rsidP="00AB3B37">
            <w:pPr>
              <w:jc w:val="center"/>
              <w:rPr>
                <w:szCs w:val="17"/>
              </w:rPr>
            </w:pPr>
            <w:r w:rsidRPr="002F01EF">
              <w:rPr>
                <w:bCs/>
                <w:szCs w:val="17"/>
              </w:rPr>
              <w:t>Sustainability</w:t>
            </w:r>
          </w:p>
        </w:tc>
        <w:tc>
          <w:tcPr>
            <w:tcW w:w="1886" w:type="dxa"/>
            <w:shd w:val="clear" w:color="auto" w:fill="auto"/>
            <w:vAlign w:val="center"/>
          </w:tcPr>
          <w:p w14:paraId="62DFF724" w14:textId="0B987C7B"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4ABA79A" w14:textId="77777777" w:rsidTr="00AB3B37">
        <w:trPr>
          <w:trHeight w:val="499"/>
        </w:trPr>
        <w:tc>
          <w:tcPr>
            <w:tcW w:w="679" w:type="dxa"/>
            <w:shd w:val="clear" w:color="auto" w:fill="auto"/>
            <w:vAlign w:val="center"/>
          </w:tcPr>
          <w:p w14:paraId="6F40441A" w14:textId="3554A707" w:rsidR="00AB3B37" w:rsidRPr="002F01EF" w:rsidRDefault="00AB3B37" w:rsidP="00AB3B37">
            <w:pPr>
              <w:jc w:val="center"/>
              <w:rPr>
                <w:szCs w:val="17"/>
              </w:rPr>
            </w:pPr>
            <w:r w:rsidRPr="002F01EF">
              <w:rPr>
                <w:szCs w:val="17"/>
              </w:rPr>
              <w:t>788</w:t>
            </w:r>
          </w:p>
        </w:tc>
        <w:tc>
          <w:tcPr>
            <w:tcW w:w="1866" w:type="dxa"/>
            <w:shd w:val="clear" w:color="auto" w:fill="auto"/>
            <w:vAlign w:val="center"/>
          </w:tcPr>
          <w:p w14:paraId="0F819468" w14:textId="0404BF28" w:rsidR="00AB3B37" w:rsidRPr="002F01EF" w:rsidRDefault="00AB3B37" w:rsidP="00AB3B37">
            <w:pPr>
              <w:jc w:val="center"/>
              <w:rPr>
                <w:rStyle w:val="HideTWBExt"/>
              </w:rPr>
            </w:pPr>
            <w:r w:rsidRPr="002F01EF">
              <w:t>Article 304a – paragraph 1 a (new)</w:t>
            </w:r>
          </w:p>
        </w:tc>
        <w:tc>
          <w:tcPr>
            <w:tcW w:w="5964" w:type="dxa"/>
            <w:shd w:val="clear" w:color="auto" w:fill="auto"/>
          </w:tcPr>
          <w:p w14:paraId="7927101A" w14:textId="29BDB067" w:rsidR="00AB3B37" w:rsidRPr="002F01EF" w:rsidRDefault="00AB3B37" w:rsidP="00AB3B37">
            <w:pPr>
              <w:jc w:val="left"/>
              <w:rPr>
                <w:szCs w:val="17"/>
              </w:rPr>
            </w:pPr>
            <w:r w:rsidRPr="002F01EF">
              <w:rPr>
                <w:bCs/>
                <w:szCs w:val="17"/>
              </w:rPr>
              <w:t>EIOPA to develop guidelines advising on how undertakings shall integrate sustainability risks into their risk management systems.</w:t>
            </w:r>
          </w:p>
        </w:tc>
        <w:tc>
          <w:tcPr>
            <w:tcW w:w="1865" w:type="dxa"/>
            <w:shd w:val="clear" w:color="auto" w:fill="auto"/>
            <w:vAlign w:val="center"/>
          </w:tcPr>
          <w:p w14:paraId="6AA1A9BB" w14:textId="381B2123" w:rsidR="00AB3B37" w:rsidRPr="002F01EF" w:rsidRDefault="00AB3B37" w:rsidP="00AB3B37">
            <w:pPr>
              <w:jc w:val="center"/>
              <w:rPr>
                <w:szCs w:val="17"/>
              </w:rPr>
            </w:pPr>
            <w:r w:rsidRPr="002F01EF">
              <w:t>MacManus</w:t>
            </w:r>
          </w:p>
        </w:tc>
        <w:tc>
          <w:tcPr>
            <w:tcW w:w="2483" w:type="dxa"/>
            <w:shd w:val="clear" w:color="auto" w:fill="auto"/>
            <w:vAlign w:val="center"/>
          </w:tcPr>
          <w:p w14:paraId="56F9678A" w14:textId="04572C2D" w:rsidR="00AB3B37" w:rsidRPr="002F01EF" w:rsidRDefault="00634DF7" w:rsidP="00AB3B37">
            <w:pPr>
              <w:jc w:val="center"/>
              <w:rPr>
                <w:szCs w:val="17"/>
              </w:rPr>
            </w:pPr>
            <w:r w:rsidRPr="002F01EF">
              <w:rPr>
                <w:bCs/>
                <w:szCs w:val="17"/>
              </w:rPr>
              <w:t>Sustainability</w:t>
            </w:r>
          </w:p>
        </w:tc>
        <w:tc>
          <w:tcPr>
            <w:tcW w:w="1886" w:type="dxa"/>
            <w:shd w:val="clear" w:color="auto" w:fill="auto"/>
            <w:vAlign w:val="center"/>
          </w:tcPr>
          <w:p w14:paraId="3905F598" w14:textId="302FD03E"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4AA7B65A" w14:textId="77777777" w:rsidTr="00AB3B37">
        <w:trPr>
          <w:trHeight w:val="499"/>
        </w:trPr>
        <w:tc>
          <w:tcPr>
            <w:tcW w:w="679" w:type="dxa"/>
            <w:shd w:val="clear" w:color="auto" w:fill="auto"/>
            <w:vAlign w:val="center"/>
          </w:tcPr>
          <w:p w14:paraId="3849A18D" w14:textId="6465CB29" w:rsidR="00AB3B37" w:rsidRPr="002F01EF" w:rsidRDefault="00AB3B37" w:rsidP="00AB3B37">
            <w:pPr>
              <w:jc w:val="center"/>
              <w:rPr>
                <w:szCs w:val="17"/>
              </w:rPr>
            </w:pPr>
            <w:r w:rsidRPr="002F01EF">
              <w:rPr>
                <w:bCs/>
                <w:szCs w:val="17"/>
              </w:rPr>
              <w:lastRenderedPageBreak/>
              <w:t>789</w:t>
            </w:r>
          </w:p>
        </w:tc>
        <w:tc>
          <w:tcPr>
            <w:tcW w:w="1866" w:type="dxa"/>
            <w:shd w:val="clear" w:color="auto" w:fill="auto"/>
            <w:vAlign w:val="center"/>
          </w:tcPr>
          <w:p w14:paraId="7BC7798F" w14:textId="344B2823" w:rsidR="00AB3B37" w:rsidRPr="002F01EF" w:rsidRDefault="00AB3B37" w:rsidP="00AB3B37">
            <w:pPr>
              <w:jc w:val="center"/>
              <w:rPr>
                <w:rStyle w:val="HideTWBExt"/>
              </w:rPr>
            </w:pPr>
            <w:r w:rsidRPr="002F01EF">
              <w:t>Article 304a – paragraph 2 – subparagraph 1</w:t>
            </w:r>
          </w:p>
        </w:tc>
        <w:tc>
          <w:tcPr>
            <w:tcW w:w="5964" w:type="dxa"/>
            <w:shd w:val="clear" w:color="auto" w:fill="auto"/>
          </w:tcPr>
          <w:p w14:paraId="77A9D423" w14:textId="77777777" w:rsidR="00AB3B37" w:rsidRPr="002F01EF" w:rsidRDefault="00AB3B37" w:rsidP="00AB3B37">
            <w:pPr>
              <w:jc w:val="left"/>
              <w:rPr>
                <w:bCs/>
                <w:szCs w:val="17"/>
              </w:rPr>
            </w:pPr>
            <w:r w:rsidRPr="002F01EF">
              <w:rPr>
                <w:bCs/>
                <w:szCs w:val="17"/>
              </w:rPr>
              <w:t>Editorial: include abbreviation SCR</w:t>
            </w:r>
          </w:p>
          <w:p w14:paraId="23E0B129" w14:textId="77777777" w:rsidR="00AB3B37" w:rsidRPr="002F01EF" w:rsidRDefault="00AB3B37" w:rsidP="00AB3B37">
            <w:pPr>
              <w:jc w:val="left"/>
              <w:rPr>
                <w:bCs/>
                <w:szCs w:val="17"/>
              </w:rPr>
            </w:pPr>
          </w:p>
          <w:p w14:paraId="2E8F4CE6" w14:textId="5941971D" w:rsidR="00AB3B37" w:rsidRPr="002F01EF" w:rsidRDefault="00AB3B37" w:rsidP="00AB3B37">
            <w:pPr>
              <w:jc w:val="left"/>
              <w:rPr>
                <w:i/>
                <w:szCs w:val="17"/>
              </w:rPr>
            </w:pPr>
            <w:r w:rsidRPr="002F01EF">
              <w:rPr>
                <w:i/>
                <w:iCs/>
              </w:rPr>
              <w:t>Justification: The European Commission's proposal regarding EIOPA's review of the calculation of natural catastrophe risk under the standard approach should be kept.</w:t>
            </w:r>
          </w:p>
        </w:tc>
        <w:tc>
          <w:tcPr>
            <w:tcW w:w="1865" w:type="dxa"/>
            <w:shd w:val="clear" w:color="auto" w:fill="auto"/>
            <w:vAlign w:val="center"/>
          </w:tcPr>
          <w:p w14:paraId="4A85E766" w14:textId="759D8C45" w:rsidR="00AB3B37" w:rsidRPr="002F01EF" w:rsidRDefault="00AB3B37" w:rsidP="00AB3B37">
            <w:pPr>
              <w:jc w:val="center"/>
              <w:rPr>
                <w:szCs w:val="17"/>
              </w:rPr>
            </w:pPr>
            <w:r w:rsidRPr="002F01EF">
              <w:t>Yon-Courtin, Boyer</w:t>
            </w:r>
          </w:p>
        </w:tc>
        <w:tc>
          <w:tcPr>
            <w:tcW w:w="2483" w:type="dxa"/>
            <w:shd w:val="clear" w:color="auto" w:fill="auto"/>
            <w:vAlign w:val="center"/>
          </w:tcPr>
          <w:p w14:paraId="0E0B17B6" w14:textId="6B6C327F" w:rsidR="00AB3B37" w:rsidRPr="002F01EF" w:rsidRDefault="00A4798B" w:rsidP="00AB3B37">
            <w:pPr>
              <w:jc w:val="center"/>
              <w:rPr>
                <w:szCs w:val="17"/>
              </w:rPr>
            </w:pPr>
            <w:r w:rsidRPr="002F01EF">
              <w:rPr>
                <w:bCs/>
                <w:szCs w:val="17"/>
              </w:rPr>
              <w:t>SCR/Sustainab</w:t>
            </w:r>
            <w:r w:rsidR="00066BE6" w:rsidRPr="002F01EF">
              <w:rPr>
                <w:bCs/>
                <w:szCs w:val="17"/>
              </w:rPr>
              <w:t>ility</w:t>
            </w:r>
            <w:r w:rsidR="003F4F80" w:rsidRPr="002F01EF">
              <w:rPr>
                <w:bCs/>
                <w:szCs w:val="17"/>
              </w:rPr>
              <w:t>/editorial</w:t>
            </w:r>
          </w:p>
        </w:tc>
        <w:tc>
          <w:tcPr>
            <w:tcW w:w="1886" w:type="dxa"/>
            <w:shd w:val="clear" w:color="auto" w:fill="auto"/>
            <w:vAlign w:val="center"/>
          </w:tcPr>
          <w:p w14:paraId="5A996AEC" w14:textId="0DDE98F9" w:rsidR="00AB3B37" w:rsidRPr="002F01EF" w:rsidRDefault="00AB3B37" w:rsidP="00AB3B37">
            <w:pPr>
              <w:jc w:val="center"/>
              <w:rPr>
                <w:b/>
                <w:color w:val="808080" w:themeColor="background1" w:themeShade="80"/>
                <w:szCs w:val="17"/>
              </w:rPr>
            </w:pPr>
          </w:p>
        </w:tc>
      </w:tr>
      <w:tr w:rsidR="00AB3B37" w:rsidRPr="002F01EF" w14:paraId="0643EF6F" w14:textId="77777777" w:rsidTr="00AB3B37">
        <w:trPr>
          <w:trHeight w:val="499"/>
        </w:trPr>
        <w:tc>
          <w:tcPr>
            <w:tcW w:w="679" w:type="dxa"/>
            <w:shd w:val="clear" w:color="auto" w:fill="auto"/>
            <w:vAlign w:val="center"/>
          </w:tcPr>
          <w:p w14:paraId="74D4B7EB" w14:textId="26CFE02C" w:rsidR="00AB3B37" w:rsidRPr="002F01EF" w:rsidRDefault="00AB3B37" w:rsidP="00AB3B37">
            <w:pPr>
              <w:jc w:val="center"/>
              <w:rPr>
                <w:szCs w:val="17"/>
              </w:rPr>
            </w:pPr>
            <w:r w:rsidRPr="002F01EF">
              <w:rPr>
                <w:bCs/>
                <w:szCs w:val="17"/>
              </w:rPr>
              <w:t>790-792</w:t>
            </w:r>
          </w:p>
        </w:tc>
        <w:tc>
          <w:tcPr>
            <w:tcW w:w="1866" w:type="dxa"/>
            <w:shd w:val="clear" w:color="auto" w:fill="auto"/>
            <w:vAlign w:val="center"/>
          </w:tcPr>
          <w:p w14:paraId="1FA0A84F" w14:textId="1B2A0E0A" w:rsidR="00AB3B37" w:rsidRPr="002F01EF" w:rsidRDefault="00AB3B37" w:rsidP="00AB3B37">
            <w:pPr>
              <w:jc w:val="center"/>
              <w:rPr>
                <w:rStyle w:val="HideTWBExt"/>
              </w:rPr>
            </w:pPr>
            <w:r w:rsidRPr="002F01EF">
              <w:t>Article 304a – paragraph 2 a (new)</w:t>
            </w:r>
          </w:p>
        </w:tc>
        <w:tc>
          <w:tcPr>
            <w:tcW w:w="5964" w:type="dxa"/>
            <w:shd w:val="clear" w:color="auto" w:fill="auto"/>
          </w:tcPr>
          <w:p w14:paraId="5800076A" w14:textId="77777777" w:rsidR="00AB3B37" w:rsidRPr="002F01EF" w:rsidRDefault="00AB3B37" w:rsidP="00AB3B37">
            <w:pPr>
              <w:jc w:val="left"/>
              <w:rPr>
                <w:bCs/>
                <w:szCs w:val="17"/>
              </w:rPr>
            </w:pPr>
            <w:r w:rsidRPr="002F01EF">
              <w:rPr>
                <w:bCs/>
                <w:szCs w:val="17"/>
              </w:rPr>
              <w:t>EIOPA mandate to evaluate whether undertakings assess their exposure to biodiversity risks.</w:t>
            </w:r>
          </w:p>
          <w:p w14:paraId="0FD3BC4D" w14:textId="77777777" w:rsidR="00AB3B37" w:rsidRPr="002F01EF" w:rsidRDefault="00AB3B37" w:rsidP="00AB3B37">
            <w:pPr>
              <w:jc w:val="left"/>
              <w:rPr>
                <w:bCs/>
                <w:szCs w:val="17"/>
              </w:rPr>
            </w:pPr>
          </w:p>
          <w:p w14:paraId="7A66A630" w14:textId="77777777" w:rsidR="00AB3B37" w:rsidRPr="002F01EF" w:rsidRDefault="00AB3B37" w:rsidP="00AB3B37">
            <w:pPr>
              <w:jc w:val="left"/>
              <w:rPr>
                <w:i/>
                <w:iCs/>
              </w:rPr>
            </w:pPr>
            <w:r w:rsidRPr="002F01EF">
              <w:rPr>
                <w:i/>
                <w:iCs/>
              </w:rPr>
              <w:t>Justification (791): Taken from the Council's general approach.</w:t>
            </w:r>
          </w:p>
          <w:p w14:paraId="7165B4F0" w14:textId="2DD36DB8" w:rsidR="00AB3B37" w:rsidRPr="002F01EF" w:rsidRDefault="00CD0DCC" w:rsidP="00AB3B37">
            <w:pPr>
              <w:jc w:val="left"/>
              <w:rPr>
                <w:i/>
              </w:rPr>
            </w:pPr>
            <w:r w:rsidRPr="002F01EF">
              <w:rPr>
                <w:i/>
                <w:iCs/>
              </w:rPr>
              <w:t>Justification</w:t>
            </w:r>
            <w:r w:rsidR="00AB3B37" w:rsidRPr="002F01EF">
              <w:rPr>
                <w:i/>
                <w:iCs/>
              </w:rPr>
              <w:t xml:space="preserve"> (792): Beyond the mandate given to EIOPA on climate-related risks, EIOPA should also look at biodiversity-related risks.</w:t>
            </w:r>
          </w:p>
        </w:tc>
        <w:tc>
          <w:tcPr>
            <w:tcW w:w="1865" w:type="dxa"/>
            <w:shd w:val="clear" w:color="auto" w:fill="auto"/>
            <w:vAlign w:val="center"/>
          </w:tcPr>
          <w:p w14:paraId="65DB5E03" w14:textId="1532A4D5" w:rsidR="00AB3B37" w:rsidRPr="002F01EF" w:rsidRDefault="00AB3B37" w:rsidP="00AB3B37">
            <w:pPr>
              <w:jc w:val="center"/>
              <w:rPr>
                <w:szCs w:val="17"/>
              </w:rPr>
            </w:pPr>
            <w:proofErr w:type="spellStart"/>
            <w:r w:rsidRPr="002F01EF">
              <w:t>Henrike</w:t>
            </w:r>
            <w:proofErr w:type="spellEnd"/>
            <w:r w:rsidRPr="002F01EF">
              <w:t xml:space="preserve"> Hahn (790) and Chris MacManus (791) and </w:t>
            </w:r>
            <w:proofErr w:type="spellStart"/>
            <w:r w:rsidRPr="002F01EF">
              <w:t>Stéphanie</w:t>
            </w:r>
            <w:proofErr w:type="spellEnd"/>
            <w:r w:rsidRPr="002F01EF">
              <w:t xml:space="preserve"> Yon-Courtin, Gilles Boyer, Pascal </w:t>
            </w:r>
            <w:proofErr w:type="spellStart"/>
            <w:r w:rsidRPr="002F01EF">
              <w:t>Canfin</w:t>
            </w:r>
            <w:proofErr w:type="spellEnd"/>
            <w:r w:rsidRPr="002F01EF">
              <w:t>, Pascal Durand (79</w:t>
            </w:r>
            <w:r w:rsidR="005036B9">
              <w:t>2</w:t>
            </w:r>
            <w:r w:rsidRPr="002F01EF">
              <w:t>)</w:t>
            </w:r>
          </w:p>
        </w:tc>
        <w:tc>
          <w:tcPr>
            <w:tcW w:w="2483" w:type="dxa"/>
            <w:shd w:val="clear" w:color="auto" w:fill="auto"/>
            <w:vAlign w:val="center"/>
          </w:tcPr>
          <w:p w14:paraId="2BB278A0" w14:textId="2F412546" w:rsidR="00AB3B37" w:rsidRPr="002F01EF" w:rsidRDefault="00A4798B" w:rsidP="00AB3B37">
            <w:pPr>
              <w:jc w:val="center"/>
              <w:rPr>
                <w:szCs w:val="17"/>
              </w:rPr>
            </w:pPr>
            <w:r w:rsidRPr="002F01EF">
              <w:rPr>
                <w:bCs/>
                <w:szCs w:val="17"/>
              </w:rPr>
              <w:t>Sustainab</w:t>
            </w:r>
            <w:r w:rsidR="00066BE6" w:rsidRPr="002F01EF">
              <w:rPr>
                <w:bCs/>
                <w:szCs w:val="17"/>
              </w:rPr>
              <w:t>ility</w:t>
            </w:r>
          </w:p>
        </w:tc>
        <w:tc>
          <w:tcPr>
            <w:tcW w:w="1886" w:type="dxa"/>
            <w:shd w:val="clear" w:color="auto" w:fill="auto"/>
            <w:vAlign w:val="center"/>
          </w:tcPr>
          <w:p w14:paraId="78CA5C4D" w14:textId="04255238"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398D372C" w14:textId="77777777" w:rsidTr="00AB3B37">
        <w:trPr>
          <w:trHeight w:val="499"/>
        </w:trPr>
        <w:tc>
          <w:tcPr>
            <w:tcW w:w="679" w:type="dxa"/>
            <w:shd w:val="clear" w:color="auto" w:fill="auto"/>
            <w:vAlign w:val="center"/>
          </w:tcPr>
          <w:p w14:paraId="774539BB" w14:textId="13F6F518" w:rsidR="00AB3B37" w:rsidRPr="002F01EF" w:rsidRDefault="00AB3B37" w:rsidP="00AB3B37">
            <w:pPr>
              <w:jc w:val="center"/>
              <w:rPr>
                <w:szCs w:val="17"/>
              </w:rPr>
            </w:pPr>
            <w:r w:rsidRPr="002F01EF">
              <w:rPr>
                <w:szCs w:val="17"/>
              </w:rPr>
              <w:t>793</w:t>
            </w:r>
          </w:p>
        </w:tc>
        <w:tc>
          <w:tcPr>
            <w:tcW w:w="1866" w:type="dxa"/>
            <w:shd w:val="clear" w:color="auto" w:fill="auto"/>
            <w:vAlign w:val="center"/>
          </w:tcPr>
          <w:p w14:paraId="35C4B4EB" w14:textId="1BFE4D51" w:rsidR="00AB3B37" w:rsidRPr="0092408F" w:rsidRDefault="00AB3B37" w:rsidP="00AB3B37">
            <w:pPr>
              <w:jc w:val="center"/>
              <w:rPr>
                <w:rStyle w:val="HideTWBExt"/>
                <w:lang w:val="fr-FR"/>
              </w:rPr>
            </w:pPr>
            <w:r w:rsidRPr="0092408F">
              <w:rPr>
                <w:lang w:val="fr-FR"/>
              </w:rPr>
              <w:t>Article 304a – paragraph 2 b (new)</w:t>
            </w:r>
          </w:p>
        </w:tc>
        <w:tc>
          <w:tcPr>
            <w:tcW w:w="5964" w:type="dxa"/>
            <w:shd w:val="clear" w:color="auto" w:fill="auto"/>
          </w:tcPr>
          <w:p w14:paraId="565D6A1F" w14:textId="527BD40B" w:rsidR="00AB3B37" w:rsidRPr="002F01EF" w:rsidRDefault="00AB3B37" w:rsidP="00AB3B37">
            <w:pPr>
              <w:jc w:val="left"/>
              <w:rPr>
                <w:szCs w:val="17"/>
              </w:rPr>
            </w:pPr>
            <w:r w:rsidRPr="002F01EF">
              <w:rPr>
                <w:bCs/>
                <w:szCs w:val="17"/>
              </w:rPr>
              <w:t>EIOPA, EBA and ESMA to develop guidelines to ensure that stress testing methodologies are consistent when assessing environmental, social and governance risks. EIOPA, EBA and ESMA to assess how social and governance related risks can be integrated into stress testing.</w:t>
            </w:r>
          </w:p>
        </w:tc>
        <w:tc>
          <w:tcPr>
            <w:tcW w:w="1865" w:type="dxa"/>
            <w:shd w:val="clear" w:color="auto" w:fill="auto"/>
            <w:vAlign w:val="center"/>
          </w:tcPr>
          <w:p w14:paraId="58BCFD6E" w14:textId="7208DC31" w:rsidR="00AB3B37" w:rsidRPr="002F01EF" w:rsidRDefault="00A4798B" w:rsidP="00AB3B37">
            <w:pPr>
              <w:jc w:val="center"/>
              <w:rPr>
                <w:szCs w:val="17"/>
              </w:rPr>
            </w:pPr>
            <w:proofErr w:type="spellStart"/>
            <w:r w:rsidRPr="002F01EF">
              <w:t>Henrike</w:t>
            </w:r>
            <w:proofErr w:type="spellEnd"/>
            <w:r w:rsidRPr="002F01EF">
              <w:t xml:space="preserve"> Hahn </w:t>
            </w:r>
          </w:p>
        </w:tc>
        <w:tc>
          <w:tcPr>
            <w:tcW w:w="2483" w:type="dxa"/>
            <w:shd w:val="clear" w:color="auto" w:fill="auto"/>
            <w:vAlign w:val="center"/>
          </w:tcPr>
          <w:p w14:paraId="65533A74" w14:textId="55147DAF" w:rsidR="00AB3B37" w:rsidRPr="002F01EF" w:rsidRDefault="00AB3B37" w:rsidP="00AB3B37">
            <w:pPr>
              <w:jc w:val="center"/>
              <w:rPr>
                <w:szCs w:val="17"/>
              </w:rPr>
            </w:pPr>
            <w:r w:rsidRPr="002F01EF">
              <w:rPr>
                <w:bCs/>
                <w:szCs w:val="17"/>
              </w:rPr>
              <w:t>Stress testing/</w:t>
            </w:r>
            <w:r w:rsidR="00A4798B" w:rsidRPr="002F01EF">
              <w:rPr>
                <w:bCs/>
                <w:szCs w:val="17"/>
              </w:rPr>
              <w:t>Sustainab</w:t>
            </w:r>
            <w:r w:rsidR="00066BE6" w:rsidRPr="002F01EF">
              <w:rPr>
                <w:bCs/>
                <w:szCs w:val="17"/>
              </w:rPr>
              <w:t xml:space="preserve">ility </w:t>
            </w:r>
          </w:p>
        </w:tc>
        <w:tc>
          <w:tcPr>
            <w:tcW w:w="1886" w:type="dxa"/>
            <w:shd w:val="clear" w:color="auto" w:fill="auto"/>
            <w:vAlign w:val="center"/>
          </w:tcPr>
          <w:p w14:paraId="44F657A5" w14:textId="31A7F88D"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D713A92" w14:textId="77777777" w:rsidTr="00AB3B37">
        <w:trPr>
          <w:trHeight w:val="499"/>
        </w:trPr>
        <w:tc>
          <w:tcPr>
            <w:tcW w:w="679" w:type="dxa"/>
            <w:shd w:val="clear" w:color="auto" w:fill="auto"/>
            <w:vAlign w:val="center"/>
          </w:tcPr>
          <w:p w14:paraId="798A71D7" w14:textId="7016B198" w:rsidR="00AB3B37" w:rsidRPr="002F01EF" w:rsidRDefault="00AB3B37" w:rsidP="00AB3B37">
            <w:pPr>
              <w:jc w:val="center"/>
              <w:rPr>
                <w:szCs w:val="17"/>
              </w:rPr>
            </w:pPr>
            <w:r w:rsidRPr="002F01EF">
              <w:rPr>
                <w:bCs/>
                <w:szCs w:val="17"/>
              </w:rPr>
              <w:t>794</w:t>
            </w:r>
          </w:p>
        </w:tc>
        <w:tc>
          <w:tcPr>
            <w:tcW w:w="1866" w:type="dxa"/>
            <w:shd w:val="clear" w:color="auto" w:fill="auto"/>
            <w:vAlign w:val="center"/>
          </w:tcPr>
          <w:p w14:paraId="4F3E43A9" w14:textId="7C09F5CD" w:rsidR="00AB3B37" w:rsidRPr="002F01EF" w:rsidRDefault="00AB3B37" w:rsidP="00AB3B37">
            <w:pPr>
              <w:jc w:val="center"/>
              <w:rPr>
                <w:rStyle w:val="HideTWBExt"/>
              </w:rPr>
            </w:pPr>
            <w:r w:rsidRPr="002F01EF">
              <w:t>Article 304b (new)</w:t>
            </w:r>
          </w:p>
        </w:tc>
        <w:tc>
          <w:tcPr>
            <w:tcW w:w="5964" w:type="dxa"/>
            <w:shd w:val="clear" w:color="auto" w:fill="auto"/>
          </w:tcPr>
          <w:p w14:paraId="23F63D34" w14:textId="77777777" w:rsidR="00AB3B37" w:rsidRPr="002F01EF" w:rsidRDefault="00AB3B37" w:rsidP="00AB3B37">
            <w:pPr>
              <w:jc w:val="left"/>
              <w:rPr>
                <w:bCs/>
                <w:szCs w:val="17"/>
              </w:rPr>
            </w:pPr>
            <w:r w:rsidRPr="002F01EF">
              <w:rPr>
                <w:bCs/>
                <w:szCs w:val="17"/>
              </w:rPr>
              <w:t>EIOPA mandate to monitor closely and report a more appropriate calibration of capital requirements for securitisations.</w:t>
            </w:r>
          </w:p>
          <w:p w14:paraId="091DB61D" w14:textId="77777777" w:rsidR="00AB3B37" w:rsidRPr="002F01EF" w:rsidRDefault="00AB3B37" w:rsidP="00AB3B37">
            <w:pPr>
              <w:jc w:val="left"/>
              <w:rPr>
                <w:bCs/>
                <w:szCs w:val="17"/>
              </w:rPr>
            </w:pPr>
          </w:p>
          <w:p w14:paraId="22B67C4B" w14:textId="660C82ED" w:rsidR="00AB3B37" w:rsidRPr="002F01EF" w:rsidRDefault="00AB3B37" w:rsidP="00AB3B37">
            <w:pPr>
              <w:jc w:val="left"/>
              <w:rPr>
                <w:i/>
                <w:szCs w:val="17"/>
              </w:rPr>
            </w:pPr>
            <w:r w:rsidRPr="002F01EF">
              <w:rPr>
                <w:i/>
                <w:iCs/>
              </w:rPr>
              <w:t>Justification: Recent academic work suggests that the risks associated with investments in (STS) securitisation are lower than the risk-weight accorded to such investments by insurers. As such, EIOPA should have a closer look into how these risk weights should be adjusted</w:t>
            </w:r>
          </w:p>
        </w:tc>
        <w:tc>
          <w:tcPr>
            <w:tcW w:w="1865" w:type="dxa"/>
            <w:shd w:val="clear" w:color="auto" w:fill="auto"/>
            <w:vAlign w:val="center"/>
          </w:tcPr>
          <w:p w14:paraId="4DCB112D" w14:textId="1536773C" w:rsidR="00AB3B37" w:rsidRPr="002F01EF" w:rsidRDefault="00AB3B37" w:rsidP="00AB3B37">
            <w:pPr>
              <w:jc w:val="center"/>
              <w:rPr>
                <w:szCs w:val="17"/>
              </w:rPr>
            </w:pPr>
            <w:r w:rsidRPr="002F01EF">
              <w:t>Paul Tang</w:t>
            </w:r>
          </w:p>
        </w:tc>
        <w:tc>
          <w:tcPr>
            <w:tcW w:w="2483" w:type="dxa"/>
            <w:shd w:val="clear" w:color="auto" w:fill="auto"/>
            <w:vAlign w:val="center"/>
          </w:tcPr>
          <w:p w14:paraId="025ED394" w14:textId="406976BB" w:rsidR="00AB3B37" w:rsidRPr="002F01EF" w:rsidRDefault="00AB3B37" w:rsidP="00AB3B37">
            <w:pPr>
              <w:jc w:val="center"/>
              <w:rPr>
                <w:szCs w:val="17"/>
              </w:rPr>
            </w:pPr>
            <w:r w:rsidRPr="002F01EF">
              <w:rPr>
                <w:bCs/>
                <w:szCs w:val="17"/>
              </w:rPr>
              <w:t>SCR/Securitisations</w:t>
            </w:r>
          </w:p>
        </w:tc>
        <w:tc>
          <w:tcPr>
            <w:tcW w:w="1886" w:type="dxa"/>
            <w:shd w:val="clear" w:color="auto" w:fill="auto"/>
            <w:vAlign w:val="center"/>
          </w:tcPr>
          <w:p w14:paraId="0AE77B48" w14:textId="75AB7C4F" w:rsidR="00AB3B37" w:rsidRPr="000E6309" w:rsidRDefault="00E05108" w:rsidP="00AB3B37">
            <w:pPr>
              <w:jc w:val="center"/>
              <w:rPr>
                <w:szCs w:val="17"/>
              </w:rPr>
            </w:pPr>
            <w:r w:rsidRPr="000E6309">
              <w:rPr>
                <w:b/>
                <w:color w:val="00B050"/>
                <w:szCs w:val="17"/>
              </w:rPr>
              <w:t>Positive</w:t>
            </w:r>
          </w:p>
        </w:tc>
      </w:tr>
      <w:tr w:rsidR="00AB3B37" w:rsidRPr="002F01EF" w14:paraId="2BBADA04" w14:textId="77777777" w:rsidTr="00AB3B37">
        <w:trPr>
          <w:trHeight w:val="499"/>
        </w:trPr>
        <w:tc>
          <w:tcPr>
            <w:tcW w:w="679" w:type="dxa"/>
            <w:shd w:val="clear" w:color="auto" w:fill="auto"/>
            <w:vAlign w:val="center"/>
          </w:tcPr>
          <w:p w14:paraId="2BE0D377" w14:textId="4084FE38" w:rsidR="00AB3B37" w:rsidRPr="002F01EF" w:rsidRDefault="00AB3B37" w:rsidP="00AB3B37">
            <w:pPr>
              <w:jc w:val="center"/>
              <w:rPr>
                <w:szCs w:val="17"/>
              </w:rPr>
            </w:pPr>
            <w:r w:rsidRPr="002F01EF">
              <w:rPr>
                <w:szCs w:val="17"/>
              </w:rPr>
              <w:t>795</w:t>
            </w:r>
          </w:p>
        </w:tc>
        <w:tc>
          <w:tcPr>
            <w:tcW w:w="1866" w:type="dxa"/>
            <w:shd w:val="clear" w:color="auto" w:fill="auto"/>
            <w:vAlign w:val="center"/>
          </w:tcPr>
          <w:p w14:paraId="6B1D3E17" w14:textId="5B6F967E" w:rsidR="00AB3B37" w:rsidRPr="002F01EF" w:rsidRDefault="00AB3B37" w:rsidP="00AB3B37">
            <w:pPr>
              <w:jc w:val="center"/>
              <w:rPr>
                <w:rStyle w:val="HideTWBExt"/>
              </w:rPr>
            </w:pPr>
            <w:r w:rsidRPr="002F01EF">
              <w:t>Article 304b (new)</w:t>
            </w:r>
          </w:p>
        </w:tc>
        <w:tc>
          <w:tcPr>
            <w:tcW w:w="5964" w:type="dxa"/>
            <w:shd w:val="clear" w:color="auto" w:fill="auto"/>
          </w:tcPr>
          <w:p w14:paraId="5BE3EB98" w14:textId="7F256E35" w:rsidR="00AB3B37" w:rsidRPr="002F01EF" w:rsidRDefault="00AB3B37" w:rsidP="00AB3B37">
            <w:pPr>
              <w:jc w:val="left"/>
              <w:rPr>
                <w:szCs w:val="17"/>
              </w:rPr>
            </w:pPr>
            <w:r w:rsidRPr="002F01EF">
              <w:rPr>
                <w:bCs/>
                <w:szCs w:val="17"/>
              </w:rPr>
              <w:t>EC to publish a report on the use of profit-sharing reserve schemes. Based on this, the EC shall adopt a legislative proposal to phase-out these schemes over a defined transitional period and limit their risks.</w:t>
            </w:r>
          </w:p>
        </w:tc>
        <w:tc>
          <w:tcPr>
            <w:tcW w:w="1865" w:type="dxa"/>
            <w:shd w:val="clear" w:color="auto" w:fill="auto"/>
            <w:vAlign w:val="center"/>
          </w:tcPr>
          <w:p w14:paraId="51D20E25" w14:textId="19D3B0A8" w:rsidR="00AB3B37" w:rsidRPr="005036B9" w:rsidRDefault="00AB3B37" w:rsidP="00AB3B37">
            <w:pPr>
              <w:jc w:val="center"/>
              <w:rPr>
                <w:szCs w:val="17"/>
                <w:lang w:val="es-ES"/>
              </w:rPr>
            </w:pPr>
            <w:r w:rsidRPr="005036B9">
              <w:rPr>
                <w:lang w:val="es-ES"/>
              </w:rPr>
              <w:t>Eero Heinäluoma, Paul Tang, Jonás Fernández, Aurore Lalucq</w:t>
            </w:r>
          </w:p>
        </w:tc>
        <w:tc>
          <w:tcPr>
            <w:tcW w:w="2483" w:type="dxa"/>
            <w:shd w:val="clear" w:color="auto" w:fill="auto"/>
            <w:vAlign w:val="center"/>
          </w:tcPr>
          <w:p w14:paraId="027578D0" w14:textId="5DBDC759" w:rsidR="00AB3B37" w:rsidRPr="002F01EF" w:rsidRDefault="00AB3B37" w:rsidP="00AB3B37">
            <w:pPr>
              <w:jc w:val="center"/>
              <w:rPr>
                <w:szCs w:val="17"/>
              </w:rPr>
            </w:pPr>
            <w:r w:rsidRPr="002F01EF">
              <w:rPr>
                <w:bCs/>
                <w:szCs w:val="17"/>
              </w:rPr>
              <w:t>Profit-sharing reserve schemes</w:t>
            </w:r>
          </w:p>
        </w:tc>
        <w:tc>
          <w:tcPr>
            <w:tcW w:w="1886" w:type="dxa"/>
            <w:shd w:val="clear" w:color="auto" w:fill="auto"/>
            <w:vAlign w:val="center"/>
          </w:tcPr>
          <w:p w14:paraId="6FA86F18" w14:textId="31747FD2" w:rsidR="00AB3B37" w:rsidRPr="000E6309" w:rsidRDefault="00AB3B37" w:rsidP="00AB3B37">
            <w:pPr>
              <w:jc w:val="center"/>
              <w:rPr>
                <w:szCs w:val="17"/>
              </w:rPr>
            </w:pPr>
            <w:r w:rsidRPr="000E6309">
              <w:rPr>
                <w:szCs w:val="17"/>
              </w:rPr>
              <w:t>Neutral</w:t>
            </w:r>
          </w:p>
        </w:tc>
      </w:tr>
      <w:tr w:rsidR="00AB3B37" w:rsidRPr="002F01EF" w14:paraId="62681AB7" w14:textId="77777777" w:rsidTr="00AB3B37">
        <w:trPr>
          <w:trHeight w:val="499"/>
        </w:trPr>
        <w:tc>
          <w:tcPr>
            <w:tcW w:w="679" w:type="dxa"/>
            <w:shd w:val="clear" w:color="auto" w:fill="auto"/>
            <w:vAlign w:val="center"/>
          </w:tcPr>
          <w:p w14:paraId="3A4AA465" w14:textId="1252FDDF" w:rsidR="00AB3B37" w:rsidRPr="002F01EF" w:rsidRDefault="00AB3B37" w:rsidP="00AB3B37">
            <w:pPr>
              <w:jc w:val="center"/>
              <w:rPr>
                <w:szCs w:val="17"/>
              </w:rPr>
            </w:pPr>
            <w:r w:rsidRPr="002F01EF">
              <w:rPr>
                <w:bCs/>
                <w:szCs w:val="17"/>
              </w:rPr>
              <w:t>796</w:t>
            </w:r>
          </w:p>
        </w:tc>
        <w:tc>
          <w:tcPr>
            <w:tcW w:w="1866" w:type="dxa"/>
            <w:shd w:val="clear" w:color="auto" w:fill="auto"/>
            <w:vAlign w:val="center"/>
          </w:tcPr>
          <w:p w14:paraId="5C918178" w14:textId="4D2D0179" w:rsidR="00AB3B37" w:rsidRPr="002F01EF" w:rsidRDefault="00AB3B37" w:rsidP="00AB3B37">
            <w:pPr>
              <w:jc w:val="center"/>
              <w:rPr>
                <w:rStyle w:val="HideTWBExt"/>
              </w:rPr>
            </w:pPr>
            <w:r w:rsidRPr="002F01EF">
              <w:t>Article 304b (new)</w:t>
            </w:r>
          </w:p>
        </w:tc>
        <w:tc>
          <w:tcPr>
            <w:tcW w:w="5964" w:type="dxa"/>
            <w:shd w:val="clear" w:color="auto" w:fill="auto"/>
          </w:tcPr>
          <w:p w14:paraId="5520BD12" w14:textId="4E6AF29B" w:rsidR="00AB3B37" w:rsidRPr="002F01EF" w:rsidRDefault="00AB3B37" w:rsidP="00AB3B37">
            <w:pPr>
              <w:jc w:val="left"/>
              <w:rPr>
                <w:szCs w:val="17"/>
              </w:rPr>
            </w:pPr>
            <w:r w:rsidRPr="002F01EF">
              <w:rPr>
                <w:bCs/>
                <w:szCs w:val="17"/>
              </w:rPr>
              <w:t xml:space="preserve">EIOPA mandate to assess whether the composite ban is still relevant and evaluate the potential effects of lifting it on policyholder protection and potential cross-subsidisation between life and non-life, market efficiency and </w:t>
            </w:r>
            <w:r w:rsidR="007A2B69" w:rsidRPr="002F01EF">
              <w:rPr>
                <w:bCs/>
                <w:szCs w:val="17"/>
              </w:rPr>
              <w:t>competi</w:t>
            </w:r>
            <w:r w:rsidR="00221EEA" w:rsidRPr="002F01EF">
              <w:rPr>
                <w:bCs/>
                <w:szCs w:val="17"/>
              </w:rPr>
              <w:t>ti</w:t>
            </w:r>
            <w:r w:rsidR="007A2B69" w:rsidRPr="002F01EF">
              <w:rPr>
                <w:bCs/>
                <w:szCs w:val="17"/>
              </w:rPr>
              <w:t>veness</w:t>
            </w:r>
            <w:r w:rsidRPr="002F01EF">
              <w:rPr>
                <w:bCs/>
                <w:szCs w:val="17"/>
              </w:rPr>
              <w:t>.</w:t>
            </w:r>
          </w:p>
        </w:tc>
        <w:tc>
          <w:tcPr>
            <w:tcW w:w="1865" w:type="dxa"/>
            <w:shd w:val="clear" w:color="auto" w:fill="auto"/>
            <w:vAlign w:val="center"/>
          </w:tcPr>
          <w:p w14:paraId="64024BA1" w14:textId="4242F5E5" w:rsidR="00AB3B37" w:rsidRPr="002F01EF" w:rsidRDefault="00AB3B37" w:rsidP="00AB3B37">
            <w:pPr>
              <w:jc w:val="center"/>
              <w:rPr>
                <w:szCs w:val="17"/>
              </w:rPr>
            </w:pPr>
            <w:proofErr w:type="spellStart"/>
            <w:r w:rsidRPr="002F01EF">
              <w:t>Enikő</w:t>
            </w:r>
            <w:proofErr w:type="spellEnd"/>
            <w:r w:rsidRPr="002F01EF">
              <w:t xml:space="preserve"> </w:t>
            </w:r>
            <w:proofErr w:type="spellStart"/>
            <w:r w:rsidRPr="002F01EF">
              <w:t>Győri</w:t>
            </w:r>
            <w:proofErr w:type="spellEnd"/>
          </w:p>
        </w:tc>
        <w:tc>
          <w:tcPr>
            <w:tcW w:w="2483" w:type="dxa"/>
            <w:shd w:val="clear" w:color="auto" w:fill="auto"/>
            <w:vAlign w:val="center"/>
          </w:tcPr>
          <w:p w14:paraId="471C5580" w14:textId="56D5A5B2" w:rsidR="00AB3B37" w:rsidRPr="002F01EF" w:rsidRDefault="00AB3B37" w:rsidP="00AB3B37">
            <w:pPr>
              <w:jc w:val="center"/>
              <w:rPr>
                <w:szCs w:val="17"/>
              </w:rPr>
            </w:pPr>
            <w:r w:rsidRPr="002F01EF">
              <w:rPr>
                <w:bCs/>
                <w:szCs w:val="17"/>
              </w:rPr>
              <w:t>Composite ban</w:t>
            </w:r>
          </w:p>
        </w:tc>
        <w:tc>
          <w:tcPr>
            <w:tcW w:w="1886" w:type="dxa"/>
            <w:shd w:val="clear" w:color="auto" w:fill="auto"/>
            <w:vAlign w:val="center"/>
          </w:tcPr>
          <w:p w14:paraId="2508EC90" w14:textId="505D3B9B" w:rsidR="00AB3B37" w:rsidRPr="000E6309" w:rsidRDefault="00E05108" w:rsidP="00AB3B37">
            <w:pPr>
              <w:jc w:val="center"/>
              <w:rPr>
                <w:szCs w:val="17"/>
              </w:rPr>
            </w:pPr>
            <w:r w:rsidRPr="000E6309">
              <w:rPr>
                <w:b/>
                <w:color w:val="808080" w:themeColor="background1" w:themeShade="80"/>
                <w:szCs w:val="17"/>
              </w:rPr>
              <w:t>Neutral</w:t>
            </w:r>
          </w:p>
        </w:tc>
      </w:tr>
      <w:tr w:rsidR="00AB3B37" w:rsidRPr="002F01EF" w14:paraId="03F925DB" w14:textId="77777777" w:rsidTr="00AB3B37">
        <w:trPr>
          <w:trHeight w:val="499"/>
        </w:trPr>
        <w:tc>
          <w:tcPr>
            <w:tcW w:w="679" w:type="dxa"/>
            <w:shd w:val="clear" w:color="auto" w:fill="auto"/>
            <w:vAlign w:val="center"/>
          </w:tcPr>
          <w:p w14:paraId="4ED5C67B" w14:textId="4D632D8D" w:rsidR="00AB3B37" w:rsidRPr="002F01EF" w:rsidRDefault="00AB3B37" w:rsidP="00AB3B37">
            <w:pPr>
              <w:jc w:val="center"/>
              <w:rPr>
                <w:szCs w:val="17"/>
              </w:rPr>
            </w:pPr>
            <w:r w:rsidRPr="002F01EF">
              <w:rPr>
                <w:bCs/>
                <w:szCs w:val="17"/>
              </w:rPr>
              <w:lastRenderedPageBreak/>
              <w:t>797</w:t>
            </w:r>
          </w:p>
        </w:tc>
        <w:tc>
          <w:tcPr>
            <w:tcW w:w="1866" w:type="dxa"/>
            <w:shd w:val="clear" w:color="auto" w:fill="auto"/>
            <w:vAlign w:val="center"/>
          </w:tcPr>
          <w:p w14:paraId="7A2C3B04" w14:textId="3543C6CF" w:rsidR="00AB3B37" w:rsidRPr="002F01EF" w:rsidRDefault="00AB3B37" w:rsidP="00AB3B37">
            <w:pPr>
              <w:jc w:val="center"/>
              <w:rPr>
                <w:rStyle w:val="HideTWBExt"/>
              </w:rPr>
            </w:pPr>
            <w:r w:rsidRPr="002F01EF">
              <w:t>Article 308b – paragraph 17 – subparagraphs 1a and 1b</w:t>
            </w:r>
          </w:p>
        </w:tc>
        <w:tc>
          <w:tcPr>
            <w:tcW w:w="5964" w:type="dxa"/>
            <w:shd w:val="clear" w:color="auto" w:fill="auto"/>
          </w:tcPr>
          <w:p w14:paraId="42BC5B52" w14:textId="77777777" w:rsidR="00AB3B37" w:rsidRPr="002F01EF" w:rsidRDefault="00AB3B37" w:rsidP="00AB3B37">
            <w:pPr>
              <w:jc w:val="left"/>
              <w:rPr>
                <w:szCs w:val="17"/>
              </w:rPr>
            </w:pPr>
            <w:r w:rsidRPr="002F01EF">
              <w:rPr>
                <w:szCs w:val="17"/>
              </w:rPr>
              <w:t>No disclosure in SFCR of information in regards the use of transitional measure on risk-free interest rates or technical provisions.</w:t>
            </w:r>
          </w:p>
          <w:p w14:paraId="5930B52A" w14:textId="77777777" w:rsidR="00AB3B37" w:rsidRPr="002F01EF" w:rsidRDefault="00AB3B37" w:rsidP="00AB3B37">
            <w:pPr>
              <w:jc w:val="left"/>
              <w:rPr>
                <w:szCs w:val="17"/>
              </w:rPr>
            </w:pPr>
          </w:p>
          <w:p w14:paraId="0DE0FC98" w14:textId="03F5C8A1" w:rsidR="00AB3B37" w:rsidRPr="002F01EF" w:rsidRDefault="00AB3B37" w:rsidP="00AB3B37">
            <w:pPr>
              <w:jc w:val="left"/>
              <w:rPr>
                <w:i/>
                <w:szCs w:val="17"/>
              </w:rPr>
            </w:pPr>
            <w:r w:rsidRPr="002F01EF">
              <w:rPr>
                <w:i/>
                <w:iCs/>
              </w:rPr>
              <w:t>Justification: It is suggested to delete these provisions, as these would imply an increase of reporting burden from Solvency II which, taking into account already multiple existing and new reporting requirements, seems disproportionate when comparing benefits for stakeholders with costs incurred by insurance and reinsurance companies.</w:t>
            </w:r>
          </w:p>
        </w:tc>
        <w:tc>
          <w:tcPr>
            <w:tcW w:w="1865" w:type="dxa"/>
            <w:shd w:val="clear" w:color="auto" w:fill="auto"/>
            <w:vAlign w:val="center"/>
          </w:tcPr>
          <w:p w14:paraId="0B471BAE" w14:textId="69A3CF89" w:rsidR="00AB3B37" w:rsidRPr="002F01EF" w:rsidRDefault="00AB3B37" w:rsidP="00AB3B37">
            <w:pPr>
              <w:jc w:val="center"/>
              <w:rPr>
                <w:szCs w:val="17"/>
              </w:rPr>
            </w:pPr>
            <w:r w:rsidRPr="002F01EF">
              <w:t xml:space="preserve">Johan Van </w:t>
            </w:r>
            <w:proofErr w:type="spellStart"/>
            <w:r w:rsidRPr="002F01EF">
              <w:t>Overtveldt</w:t>
            </w:r>
            <w:proofErr w:type="spellEnd"/>
          </w:p>
        </w:tc>
        <w:tc>
          <w:tcPr>
            <w:tcW w:w="2483" w:type="dxa"/>
            <w:shd w:val="clear" w:color="auto" w:fill="auto"/>
            <w:vAlign w:val="center"/>
          </w:tcPr>
          <w:p w14:paraId="41FD8820" w14:textId="1EDEAF6A"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365C0A05" w14:textId="5B8F27C1" w:rsidR="00AB3B37" w:rsidRPr="00116C47" w:rsidRDefault="00E05108" w:rsidP="00AB3B37">
            <w:pPr>
              <w:jc w:val="center"/>
              <w:rPr>
                <w:szCs w:val="17"/>
              </w:rPr>
            </w:pPr>
            <w:r w:rsidRPr="00116C47">
              <w:rPr>
                <w:b/>
                <w:color w:val="00B050"/>
                <w:szCs w:val="17"/>
              </w:rPr>
              <w:t>Positive</w:t>
            </w:r>
          </w:p>
        </w:tc>
      </w:tr>
      <w:tr w:rsidR="00AB3B37" w:rsidRPr="002F01EF" w14:paraId="7FF959B6" w14:textId="77777777" w:rsidTr="00AB3B37">
        <w:trPr>
          <w:trHeight w:val="499"/>
        </w:trPr>
        <w:tc>
          <w:tcPr>
            <w:tcW w:w="679" w:type="dxa"/>
            <w:shd w:val="clear" w:color="auto" w:fill="auto"/>
            <w:vAlign w:val="center"/>
          </w:tcPr>
          <w:p w14:paraId="082DF357" w14:textId="606F9F1F" w:rsidR="00AB3B37" w:rsidRPr="002F01EF" w:rsidRDefault="00AB3B37" w:rsidP="00AB3B37">
            <w:pPr>
              <w:jc w:val="center"/>
              <w:rPr>
                <w:szCs w:val="17"/>
              </w:rPr>
            </w:pPr>
            <w:r w:rsidRPr="002F01EF">
              <w:rPr>
                <w:bCs/>
                <w:szCs w:val="17"/>
              </w:rPr>
              <w:t>798</w:t>
            </w:r>
          </w:p>
        </w:tc>
        <w:tc>
          <w:tcPr>
            <w:tcW w:w="1866" w:type="dxa"/>
            <w:shd w:val="clear" w:color="auto" w:fill="auto"/>
            <w:vAlign w:val="center"/>
          </w:tcPr>
          <w:p w14:paraId="65DD0D98" w14:textId="3B2C537B" w:rsidR="00AB3B37" w:rsidRPr="0092408F" w:rsidRDefault="00AB3B37" w:rsidP="00AB3B37">
            <w:pPr>
              <w:jc w:val="center"/>
              <w:rPr>
                <w:rStyle w:val="HideTWBExt"/>
                <w:lang w:val="fr-FR"/>
              </w:rPr>
            </w:pPr>
            <w:r w:rsidRPr="0092408F">
              <w:rPr>
                <w:lang w:val="fr-FR"/>
              </w:rPr>
              <w:t>Article 308b – paragraph 17 – subparagraph 1b</w:t>
            </w:r>
          </w:p>
        </w:tc>
        <w:tc>
          <w:tcPr>
            <w:tcW w:w="5964" w:type="dxa"/>
            <w:shd w:val="clear" w:color="auto" w:fill="auto"/>
          </w:tcPr>
          <w:p w14:paraId="6C5F7AE0" w14:textId="47B11724" w:rsidR="00AB3B37" w:rsidRPr="002F01EF" w:rsidRDefault="00AB3B37" w:rsidP="00AB3B37">
            <w:pPr>
              <w:jc w:val="left"/>
              <w:rPr>
                <w:szCs w:val="17"/>
              </w:rPr>
            </w:pPr>
            <w:r w:rsidRPr="002F01EF">
              <w:rPr>
                <w:bCs/>
                <w:szCs w:val="17"/>
              </w:rPr>
              <w:t>Amendment implying the obligation of the group supervisor to take appropriate measures in case a group materially relies on the use of transitional measures.</w:t>
            </w:r>
          </w:p>
        </w:tc>
        <w:tc>
          <w:tcPr>
            <w:tcW w:w="1865" w:type="dxa"/>
            <w:shd w:val="clear" w:color="auto" w:fill="auto"/>
            <w:vAlign w:val="center"/>
          </w:tcPr>
          <w:p w14:paraId="25F9CA7A" w14:textId="5A0F55E1" w:rsidR="00AB3B37" w:rsidRPr="002F01EF" w:rsidRDefault="00AB3B37" w:rsidP="00AB3B37">
            <w:pPr>
              <w:jc w:val="center"/>
              <w:rPr>
                <w:szCs w:val="17"/>
              </w:rPr>
            </w:pPr>
            <w:proofErr w:type="spellStart"/>
            <w:r w:rsidRPr="002F01EF">
              <w:t>Heinäluoma</w:t>
            </w:r>
            <w:proofErr w:type="spellEnd"/>
            <w:r w:rsidRPr="002F01EF">
              <w:t xml:space="preserve">, </w:t>
            </w:r>
            <w:proofErr w:type="spellStart"/>
            <w:r w:rsidRPr="002F01EF">
              <w:t>Lalucq</w:t>
            </w:r>
            <w:proofErr w:type="spellEnd"/>
          </w:p>
        </w:tc>
        <w:tc>
          <w:tcPr>
            <w:tcW w:w="2483" w:type="dxa"/>
            <w:shd w:val="clear" w:color="auto" w:fill="auto"/>
            <w:vAlign w:val="center"/>
          </w:tcPr>
          <w:p w14:paraId="7AD981C2" w14:textId="7A2AB874"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0553EEB5" w14:textId="0DAE37A9" w:rsidR="00AB3B37" w:rsidRPr="00116C47" w:rsidRDefault="00D36571" w:rsidP="00AB3B37">
            <w:pPr>
              <w:jc w:val="center"/>
              <w:rPr>
                <w:b/>
                <w:color w:val="808080" w:themeColor="background1" w:themeShade="80"/>
                <w:szCs w:val="17"/>
              </w:rPr>
            </w:pPr>
            <w:r w:rsidRPr="00116C47">
              <w:rPr>
                <w:b/>
                <w:color w:val="FF0000"/>
                <w:szCs w:val="17"/>
              </w:rPr>
              <w:t>Negative</w:t>
            </w:r>
          </w:p>
        </w:tc>
      </w:tr>
      <w:tr w:rsidR="00AB3B37" w:rsidRPr="002F01EF" w14:paraId="69C18524" w14:textId="77777777" w:rsidTr="00AB3B37">
        <w:trPr>
          <w:trHeight w:val="499"/>
        </w:trPr>
        <w:tc>
          <w:tcPr>
            <w:tcW w:w="679" w:type="dxa"/>
            <w:shd w:val="clear" w:color="auto" w:fill="auto"/>
            <w:vAlign w:val="center"/>
          </w:tcPr>
          <w:p w14:paraId="1BF391A8" w14:textId="7C676E82" w:rsidR="00AB3B37" w:rsidRPr="002F01EF" w:rsidRDefault="00AB3B37" w:rsidP="00AB3B37">
            <w:pPr>
              <w:jc w:val="center"/>
              <w:rPr>
                <w:szCs w:val="17"/>
              </w:rPr>
            </w:pPr>
            <w:r w:rsidRPr="002F01EF">
              <w:rPr>
                <w:bCs/>
                <w:szCs w:val="17"/>
              </w:rPr>
              <w:t>799</w:t>
            </w:r>
          </w:p>
        </w:tc>
        <w:tc>
          <w:tcPr>
            <w:tcW w:w="1866" w:type="dxa"/>
            <w:shd w:val="clear" w:color="auto" w:fill="auto"/>
            <w:vAlign w:val="center"/>
          </w:tcPr>
          <w:p w14:paraId="6A279B4B" w14:textId="3362FE42" w:rsidR="00AB3B37" w:rsidRPr="002F01EF" w:rsidRDefault="00AB3B37" w:rsidP="00AB3B37">
            <w:pPr>
              <w:jc w:val="center"/>
              <w:rPr>
                <w:rStyle w:val="HideTWBExt"/>
              </w:rPr>
            </w:pPr>
            <w:r w:rsidRPr="002F01EF">
              <w:t>Article 308c – paragraph 2</w:t>
            </w:r>
          </w:p>
        </w:tc>
        <w:tc>
          <w:tcPr>
            <w:tcW w:w="5964" w:type="dxa"/>
            <w:shd w:val="clear" w:color="auto" w:fill="auto"/>
          </w:tcPr>
          <w:p w14:paraId="0C7D6E1B" w14:textId="48CC0BC5" w:rsidR="00AB3B37" w:rsidRPr="002F01EF" w:rsidRDefault="00AB3B37" w:rsidP="00AB3B37">
            <w:pPr>
              <w:jc w:val="left"/>
              <w:rPr>
                <w:szCs w:val="17"/>
              </w:rPr>
            </w:pPr>
            <w:r w:rsidRPr="002F01EF">
              <w:rPr>
                <w:bCs/>
                <w:szCs w:val="17"/>
              </w:rPr>
              <w:t>The transitional adjustment on the risk-free interest rates shall decrease linearly until January 2030 (instead of 2032).</w:t>
            </w:r>
          </w:p>
        </w:tc>
        <w:tc>
          <w:tcPr>
            <w:tcW w:w="1865" w:type="dxa"/>
            <w:shd w:val="clear" w:color="auto" w:fill="auto"/>
            <w:vAlign w:val="center"/>
          </w:tcPr>
          <w:p w14:paraId="42F5BDD4" w14:textId="6A28E55A" w:rsidR="00AB3B37" w:rsidRPr="002F01EF" w:rsidRDefault="00AB3B37" w:rsidP="00AB3B37">
            <w:pPr>
              <w:jc w:val="center"/>
              <w:rPr>
                <w:szCs w:val="17"/>
              </w:rPr>
            </w:pPr>
            <w:r w:rsidRPr="002F01EF">
              <w:t>Hahn on behalf of the Verts/ALE Group</w:t>
            </w:r>
          </w:p>
        </w:tc>
        <w:tc>
          <w:tcPr>
            <w:tcW w:w="2483" w:type="dxa"/>
            <w:shd w:val="clear" w:color="auto" w:fill="auto"/>
            <w:vAlign w:val="center"/>
          </w:tcPr>
          <w:p w14:paraId="68803472" w14:textId="182F2E3D"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1968EFBA" w14:textId="2D06E40C" w:rsidR="00AB3B37" w:rsidRPr="00116C47" w:rsidRDefault="00AB3B37" w:rsidP="00AB3B37">
            <w:pPr>
              <w:jc w:val="center"/>
              <w:rPr>
                <w:b/>
                <w:color w:val="808080" w:themeColor="background1" w:themeShade="80"/>
                <w:szCs w:val="17"/>
              </w:rPr>
            </w:pPr>
            <w:r w:rsidRPr="00116C47">
              <w:rPr>
                <w:b/>
                <w:color w:val="808080" w:themeColor="background1" w:themeShade="80"/>
                <w:szCs w:val="17"/>
              </w:rPr>
              <w:t>Neutral</w:t>
            </w:r>
          </w:p>
        </w:tc>
      </w:tr>
      <w:tr w:rsidR="00AB3B37" w:rsidRPr="002F01EF" w14:paraId="59270BC6" w14:textId="77777777" w:rsidTr="00AB3B37">
        <w:trPr>
          <w:trHeight w:val="499"/>
        </w:trPr>
        <w:tc>
          <w:tcPr>
            <w:tcW w:w="679" w:type="dxa"/>
            <w:shd w:val="clear" w:color="auto" w:fill="auto"/>
            <w:vAlign w:val="center"/>
          </w:tcPr>
          <w:p w14:paraId="401D965C" w14:textId="41FD49D9" w:rsidR="00AB3B37" w:rsidRPr="002F01EF" w:rsidRDefault="00AB3B37" w:rsidP="00AB3B37">
            <w:pPr>
              <w:jc w:val="center"/>
              <w:rPr>
                <w:szCs w:val="17"/>
              </w:rPr>
            </w:pPr>
            <w:r w:rsidRPr="002F01EF">
              <w:rPr>
                <w:bCs/>
                <w:szCs w:val="17"/>
              </w:rPr>
              <w:t>800-801</w:t>
            </w:r>
          </w:p>
        </w:tc>
        <w:tc>
          <w:tcPr>
            <w:tcW w:w="1866" w:type="dxa"/>
            <w:shd w:val="clear" w:color="auto" w:fill="auto"/>
            <w:vAlign w:val="center"/>
          </w:tcPr>
          <w:p w14:paraId="4A1E30EC" w14:textId="3D7F154C" w:rsidR="00AB3B37" w:rsidRPr="0092408F" w:rsidRDefault="00AB3B37" w:rsidP="00AB3B37">
            <w:pPr>
              <w:jc w:val="center"/>
              <w:rPr>
                <w:rStyle w:val="HideTWBExt"/>
                <w:lang w:val="fr-FR"/>
              </w:rPr>
            </w:pPr>
            <w:r w:rsidRPr="0092408F">
              <w:rPr>
                <w:lang w:val="fr-FR"/>
              </w:rPr>
              <w:t>Article 308c – paragraph 4 – point c – point iv</w:t>
            </w:r>
          </w:p>
        </w:tc>
        <w:tc>
          <w:tcPr>
            <w:tcW w:w="5964" w:type="dxa"/>
            <w:shd w:val="clear" w:color="auto" w:fill="auto"/>
          </w:tcPr>
          <w:p w14:paraId="03479DFD" w14:textId="101287A7" w:rsidR="00AB3B37" w:rsidRPr="002F01EF" w:rsidRDefault="00AB3B37" w:rsidP="00AB3B37">
            <w:pPr>
              <w:jc w:val="left"/>
              <w:rPr>
                <w:szCs w:val="17"/>
              </w:rPr>
            </w:pPr>
            <w:r w:rsidRPr="002F01EF">
              <w:rPr>
                <w:bCs/>
                <w:szCs w:val="17"/>
              </w:rPr>
              <w:t xml:space="preserve">Undertakings should include </w:t>
            </w:r>
            <w:r w:rsidRPr="002F01EF">
              <w:t>a concrete timing in which the transitional measure on the risk-free interest rate has effect</w:t>
            </w:r>
          </w:p>
        </w:tc>
        <w:tc>
          <w:tcPr>
            <w:tcW w:w="1865" w:type="dxa"/>
            <w:shd w:val="clear" w:color="auto" w:fill="auto"/>
            <w:vAlign w:val="center"/>
          </w:tcPr>
          <w:p w14:paraId="6D8494A0" w14:textId="4A404A41" w:rsidR="00AB3B37" w:rsidRPr="002F01EF" w:rsidRDefault="00AB3B37" w:rsidP="00AB3B37">
            <w:pPr>
              <w:jc w:val="center"/>
              <w:rPr>
                <w:szCs w:val="17"/>
              </w:rPr>
            </w:pPr>
            <w:proofErr w:type="spellStart"/>
            <w:r w:rsidRPr="002F01EF">
              <w:t>Heinäluoma</w:t>
            </w:r>
            <w:proofErr w:type="spellEnd"/>
            <w:r w:rsidRPr="002F01EF">
              <w:t xml:space="preserve">, </w:t>
            </w:r>
            <w:proofErr w:type="spellStart"/>
            <w:r w:rsidRPr="002F01EF">
              <w:t>Lalucq</w:t>
            </w:r>
            <w:proofErr w:type="spellEnd"/>
            <w:r w:rsidRPr="002F01EF">
              <w:t xml:space="preserve"> (800) </w:t>
            </w:r>
            <w:r w:rsidR="00FB4A79" w:rsidRPr="002F01EF">
              <w:t>&amp; (</w:t>
            </w:r>
            <w:r w:rsidRPr="002F01EF">
              <w:t>801)</w:t>
            </w:r>
          </w:p>
        </w:tc>
        <w:tc>
          <w:tcPr>
            <w:tcW w:w="2483" w:type="dxa"/>
            <w:shd w:val="clear" w:color="auto" w:fill="auto"/>
            <w:vAlign w:val="center"/>
          </w:tcPr>
          <w:p w14:paraId="1246B44B" w14:textId="3F91E1C9"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3D7F5685" w14:textId="153C3656"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2F3CF001" w14:textId="77777777" w:rsidTr="00AB3B37">
        <w:trPr>
          <w:trHeight w:val="499"/>
        </w:trPr>
        <w:tc>
          <w:tcPr>
            <w:tcW w:w="679" w:type="dxa"/>
            <w:shd w:val="clear" w:color="auto" w:fill="auto"/>
            <w:vAlign w:val="center"/>
          </w:tcPr>
          <w:p w14:paraId="127F56D4" w14:textId="2BF94797" w:rsidR="00AB3B37" w:rsidRPr="002F01EF" w:rsidRDefault="00AB3B37" w:rsidP="00AB3B37">
            <w:pPr>
              <w:jc w:val="center"/>
              <w:rPr>
                <w:szCs w:val="17"/>
              </w:rPr>
            </w:pPr>
            <w:r w:rsidRPr="002F01EF">
              <w:rPr>
                <w:bCs/>
                <w:szCs w:val="17"/>
              </w:rPr>
              <w:t>802</w:t>
            </w:r>
          </w:p>
        </w:tc>
        <w:tc>
          <w:tcPr>
            <w:tcW w:w="1866" w:type="dxa"/>
            <w:shd w:val="clear" w:color="auto" w:fill="auto"/>
            <w:vAlign w:val="center"/>
          </w:tcPr>
          <w:p w14:paraId="3A32AC9A" w14:textId="5BFD3674" w:rsidR="00AB3B37" w:rsidRPr="002F01EF" w:rsidRDefault="00AB3B37" w:rsidP="00AB3B37">
            <w:pPr>
              <w:jc w:val="center"/>
              <w:rPr>
                <w:rStyle w:val="HideTWBExt"/>
              </w:rPr>
            </w:pPr>
            <w:r w:rsidRPr="002F01EF">
              <w:t>Article 308e</w:t>
            </w:r>
          </w:p>
        </w:tc>
        <w:tc>
          <w:tcPr>
            <w:tcW w:w="5964" w:type="dxa"/>
            <w:shd w:val="clear" w:color="auto" w:fill="auto"/>
          </w:tcPr>
          <w:p w14:paraId="45146284" w14:textId="0F6AB485" w:rsidR="00AB3B37" w:rsidRPr="002F01EF" w:rsidRDefault="00AB3B37" w:rsidP="00AB3B37">
            <w:pPr>
              <w:jc w:val="left"/>
              <w:rPr>
                <w:szCs w:val="17"/>
              </w:rPr>
            </w:pPr>
            <w:r w:rsidRPr="002F01EF">
              <w:rPr>
                <w:bCs/>
                <w:szCs w:val="17"/>
              </w:rPr>
              <w:t>Timing of measures to restore financial position to be included in the phasing-in plan. Supervisory authority is also empowered to revoke the approval of transitional measures in case the insurer cannot demonstrate sufficient progress.</w:t>
            </w:r>
          </w:p>
        </w:tc>
        <w:tc>
          <w:tcPr>
            <w:tcW w:w="1865" w:type="dxa"/>
            <w:shd w:val="clear" w:color="auto" w:fill="auto"/>
            <w:vAlign w:val="center"/>
          </w:tcPr>
          <w:p w14:paraId="3A14423D" w14:textId="0242BB6A" w:rsidR="00AB3B37" w:rsidRPr="002F01EF" w:rsidRDefault="00AB3B37" w:rsidP="00AB3B37">
            <w:pPr>
              <w:jc w:val="center"/>
              <w:rPr>
                <w:szCs w:val="17"/>
              </w:rPr>
            </w:pPr>
            <w:proofErr w:type="spellStart"/>
            <w:r w:rsidRPr="002F01EF">
              <w:t>Heinäluoma</w:t>
            </w:r>
            <w:proofErr w:type="spellEnd"/>
            <w:r w:rsidRPr="002F01EF">
              <w:t xml:space="preserve">, </w:t>
            </w:r>
            <w:proofErr w:type="spellStart"/>
            <w:r w:rsidRPr="002F01EF">
              <w:t>Lalucq</w:t>
            </w:r>
            <w:proofErr w:type="spellEnd"/>
          </w:p>
        </w:tc>
        <w:tc>
          <w:tcPr>
            <w:tcW w:w="2483" w:type="dxa"/>
            <w:shd w:val="clear" w:color="auto" w:fill="auto"/>
            <w:vAlign w:val="center"/>
          </w:tcPr>
          <w:p w14:paraId="363DE14C" w14:textId="5CEBC5F7"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7EF8F0DB" w14:textId="53096F22"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25EF5025" w14:textId="77777777" w:rsidTr="00AB3B37">
        <w:trPr>
          <w:trHeight w:val="499"/>
        </w:trPr>
        <w:tc>
          <w:tcPr>
            <w:tcW w:w="679" w:type="dxa"/>
            <w:shd w:val="clear" w:color="auto" w:fill="auto"/>
            <w:vAlign w:val="center"/>
          </w:tcPr>
          <w:p w14:paraId="4FD02650" w14:textId="07A15368" w:rsidR="00AB3B37" w:rsidRPr="002F01EF" w:rsidRDefault="00AB3B37" w:rsidP="00AB3B37">
            <w:pPr>
              <w:jc w:val="center"/>
              <w:rPr>
                <w:szCs w:val="17"/>
              </w:rPr>
            </w:pPr>
            <w:r w:rsidRPr="002F01EF">
              <w:rPr>
                <w:bCs/>
                <w:szCs w:val="17"/>
              </w:rPr>
              <w:t>803</w:t>
            </w:r>
          </w:p>
        </w:tc>
        <w:tc>
          <w:tcPr>
            <w:tcW w:w="1866" w:type="dxa"/>
            <w:shd w:val="clear" w:color="auto" w:fill="auto"/>
            <w:vAlign w:val="center"/>
          </w:tcPr>
          <w:p w14:paraId="7F5A9DA1" w14:textId="1318F449" w:rsidR="00AB3B37" w:rsidRPr="002F01EF" w:rsidRDefault="00AB3B37" w:rsidP="00AB3B37">
            <w:pPr>
              <w:jc w:val="center"/>
              <w:rPr>
                <w:rStyle w:val="HideTWBExt"/>
              </w:rPr>
            </w:pPr>
            <w:r w:rsidRPr="002F01EF">
              <w:t>Article 308e</w:t>
            </w:r>
          </w:p>
        </w:tc>
        <w:tc>
          <w:tcPr>
            <w:tcW w:w="5964" w:type="dxa"/>
            <w:shd w:val="clear" w:color="auto" w:fill="auto"/>
          </w:tcPr>
          <w:p w14:paraId="525E3022" w14:textId="4B02C8A2" w:rsidR="00AB3B37" w:rsidRPr="002F01EF" w:rsidRDefault="00AB3B37" w:rsidP="00AB3B37">
            <w:pPr>
              <w:jc w:val="left"/>
              <w:rPr>
                <w:szCs w:val="17"/>
              </w:rPr>
            </w:pPr>
            <w:r w:rsidRPr="002F01EF">
              <w:rPr>
                <w:bCs/>
                <w:szCs w:val="17"/>
              </w:rPr>
              <w:t>Approval of using transitional measures can be revoked by supervisor in case of no significant progress.</w:t>
            </w:r>
          </w:p>
        </w:tc>
        <w:tc>
          <w:tcPr>
            <w:tcW w:w="1865" w:type="dxa"/>
            <w:shd w:val="clear" w:color="auto" w:fill="auto"/>
            <w:vAlign w:val="center"/>
          </w:tcPr>
          <w:p w14:paraId="026971EE" w14:textId="551C8CB4" w:rsidR="00AB3B37" w:rsidRPr="002F01EF" w:rsidRDefault="00AB3B37" w:rsidP="00AB3B37">
            <w:pPr>
              <w:jc w:val="center"/>
              <w:rPr>
                <w:szCs w:val="17"/>
              </w:rPr>
            </w:pPr>
            <w:r w:rsidRPr="002F01EF">
              <w:t xml:space="preserve">Van </w:t>
            </w:r>
            <w:proofErr w:type="spellStart"/>
            <w:r w:rsidRPr="002F01EF">
              <w:t>Overtveldt</w:t>
            </w:r>
            <w:proofErr w:type="spellEnd"/>
          </w:p>
        </w:tc>
        <w:tc>
          <w:tcPr>
            <w:tcW w:w="2483" w:type="dxa"/>
            <w:shd w:val="clear" w:color="auto" w:fill="auto"/>
            <w:vAlign w:val="center"/>
          </w:tcPr>
          <w:p w14:paraId="22446851" w14:textId="74A1B8A0"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3562AF64" w14:textId="5CB42FF9"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r w:rsidR="00AB3B37" w:rsidRPr="002F01EF" w14:paraId="658692E6" w14:textId="77777777" w:rsidTr="00AB3B37">
        <w:trPr>
          <w:trHeight w:val="499"/>
        </w:trPr>
        <w:tc>
          <w:tcPr>
            <w:tcW w:w="679" w:type="dxa"/>
            <w:shd w:val="clear" w:color="auto" w:fill="auto"/>
            <w:vAlign w:val="center"/>
          </w:tcPr>
          <w:p w14:paraId="68E2537C" w14:textId="029301AE" w:rsidR="00AB3B37" w:rsidRPr="002F01EF" w:rsidRDefault="00AB3B37" w:rsidP="00AB3B37">
            <w:pPr>
              <w:jc w:val="center"/>
              <w:rPr>
                <w:szCs w:val="17"/>
              </w:rPr>
            </w:pPr>
            <w:r w:rsidRPr="002F01EF">
              <w:rPr>
                <w:bCs/>
                <w:szCs w:val="17"/>
              </w:rPr>
              <w:t>804</w:t>
            </w:r>
          </w:p>
        </w:tc>
        <w:tc>
          <w:tcPr>
            <w:tcW w:w="1866" w:type="dxa"/>
            <w:shd w:val="clear" w:color="auto" w:fill="auto"/>
            <w:vAlign w:val="center"/>
          </w:tcPr>
          <w:p w14:paraId="4DA9B727" w14:textId="1156C317" w:rsidR="00AB3B37" w:rsidRPr="002F01EF" w:rsidRDefault="00B2322A" w:rsidP="00AB3B37">
            <w:pPr>
              <w:jc w:val="center"/>
              <w:rPr>
                <w:rStyle w:val="HideTWBExt"/>
              </w:rPr>
            </w:pPr>
            <w:r w:rsidRPr="002F01EF">
              <w:t>Article 1 a (new)</w:t>
            </w:r>
            <w:r w:rsidRPr="002F01EF">
              <w:rPr>
                <w:rStyle w:val="HideTWBExt"/>
                <w:vanish w:val="0"/>
              </w:rPr>
              <w:t xml:space="preserve"> </w:t>
            </w:r>
            <w:r w:rsidR="007A2B69" w:rsidRPr="002F01EF">
              <w:rPr>
                <w:rStyle w:val="HideTWBExt"/>
              </w:rPr>
              <w:t>-</w:t>
            </w:r>
          </w:p>
        </w:tc>
        <w:tc>
          <w:tcPr>
            <w:tcW w:w="5964" w:type="dxa"/>
            <w:shd w:val="clear" w:color="auto" w:fill="auto"/>
          </w:tcPr>
          <w:p w14:paraId="02E43DB8" w14:textId="2CB62B42" w:rsidR="00AB3B37" w:rsidRPr="002F01EF" w:rsidRDefault="00AB3B37" w:rsidP="00AB3B37">
            <w:pPr>
              <w:jc w:val="left"/>
              <w:rPr>
                <w:szCs w:val="17"/>
              </w:rPr>
            </w:pPr>
            <w:r w:rsidRPr="002F01EF">
              <w:rPr>
                <w:bCs/>
                <w:szCs w:val="17"/>
              </w:rPr>
              <w:t>A continuing right of cancellation not expiring earlier than implementation of Solvency II changes shall expire 12 months after the cancellation period referred to in Art 186.</w:t>
            </w:r>
          </w:p>
        </w:tc>
        <w:tc>
          <w:tcPr>
            <w:tcW w:w="1865" w:type="dxa"/>
            <w:shd w:val="clear" w:color="auto" w:fill="auto"/>
            <w:vAlign w:val="center"/>
          </w:tcPr>
          <w:p w14:paraId="09207A90" w14:textId="2A9C0AEE" w:rsidR="00AB3B37" w:rsidRPr="002F01EF" w:rsidRDefault="00AB3B37" w:rsidP="00AB3B37">
            <w:pPr>
              <w:jc w:val="center"/>
              <w:rPr>
                <w:szCs w:val="17"/>
              </w:rPr>
            </w:pPr>
            <w:r w:rsidRPr="002F01EF">
              <w:t>Eroglu</w:t>
            </w:r>
          </w:p>
        </w:tc>
        <w:tc>
          <w:tcPr>
            <w:tcW w:w="2483" w:type="dxa"/>
            <w:shd w:val="clear" w:color="auto" w:fill="auto"/>
            <w:vAlign w:val="center"/>
          </w:tcPr>
          <w:p w14:paraId="3E0A9B11" w14:textId="5CD9AE4A" w:rsidR="00AB3B37" w:rsidRPr="002F01EF" w:rsidRDefault="00AB3B37" w:rsidP="00AB3B37">
            <w:pPr>
              <w:jc w:val="center"/>
              <w:rPr>
                <w:szCs w:val="17"/>
              </w:rPr>
            </w:pPr>
            <w:proofErr w:type="spellStart"/>
            <w:r w:rsidRPr="002F01EF">
              <w:rPr>
                <w:bCs/>
                <w:szCs w:val="17"/>
              </w:rPr>
              <w:t>Transitionals</w:t>
            </w:r>
            <w:proofErr w:type="spellEnd"/>
          </w:p>
        </w:tc>
        <w:tc>
          <w:tcPr>
            <w:tcW w:w="1886" w:type="dxa"/>
            <w:shd w:val="clear" w:color="auto" w:fill="auto"/>
            <w:vAlign w:val="center"/>
          </w:tcPr>
          <w:p w14:paraId="37EBA0DA" w14:textId="4897CCA7" w:rsidR="00AB3B37" w:rsidRPr="002F01EF" w:rsidRDefault="00AB3B37" w:rsidP="00AB3B37">
            <w:pPr>
              <w:jc w:val="center"/>
              <w:rPr>
                <w:b/>
                <w:color w:val="808080" w:themeColor="background1" w:themeShade="80"/>
                <w:szCs w:val="17"/>
              </w:rPr>
            </w:pPr>
            <w:r w:rsidRPr="002F01EF">
              <w:rPr>
                <w:b/>
                <w:color w:val="808080" w:themeColor="background1" w:themeShade="80"/>
                <w:szCs w:val="17"/>
              </w:rPr>
              <w:t>Neutral</w:t>
            </w:r>
          </w:p>
        </w:tc>
      </w:tr>
    </w:tbl>
    <w:p w14:paraId="0336A028" w14:textId="77777777" w:rsidR="009176FF" w:rsidRPr="00182F9B" w:rsidRDefault="009176FF" w:rsidP="009176FF">
      <w:pPr>
        <w:spacing w:line="240" w:lineRule="auto"/>
        <w:jc w:val="left"/>
        <w:rPr>
          <w:rStyle w:val="CEAGraphTitle"/>
          <w:szCs w:val="17"/>
        </w:rPr>
      </w:pPr>
    </w:p>
    <w:p w14:paraId="0336A029" w14:textId="6F023C84" w:rsidR="00440FEE" w:rsidRPr="00182F9B" w:rsidRDefault="00440FEE"/>
    <w:sectPr w:rsidR="00440FEE" w:rsidRPr="00182F9B" w:rsidSect="00961C45">
      <w:headerReference w:type="default" r:id="rId10"/>
      <w:footerReference w:type="default" r:id="rId11"/>
      <w:pgSz w:w="16839" w:h="11907" w:orient="landscape" w:code="9"/>
      <w:pgMar w:top="1418" w:right="2410" w:bottom="902" w:left="1418" w:header="1276"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3DA4" w14:textId="77777777" w:rsidR="00605633" w:rsidRDefault="00605633">
      <w:pPr>
        <w:spacing w:line="240" w:lineRule="auto"/>
      </w:pPr>
      <w:r>
        <w:separator/>
      </w:r>
    </w:p>
  </w:endnote>
  <w:endnote w:type="continuationSeparator" w:id="0">
    <w:p w14:paraId="4FE4874A" w14:textId="77777777" w:rsidR="00605633" w:rsidRDefault="00605633">
      <w:pPr>
        <w:spacing w:line="240" w:lineRule="auto"/>
      </w:pPr>
      <w:r>
        <w:continuationSeparator/>
      </w:r>
    </w:p>
  </w:endnote>
  <w:endnote w:type="continuationNotice" w:id="1">
    <w:p w14:paraId="2A4928C1" w14:textId="77777777" w:rsidR="00605633" w:rsidRDefault="006056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Frutiger LT Std 55 Roman">
    <w:altName w:val="Calibri"/>
    <w:panose1 w:val="00000000000000000000"/>
    <w:charset w:val="00"/>
    <w:family w:val="swiss"/>
    <w:notTrueType/>
    <w:pitch w:val="variable"/>
    <w:sig w:usb0="800000AF" w:usb1="4000204A" w:usb2="00000000" w:usb3="00000000" w:csb0="00000001" w:csb1="00000000"/>
  </w:font>
  <w:font w:name="Frutiger LT Com 45 Light">
    <w:altName w:val="Corbel"/>
    <w:charset w:val="00"/>
    <w:family w:val="swiss"/>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13694"/>
      <w:docPartObj>
        <w:docPartGallery w:val="Page Numbers (Bottom of Page)"/>
        <w:docPartUnique/>
      </w:docPartObj>
    </w:sdtPr>
    <w:sdtEndPr>
      <w:rPr>
        <w:noProof/>
      </w:rPr>
    </w:sdtEndPr>
    <w:sdtContent>
      <w:p w14:paraId="1F525E91" w14:textId="1ED76CDD" w:rsidR="00CD472C" w:rsidRDefault="00CD472C">
        <w:pPr>
          <w:pStyle w:val="Pta"/>
          <w:jc w:val="right"/>
        </w:pPr>
        <w:r>
          <w:fldChar w:fldCharType="begin"/>
        </w:r>
        <w:r>
          <w:instrText xml:space="preserve"> PAGE   \* MERGEFORMAT </w:instrText>
        </w:r>
        <w:r>
          <w:fldChar w:fldCharType="separate"/>
        </w:r>
        <w:r>
          <w:rPr>
            <w:noProof/>
          </w:rPr>
          <w:t>2</w:t>
        </w:r>
        <w:r>
          <w:rPr>
            <w:noProof/>
          </w:rPr>
          <w:fldChar w:fldCharType="end"/>
        </w:r>
      </w:p>
    </w:sdtContent>
  </w:sdt>
  <w:p w14:paraId="0336A031" w14:textId="77777777" w:rsidR="00A4798B" w:rsidRPr="00CD51F6" w:rsidRDefault="00A4798B" w:rsidP="00A4798B">
    <w:pPr>
      <w:pStyle w:val="Pta"/>
      <w:ind w:left="546"/>
      <w:rPr>
        <w:rFonts w:cs="Arial"/>
        <w:b/>
        <w:color w:val="0032FF"/>
        <w:sz w:val="16"/>
        <w:szCs w:val="16"/>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6D0E" w14:textId="77777777" w:rsidR="00605633" w:rsidRDefault="00605633">
      <w:pPr>
        <w:spacing w:line="240" w:lineRule="auto"/>
      </w:pPr>
      <w:r>
        <w:separator/>
      </w:r>
    </w:p>
  </w:footnote>
  <w:footnote w:type="continuationSeparator" w:id="0">
    <w:p w14:paraId="2F0F734B" w14:textId="77777777" w:rsidR="00605633" w:rsidRDefault="00605633">
      <w:pPr>
        <w:spacing w:line="240" w:lineRule="auto"/>
      </w:pPr>
      <w:r>
        <w:continuationSeparator/>
      </w:r>
    </w:p>
  </w:footnote>
  <w:footnote w:type="continuationNotice" w:id="1">
    <w:p w14:paraId="2A7CEF1F" w14:textId="77777777" w:rsidR="00605633" w:rsidRDefault="006056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6A02E" w14:textId="77777777" w:rsidR="00A4798B" w:rsidRPr="000846C0" w:rsidRDefault="00A4798B" w:rsidP="00A4798B">
    <w:pPr>
      <w:pStyle w:val="Noparagraphstyle"/>
      <w:jc w:val="right"/>
      <w:rPr>
        <w:sz w:val="18"/>
        <w:szCs w:val="18"/>
      </w:rPr>
    </w:pPr>
  </w:p>
  <w:p w14:paraId="0336A02F" w14:textId="77777777" w:rsidR="00A4798B" w:rsidRPr="00CD51F6" w:rsidRDefault="009176FF" w:rsidP="00A4798B">
    <w:pPr>
      <w:pStyle w:val="Noparagraphstyle"/>
      <w:jc w:val="right"/>
      <w:rPr>
        <w:rFonts w:ascii="Arial" w:hAnsi="Arial" w:cs="Arial"/>
        <w:i/>
        <w:iCs/>
        <w:color w:val="034EA2"/>
      </w:rPr>
    </w:pPr>
    <w:r>
      <w:tab/>
    </w:r>
  </w:p>
  <w:p w14:paraId="0336A030" w14:textId="77777777" w:rsidR="00A4798B" w:rsidRPr="007349E1" w:rsidRDefault="009176FF" w:rsidP="00A4798B">
    <w:pPr>
      <w:pStyle w:val="Hlavika"/>
      <w:tabs>
        <w:tab w:val="clear" w:pos="4320"/>
        <w:tab w:val="clear" w:pos="8640"/>
        <w:tab w:val="center" w:pos="0"/>
        <w:tab w:val="right" w:pos="10440"/>
      </w:tabs>
      <w:rPr>
        <w:b/>
        <w:sz w:val="40"/>
        <w:szCs w:val="40"/>
      </w:rPr>
    </w:pPr>
    <w:r w:rsidRPr="00164309">
      <w:rPr>
        <w:b/>
        <w:noProof/>
        <w:sz w:val="40"/>
        <w:szCs w:val="40"/>
        <w:lang w:eastAsia="en-GB"/>
      </w:rPr>
      <w:drawing>
        <wp:anchor distT="0" distB="0" distL="114300" distR="114300" simplePos="0" relativeHeight="251658240" behindDoc="0" locked="0" layoutInCell="1" allowOverlap="1" wp14:anchorId="0336A032" wp14:editId="0336A033">
          <wp:simplePos x="0" y="0"/>
          <wp:positionH relativeFrom="page">
            <wp:posOffset>524888</wp:posOffset>
          </wp:positionH>
          <wp:positionV relativeFrom="page">
            <wp:posOffset>525294</wp:posOffset>
          </wp:positionV>
          <wp:extent cx="1459555" cy="894944"/>
          <wp:effectExtent l="19050" t="0" r="0" b="0"/>
          <wp:wrapSquare wrapText="bothSides"/>
          <wp:docPr id="1"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456193" cy="895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4071E"/>
    <w:multiLevelType w:val="hybridMultilevel"/>
    <w:tmpl w:val="EBE65710"/>
    <w:lvl w:ilvl="0" w:tplc="A0240652">
      <w:start w:val="165"/>
      <w:numFmt w:val="bullet"/>
      <w:pStyle w:val="CEABullet-Level2"/>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 w15:restartNumberingAfterBreak="0">
    <w:nsid w:val="447E4D85"/>
    <w:multiLevelType w:val="hybridMultilevel"/>
    <w:tmpl w:val="36024468"/>
    <w:lvl w:ilvl="0" w:tplc="37180294">
      <w:start w:val="165"/>
      <w:numFmt w:val="bullet"/>
      <w:pStyle w:val="CEABullet-Level3"/>
      <w:lvlText w:val=""/>
      <w:lvlJc w:val="left"/>
      <w:pPr>
        <w:ind w:left="2673" w:hanging="360"/>
      </w:pPr>
      <w:rPr>
        <w:rFonts w:ascii="Symbol" w:hAnsi="Symbol" w:hint="default"/>
        <w:color w:val="auto"/>
      </w:rPr>
    </w:lvl>
    <w:lvl w:ilvl="1" w:tplc="080C0003" w:tentative="1">
      <w:start w:val="1"/>
      <w:numFmt w:val="bullet"/>
      <w:lvlText w:val="o"/>
      <w:lvlJc w:val="left"/>
      <w:pPr>
        <w:ind w:left="3393" w:hanging="360"/>
      </w:pPr>
      <w:rPr>
        <w:rFonts w:ascii="Courier New" w:hAnsi="Courier New" w:cs="Courier New" w:hint="default"/>
      </w:rPr>
    </w:lvl>
    <w:lvl w:ilvl="2" w:tplc="080C0005" w:tentative="1">
      <w:start w:val="1"/>
      <w:numFmt w:val="bullet"/>
      <w:lvlText w:val=""/>
      <w:lvlJc w:val="left"/>
      <w:pPr>
        <w:ind w:left="4113" w:hanging="360"/>
      </w:pPr>
      <w:rPr>
        <w:rFonts w:ascii="Wingdings" w:hAnsi="Wingdings" w:hint="default"/>
      </w:rPr>
    </w:lvl>
    <w:lvl w:ilvl="3" w:tplc="080C0001" w:tentative="1">
      <w:start w:val="1"/>
      <w:numFmt w:val="bullet"/>
      <w:lvlText w:val=""/>
      <w:lvlJc w:val="left"/>
      <w:pPr>
        <w:ind w:left="4833" w:hanging="360"/>
      </w:pPr>
      <w:rPr>
        <w:rFonts w:ascii="Symbol" w:hAnsi="Symbol" w:hint="default"/>
      </w:rPr>
    </w:lvl>
    <w:lvl w:ilvl="4" w:tplc="080C0003" w:tentative="1">
      <w:start w:val="1"/>
      <w:numFmt w:val="bullet"/>
      <w:lvlText w:val="o"/>
      <w:lvlJc w:val="left"/>
      <w:pPr>
        <w:ind w:left="5553" w:hanging="360"/>
      </w:pPr>
      <w:rPr>
        <w:rFonts w:ascii="Courier New" w:hAnsi="Courier New" w:cs="Courier New" w:hint="default"/>
      </w:rPr>
    </w:lvl>
    <w:lvl w:ilvl="5" w:tplc="080C0005" w:tentative="1">
      <w:start w:val="1"/>
      <w:numFmt w:val="bullet"/>
      <w:lvlText w:val=""/>
      <w:lvlJc w:val="left"/>
      <w:pPr>
        <w:ind w:left="6273" w:hanging="360"/>
      </w:pPr>
      <w:rPr>
        <w:rFonts w:ascii="Wingdings" w:hAnsi="Wingdings" w:hint="default"/>
      </w:rPr>
    </w:lvl>
    <w:lvl w:ilvl="6" w:tplc="080C0001" w:tentative="1">
      <w:start w:val="1"/>
      <w:numFmt w:val="bullet"/>
      <w:lvlText w:val=""/>
      <w:lvlJc w:val="left"/>
      <w:pPr>
        <w:ind w:left="6993" w:hanging="360"/>
      </w:pPr>
      <w:rPr>
        <w:rFonts w:ascii="Symbol" w:hAnsi="Symbol" w:hint="default"/>
      </w:rPr>
    </w:lvl>
    <w:lvl w:ilvl="7" w:tplc="080C0003" w:tentative="1">
      <w:start w:val="1"/>
      <w:numFmt w:val="bullet"/>
      <w:lvlText w:val="o"/>
      <w:lvlJc w:val="left"/>
      <w:pPr>
        <w:ind w:left="7713" w:hanging="360"/>
      </w:pPr>
      <w:rPr>
        <w:rFonts w:ascii="Courier New" w:hAnsi="Courier New" w:cs="Courier New" w:hint="default"/>
      </w:rPr>
    </w:lvl>
    <w:lvl w:ilvl="8" w:tplc="080C0005" w:tentative="1">
      <w:start w:val="1"/>
      <w:numFmt w:val="bullet"/>
      <w:lvlText w:val=""/>
      <w:lvlJc w:val="left"/>
      <w:pPr>
        <w:ind w:left="8433" w:hanging="360"/>
      </w:pPr>
      <w:rPr>
        <w:rFonts w:ascii="Wingdings" w:hAnsi="Wingdings" w:hint="default"/>
      </w:rPr>
    </w:lvl>
  </w:abstractNum>
  <w:abstractNum w:abstractNumId="2" w15:restartNumberingAfterBreak="0">
    <w:nsid w:val="699E2B88"/>
    <w:multiLevelType w:val="hybridMultilevel"/>
    <w:tmpl w:val="636CBA02"/>
    <w:lvl w:ilvl="0" w:tplc="2CF65F2A">
      <w:start w:val="165"/>
      <w:numFmt w:val="bullet"/>
      <w:pStyle w:val="CEABullet-Level1"/>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66871516">
    <w:abstractNumId w:val="2"/>
  </w:num>
  <w:num w:numId="2" w16cid:durableId="314991427">
    <w:abstractNumId w:val="0"/>
  </w:num>
  <w:num w:numId="3" w16cid:durableId="1215921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F"/>
    <w:rsid w:val="00001A2A"/>
    <w:rsid w:val="000023E2"/>
    <w:rsid w:val="0000338F"/>
    <w:rsid w:val="0000470D"/>
    <w:rsid w:val="00004826"/>
    <w:rsid w:val="0000533B"/>
    <w:rsid w:val="00010949"/>
    <w:rsid w:val="0001288C"/>
    <w:rsid w:val="00013EF9"/>
    <w:rsid w:val="00014196"/>
    <w:rsid w:val="00015E7F"/>
    <w:rsid w:val="0001745F"/>
    <w:rsid w:val="00017D75"/>
    <w:rsid w:val="00017E52"/>
    <w:rsid w:val="000224E4"/>
    <w:rsid w:val="000236CE"/>
    <w:rsid w:val="000243F1"/>
    <w:rsid w:val="00024522"/>
    <w:rsid w:val="00024B85"/>
    <w:rsid w:val="00025B5E"/>
    <w:rsid w:val="000261DF"/>
    <w:rsid w:val="00026489"/>
    <w:rsid w:val="00026E68"/>
    <w:rsid w:val="00030A50"/>
    <w:rsid w:val="00031791"/>
    <w:rsid w:val="000325FD"/>
    <w:rsid w:val="000346E9"/>
    <w:rsid w:val="00035C90"/>
    <w:rsid w:val="00040530"/>
    <w:rsid w:val="0004172F"/>
    <w:rsid w:val="00041C85"/>
    <w:rsid w:val="000422C0"/>
    <w:rsid w:val="00043377"/>
    <w:rsid w:val="0004340E"/>
    <w:rsid w:val="00045EE3"/>
    <w:rsid w:val="0004623A"/>
    <w:rsid w:val="00047AE0"/>
    <w:rsid w:val="000503C3"/>
    <w:rsid w:val="000509FD"/>
    <w:rsid w:val="00052CFE"/>
    <w:rsid w:val="00054E50"/>
    <w:rsid w:val="0005551D"/>
    <w:rsid w:val="00057D93"/>
    <w:rsid w:val="000620FE"/>
    <w:rsid w:val="00062CC4"/>
    <w:rsid w:val="0006511A"/>
    <w:rsid w:val="0006646D"/>
    <w:rsid w:val="00066BE6"/>
    <w:rsid w:val="00067FDE"/>
    <w:rsid w:val="00070C9E"/>
    <w:rsid w:val="00071566"/>
    <w:rsid w:val="00075B89"/>
    <w:rsid w:val="0007755C"/>
    <w:rsid w:val="00077CD7"/>
    <w:rsid w:val="0008083F"/>
    <w:rsid w:val="0008194C"/>
    <w:rsid w:val="000819BC"/>
    <w:rsid w:val="00082B68"/>
    <w:rsid w:val="00083867"/>
    <w:rsid w:val="00083957"/>
    <w:rsid w:val="00084233"/>
    <w:rsid w:val="00084C8E"/>
    <w:rsid w:val="000850DA"/>
    <w:rsid w:val="000863E3"/>
    <w:rsid w:val="000866E3"/>
    <w:rsid w:val="00086B5D"/>
    <w:rsid w:val="00087096"/>
    <w:rsid w:val="000875DE"/>
    <w:rsid w:val="0009050A"/>
    <w:rsid w:val="0009237A"/>
    <w:rsid w:val="00093A2D"/>
    <w:rsid w:val="00094EEB"/>
    <w:rsid w:val="000964FB"/>
    <w:rsid w:val="000A05E8"/>
    <w:rsid w:val="000A146D"/>
    <w:rsid w:val="000A21C1"/>
    <w:rsid w:val="000A4598"/>
    <w:rsid w:val="000A4E90"/>
    <w:rsid w:val="000A4F31"/>
    <w:rsid w:val="000A51AB"/>
    <w:rsid w:val="000A683A"/>
    <w:rsid w:val="000A6A94"/>
    <w:rsid w:val="000A7AFF"/>
    <w:rsid w:val="000A7B2A"/>
    <w:rsid w:val="000A7E59"/>
    <w:rsid w:val="000B04D7"/>
    <w:rsid w:val="000B1252"/>
    <w:rsid w:val="000B1F45"/>
    <w:rsid w:val="000B2B3B"/>
    <w:rsid w:val="000B3441"/>
    <w:rsid w:val="000B424B"/>
    <w:rsid w:val="000B4501"/>
    <w:rsid w:val="000B4A53"/>
    <w:rsid w:val="000B4F23"/>
    <w:rsid w:val="000B6133"/>
    <w:rsid w:val="000C3F6D"/>
    <w:rsid w:val="000D0072"/>
    <w:rsid w:val="000D1670"/>
    <w:rsid w:val="000D17B3"/>
    <w:rsid w:val="000D260B"/>
    <w:rsid w:val="000D28A3"/>
    <w:rsid w:val="000D2D7D"/>
    <w:rsid w:val="000D3326"/>
    <w:rsid w:val="000D3849"/>
    <w:rsid w:val="000D552D"/>
    <w:rsid w:val="000D625A"/>
    <w:rsid w:val="000D6D86"/>
    <w:rsid w:val="000E04D6"/>
    <w:rsid w:val="000E0503"/>
    <w:rsid w:val="000E0EDD"/>
    <w:rsid w:val="000E276E"/>
    <w:rsid w:val="000E283B"/>
    <w:rsid w:val="000E3F57"/>
    <w:rsid w:val="000E424E"/>
    <w:rsid w:val="000E5037"/>
    <w:rsid w:val="000E6309"/>
    <w:rsid w:val="000E6E73"/>
    <w:rsid w:val="000F48A7"/>
    <w:rsid w:val="000F4BD0"/>
    <w:rsid w:val="000F527E"/>
    <w:rsid w:val="000F5519"/>
    <w:rsid w:val="000F5A74"/>
    <w:rsid w:val="000F6DCE"/>
    <w:rsid w:val="000F7A5D"/>
    <w:rsid w:val="00100477"/>
    <w:rsid w:val="00100AC7"/>
    <w:rsid w:val="00100C59"/>
    <w:rsid w:val="0010207A"/>
    <w:rsid w:val="00102BAB"/>
    <w:rsid w:val="00103620"/>
    <w:rsid w:val="00103E1F"/>
    <w:rsid w:val="0010609E"/>
    <w:rsid w:val="0011157A"/>
    <w:rsid w:val="001126A0"/>
    <w:rsid w:val="00114488"/>
    <w:rsid w:val="00116C47"/>
    <w:rsid w:val="0011703B"/>
    <w:rsid w:val="00117082"/>
    <w:rsid w:val="00117AAA"/>
    <w:rsid w:val="001268B4"/>
    <w:rsid w:val="00130833"/>
    <w:rsid w:val="00130DBA"/>
    <w:rsid w:val="001315AD"/>
    <w:rsid w:val="00132E47"/>
    <w:rsid w:val="00133EDE"/>
    <w:rsid w:val="00134186"/>
    <w:rsid w:val="001342B8"/>
    <w:rsid w:val="00134FB1"/>
    <w:rsid w:val="0013567C"/>
    <w:rsid w:val="00137BD2"/>
    <w:rsid w:val="0014015C"/>
    <w:rsid w:val="00140AFE"/>
    <w:rsid w:val="00143369"/>
    <w:rsid w:val="00143EAF"/>
    <w:rsid w:val="00144603"/>
    <w:rsid w:val="0014530C"/>
    <w:rsid w:val="0014535B"/>
    <w:rsid w:val="00145481"/>
    <w:rsid w:val="0014572A"/>
    <w:rsid w:val="00146B49"/>
    <w:rsid w:val="0014768B"/>
    <w:rsid w:val="0015207A"/>
    <w:rsid w:val="00153265"/>
    <w:rsid w:val="0015332B"/>
    <w:rsid w:val="00153637"/>
    <w:rsid w:val="00153ACF"/>
    <w:rsid w:val="00154A5F"/>
    <w:rsid w:val="001552DD"/>
    <w:rsid w:val="001564C3"/>
    <w:rsid w:val="0015663C"/>
    <w:rsid w:val="00160496"/>
    <w:rsid w:val="00162D90"/>
    <w:rsid w:val="001676D3"/>
    <w:rsid w:val="00170417"/>
    <w:rsid w:val="00170648"/>
    <w:rsid w:val="00172774"/>
    <w:rsid w:val="00172855"/>
    <w:rsid w:val="00173742"/>
    <w:rsid w:val="001737F4"/>
    <w:rsid w:val="00173AA5"/>
    <w:rsid w:val="001754B0"/>
    <w:rsid w:val="00176A89"/>
    <w:rsid w:val="00176D00"/>
    <w:rsid w:val="00176E01"/>
    <w:rsid w:val="001777E2"/>
    <w:rsid w:val="00180024"/>
    <w:rsid w:val="00180D67"/>
    <w:rsid w:val="00181541"/>
    <w:rsid w:val="00181BA8"/>
    <w:rsid w:val="00181E8D"/>
    <w:rsid w:val="00182F9B"/>
    <w:rsid w:val="00183C37"/>
    <w:rsid w:val="001861E2"/>
    <w:rsid w:val="00190B8D"/>
    <w:rsid w:val="00191164"/>
    <w:rsid w:val="00192318"/>
    <w:rsid w:val="00193F53"/>
    <w:rsid w:val="00195A95"/>
    <w:rsid w:val="001A157B"/>
    <w:rsid w:val="001A1E0D"/>
    <w:rsid w:val="001A5542"/>
    <w:rsid w:val="001A64A7"/>
    <w:rsid w:val="001A78FF"/>
    <w:rsid w:val="001B0151"/>
    <w:rsid w:val="001B028D"/>
    <w:rsid w:val="001B0398"/>
    <w:rsid w:val="001B04BF"/>
    <w:rsid w:val="001B1716"/>
    <w:rsid w:val="001B6DD2"/>
    <w:rsid w:val="001B7D09"/>
    <w:rsid w:val="001C0369"/>
    <w:rsid w:val="001C13DF"/>
    <w:rsid w:val="001C30C8"/>
    <w:rsid w:val="001C32F1"/>
    <w:rsid w:val="001C3D96"/>
    <w:rsid w:val="001C67D7"/>
    <w:rsid w:val="001C7259"/>
    <w:rsid w:val="001D0075"/>
    <w:rsid w:val="001D025B"/>
    <w:rsid w:val="001D081E"/>
    <w:rsid w:val="001D1908"/>
    <w:rsid w:val="001D20B7"/>
    <w:rsid w:val="001D330A"/>
    <w:rsid w:val="001D3B76"/>
    <w:rsid w:val="001D3EF9"/>
    <w:rsid w:val="001D6915"/>
    <w:rsid w:val="001D6F0E"/>
    <w:rsid w:val="001D7435"/>
    <w:rsid w:val="001E01B7"/>
    <w:rsid w:val="001E02BF"/>
    <w:rsid w:val="001E0ACD"/>
    <w:rsid w:val="001E3FA2"/>
    <w:rsid w:val="001E4013"/>
    <w:rsid w:val="001E449B"/>
    <w:rsid w:val="001E63B4"/>
    <w:rsid w:val="001E6B60"/>
    <w:rsid w:val="001E6F4B"/>
    <w:rsid w:val="001F09C8"/>
    <w:rsid w:val="001F14D4"/>
    <w:rsid w:val="001F2E3E"/>
    <w:rsid w:val="001F33D3"/>
    <w:rsid w:val="001F3898"/>
    <w:rsid w:val="001F427D"/>
    <w:rsid w:val="001F44E9"/>
    <w:rsid w:val="001F5CCF"/>
    <w:rsid w:val="001F5E2E"/>
    <w:rsid w:val="001F76B4"/>
    <w:rsid w:val="00200758"/>
    <w:rsid w:val="00200E07"/>
    <w:rsid w:val="00201229"/>
    <w:rsid w:val="00201696"/>
    <w:rsid w:val="00201F19"/>
    <w:rsid w:val="00201F24"/>
    <w:rsid w:val="002037AB"/>
    <w:rsid w:val="00204E57"/>
    <w:rsid w:val="0020641D"/>
    <w:rsid w:val="00206891"/>
    <w:rsid w:val="002068D5"/>
    <w:rsid w:val="00206B66"/>
    <w:rsid w:val="00211027"/>
    <w:rsid w:val="00211ABF"/>
    <w:rsid w:val="00213106"/>
    <w:rsid w:val="00213502"/>
    <w:rsid w:val="00213F7E"/>
    <w:rsid w:val="00214FDC"/>
    <w:rsid w:val="00215610"/>
    <w:rsid w:val="00215CB6"/>
    <w:rsid w:val="002165D9"/>
    <w:rsid w:val="0021682D"/>
    <w:rsid w:val="002207F7"/>
    <w:rsid w:val="00220F07"/>
    <w:rsid w:val="0022111F"/>
    <w:rsid w:val="00221282"/>
    <w:rsid w:val="00221EEA"/>
    <w:rsid w:val="00223A80"/>
    <w:rsid w:val="00224E41"/>
    <w:rsid w:val="00225161"/>
    <w:rsid w:val="002267EA"/>
    <w:rsid w:val="002271F0"/>
    <w:rsid w:val="00227518"/>
    <w:rsid w:val="00227E3A"/>
    <w:rsid w:val="00231208"/>
    <w:rsid w:val="002316C7"/>
    <w:rsid w:val="00231AAE"/>
    <w:rsid w:val="00235170"/>
    <w:rsid w:val="0023703E"/>
    <w:rsid w:val="00237135"/>
    <w:rsid w:val="002373EF"/>
    <w:rsid w:val="00237750"/>
    <w:rsid w:val="002407B4"/>
    <w:rsid w:val="002416FE"/>
    <w:rsid w:val="00241DAC"/>
    <w:rsid w:val="00245B16"/>
    <w:rsid w:val="00247275"/>
    <w:rsid w:val="0025037D"/>
    <w:rsid w:val="0025091F"/>
    <w:rsid w:val="00251616"/>
    <w:rsid w:val="00251982"/>
    <w:rsid w:val="002530BC"/>
    <w:rsid w:val="00255B8D"/>
    <w:rsid w:val="0025780F"/>
    <w:rsid w:val="0026078A"/>
    <w:rsid w:val="002608DC"/>
    <w:rsid w:val="0026384D"/>
    <w:rsid w:val="00263DB5"/>
    <w:rsid w:val="0026509A"/>
    <w:rsid w:val="00265F3D"/>
    <w:rsid w:val="00267646"/>
    <w:rsid w:val="00270069"/>
    <w:rsid w:val="002708CD"/>
    <w:rsid w:val="00270C14"/>
    <w:rsid w:val="00270F37"/>
    <w:rsid w:val="002711A9"/>
    <w:rsid w:val="002740A9"/>
    <w:rsid w:val="0027430E"/>
    <w:rsid w:val="00275224"/>
    <w:rsid w:val="0027540B"/>
    <w:rsid w:val="002807F8"/>
    <w:rsid w:val="00280FE2"/>
    <w:rsid w:val="002825CE"/>
    <w:rsid w:val="00282FAA"/>
    <w:rsid w:val="002841E4"/>
    <w:rsid w:val="00284FCF"/>
    <w:rsid w:val="002874E0"/>
    <w:rsid w:val="00292010"/>
    <w:rsid w:val="00292362"/>
    <w:rsid w:val="002926E8"/>
    <w:rsid w:val="00294460"/>
    <w:rsid w:val="00294E86"/>
    <w:rsid w:val="002A103F"/>
    <w:rsid w:val="002A1742"/>
    <w:rsid w:val="002A2A11"/>
    <w:rsid w:val="002A2C95"/>
    <w:rsid w:val="002A331B"/>
    <w:rsid w:val="002A34D1"/>
    <w:rsid w:val="002A3C94"/>
    <w:rsid w:val="002A4389"/>
    <w:rsid w:val="002A4AE5"/>
    <w:rsid w:val="002A55C0"/>
    <w:rsid w:val="002A5934"/>
    <w:rsid w:val="002A5A2D"/>
    <w:rsid w:val="002A5B5A"/>
    <w:rsid w:val="002A68CF"/>
    <w:rsid w:val="002A710A"/>
    <w:rsid w:val="002B1A06"/>
    <w:rsid w:val="002B20AC"/>
    <w:rsid w:val="002B34E3"/>
    <w:rsid w:val="002B3EF3"/>
    <w:rsid w:val="002B4DAB"/>
    <w:rsid w:val="002B624C"/>
    <w:rsid w:val="002B63D3"/>
    <w:rsid w:val="002B7BA7"/>
    <w:rsid w:val="002C0044"/>
    <w:rsid w:val="002C1652"/>
    <w:rsid w:val="002C17A3"/>
    <w:rsid w:val="002C21FF"/>
    <w:rsid w:val="002C26D1"/>
    <w:rsid w:val="002C26E7"/>
    <w:rsid w:val="002C35E1"/>
    <w:rsid w:val="002C3C43"/>
    <w:rsid w:val="002C430A"/>
    <w:rsid w:val="002C57AE"/>
    <w:rsid w:val="002C6149"/>
    <w:rsid w:val="002C64B4"/>
    <w:rsid w:val="002C6DF7"/>
    <w:rsid w:val="002C79A5"/>
    <w:rsid w:val="002D033B"/>
    <w:rsid w:val="002D288C"/>
    <w:rsid w:val="002D4E4C"/>
    <w:rsid w:val="002D5A7A"/>
    <w:rsid w:val="002D7411"/>
    <w:rsid w:val="002E03A8"/>
    <w:rsid w:val="002E14F7"/>
    <w:rsid w:val="002E30E3"/>
    <w:rsid w:val="002E3440"/>
    <w:rsid w:val="002E3A70"/>
    <w:rsid w:val="002E651F"/>
    <w:rsid w:val="002E7938"/>
    <w:rsid w:val="002E7B59"/>
    <w:rsid w:val="002F0193"/>
    <w:rsid w:val="002F01EF"/>
    <w:rsid w:val="002F041E"/>
    <w:rsid w:val="002F0725"/>
    <w:rsid w:val="002F1FC3"/>
    <w:rsid w:val="002F406E"/>
    <w:rsid w:val="002F6076"/>
    <w:rsid w:val="002F65C0"/>
    <w:rsid w:val="002F78C8"/>
    <w:rsid w:val="002F7CA6"/>
    <w:rsid w:val="00301FC7"/>
    <w:rsid w:val="003021D3"/>
    <w:rsid w:val="00302441"/>
    <w:rsid w:val="00302D27"/>
    <w:rsid w:val="00304204"/>
    <w:rsid w:val="0030427E"/>
    <w:rsid w:val="00304D5D"/>
    <w:rsid w:val="003100A0"/>
    <w:rsid w:val="00310CA1"/>
    <w:rsid w:val="00310CDA"/>
    <w:rsid w:val="00314685"/>
    <w:rsid w:val="00315233"/>
    <w:rsid w:val="00315286"/>
    <w:rsid w:val="00317B58"/>
    <w:rsid w:val="003206F4"/>
    <w:rsid w:val="0032111C"/>
    <w:rsid w:val="00321ADE"/>
    <w:rsid w:val="00322E49"/>
    <w:rsid w:val="003230D1"/>
    <w:rsid w:val="003302DC"/>
    <w:rsid w:val="003303CE"/>
    <w:rsid w:val="00330A97"/>
    <w:rsid w:val="00331EB0"/>
    <w:rsid w:val="003330BD"/>
    <w:rsid w:val="00333450"/>
    <w:rsid w:val="00333D95"/>
    <w:rsid w:val="00336413"/>
    <w:rsid w:val="00337E0D"/>
    <w:rsid w:val="00340B5A"/>
    <w:rsid w:val="00340C36"/>
    <w:rsid w:val="0034312D"/>
    <w:rsid w:val="003435F1"/>
    <w:rsid w:val="0034429A"/>
    <w:rsid w:val="00344338"/>
    <w:rsid w:val="00344A7A"/>
    <w:rsid w:val="00344AA3"/>
    <w:rsid w:val="0034507D"/>
    <w:rsid w:val="003506F4"/>
    <w:rsid w:val="0035093B"/>
    <w:rsid w:val="00355C9B"/>
    <w:rsid w:val="003576A1"/>
    <w:rsid w:val="0035776C"/>
    <w:rsid w:val="00360C71"/>
    <w:rsid w:val="0036288C"/>
    <w:rsid w:val="00362CBF"/>
    <w:rsid w:val="00363DF0"/>
    <w:rsid w:val="00364127"/>
    <w:rsid w:val="003660DA"/>
    <w:rsid w:val="00366CC7"/>
    <w:rsid w:val="0036704A"/>
    <w:rsid w:val="00371771"/>
    <w:rsid w:val="00371D02"/>
    <w:rsid w:val="00372207"/>
    <w:rsid w:val="00372658"/>
    <w:rsid w:val="00373E26"/>
    <w:rsid w:val="003769CF"/>
    <w:rsid w:val="003772A2"/>
    <w:rsid w:val="0037742F"/>
    <w:rsid w:val="00377BFC"/>
    <w:rsid w:val="00377F1B"/>
    <w:rsid w:val="00377FEC"/>
    <w:rsid w:val="00380BE9"/>
    <w:rsid w:val="00381AAD"/>
    <w:rsid w:val="00383087"/>
    <w:rsid w:val="0038370E"/>
    <w:rsid w:val="0038484C"/>
    <w:rsid w:val="00384F7E"/>
    <w:rsid w:val="00385595"/>
    <w:rsid w:val="00385C00"/>
    <w:rsid w:val="003879CC"/>
    <w:rsid w:val="0039082A"/>
    <w:rsid w:val="00390E28"/>
    <w:rsid w:val="003928C8"/>
    <w:rsid w:val="00392B9C"/>
    <w:rsid w:val="00393224"/>
    <w:rsid w:val="00393A4B"/>
    <w:rsid w:val="00394883"/>
    <w:rsid w:val="0039771B"/>
    <w:rsid w:val="003A08AC"/>
    <w:rsid w:val="003A0E82"/>
    <w:rsid w:val="003A277E"/>
    <w:rsid w:val="003A4A82"/>
    <w:rsid w:val="003A5543"/>
    <w:rsid w:val="003A7A05"/>
    <w:rsid w:val="003A7A4E"/>
    <w:rsid w:val="003A7F94"/>
    <w:rsid w:val="003B0988"/>
    <w:rsid w:val="003B0B4D"/>
    <w:rsid w:val="003B2501"/>
    <w:rsid w:val="003B387F"/>
    <w:rsid w:val="003B3892"/>
    <w:rsid w:val="003B421B"/>
    <w:rsid w:val="003B461A"/>
    <w:rsid w:val="003B4E6C"/>
    <w:rsid w:val="003B5E78"/>
    <w:rsid w:val="003B790C"/>
    <w:rsid w:val="003B793C"/>
    <w:rsid w:val="003C0013"/>
    <w:rsid w:val="003C37ED"/>
    <w:rsid w:val="003C422B"/>
    <w:rsid w:val="003C42C7"/>
    <w:rsid w:val="003C45AD"/>
    <w:rsid w:val="003C51DE"/>
    <w:rsid w:val="003C5529"/>
    <w:rsid w:val="003C64DE"/>
    <w:rsid w:val="003C73E8"/>
    <w:rsid w:val="003D1994"/>
    <w:rsid w:val="003D1A21"/>
    <w:rsid w:val="003D1F01"/>
    <w:rsid w:val="003D218A"/>
    <w:rsid w:val="003D2C93"/>
    <w:rsid w:val="003D445D"/>
    <w:rsid w:val="003D6B92"/>
    <w:rsid w:val="003D6C37"/>
    <w:rsid w:val="003D7519"/>
    <w:rsid w:val="003E0C56"/>
    <w:rsid w:val="003E0E3C"/>
    <w:rsid w:val="003E1288"/>
    <w:rsid w:val="003E14BC"/>
    <w:rsid w:val="003E190E"/>
    <w:rsid w:val="003E316D"/>
    <w:rsid w:val="003E4A87"/>
    <w:rsid w:val="003E559A"/>
    <w:rsid w:val="003E60C8"/>
    <w:rsid w:val="003E67ED"/>
    <w:rsid w:val="003E68FC"/>
    <w:rsid w:val="003E7517"/>
    <w:rsid w:val="003F0381"/>
    <w:rsid w:val="003F1A88"/>
    <w:rsid w:val="003F1F2B"/>
    <w:rsid w:val="003F2E6E"/>
    <w:rsid w:val="003F4925"/>
    <w:rsid w:val="003F4F80"/>
    <w:rsid w:val="003F5026"/>
    <w:rsid w:val="003F5869"/>
    <w:rsid w:val="003F5888"/>
    <w:rsid w:val="003F750A"/>
    <w:rsid w:val="00400164"/>
    <w:rsid w:val="0040142D"/>
    <w:rsid w:val="00402F34"/>
    <w:rsid w:val="0040412B"/>
    <w:rsid w:val="00404566"/>
    <w:rsid w:val="00404841"/>
    <w:rsid w:val="00405D01"/>
    <w:rsid w:val="004127EA"/>
    <w:rsid w:val="00416286"/>
    <w:rsid w:val="00416A14"/>
    <w:rsid w:val="004174C4"/>
    <w:rsid w:val="00420030"/>
    <w:rsid w:val="00420088"/>
    <w:rsid w:val="004222F7"/>
    <w:rsid w:val="004232D3"/>
    <w:rsid w:val="0042388F"/>
    <w:rsid w:val="0042454F"/>
    <w:rsid w:val="00425C13"/>
    <w:rsid w:val="00425EBE"/>
    <w:rsid w:val="00426BAD"/>
    <w:rsid w:val="004278F3"/>
    <w:rsid w:val="00427F23"/>
    <w:rsid w:val="004325C9"/>
    <w:rsid w:val="00432DD7"/>
    <w:rsid w:val="004355F0"/>
    <w:rsid w:val="00436797"/>
    <w:rsid w:val="00436BE6"/>
    <w:rsid w:val="004375EB"/>
    <w:rsid w:val="00440FEE"/>
    <w:rsid w:val="004435A5"/>
    <w:rsid w:val="00443CF2"/>
    <w:rsid w:val="0044435F"/>
    <w:rsid w:val="00446A0B"/>
    <w:rsid w:val="00451666"/>
    <w:rsid w:val="004526F6"/>
    <w:rsid w:val="00452737"/>
    <w:rsid w:val="00453CA1"/>
    <w:rsid w:val="00456E8A"/>
    <w:rsid w:val="004572C8"/>
    <w:rsid w:val="0045760E"/>
    <w:rsid w:val="004601F7"/>
    <w:rsid w:val="00460C5A"/>
    <w:rsid w:val="00461076"/>
    <w:rsid w:val="0046470D"/>
    <w:rsid w:val="00466234"/>
    <w:rsid w:val="0046631C"/>
    <w:rsid w:val="0047019F"/>
    <w:rsid w:val="004716C7"/>
    <w:rsid w:val="00472AF0"/>
    <w:rsid w:val="00473B11"/>
    <w:rsid w:val="00473CA7"/>
    <w:rsid w:val="00475205"/>
    <w:rsid w:val="004756B1"/>
    <w:rsid w:val="0047643E"/>
    <w:rsid w:val="004800ED"/>
    <w:rsid w:val="00480D29"/>
    <w:rsid w:val="00481D29"/>
    <w:rsid w:val="00481EB9"/>
    <w:rsid w:val="004827AB"/>
    <w:rsid w:val="0048480B"/>
    <w:rsid w:val="00484BDE"/>
    <w:rsid w:val="0048505B"/>
    <w:rsid w:val="00485316"/>
    <w:rsid w:val="00485D0F"/>
    <w:rsid w:val="00486926"/>
    <w:rsid w:val="00490268"/>
    <w:rsid w:val="0049031C"/>
    <w:rsid w:val="00493463"/>
    <w:rsid w:val="00494385"/>
    <w:rsid w:val="00494902"/>
    <w:rsid w:val="00494DBB"/>
    <w:rsid w:val="00496EF0"/>
    <w:rsid w:val="004A014A"/>
    <w:rsid w:val="004A0DE4"/>
    <w:rsid w:val="004A0FB8"/>
    <w:rsid w:val="004A122C"/>
    <w:rsid w:val="004A46BC"/>
    <w:rsid w:val="004A4E24"/>
    <w:rsid w:val="004A5497"/>
    <w:rsid w:val="004A54FC"/>
    <w:rsid w:val="004A6BD5"/>
    <w:rsid w:val="004A6E45"/>
    <w:rsid w:val="004A708C"/>
    <w:rsid w:val="004B254A"/>
    <w:rsid w:val="004B25A5"/>
    <w:rsid w:val="004B3549"/>
    <w:rsid w:val="004B51EB"/>
    <w:rsid w:val="004B5F71"/>
    <w:rsid w:val="004B7933"/>
    <w:rsid w:val="004C1787"/>
    <w:rsid w:val="004C1CFE"/>
    <w:rsid w:val="004C1F58"/>
    <w:rsid w:val="004C239B"/>
    <w:rsid w:val="004C277B"/>
    <w:rsid w:val="004C3321"/>
    <w:rsid w:val="004C3751"/>
    <w:rsid w:val="004C42AF"/>
    <w:rsid w:val="004C4EFD"/>
    <w:rsid w:val="004C5366"/>
    <w:rsid w:val="004C53EA"/>
    <w:rsid w:val="004C5972"/>
    <w:rsid w:val="004C6249"/>
    <w:rsid w:val="004C64E7"/>
    <w:rsid w:val="004C678E"/>
    <w:rsid w:val="004C6B11"/>
    <w:rsid w:val="004C711A"/>
    <w:rsid w:val="004D0238"/>
    <w:rsid w:val="004D219A"/>
    <w:rsid w:val="004D3A74"/>
    <w:rsid w:val="004D4E6D"/>
    <w:rsid w:val="004D5145"/>
    <w:rsid w:val="004D52F4"/>
    <w:rsid w:val="004D5997"/>
    <w:rsid w:val="004D669E"/>
    <w:rsid w:val="004D7A8E"/>
    <w:rsid w:val="004D7C9F"/>
    <w:rsid w:val="004E1046"/>
    <w:rsid w:val="004E161E"/>
    <w:rsid w:val="004E1EB1"/>
    <w:rsid w:val="004E2975"/>
    <w:rsid w:val="004E51CA"/>
    <w:rsid w:val="004E5CC1"/>
    <w:rsid w:val="004E691F"/>
    <w:rsid w:val="004E7686"/>
    <w:rsid w:val="004E77E2"/>
    <w:rsid w:val="004F24CD"/>
    <w:rsid w:val="004F4759"/>
    <w:rsid w:val="004F4BE7"/>
    <w:rsid w:val="004F5E6B"/>
    <w:rsid w:val="004F6E89"/>
    <w:rsid w:val="004F700B"/>
    <w:rsid w:val="004F782E"/>
    <w:rsid w:val="00500B92"/>
    <w:rsid w:val="00502012"/>
    <w:rsid w:val="00502435"/>
    <w:rsid w:val="00502F2F"/>
    <w:rsid w:val="00502F8C"/>
    <w:rsid w:val="005036B9"/>
    <w:rsid w:val="005036E6"/>
    <w:rsid w:val="005043C6"/>
    <w:rsid w:val="00505A0A"/>
    <w:rsid w:val="00505D58"/>
    <w:rsid w:val="00507054"/>
    <w:rsid w:val="0051167B"/>
    <w:rsid w:val="00511F4A"/>
    <w:rsid w:val="0051346A"/>
    <w:rsid w:val="005148AF"/>
    <w:rsid w:val="00514DC4"/>
    <w:rsid w:val="0051711A"/>
    <w:rsid w:val="00520DBF"/>
    <w:rsid w:val="00520EE0"/>
    <w:rsid w:val="00520F2A"/>
    <w:rsid w:val="00522135"/>
    <w:rsid w:val="00523156"/>
    <w:rsid w:val="00523493"/>
    <w:rsid w:val="005235B9"/>
    <w:rsid w:val="0052471A"/>
    <w:rsid w:val="00526144"/>
    <w:rsid w:val="005266C4"/>
    <w:rsid w:val="005278C9"/>
    <w:rsid w:val="00527A97"/>
    <w:rsid w:val="00527AED"/>
    <w:rsid w:val="005306D3"/>
    <w:rsid w:val="00530E3F"/>
    <w:rsid w:val="00532C84"/>
    <w:rsid w:val="00533B1D"/>
    <w:rsid w:val="00534299"/>
    <w:rsid w:val="0053563B"/>
    <w:rsid w:val="005413A9"/>
    <w:rsid w:val="00541CCC"/>
    <w:rsid w:val="00542461"/>
    <w:rsid w:val="005428DE"/>
    <w:rsid w:val="00543855"/>
    <w:rsid w:val="00544858"/>
    <w:rsid w:val="00545114"/>
    <w:rsid w:val="00546774"/>
    <w:rsid w:val="00546EDC"/>
    <w:rsid w:val="005511CD"/>
    <w:rsid w:val="00551A98"/>
    <w:rsid w:val="005520A4"/>
    <w:rsid w:val="00552882"/>
    <w:rsid w:val="00553EF0"/>
    <w:rsid w:val="005561C1"/>
    <w:rsid w:val="00556A2D"/>
    <w:rsid w:val="005603B0"/>
    <w:rsid w:val="005609F4"/>
    <w:rsid w:val="00561F9C"/>
    <w:rsid w:val="00562DCA"/>
    <w:rsid w:val="005639E1"/>
    <w:rsid w:val="00564B3E"/>
    <w:rsid w:val="00564F0D"/>
    <w:rsid w:val="00565A5C"/>
    <w:rsid w:val="00565D53"/>
    <w:rsid w:val="00570AB1"/>
    <w:rsid w:val="00572039"/>
    <w:rsid w:val="005723F0"/>
    <w:rsid w:val="00573727"/>
    <w:rsid w:val="0057388F"/>
    <w:rsid w:val="00573CAC"/>
    <w:rsid w:val="00574617"/>
    <w:rsid w:val="00574E94"/>
    <w:rsid w:val="005758C3"/>
    <w:rsid w:val="0057642F"/>
    <w:rsid w:val="00576898"/>
    <w:rsid w:val="00576EAD"/>
    <w:rsid w:val="005814A7"/>
    <w:rsid w:val="00581BDD"/>
    <w:rsid w:val="00585DD9"/>
    <w:rsid w:val="00585E26"/>
    <w:rsid w:val="0058672F"/>
    <w:rsid w:val="00590309"/>
    <w:rsid w:val="005906A3"/>
    <w:rsid w:val="00590E9A"/>
    <w:rsid w:val="00590F20"/>
    <w:rsid w:val="005957A9"/>
    <w:rsid w:val="0059625D"/>
    <w:rsid w:val="00596A52"/>
    <w:rsid w:val="005970B1"/>
    <w:rsid w:val="005A388C"/>
    <w:rsid w:val="005A3C92"/>
    <w:rsid w:val="005A5D2B"/>
    <w:rsid w:val="005A6DB6"/>
    <w:rsid w:val="005A6F3E"/>
    <w:rsid w:val="005A7101"/>
    <w:rsid w:val="005A726B"/>
    <w:rsid w:val="005B1628"/>
    <w:rsid w:val="005B19B7"/>
    <w:rsid w:val="005B2BE6"/>
    <w:rsid w:val="005B3EBF"/>
    <w:rsid w:val="005B6995"/>
    <w:rsid w:val="005B74A0"/>
    <w:rsid w:val="005C03C8"/>
    <w:rsid w:val="005C6A9D"/>
    <w:rsid w:val="005C779A"/>
    <w:rsid w:val="005C7B19"/>
    <w:rsid w:val="005C7D0B"/>
    <w:rsid w:val="005C7D96"/>
    <w:rsid w:val="005D0695"/>
    <w:rsid w:val="005D1426"/>
    <w:rsid w:val="005D3DD5"/>
    <w:rsid w:val="005D3DDA"/>
    <w:rsid w:val="005E517D"/>
    <w:rsid w:val="005E612F"/>
    <w:rsid w:val="005E64F8"/>
    <w:rsid w:val="005E6A7F"/>
    <w:rsid w:val="005E6D1F"/>
    <w:rsid w:val="005E7BE2"/>
    <w:rsid w:val="005E7C63"/>
    <w:rsid w:val="005F0D5A"/>
    <w:rsid w:val="005F128F"/>
    <w:rsid w:val="005F146B"/>
    <w:rsid w:val="005F2470"/>
    <w:rsid w:val="005F3FC5"/>
    <w:rsid w:val="005F4CE0"/>
    <w:rsid w:val="005F6905"/>
    <w:rsid w:val="005F6AF7"/>
    <w:rsid w:val="00601E12"/>
    <w:rsid w:val="00602AC5"/>
    <w:rsid w:val="006032D4"/>
    <w:rsid w:val="00605522"/>
    <w:rsid w:val="00605633"/>
    <w:rsid w:val="006058EA"/>
    <w:rsid w:val="00606497"/>
    <w:rsid w:val="00606FE8"/>
    <w:rsid w:val="00607624"/>
    <w:rsid w:val="006108A8"/>
    <w:rsid w:val="00610B1E"/>
    <w:rsid w:val="00612917"/>
    <w:rsid w:val="00613050"/>
    <w:rsid w:val="0061355D"/>
    <w:rsid w:val="00613864"/>
    <w:rsid w:val="006138CE"/>
    <w:rsid w:val="0061413B"/>
    <w:rsid w:val="00616EDE"/>
    <w:rsid w:val="006171F0"/>
    <w:rsid w:val="00617C41"/>
    <w:rsid w:val="0062373A"/>
    <w:rsid w:val="00625103"/>
    <w:rsid w:val="006252CB"/>
    <w:rsid w:val="0062612C"/>
    <w:rsid w:val="0062620F"/>
    <w:rsid w:val="0062688E"/>
    <w:rsid w:val="00626997"/>
    <w:rsid w:val="00627C71"/>
    <w:rsid w:val="006304FF"/>
    <w:rsid w:val="0063133A"/>
    <w:rsid w:val="00633005"/>
    <w:rsid w:val="006337AD"/>
    <w:rsid w:val="0063385C"/>
    <w:rsid w:val="00634DF7"/>
    <w:rsid w:val="0063559E"/>
    <w:rsid w:val="00635676"/>
    <w:rsid w:val="00635A32"/>
    <w:rsid w:val="00636943"/>
    <w:rsid w:val="00636C41"/>
    <w:rsid w:val="006405BE"/>
    <w:rsid w:val="00643DCF"/>
    <w:rsid w:val="006457AE"/>
    <w:rsid w:val="006474E9"/>
    <w:rsid w:val="006475DA"/>
    <w:rsid w:val="006501D6"/>
    <w:rsid w:val="00652384"/>
    <w:rsid w:val="00653244"/>
    <w:rsid w:val="006532D4"/>
    <w:rsid w:val="00654AA8"/>
    <w:rsid w:val="00656B84"/>
    <w:rsid w:val="00657F87"/>
    <w:rsid w:val="0066009B"/>
    <w:rsid w:val="006625AA"/>
    <w:rsid w:val="00664148"/>
    <w:rsid w:val="00664F82"/>
    <w:rsid w:val="006708F3"/>
    <w:rsid w:val="006709F5"/>
    <w:rsid w:val="006759D6"/>
    <w:rsid w:val="006801E1"/>
    <w:rsid w:val="00680ECF"/>
    <w:rsid w:val="0068183A"/>
    <w:rsid w:val="00683012"/>
    <w:rsid w:val="0068453F"/>
    <w:rsid w:val="00684FBB"/>
    <w:rsid w:val="00685037"/>
    <w:rsid w:val="00685114"/>
    <w:rsid w:val="006859F9"/>
    <w:rsid w:val="00685F3B"/>
    <w:rsid w:val="006868E5"/>
    <w:rsid w:val="00687547"/>
    <w:rsid w:val="0068766C"/>
    <w:rsid w:val="006879E0"/>
    <w:rsid w:val="006918EF"/>
    <w:rsid w:val="00691B08"/>
    <w:rsid w:val="00694112"/>
    <w:rsid w:val="00695374"/>
    <w:rsid w:val="00695F8A"/>
    <w:rsid w:val="00697B79"/>
    <w:rsid w:val="006A0D80"/>
    <w:rsid w:val="006A1518"/>
    <w:rsid w:val="006A1DBD"/>
    <w:rsid w:val="006A3AE0"/>
    <w:rsid w:val="006A3F2C"/>
    <w:rsid w:val="006A4941"/>
    <w:rsid w:val="006A609E"/>
    <w:rsid w:val="006B05F0"/>
    <w:rsid w:val="006B19C1"/>
    <w:rsid w:val="006B1AD2"/>
    <w:rsid w:val="006B30CB"/>
    <w:rsid w:val="006B3B1A"/>
    <w:rsid w:val="006B4247"/>
    <w:rsid w:val="006B529A"/>
    <w:rsid w:val="006B5329"/>
    <w:rsid w:val="006B55CF"/>
    <w:rsid w:val="006B562D"/>
    <w:rsid w:val="006B732E"/>
    <w:rsid w:val="006B7E90"/>
    <w:rsid w:val="006C0826"/>
    <w:rsid w:val="006C22BA"/>
    <w:rsid w:val="006C2B44"/>
    <w:rsid w:val="006C345A"/>
    <w:rsid w:val="006C4B00"/>
    <w:rsid w:val="006C624A"/>
    <w:rsid w:val="006C6F9B"/>
    <w:rsid w:val="006C704D"/>
    <w:rsid w:val="006C7E6E"/>
    <w:rsid w:val="006D024C"/>
    <w:rsid w:val="006D0559"/>
    <w:rsid w:val="006D2B6E"/>
    <w:rsid w:val="006D303F"/>
    <w:rsid w:val="006D365B"/>
    <w:rsid w:val="006D469F"/>
    <w:rsid w:val="006D49B1"/>
    <w:rsid w:val="006D6884"/>
    <w:rsid w:val="006D6D9E"/>
    <w:rsid w:val="006E139E"/>
    <w:rsid w:val="006E24BB"/>
    <w:rsid w:val="006E4431"/>
    <w:rsid w:val="006E5A41"/>
    <w:rsid w:val="006E5B23"/>
    <w:rsid w:val="006E6582"/>
    <w:rsid w:val="006F1E48"/>
    <w:rsid w:val="006F21D8"/>
    <w:rsid w:val="006F2944"/>
    <w:rsid w:val="006F2E8D"/>
    <w:rsid w:val="006F33DB"/>
    <w:rsid w:val="006F500E"/>
    <w:rsid w:val="006F5316"/>
    <w:rsid w:val="006F5750"/>
    <w:rsid w:val="006F5D84"/>
    <w:rsid w:val="006F6A2A"/>
    <w:rsid w:val="006F7147"/>
    <w:rsid w:val="006F76B0"/>
    <w:rsid w:val="006F7C6A"/>
    <w:rsid w:val="00700356"/>
    <w:rsid w:val="00701E6D"/>
    <w:rsid w:val="00701F3F"/>
    <w:rsid w:val="00702437"/>
    <w:rsid w:val="0070252F"/>
    <w:rsid w:val="00702A08"/>
    <w:rsid w:val="0070331B"/>
    <w:rsid w:val="007041FB"/>
    <w:rsid w:val="007056BF"/>
    <w:rsid w:val="007074AF"/>
    <w:rsid w:val="00707B11"/>
    <w:rsid w:val="00707C27"/>
    <w:rsid w:val="00710FCC"/>
    <w:rsid w:val="007126D2"/>
    <w:rsid w:val="007130FE"/>
    <w:rsid w:val="0071455B"/>
    <w:rsid w:val="00716E97"/>
    <w:rsid w:val="0071703B"/>
    <w:rsid w:val="007175AF"/>
    <w:rsid w:val="0072026D"/>
    <w:rsid w:val="00720804"/>
    <w:rsid w:val="00720B64"/>
    <w:rsid w:val="00721443"/>
    <w:rsid w:val="00721B9B"/>
    <w:rsid w:val="00722877"/>
    <w:rsid w:val="00722B8A"/>
    <w:rsid w:val="00723E99"/>
    <w:rsid w:val="00724464"/>
    <w:rsid w:val="00724988"/>
    <w:rsid w:val="0072516E"/>
    <w:rsid w:val="00730625"/>
    <w:rsid w:val="00730FEC"/>
    <w:rsid w:val="0073221F"/>
    <w:rsid w:val="007322E2"/>
    <w:rsid w:val="00733AFE"/>
    <w:rsid w:val="007347CE"/>
    <w:rsid w:val="00735AF1"/>
    <w:rsid w:val="00736D95"/>
    <w:rsid w:val="00740404"/>
    <w:rsid w:val="00740AFC"/>
    <w:rsid w:val="00742AAA"/>
    <w:rsid w:val="00742DAB"/>
    <w:rsid w:val="00743D14"/>
    <w:rsid w:val="00745EDB"/>
    <w:rsid w:val="0074723B"/>
    <w:rsid w:val="00747C48"/>
    <w:rsid w:val="00750878"/>
    <w:rsid w:val="00750C8A"/>
    <w:rsid w:val="007526CE"/>
    <w:rsid w:val="00752A98"/>
    <w:rsid w:val="00753460"/>
    <w:rsid w:val="00753BE0"/>
    <w:rsid w:val="00754041"/>
    <w:rsid w:val="00755324"/>
    <w:rsid w:val="0076101F"/>
    <w:rsid w:val="00761D8B"/>
    <w:rsid w:val="00762EA7"/>
    <w:rsid w:val="00763623"/>
    <w:rsid w:val="007649A4"/>
    <w:rsid w:val="007654E7"/>
    <w:rsid w:val="00766146"/>
    <w:rsid w:val="0076654C"/>
    <w:rsid w:val="00771A33"/>
    <w:rsid w:val="00772500"/>
    <w:rsid w:val="00772881"/>
    <w:rsid w:val="00772B14"/>
    <w:rsid w:val="007733E7"/>
    <w:rsid w:val="007738ED"/>
    <w:rsid w:val="00773E30"/>
    <w:rsid w:val="007748DC"/>
    <w:rsid w:val="00774E3E"/>
    <w:rsid w:val="00775BB6"/>
    <w:rsid w:val="00775E9D"/>
    <w:rsid w:val="007772A3"/>
    <w:rsid w:val="00777520"/>
    <w:rsid w:val="00777D79"/>
    <w:rsid w:val="00781A71"/>
    <w:rsid w:val="00781E1B"/>
    <w:rsid w:val="00782326"/>
    <w:rsid w:val="0078289B"/>
    <w:rsid w:val="00783E57"/>
    <w:rsid w:val="00786C38"/>
    <w:rsid w:val="0078743F"/>
    <w:rsid w:val="00791320"/>
    <w:rsid w:val="00792018"/>
    <w:rsid w:val="00793885"/>
    <w:rsid w:val="00794D77"/>
    <w:rsid w:val="00795C0E"/>
    <w:rsid w:val="00796756"/>
    <w:rsid w:val="00797CA2"/>
    <w:rsid w:val="007A0C62"/>
    <w:rsid w:val="007A12B7"/>
    <w:rsid w:val="007A239B"/>
    <w:rsid w:val="007A2B69"/>
    <w:rsid w:val="007A36F3"/>
    <w:rsid w:val="007A37DB"/>
    <w:rsid w:val="007A4A3E"/>
    <w:rsid w:val="007A4EAB"/>
    <w:rsid w:val="007B06B2"/>
    <w:rsid w:val="007B3E0D"/>
    <w:rsid w:val="007B4E41"/>
    <w:rsid w:val="007B51C8"/>
    <w:rsid w:val="007B64B9"/>
    <w:rsid w:val="007C0063"/>
    <w:rsid w:val="007C08FD"/>
    <w:rsid w:val="007C1134"/>
    <w:rsid w:val="007C1284"/>
    <w:rsid w:val="007C213F"/>
    <w:rsid w:val="007C29CF"/>
    <w:rsid w:val="007C705A"/>
    <w:rsid w:val="007C7475"/>
    <w:rsid w:val="007C75E9"/>
    <w:rsid w:val="007C7F07"/>
    <w:rsid w:val="007D32C2"/>
    <w:rsid w:val="007D3B5D"/>
    <w:rsid w:val="007D3E9E"/>
    <w:rsid w:val="007D43A5"/>
    <w:rsid w:val="007D64FA"/>
    <w:rsid w:val="007D7531"/>
    <w:rsid w:val="007E11A7"/>
    <w:rsid w:val="007E1D31"/>
    <w:rsid w:val="007E20D1"/>
    <w:rsid w:val="007E26A1"/>
    <w:rsid w:val="007E573B"/>
    <w:rsid w:val="007E7501"/>
    <w:rsid w:val="007E7B5D"/>
    <w:rsid w:val="007F0E60"/>
    <w:rsid w:val="007F15CA"/>
    <w:rsid w:val="007F325A"/>
    <w:rsid w:val="007F338E"/>
    <w:rsid w:val="007F402A"/>
    <w:rsid w:val="008001A6"/>
    <w:rsid w:val="00800E05"/>
    <w:rsid w:val="00802666"/>
    <w:rsid w:val="008033A6"/>
    <w:rsid w:val="00805A1B"/>
    <w:rsid w:val="00805DCA"/>
    <w:rsid w:val="00807DE1"/>
    <w:rsid w:val="00810DF3"/>
    <w:rsid w:val="00811E5A"/>
    <w:rsid w:val="0081400E"/>
    <w:rsid w:val="008140BC"/>
    <w:rsid w:val="00814311"/>
    <w:rsid w:val="008158DC"/>
    <w:rsid w:val="008167B7"/>
    <w:rsid w:val="0082063D"/>
    <w:rsid w:val="00821187"/>
    <w:rsid w:val="00821D56"/>
    <w:rsid w:val="008228FE"/>
    <w:rsid w:val="00822CFC"/>
    <w:rsid w:val="0082505B"/>
    <w:rsid w:val="00825096"/>
    <w:rsid w:val="00825571"/>
    <w:rsid w:val="00827CCD"/>
    <w:rsid w:val="00827D2A"/>
    <w:rsid w:val="00827E50"/>
    <w:rsid w:val="00831242"/>
    <w:rsid w:val="00831940"/>
    <w:rsid w:val="00831E86"/>
    <w:rsid w:val="00832782"/>
    <w:rsid w:val="00834DC1"/>
    <w:rsid w:val="0083565A"/>
    <w:rsid w:val="00835B84"/>
    <w:rsid w:val="00836294"/>
    <w:rsid w:val="00836D81"/>
    <w:rsid w:val="008371FE"/>
    <w:rsid w:val="00837793"/>
    <w:rsid w:val="00840437"/>
    <w:rsid w:val="0084132C"/>
    <w:rsid w:val="00841A74"/>
    <w:rsid w:val="00842B74"/>
    <w:rsid w:val="0084441B"/>
    <w:rsid w:val="00845167"/>
    <w:rsid w:val="008461EE"/>
    <w:rsid w:val="00846AC8"/>
    <w:rsid w:val="008471EA"/>
    <w:rsid w:val="00847EE0"/>
    <w:rsid w:val="008503C9"/>
    <w:rsid w:val="008506C4"/>
    <w:rsid w:val="00852F3C"/>
    <w:rsid w:val="00854334"/>
    <w:rsid w:val="00854F61"/>
    <w:rsid w:val="00855A18"/>
    <w:rsid w:val="00855E94"/>
    <w:rsid w:val="00856CCA"/>
    <w:rsid w:val="00856F24"/>
    <w:rsid w:val="008573C1"/>
    <w:rsid w:val="00861441"/>
    <w:rsid w:val="00861F2C"/>
    <w:rsid w:val="008628EE"/>
    <w:rsid w:val="008630B2"/>
    <w:rsid w:val="00863EBC"/>
    <w:rsid w:val="00864484"/>
    <w:rsid w:val="00864973"/>
    <w:rsid w:val="008702B1"/>
    <w:rsid w:val="00870CE9"/>
    <w:rsid w:val="008720AD"/>
    <w:rsid w:val="00874EB4"/>
    <w:rsid w:val="00874EBE"/>
    <w:rsid w:val="008751B9"/>
    <w:rsid w:val="008768C9"/>
    <w:rsid w:val="0088217C"/>
    <w:rsid w:val="00882949"/>
    <w:rsid w:val="008857F3"/>
    <w:rsid w:val="00885A6B"/>
    <w:rsid w:val="00886738"/>
    <w:rsid w:val="0088713E"/>
    <w:rsid w:val="00887553"/>
    <w:rsid w:val="008907CB"/>
    <w:rsid w:val="0089080B"/>
    <w:rsid w:val="008909A9"/>
    <w:rsid w:val="00892E1D"/>
    <w:rsid w:val="00893986"/>
    <w:rsid w:val="008944CA"/>
    <w:rsid w:val="008945AD"/>
    <w:rsid w:val="00895C8D"/>
    <w:rsid w:val="0089659F"/>
    <w:rsid w:val="008A127D"/>
    <w:rsid w:val="008A1318"/>
    <w:rsid w:val="008A40C0"/>
    <w:rsid w:val="008A417B"/>
    <w:rsid w:val="008A41AF"/>
    <w:rsid w:val="008A45D3"/>
    <w:rsid w:val="008A4DC4"/>
    <w:rsid w:val="008A7FD5"/>
    <w:rsid w:val="008B08DA"/>
    <w:rsid w:val="008B10FB"/>
    <w:rsid w:val="008B1874"/>
    <w:rsid w:val="008B1C88"/>
    <w:rsid w:val="008B317E"/>
    <w:rsid w:val="008B3384"/>
    <w:rsid w:val="008B4114"/>
    <w:rsid w:val="008B4C6F"/>
    <w:rsid w:val="008B5BC6"/>
    <w:rsid w:val="008B61DA"/>
    <w:rsid w:val="008B6F57"/>
    <w:rsid w:val="008B72E2"/>
    <w:rsid w:val="008C273D"/>
    <w:rsid w:val="008C28B9"/>
    <w:rsid w:val="008C33F4"/>
    <w:rsid w:val="008C3596"/>
    <w:rsid w:val="008C446E"/>
    <w:rsid w:val="008C4BB0"/>
    <w:rsid w:val="008C66AA"/>
    <w:rsid w:val="008C66FD"/>
    <w:rsid w:val="008C70CA"/>
    <w:rsid w:val="008D164F"/>
    <w:rsid w:val="008D2BB8"/>
    <w:rsid w:val="008D4560"/>
    <w:rsid w:val="008D4A9B"/>
    <w:rsid w:val="008D591C"/>
    <w:rsid w:val="008D72E3"/>
    <w:rsid w:val="008D7BD0"/>
    <w:rsid w:val="008E02A3"/>
    <w:rsid w:val="008E05A7"/>
    <w:rsid w:val="008E0DAC"/>
    <w:rsid w:val="008E1B32"/>
    <w:rsid w:val="008E1D88"/>
    <w:rsid w:val="008E33C7"/>
    <w:rsid w:val="008E37D3"/>
    <w:rsid w:val="008E4DE5"/>
    <w:rsid w:val="008E5A94"/>
    <w:rsid w:val="008E6600"/>
    <w:rsid w:val="008E7053"/>
    <w:rsid w:val="008E7255"/>
    <w:rsid w:val="008E7929"/>
    <w:rsid w:val="008E7FE2"/>
    <w:rsid w:val="008F0DEA"/>
    <w:rsid w:val="008F1EA2"/>
    <w:rsid w:val="008F26DC"/>
    <w:rsid w:val="008F2B55"/>
    <w:rsid w:val="008F62AD"/>
    <w:rsid w:val="008F769B"/>
    <w:rsid w:val="008F78B6"/>
    <w:rsid w:val="00900097"/>
    <w:rsid w:val="009008A9"/>
    <w:rsid w:val="00901EBC"/>
    <w:rsid w:val="00905563"/>
    <w:rsid w:val="00906EF6"/>
    <w:rsid w:val="0090795F"/>
    <w:rsid w:val="00907D8E"/>
    <w:rsid w:val="0091051A"/>
    <w:rsid w:val="00910DC8"/>
    <w:rsid w:val="009156A6"/>
    <w:rsid w:val="00916311"/>
    <w:rsid w:val="00916E11"/>
    <w:rsid w:val="00917575"/>
    <w:rsid w:val="009176FF"/>
    <w:rsid w:val="00920BF4"/>
    <w:rsid w:val="00922C92"/>
    <w:rsid w:val="0092408F"/>
    <w:rsid w:val="009247E7"/>
    <w:rsid w:val="00924849"/>
    <w:rsid w:val="00924D0C"/>
    <w:rsid w:val="0092613A"/>
    <w:rsid w:val="00926C22"/>
    <w:rsid w:val="00927361"/>
    <w:rsid w:val="009278A1"/>
    <w:rsid w:val="00930BA6"/>
    <w:rsid w:val="00932F90"/>
    <w:rsid w:val="00933094"/>
    <w:rsid w:val="00933468"/>
    <w:rsid w:val="00933C80"/>
    <w:rsid w:val="00940B75"/>
    <w:rsid w:val="00941407"/>
    <w:rsid w:val="00942239"/>
    <w:rsid w:val="00942553"/>
    <w:rsid w:val="009429C3"/>
    <w:rsid w:val="00946F73"/>
    <w:rsid w:val="009478A5"/>
    <w:rsid w:val="00947BE4"/>
    <w:rsid w:val="00947F11"/>
    <w:rsid w:val="0095012B"/>
    <w:rsid w:val="00951418"/>
    <w:rsid w:val="0095176D"/>
    <w:rsid w:val="00951CDB"/>
    <w:rsid w:val="00952719"/>
    <w:rsid w:val="00952A7A"/>
    <w:rsid w:val="00954D94"/>
    <w:rsid w:val="00955EE3"/>
    <w:rsid w:val="009564EF"/>
    <w:rsid w:val="00957717"/>
    <w:rsid w:val="009609AB"/>
    <w:rsid w:val="00961C04"/>
    <w:rsid w:val="00961C45"/>
    <w:rsid w:val="00962AFA"/>
    <w:rsid w:val="00964C12"/>
    <w:rsid w:val="00964F53"/>
    <w:rsid w:val="00965BFF"/>
    <w:rsid w:val="0096607A"/>
    <w:rsid w:val="0096724E"/>
    <w:rsid w:val="009672E9"/>
    <w:rsid w:val="0097023C"/>
    <w:rsid w:val="0097196D"/>
    <w:rsid w:val="009721A9"/>
    <w:rsid w:val="009725E3"/>
    <w:rsid w:val="00972EAD"/>
    <w:rsid w:val="009739F9"/>
    <w:rsid w:val="009753C0"/>
    <w:rsid w:val="00975F78"/>
    <w:rsid w:val="00976508"/>
    <w:rsid w:val="00977EEB"/>
    <w:rsid w:val="009805AF"/>
    <w:rsid w:val="009810E3"/>
    <w:rsid w:val="00981D24"/>
    <w:rsid w:val="0098201E"/>
    <w:rsid w:val="0098221B"/>
    <w:rsid w:val="00982EC7"/>
    <w:rsid w:val="00983FBA"/>
    <w:rsid w:val="00985D15"/>
    <w:rsid w:val="009901D3"/>
    <w:rsid w:val="009903CD"/>
    <w:rsid w:val="00990734"/>
    <w:rsid w:val="009939B9"/>
    <w:rsid w:val="00993FBC"/>
    <w:rsid w:val="00994F95"/>
    <w:rsid w:val="009964F3"/>
    <w:rsid w:val="00996535"/>
    <w:rsid w:val="00997210"/>
    <w:rsid w:val="009A3018"/>
    <w:rsid w:val="009A4C8B"/>
    <w:rsid w:val="009A6154"/>
    <w:rsid w:val="009A6573"/>
    <w:rsid w:val="009A72A2"/>
    <w:rsid w:val="009A740C"/>
    <w:rsid w:val="009A76FB"/>
    <w:rsid w:val="009A7867"/>
    <w:rsid w:val="009B1A81"/>
    <w:rsid w:val="009B3EDE"/>
    <w:rsid w:val="009B4477"/>
    <w:rsid w:val="009B6470"/>
    <w:rsid w:val="009B77FC"/>
    <w:rsid w:val="009C14E5"/>
    <w:rsid w:val="009C1918"/>
    <w:rsid w:val="009C32B6"/>
    <w:rsid w:val="009C35C7"/>
    <w:rsid w:val="009C3B32"/>
    <w:rsid w:val="009C49A6"/>
    <w:rsid w:val="009C5352"/>
    <w:rsid w:val="009C7186"/>
    <w:rsid w:val="009C7EE2"/>
    <w:rsid w:val="009D0606"/>
    <w:rsid w:val="009D17EC"/>
    <w:rsid w:val="009D18F5"/>
    <w:rsid w:val="009D1CEF"/>
    <w:rsid w:val="009D239C"/>
    <w:rsid w:val="009D2E09"/>
    <w:rsid w:val="009D490A"/>
    <w:rsid w:val="009D5FC4"/>
    <w:rsid w:val="009D6A67"/>
    <w:rsid w:val="009D72BD"/>
    <w:rsid w:val="009D7864"/>
    <w:rsid w:val="009E0B89"/>
    <w:rsid w:val="009E29A5"/>
    <w:rsid w:val="009E2F5D"/>
    <w:rsid w:val="009E6754"/>
    <w:rsid w:val="009E679E"/>
    <w:rsid w:val="009F0040"/>
    <w:rsid w:val="009F0424"/>
    <w:rsid w:val="009F0A5B"/>
    <w:rsid w:val="009F18C6"/>
    <w:rsid w:val="009F1C85"/>
    <w:rsid w:val="009F1D0C"/>
    <w:rsid w:val="009F2E21"/>
    <w:rsid w:val="009F31B2"/>
    <w:rsid w:val="009F3453"/>
    <w:rsid w:val="009F4F12"/>
    <w:rsid w:val="009F5FA0"/>
    <w:rsid w:val="009F6E71"/>
    <w:rsid w:val="009F7CAB"/>
    <w:rsid w:val="00A00078"/>
    <w:rsid w:val="00A008C5"/>
    <w:rsid w:val="00A00BA2"/>
    <w:rsid w:val="00A0213F"/>
    <w:rsid w:val="00A02C47"/>
    <w:rsid w:val="00A03745"/>
    <w:rsid w:val="00A04151"/>
    <w:rsid w:val="00A06FCB"/>
    <w:rsid w:val="00A07145"/>
    <w:rsid w:val="00A13F2D"/>
    <w:rsid w:val="00A14EFD"/>
    <w:rsid w:val="00A150A8"/>
    <w:rsid w:val="00A15BEE"/>
    <w:rsid w:val="00A17DB0"/>
    <w:rsid w:val="00A20349"/>
    <w:rsid w:val="00A2105A"/>
    <w:rsid w:val="00A21B34"/>
    <w:rsid w:val="00A21D0D"/>
    <w:rsid w:val="00A22135"/>
    <w:rsid w:val="00A24978"/>
    <w:rsid w:val="00A24B8A"/>
    <w:rsid w:val="00A27882"/>
    <w:rsid w:val="00A30774"/>
    <w:rsid w:val="00A319B0"/>
    <w:rsid w:val="00A32E5C"/>
    <w:rsid w:val="00A3448D"/>
    <w:rsid w:val="00A3574A"/>
    <w:rsid w:val="00A36763"/>
    <w:rsid w:val="00A37939"/>
    <w:rsid w:val="00A40182"/>
    <w:rsid w:val="00A41ECF"/>
    <w:rsid w:val="00A43E81"/>
    <w:rsid w:val="00A44DF1"/>
    <w:rsid w:val="00A45E41"/>
    <w:rsid w:val="00A4684D"/>
    <w:rsid w:val="00A478A9"/>
    <w:rsid w:val="00A4798B"/>
    <w:rsid w:val="00A47ABC"/>
    <w:rsid w:val="00A500F2"/>
    <w:rsid w:val="00A501AE"/>
    <w:rsid w:val="00A51FC5"/>
    <w:rsid w:val="00A53383"/>
    <w:rsid w:val="00A53385"/>
    <w:rsid w:val="00A534EA"/>
    <w:rsid w:val="00A54ADC"/>
    <w:rsid w:val="00A5644C"/>
    <w:rsid w:val="00A575CC"/>
    <w:rsid w:val="00A57E98"/>
    <w:rsid w:val="00A57FAA"/>
    <w:rsid w:val="00A60849"/>
    <w:rsid w:val="00A60AA7"/>
    <w:rsid w:val="00A61A54"/>
    <w:rsid w:val="00A6305D"/>
    <w:rsid w:val="00A6331A"/>
    <w:rsid w:val="00A63ED7"/>
    <w:rsid w:val="00A642E2"/>
    <w:rsid w:val="00A65368"/>
    <w:rsid w:val="00A6587F"/>
    <w:rsid w:val="00A6765D"/>
    <w:rsid w:val="00A70965"/>
    <w:rsid w:val="00A71980"/>
    <w:rsid w:val="00A71E53"/>
    <w:rsid w:val="00A7366A"/>
    <w:rsid w:val="00A743BD"/>
    <w:rsid w:val="00A7519A"/>
    <w:rsid w:val="00A77700"/>
    <w:rsid w:val="00A805DA"/>
    <w:rsid w:val="00A80900"/>
    <w:rsid w:val="00A83992"/>
    <w:rsid w:val="00A8402A"/>
    <w:rsid w:val="00A84BCD"/>
    <w:rsid w:val="00A864F9"/>
    <w:rsid w:val="00A86EF0"/>
    <w:rsid w:val="00A870C0"/>
    <w:rsid w:val="00A87A5A"/>
    <w:rsid w:val="00A87E90"/>
    <w:rsid w:val="00A90061"/>
    <w:rsid w:val="00A9033D"/>
    <w:rsid w:val="00A90805"/>
    <w:rsid w:val="00A9269E"/>
    <w:rsid w:val="00A9278A"/>
    <w:rsid w:val="00A92F15"/>
    <w:rsid w:val="00A93540"/>
    <w:rsid w:val="00A96C9B"/>
    <w:rsid w:val="00A97914"/>
    <w:rsid w:val="00A97C01"/>
    <w:rsid w:val="00AA0488"/>
    <w:rsid w:val="00AA0B86"/>
    <w:rsid w:val="00AA211E"/>
    <w:rsid w:val="00AA23E0"/>
    <w:rsid w:val="00AA418D"/>
    <w:rsid w:val="00AA4515"/>
    <w:rsid w:val="00AA4DD3"/>
    <w:rsid w:val="00AA6D05"/>
    <w:rsid w:val="00AA6DC5"/>
    <w:rsid w:val="00AB00A6"/>
    <w:rsid w:val="00AB1300"/>
    <w:rsid w:val="00AB18E1"/>
    <w:rsid w:val="00AB1B9D"/>
    <w:rsid w:val="00AB2FC7"/>
    <w:rsid w:val="00AB3B37"/>
    <w:rsid w:val="00AB4A09"/>
    <w:rsid w:val="00AB537D"/>
    <w:rsid w:val="00AB5A10"/>
    <w:rsid w:val="00AB630E"/>
    <w:rsid w:val="00AC1BB1"/>
    <w:rsid w:val="00AC2456"/>
    <w:rsid w:val="00AC397D"/>
    <w:rsid w:val="00AC563B"/>
    <w:rsid w:val="00AC705C"/>
    <w:rsid w:val="00AD008C"/>
    <w:rsid w:val="00AD1DB0"/>
    <w:rsid w:val="00AD1E72"/>
    <w:rsid w:val="00AD4CAC"/>
    <w:rsid w:val="00AD5015"/>
    <w:rsid w:val="00AD71B6"/>
    <w:rsid w:val="00AE2B48"/>
    <w:rsid w:val="00AE3992"/>
    <w:rsid w:val="00AE48B9"/>
    <w:rsid w:val="00AE4D65"/>
    <w:rsid w:val="00AE538C"/>
    <w:rsid w:val="00AE69F2"/>
    <w:rsid w:val="00AE6B5E"/>
    <w:rsid w:val="00AE6CCE"/>
    <w:rsid w:val="00AF0CF8"/>
    <w:rsid w:val="00AF109B"/>
    <w:rsid w:val="00AF15FB"/>
    <w:rsid w:val="00AF1757"/>
    <w:rsid w:val="00AF1F71"/>
    <w:rsid w:val="00AF41A5"/>
    <w:rsid w:val="00AF41CB"/>
    <w:rsid w:val="00AF4E34"/>
    <w:rsid w:val="00AF4FCE"/>
    <w:rsid w:val="00AF5A3F"/>
    <w:rsid w:val="00AF5AEB"/>
    <w:rsid w:val="00AF68CE"/>
    <w:rsid w:val="00AF69AD"/>
    <w:rsid w:val="00B00471"/>
    <w:rsid w:val="00B012EB"/>
    <w:rsid w:val="00B03199"/>
    <w:rsid w:val="00B034F6"/>
    <w:rsid w:val="00B048CF"/>
    <w:rsid w:val="00B06046"/>
    <w:rsid w:val="00B071E2"/>
    <w:rsid w:val="00B079D7"/>
    <w:rsid w:val="00B07A3C"/>
    <w:rsid w:val="00B104CF"/>
    <w:rsid w:val="00B105F7"/>
    <w:rsid w:val="00B1127A"/>
    <w:rsid w:val="00B1147A"/>
    <w:rsid w:val="00B1155E"/>
    <w:rsid w:val="00B12666"/>
    <w:rsid w:val="00B128EF"/>
    <w:rsid w:val="00B12A0C"/>
    <w:rsid w:val="00B12B15"/>
    <w:rsid w:val="00B12B1A"/>
    <w:rsid w:val="00B12F58"/>
    <w:rsid w:val="00B13817"/>
    <w:rsid w:val="00B13F3B"/>
    <w:rsid w:val="00B15B1B"/>
    <w:rsid w:val="00B20019"/>
    <w:rsid w:val="00B22BEB"/>
    <w:rsid w:val="00B2322A"/>
    <w:rsid w:val="00B23A8F"/>
    <w:rsid w:val="00B27221"/>
    <w:rsid w:val="00B30118"/>
    <w:rsid w:val="00B30291"/>
    <w:rsid w:val="00B3279A"/>
    <w:rsid w:val="00B35EF0"/>
    <w:rsid w:val="00B36F35"/>
    <w:rsid w:val="00B37CC2"/>
    <w:rsid w:val="00B40738"/>
    <w:rsid w:val="00B429E5"/>
    <w:rsid w:val="00B44203"/>
    <w:rsid w:val="00B44AFE"/>
    <w:rsid w:val="00B451B6"/>
    <w:rsid w:val="00B45713"/>
    <w:rsid w:val="00B45C10"/>
    <w:rsid w:val="00B46E4F"/>
    <w:rsid w:val="00B46F3A"/>
    <w:rsid w:val="00B47B81"/>
    <w:rsid w:val="00B50973"/>
    <w:rsid w:val="00B50E41"/>
    <w:rsid w:val="00B51AC9"/>
    <w:rsid w:val="00B52C67"/>
    <w:rsid w:val="00B53219"/>
    <w:rsid w:val="00B543A2"/>
    <w:rsid w:val="00B546CB"/>
    <w:rsid w:val="00B547CF"/>
    <w:rsid w:val="00B54B8D"/>
    <w:rsid w:val="00B55191"/>
    <w:rsid w:val="00B6036B"/>
    <w:rsid w:val="00B60FC7"/>
    <w:rsid w:val="00B622C2"/>
    <w:rsid w:val="00B627E5"/>
    <w:rsid w:val="00B633A5"/>
    <w:rsid w:val="00B637A6"/>
    <w:rsid w:val="00B63CF5"/>
    <w:rsid w:val="00B64E46"/>
    <w:rsid w:val="00B658AE"/>
    <w:rsid w:val="00B67773"/>
    <w:rsid w:val="00B67EEC"/>
    <w:rsid w:val="00B71093"/>
    <w:rsid w:val="00B724A0"/>
    <w:rsid w:val="00B72869"/>
    <w:rsid w:val="00B72CDA"/>
    <w:rsid w:val="00B7352B"/>
    <w:rsid w:val="00B73B2E"/>
    <w:rsid w:val="00B76CA2"/>
    <w:rsid w:val="00B774F0"/>
    <w:rsid w:val="00B77A19"/>
    <w:rsid w:val="00B80409"/>
    <w:rsid w:val="00B83CD9"/>
    <w:rsid w:val="00B84BE1"/>
    <w:rsid w:val="00B84E83"/>
    <w:rsid w:val="00B84FC0"/>
    <w:rsid w:val="00B866A4"/>
    <w:rsid w:val="00B87161"/>
    <w:rsid w:val="00B8725B"/>
    <w:rsid w:val="00B87F0E"/>
    <w:rsid w:val="00B91466"/>
    <w:rsid w:val="00B918B3"/>
    <w:rsid w:val="00B92EEB"/>
    <w:rsid w:val="00B94F33"/>
    <w:rsid w:val="00B9697E"/>
    <w:rsid w:val="00B96C0E"/>
    <w:rsid w:val="00BA0111"/>
    <w:rsid w:val="00BA0B75"/>
    <w:rsid w:val="00BA2A0C"/>
    <w:rsid w:val="00BA2E66"/>
    <w:rsid w:val="00BA6610"/>
    <w:rsid w:val="00BA6868"/>
    <w:rsid w:val="00BA6B9E"/>
    <w:rsid w:val="00BA712A"/>
    <w:rsid w:val="00BB021F"/>
    <w:rsid w:val="00BB1DD1"/>
    <w:rsid w:val="00BB2B4D"/>
    <w:rsid w:val="00BB300D"/>
    <w:rsid w:val="00BB32D0"/>
    <w:rsid w:val="00BB3644"/>
    <w:rsid w:val="00BB4AE4"/>
    <w:rsid w:val="00BB4D25"/>
    <w:rsid w:val="00BB688A"/>
    <w:rsid w:val="00BB6D21"/>
    <w:rsid w:val="00BB78C6"/>
    <w:rsid w:val="00BC1975"/>
    <w:rsid w:val="00BC24C9"/>
    <w:rsid w:val="00BC2589"/>
    <w:rsid w:val="00BC411E"/>
    <w:rsid w:val="00BC438B"/>
    <w:rsid w:val="00BC439F"/>
    <w:rsid w:val="00BC4BDB"/>
    <w:rsid w:val="00BC5230"/>
    <w:rsid w:val="00BC7F6D"/>
    <w:rsid w:val="00BD073D"/>
    <w:rsid w:val="00BD318F"/>
    <w:rsid w:val="00BD398C"/>
    <w:rsid w:val="00BD61FA"/>
    <w:rsid w:val="00BD635B"/>
    <w:rsid w:val="00BD63D6"/>
    <w:rsid w:val="00BD6E90"/>
    <w:rsid w:val="00BD7798"/>
    <w:rsid w:val="00BD7B5C"/>
    <w:rsid w:val="00BD7C9D"/>
    <w:rsid w:val="00BE05A4"/>
    <w:rsid w:val="00BE2D61"/>
    <w:rsid w:val="00BE3450"/>
    <w:rsid w:val="00BE3949"/>
    <w:rsid w:val="00BE3AF4"/>
    <w:rsid w:val="00BE4A49"/>
    <w:rsid w:val="00BE5BEE"/>
    <w:rsid w:val="00BE7233"/>
    <w:rsid w:val="00BE728C"/>
    <w:rsid w:val="00BE776D"/>
    <w:rsid w:val="00BE7A96"/>
    <w:rsid w:val="00BF0175"/>
    <w:rsid w:val="00BF02FF"/>
    <w:rsid w:val="00BF0C4F"/>
    <w:rsid w:val="00BF1823"/>
    <w:rsid w:val="00BF1B78"/>
    <w:rsid w:val="00BF2305"/>
    <w:rsid w:val="00BF2839"/>
    <w:rsid w:val="00BF3D4F"/>
    <w:rsid w:val="00BF48A1"/>
    <w:rsid w:val="00BF5114"/>
    <w:rsid w:val="00BF6F79"/>
    <w:rsid w:val="00C00D0A"/>
    <w:rsid w:val="00C01EF3"/>
    <w:rsid w:val="00C022B5"/>
    <w:rsid w:val="00C03571"/>
    <w:rsid w:val="00C070FF"/>
    <w:rsid w:val="00C0714F"/>
    <w:rsid w:val="00C0718B"/>
    <w:rsid w:val="00C0746D"/>
    <w:rsid w:val="00C105EA"/>
    <w:rsid w:val="00C1106A"/>
    <w:rsid w:val="00C135A4"/>
    <w:rsid w:val="00C14B8C"/>
    <w:rsid w:val="00C14E10"/>
    <w:rsid w:val="00C15903"/>
    <w:rsid w:val="00C16367"/>
    <w:rsid w:val="00C16451"/>
    <w:rsid w:val="00C16A56"/>
    <w:rsid w:val="00C171C8"/>
    <w:rsid w:val="00C2060F"/>
    <w:rsid w:val="00C21DDD"/>
    <w:rsid w:val="00C22551"/>
    <w:rsid w:val="00C22988"/>
    <w:rsid w:val="00C22D56"/>
    <w:rsid w:val="00C23985"/>
    <w:rsid w:val="00C243CC"/>
    <w:rsid w:val="00C24924"/>
    <w:rsid w:val="00C25BA8"/>
    <w:rsid w:val="00C26F62"/>
    <w:rsid w:val="00C306DE"/>
    <w:rsid w:val="00C30EDB"/>
    <w:rsid w:val="00C31328"/>
    <w:rsid w:val="00C3259F"/>
    <w:rsid w:val="00C33E35"/>
    <w:rsid w:val="00C34501"/>
    <w:rsid w:val="00C34EC6"/>
    <w:rsid w:val="00C3735B"/>
    <w:rsid w:val="00C40438"/>
    <w:rsid w:val="00C4146F"/>
    <w:rsid w:val="00C4178B"/>
    <w:rsid w:val="00C42097"/>
    <w:rsid w:val="00C4342C"/>
    <w:rsid w:val="00C446B8"/>
    <w:rsid w:val="00C44DC0"/>
    <w:rsid w:val="00C457AC"/>
    <w:rsid w:val="00C46F64"/>
    <w:rsid w:val="00C47168"/>
    <w:rsid w:val="00C4782E"/>
    <w:rsid w:val="00C47994"/>
    <w:rsid w:val="00C50EA6"/>
    <w:rsid w:val="00C513B6"/>
    <w:rsid w:val="00C519C2"/>
    <w:rsid w:val="00C51F12"/>
    <w:rsid w:val="00C52761"/>
    <w:rsid w:val="00C52B7D"/>
    <w:rsid w:val="00C52F0E"/>
    <w:rsid w:val="00C5389D"/>
    <w:rsid w:val="00C54A3E"/>
    <w:rsid w:val="00C54AE7"/>
    <w:rsid w:val="00C5526A"/>
    <w:rsid w:val="00C563CC"/>
    <w:rsid w:val="00C606E5"/>
    <w:rsid w:val="00C6097D"/>
    <w:rsid w:val="00C610D5"/>
    <w:rsid w:val="00C61C22"/>
    <w:rsid w:val="00C623C5"/>
    <w:rsid w:val="00C6456F"/>
    <w:rsid w:val="00C64D47"/>
    <w:rsid w:val="00C66BEB"/>
    <w:rsid w:val="00C67F70"/>
    <w:rsid w:val="00C67FFB"/>
    <w:rsid w:val="00C7339B"/>
    <w:rsid w:val="00C73C6A"/>
    <w:rsid w:val="00C740E1"/>
    <w:rsid w:val="00C742D2"/>
    <w:rsid w:val="00C74710"/>
    <w:rsid w:val="00C74C1D"/>
    <w:rsid w:val="00C75812"/>
    <w:rsid w:val="00C761A4"/>
    <w:rsid w:val="00C76667"/>
    <w:rsid w:val="00C76A65"/>
    <w:rsid w:val="00C76E5A"/>
    <w:rsid w:val="00C77C1F"/>
    <w:rsid w:val="00C81676"/>
    <w:rsid w:val="00C817DA"/>
    <w:rsid w:val="00C832FF"/>
    <w:rsid w:val="00C83C17"/>
    <w:rsid w:val="00C847F0"/>
    <w:rsid w:val="00C86E1C"/>
    <w:rsid w:val="00C875DB"/>
    <w:rsid w:val="00C90A3B"/>
    <w:rsid w:val="00C913D7"/>
    <w:rsid w:val="00C930EB"/>
    <w:rsid w:val="00C94414"/>
    <w:rsid w:val="00C94525"/>
    <w:rsid w:val="00C9535A"/>
    <w:rsid w:val="00C966F7"/>
    <w:rsid w:val="00C96DBC"/>
    <w:rsid w:val="00C971D9"/>
    <w:rsid w:val="00CA376D"/>
    <w:rsid w:val="00CA3864"/>
    <w:rsid w:val="00CA3A92"/>
    <w:rsid w:val="00CA3D32"/>
    <w:rsid w:val="00CA49CD"/>
    <w:rsid w:val="00CA5B3D"/>
    <w:rsid w:val="00CB0283"/>
    <w:rsid w:val="00CB2BEE"/>
    <w:rsid w:val="00CB6132"/>
    <w:rsid w:val="00CB628E"/>
    <w:rsid w:val="00CB68BE"/>
    <w:rsid w:val="00CB6B4C"/>
    <w:rsid w:val="00CB7C6A"/>
    <w:rsid w:val="00CC32AF"/>
    <w:rsid w:val="00CC348C"/>
    <w:rsid w:val="00CC417F"/>
    <w:rsid w:val="00CC46EB"/>
    <w:rsid w:val="00CC4DB3"/>
    <w:rsid w:val="00CC5918"/>
    <w:rsid w:val="00CC5D21"/>
    <w:rsid w:val="00CC66C2"/>
    <w:rsid w:val="00CC754A"/>
    <w:rsid w:val="00CD0295"/>
    <w:rsid w:val="00CD0DCC"/>
    <w:rsid w:val="00CD17E7"/>
    <w:rsid w:val="00CD1B3C"/>
    <w:rsid w:val="00CD24C6"/>
    <w:rsid w:val="00CD3AC5"/>
    <w:rsid w:val="00CD3EE0"/>
    <w:rsid w:val="00CD44AB"/>
    <w:rsid w:val="00CD472C"/>
    <w:rsid w:val="00CD571A"/>
    <w:rsid w:val="00CD7902"/>
    <w:rsid w:val="00CE0448"/>
    <w:rsid w:val="00CE0EC5"/>
    <w:rsid w:val="00CE2A22"/>
    <w:rsid w:val="00CE49A5"/>
    <w:rsid w:val="00CE4B95"/>
    <w:rsid w:val="00CE546B"/>
    <w:rsid w:val="00CE5841"/>
    <w:rsid w:val="00CE7E99"/>
    <w:rsid w:val="00CF06C4"/>
    <w:rsid w:val="00CF3400"/>
    <w:rsid w:val="00CF3579"/>
    <w:rsid w:val="00CF59D5"/>
    <w:rsid w:val="00CF6D63"/>
    <w:rsid w:val="00CF7C53"/>
    <w:rsid w:val="00D002E6"/>
    <w:rsid w:val="00D01274"/>
    <w:rsid w:val="00D035B1"/>
    <w:rsid w:val="00D0499B"/>
    <w:rsid w:val="00D05D97"/>
    <w:rsid w:val="00D060DD"/>
    <w:rsid w:val="00D06369"/>
    <w:rsid w:val="00D06E04"/>
    <w:rsid w:val="00D06E20"/>
    <w:rsid w:val="00D117B9"/>
    <w:rsid w:val="00D121DA"/>
    <w:rsid w:val="00D1278B"/>
    <w:rsid w:val="00D12B0B"/>
    <w:rsid w:val="00D13231"/>
    <w:rsid w:val="00D1470D"/>
    <w:rsid w:val="00D1475A"/>
    <w:rsid w:val="00D14971"/>
    <w:rsid w:val="00D15261"/>
    <w:rsid w:val="00D1553A"/>
    <w:rsid w:val="00D1621F"/>
    <w:rsid w:val="00D16CC3"/>
    <w:rsid w:val="00D17B45"/>
    <w:rsid w:val="00D22930"/>
    <w:rsid w:val="00D23CAD"/>
    <w:rsid w:val="00D24530"/>
    <w:rsid w:val="00D248E2"/>
    <w:rsid w:val="00D24E6B"/>
    <w:rsid w:val="00D2610B"/>
    <w:rsid w:val="00D26D0A"/>
    <w:rsid w:val="00D274D9"/>
    <w:rsid w:val="00D2765D"/>
    <w:rsid w:val="00D30836"/>
    <w:rsid w:val="00D30E86"/>
    <w:rsid w:val="00D332D1"/>
    <w:rsid w:val="00D3336A"/>
    <w:rsid w:val="00D344E9"/>
    <w:rsid w:val="00D35BF6"/>
    <w:rsid w:val="00D36571"/>
    <w:rsid w:val="00D377E5"/>
    <w:rsid w:val="00D40755"/>
    <w:rsid w:val="00D41190"/>
    <w:rsid w:val="00D44340"/>
    <w:rsid w:val="00D45410"/>
    <w:rsid w:val="00D4590B"/>
    <w:rsid w:val="00D459D0"/>
    <w:rsid w:val="00D51DBD"/>
    <w:rsid w:val="00D521F0"/>
    <w:rsid w:val="00D53AFB"/>
    <w:rsid w:val="00D546CA"/>
    <w:rsid w:val="00D5520C"/>
    <w:rsid w:val="00D556BE"/>
    <w:rsid w:val="00D5662F"/>
    <w:rsid w:val="00D5768E"/>
    <w:rsid w:val="00D6038C"/>
    <w:rsid w:val="00D63490"/>
    <w:rsid w:val="00D64997"/>
    <w:rsid w:val="00D64C2E"/>
    <w:rsid w:val="00D64D67"/>
    <w:rsid w:val="00D651B1"/>
    <w:rsid w:val="00D65B12"/>
    <w:rsid w:val="00D671AE"/>
    <w:rsid w:val="00D67311"/>
    <w:rsid w:val="00D67402"/>
    <w:rsid w:val="00D70AB8"/>
    <w:rsid w:val="00D71925"/>
    <w:rsid w:val="00D71EDD"/>
    <w:rsid w:val="00D74987"/>
    <w:rsid w:val="00D75E86"/>
    <w:rsid w:val="00D767A3"/>
    <w:rsid w:val="00D77847"/>
    <w:rsid w:val="00D77DAA"/>
    <w:rsid w:val="00D81A29"/>
    <w:rsid w:val="00D82681"/>
    <w:rsid w:val="00D83195"/>
    <w:rsid w:val="00D86D2D"/>
    <w:rsid w:val="00D90FD7"/>
    <w:rsid w:val="00D911A5"/>
    <w:rsid w:val="00D9192F"/>
    <w:rsid w:val="00D92033"/>
    <w:rsid w:val="00D92591"/>
    <w:rsid w:val="00D9281A"/>
    <w:rsid w:val="00D92861"/>
    <w:rsid w:val="00D92CD0"/>
    <w:rsid w:val="00D94326"/>
    <w:rsid w:val="00D94947"/>
    <w:rsid w:val="00D955BE"/>
    <w:rsid w:val="00D9678F"/>
    <w:rsid w:val="00D96DEE"/>
    <w:rsid w:val="00D970D7"/>
    <w:rsid w:val="00DA1516"/>
    <w:rsid w:val="00DA1925"/>
    <w:rsid w:val="00DA19C4"/>
    <w:rsid w:val="00DA1F2A"/>
    <w:rsid w:val="00DA365D"/>
    <w:rsid w:val="00DA3A38"/>
    <w:rsid w:val="00DA418E"/>
    <w:rsid w:val="00DA4A2A"/>
    <w:rsid w:val="00DA5D20"/>
    <w:rsid w:val="00DA6471"/>
    <w:rsid w:val="00DA78A5"/>
    <w:rsid w:val="00DA7A2F"/>
    <w:rsid w:val="00DB15B6"/>
    <w:rsid w:val="00DB35BB"/>
    <w:rsid w:val="00DB59A8"/>
    <w:rsid w:val="00DB6DD4"/>
    <w:rsid w:val="00DC0DFD"/>
    <w:rsid w:val="00DC1784"/>
    <w:rsid w:val="00DC2A3F"/>
    <w:rsid w:val="00DC3134"/>
    <w:rsid w:val="00DC39C3"/>
    <w:rsid w:val="00DC4E2F"/>
    <w:rsid w:val="00DC56AD"/>
    <w:rsid w:val="00DC6274"/>
    <w:rsid w:val="00DC6D90"/>
    <w:rsid w:val="00DC752C"/>
    <w:rsid w:val="00DD1AA4"/>
    <w:rsid w:val="00DD1ECA"/>
    <w:rsid w:val="00DD3753"/>
    <w:rsid w:val="00DD480E"/>
    <w:rsid w:val="00DD6D5C"/>
    <w:rsid w:val="00DD7300"/>
    <w:rsid w:val="00DE02CE"/>
    <w:rsid w:val="00DE0A36"/>
    <w:rsid w:val="00DE0AAB"/>
    <w:rsid w:val="00DE1643"/>
    <w:rsid w:val="00DE30BB"/>
    <w:rsid w:val="00DE31D1"/>
    <w:rsid w:val="00DE355E"/>
    <w:rsid w:val="00DE748D"/>
    <w:rsid w:val="00DF0EBA"/>
    <w:rsid w:val="00DF2229"/>
    <w:rsid w:val="00DF223E"/>
    <w:rsid w:val="00DF318A"/>
    <w:rsid w:val="00DF62C6"/>
    <w:rsid w:val="00DF729E"/>
    <w:rsid w:val="00E01104"/>
    <w:rsid w:val="00E014AA"/>
    <w:rsid w:val="00E025F0"/>
    <w:rsid w:val="00E02BA2"/>
    <w:rsid w:val="00E05108"/>
    <w:rsid w:val="00E0526A"/>
    <w:rsid w:val="00E07ED5"/>
    <w:rsid w:val="00E112AC"/>
    <w:rsid w:val="00E11302"/>
    <w:rsid w:val="00E20B6C"/>
    <w:rsid w:val="00E2341C"/>
    <w:rsid w:val="00E25303"/>
    <w:rsid w:val="00E26870"/>
    <w:rsid w:val="00E26AFE"/>
    <w:rsid w:val="00E27F8C"/>
    <w:rsid w:val="00E319E3"/>
    <w:rsid w:val="00E329AC"/>
    <w:rsid w:val="00E333D0"/>
    <w:rsid w:val="00E33F9A"/>
    <w:rsid w:val="00E34B88"/>
    <w:rsid w:val="00E34BFB"/>
    <w:rsid w:val="00E371B3"/>
    <w:rsid w:val="00E37309"/>
    <w:rsid w:val="00E378B8"/>
    <w:rsid w:val="00E4085F"/>
    <w:rsid w:val="00E411FE"/>
    <w:rsid w:val="00E41B28"/>
    <w:rsid w:val="00E42CCA"/>
    <w:rsid w:val="00E43710"/>
    <w:rsid w:val="00E43E73"/>
    <w:rsid w:val="00E444BF"/>
    <w:rsid w:val="00E4486F"/>
    <w:rsid w:val="00E44ACC"/>
    <w:rsid w:val="00E455A2"/>
    <w:rsid w:val="00E45B0A"/>
    <w:rsid w:val="00E50A6D"/>
    <w:rsid w:val="00E50C91"/>
    <w:rsid w:val="00E5210E"/>
    <w:rsid w:val="00E529D9"/>
    <w:rsid w:val="00E54145"/>
    <w:rsid w:val="00E5482A"/>
    <w:rsid w:val="00E552AB"/>
    <w:rsid w:val="00E567C5"/>
    <w:rsid w:val="00E573A8"/>
    <w:rsid w:val="00E57923"/>
    <w:rsid w:val="00E604C4"/>
    <w:rsid w:val="00E605D2"/>
    <w:rsid w:val="00E60D6D"/>
    <w:rsid w:val="00E60DF6"/>
    <w:rsid w:val="00E63492"/>
    <w:rsid w:val="00E63534"/>
    <w:rsid w:val="00E66936"/>
    <w:rsid w:val="00E67157"/>
    <w:rsid w:val="00E70002"/>
    <w:rsid w:val="00E70915"/>
    <w:rsid w:val="00E710DE"/>
    <w:rsid w:val="00E7163C"/>
    <w:rsid w:val="00E71BCA"/>
    <w:rsid w:val="00E72A30"/>
    <w:rsid w:val="00E736DE"/>
    <w:rsid w:val="00E73B11"/>
    <w:rsid w:val="00E76942"/>
    <w:rsid w:val="00E77BAB"/>
    <w:rsid w:val="00E8109F"/>
    <w:rsid w:val="00E818DC"/>
    <w:rsid w:val="00E82485"/>
    <w:rsid w:val="00E82870"/>
    <w:rsid w:val="00E84B5C"/>
    <w:rsid w:val="00E860CA"/>
    <w:rsid w:val="00E876B3"/>
    <w:rsid w:val="00E908F9"/>
    <w:rsid w:val="00E9096A"/>
    <w:rsid w:val="00E929C2"/>
    <w:rsid w:val="00E93A70"/>
    <w:rsid w:val="00E93E26"/>
    <w:rsid w:val="00E952AD"/>
    <w:rsid w:val="00E955A8"/>
    <w:rsid w:val="00E95B6B"/>
    <w:rsid w:val="00E975A4"/>
    <w:rsid w:val="00EA24AD"/>
    <w:rsid w:val="00EA2590"/>
    <w:rsid w:val="00EA57B8"/>
    <w:rsid w:val="00EA588B"/>
    <w:rsid w:val="00EA5CC7"/>
    <w:rsid w:val="00EA5F8D"/>
    <w:rsid w:val="00EA6B75"/>
    <w:rsid w:val="00EA7356"/>
    <w:rsid w:val="00EB17B9"/>
    <w:rsid w:val="00EB2ABE"/>
    <w:rsid w:val="00EB3C33"/>
    <w:rsid w:val="00EB4D74"/>
    <w:rsid w:val="00EB5A2F"/>
    <w:rsid w:val="00EC0CB0"/>
    <w:rsid w:val="00EC1315"/>
    <w:rsid w:val="00EC2B4A"/>
    <w:rsid w:val="00EC3488"/>
    <w:rsid w:val="00EC43AF"/>
    <w:rsid w:val="00EC481E"/>
    <w:rsid w:val="00EC57B1"/>
    <w:rsid w:val="00EC79A5"/>
    <w:rsid w:val="00ED16E0"/>
    <w:rsid w:val="00ED1EAD"/>
    <w:rsid w:val="00ED2389"/>
    <w:rsid w:val="00ED2C12"/>
    <w:rsid w:val="00ED433B"/>
    <w:rsid w:val="00ED6C22"/>
    <w:rsid w:val="00ED7458"/>
    <w:rsid w:val="00ED78DE"/>
    <w:rsid w:val="00ED7E80"/>
    <w:rsid w:val="00EE217A"/>
    <w:rsid w:val="00EE4735"/>
    <w:rsid w:val="00EE5E09"/>
    <w:rsid w:val="00EE75B4"/>
    <w:rsid w:val="00EE7950"/>
    <w:rsid w:val="00EE7A85"/>
    <w:rsid w:val="00EF0744"/>
    <w:rsid w:val="00EF11C1"/>
    <w:rsid w:val="00EF6B7D"/>
    <w:rsid w:val="00EF77AA"/>
    <w:rsid w:val="00F005CF"/>
    <w:rsid w:val="00F0072F"/>
    <w:rsid w:val="00F009B3"/>
    <w:rsid w:val="00F01980"/>
    <w:rsid w:val="00F02001"/>
    <w:rsid w:val="00F02242"/>
    <w:rsid w:val="00F0229C"/>
    <w:rsid w:val="00F03F3D"/>
    <w:rsid w:val="00F05B06"/>
    <w:rsid w:val="00F067AF"/>
    <w:rsid w:val="00F06872"/>
    <w:rsid w:val="00F102D8"/>
    <w:rsid w:val="00F107D6"/>
    <w:rsid w:val="00F1104C"/>
    <w:rsid w:val="00F12513"/>
    <w:rsid w:val="00F12E4E"/>
    <w:rsid w:val="00F146C8"/>
    <w:rsid w:val="00F1529D"/>
    <w:rsid w:val="00F1611D"/>
    <w:rsid w:val="00F161C8"/>
    <w:rsid w:val="00F20F71"/>
    <w:rsid w:val="00F217E2"/>
    <w:rsid w:val="00F21EF7"/>
    <w:rsid w:val="00F22B63"/>
    <w:rsid w:val="00F23140"/>
    <w:rsid w:val="00F23622"/>
    <w:rsid w:val="00F23AF3"/>
    <w:rsid w:val="00F23E46"/>
    <w:rsid w:val="00F24852"/>
    <w:rsid w:val="00F252A6"/>
    <w:rsid w:val="00F26E27"/>
    <w:rsid w:val="00F301CB"/>
    <w:rsid w:val="00F30341"/>
    <w:rsid w:val="00F30DD6"/>
    <w:rsid w:val="00F30E14"/>
    <w:rsid w:val="00F32C96"/>
    <w:rsid w:val="00F341FB"/>
    <w:rsid w:val="00F34F38"/>
    <w:rsid w:val="00F35D90"/>
    <w:rsid w:val="00F4020F"/>
    <w:rsid w:val="00F41F54"/>
    <w:rsid w:val="00F454E1"/>
    <w:rsid w:val="00F45A08"/>
    <w:rsid w:val="00F50408"/>
    <w:rsid w:val="00F50852"/>
    <w:rsid w:val="00F51311"/>
    <w:rsid w:val="00F528BB"/>
    <w:rsid w:val="00F531C1"/>
    <w:rsid w:val="00F54812"/>
    <w:rsid w:val="00F5671B"/>
    <w:rsid w:val="00F56CE3"/>
    <w:rsid w:val="00F61C96"/>
    <w:rsid w:val="00F625AF"/>
    <w:rsid w:val="00F634FE"/>
    <w:rsid w:val="00F64038"/>
    <w:rsid w:val="00F648CA"/>
    <w:rsid w:val="00F659A4"/>
    <w:rsid w:val="00F70253"/>
    <w:rsid w:val="00F70669"/>
    <w:rsid w:val="00F71F18"/>
    <w:rsid w:val="00F735AD"/>
    <w:rsid w:val="00F74955"/>
    <w:rsid w:val="00F74C8A"/>
    <w:rsid w:val="00F81091"/>
    <w:rsid w:val="00F82079"/>
    <w:rsid w:val="00F82E86"/>
    <w:rsid w:val="00F846B4"/>
    <w:rsid w:val="00F84C65"/>
    <w:rsid w:val="00F85BC0"/>
    <w:rsid w:val="00F87038"/>
    <w:rsid w:val="00F8705B"/>
    <w:rsid w:val="00F9155E"/>
    <w:rsid w:val="00F9375C"/>
    <w:rsid w:val="00F93D54"/>
    <w:rsid w:val="00F9423D"/>
    <w:rsid w:val="00F945F7"/>
    <w:rsid w:val="00F94AFD"/>
    <w:rsid w:val="00F95A68"/>
    <w:rsid w:val="00F95BF0"/>
    <w:rsid w:val="00F975CC"/>
    <w:rsid w:val="00F97666"/>
    <w:rsid w:val="00F97B89"/>
    <w:rsid w:val="00FA0C00"/>
    <w:rsid w:val="00FA39BE"/>
    <w:rsid w:val="00FA3B8A"/>
    <w:rsid w:val="00FA3CB0"/>
    <w:rsid w:val="00FA47A1"/>
    <w:rsid w:val="00FA4DAB"/>
    <w:rsid w:val="00FA4E34"/>
    <w:rsid w:val="00FB0400"/>
    <w:rsid w:val="00FB25B0"/>
    <w:rsid w:val="00FB325C"/>
    <w:rsid w:val="00FB43D5"/>
    <w:rsid w:val="00FB4A79"/>
    <w:rsid w:val="00FB4E8D"/>
    <w:rsid w:val="00FB6B15"/>
    <w:rsid w:val="00FC178B"/>
    <w:rsid w:val="00FC24DF"/>
    <w:rsid w:val="00FC2CBF"/>
    <w:rsid w:val="00FC2CE5"/>
    <w:rsid w:val="00FC3F08"/>
    <w:rsid w:val="00FC5729"/>
    <w:rsid w:val="00FC5AC9"/>
    <w:rsid w:val="00FD0011"/>
    <w:rsid w:val="00FD07D8"/>
    <w:rsid w:val="00FD0C93"/>
    <w:rsid w:val="00FD1F08"/>
    <w:rsid w:val="00FD204B"/>
    <w:rsid w:val="00FD2AB1"/>
    <w:rsid w:val="00FD2B8E"/>
    <w:rsid w:val="00FD3726"/>
    <w:rsid w:val="00FD5083"/>
    <w:rsid w:val="00FD528B"/>
    <w:rsid w:val="00FE010E"/>
    <w:rsid w:val="00FE02FE"/>
    <w:rsid w:val="00FE0EEF"/>
    <w:rsid w:val="00FE14A5"/>
    <w:rsid w:val="00FE2861"/>
    <w:rsid w:val="00FE2ED0"/>
    <w:rsid w:val="00FE3204"/>
    <w:rsid w:val="00FE6205"/>
    <w:rsid w:val="00FF0780"/>
    <w:rsid w:val="00FF0CD9"/>
    <w:rsid w:val="00FF115D"/>
    <w:rsid w:val="00FF12F3"/>
    <w:rsid w:val="00FF305C"/>
    <w:rsid w:val="00FF30EE"/>
    <w:rsid w:val="00FF4BC9"/>
    <w:rsid w:val="00FF6474"/>
    <w:rsid w:val="00FF719C"/>
    <w:rsid w:val="00FF71B7"/>
    <w:rsid w:val="00FF723F"/>
    <w:rsid w:val="00FF7AE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6A028"/>
  <w15:docId w15:val="{802157E8-8710-4BA3-86FE-0DA43868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176FF"/>
    <w:pPr>
      <w:spacing w:after="0" w:line="288" w:lineRule="auto"/>
      <w:jc w:val="both"/>
    </w:pPr>
    <w:rPr>
      <w:rFonts w:ascii="Verdana" w:eastAsia="Times New Roman" w:hAnsi="Verdana" w:cs="Times New Roman"/>
      <w:sz w:val="17"/>
      <w:szCs w:val="24"/>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semiHidden/>
    <w:rsid w:val="009176FF"/>
    <w:pPr>
      <w:tabs>
        <w:tab w:val="center" w:pos="4320"/>
        <w:tab w:val="right" w:pos="8640"/>
      </w:tabs>
    </w:pPr>
  </w:style>
  <w:style w:type="character" w:customStyle="1" w:styleId="HlavikaChar">
    <w:name w:val="Hlavička Char"/>
    <w:basedOn w:val="Predvolenpsmoodseku"/>
    <w:link w:val="Hlavika"/>
    <w:semiHidden/>
    <w:rsid w:val="009176FF"/>
    <w:rPr>
      <w:rFonts w:ascii="Verdana" w:eastAsia="Times New Roman" w:hAnsi="Verdana" w:cs="Times New Roman"/>
      <w:sz w:val="17"/>
      <w:szCs w:val="24"/>
      <w:lang w:val="en-GB"/>
    </w:rPr>
  </w:style>
  <w:style w:type="paragraph" w:styleId="Pta">
    <w:name w:val="footer"/>
    <w:basedOn w:val="Normlny"/>
    <w:link w:val="PtaChar"/>
    <w:uiPriority w:val="99"/>
    <w:rsid w:val="009176FF"/>
    <w:pPr>
      <w:tabs>
        <w:tab w:val="center" w:pos="4320"/>
        <w:tab w:val="right" w:pos="8640"/>
      </w:tabs>
    </w:pPr>
  </w:style>
  <w:style w:type="character" w:customStyle="1" w:styleId="PtaChar">
    <w:name w:val="Päta Char"/>
    <w:basedOn w:val="Predvolenpsmoodseku"/>
    <w:link w:val="Pta"/>
    <w:uiPriority w:val="99"/>
    <w:rsid w:val="009176FF"/>
    <w:rPr>
      <w:rFonts w:ascii="Verdana" w:eastAsia="Times New Roman" w:hAnsi="Verdana" w:cs="Times New Roman"/>
      <w:sz w:val="17"/>
      <w:szCs w:val="24"/>
      <w:lang w:val="en-GB"/>
    </w:rPr>
  </w:style>
  <w:style w:type="paragraph" w:customStyle="1" w:styleId="Noparagraphstyle">
    <w:name w:val="[No paragraph style]"/>
    <w:semiHidden/>
    <w:rsid w:val="009176F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rPr>
  </w:style>
  <w:style w:type="character" w:customStyle="1" w:styleId="CEAGraphTitle">
    <w:name w:val="CEA Graph Title"/>
    <w:basedOn w:val="Predvolenpsmoodseku"/>
    <w:uiPriority w:val="1"/>
    <w:qFormat/>
    <w:rsid w:val="009176FF"/>
    <w:rPr>
      <w:rFonts w:ascii="Verdana" w:hAnsi="Verdana"/>
      <w:smallCaps w:val="0"/>
      <w:sz w:val="17"/>
      <w:lang w:val="en-GB"/>
    </w:rPr>
  </w:style>
  <w:style w:type="paragraph" w:customStyle="1" w:styleId="CEABullet-Level1">
    <w:name w:val="CEA Bullet - Level 1"/>
    <w:basedOn w:val="Normlny"/>
    <w:qFormat/>
    <w:rsid w:val="001126A0"/>
    <w:pPr>
      <w:numPr>
        <w:numId w:val="1"/>
      </w:numPr>
      <w:autoSpaceDE w:val="0"/>
      <w:autoSpaceDN w:val="0"/>
      <w:adjustRightInd w:val="0"/>
    </w:pPr>
    <w:rPr>
      <w:rFonts w:cs="Frutiger LT Std 45 Light"/>
      <w:color w:val="000000"/>
      <w:szCs w:val="20"/>
    </w:rPr>
  </w:style>
  <w:style w:type="paragraph" w:customStyle="1" w:styleId="CEABullet-Level2">
    <w:name w:val="CEA Bullet - Level 2"/>
    <w:basedOn w:val="CEABullet-Level1"/>
    <w:next w:val="Normlny"/>
    <w:qFormat/>
    <w:rsid w:val="001126A0"/>
    <w:pPr>
      <w:numPr>
        <w:numId w:val="2"/>
      </w:numPr>
    </w:pPr>
  </w:style>
  <w:style w:type="paragraph" w:customStyle="1" w:styleId="CEABullet-Level3">
    <w:name w:val="CEA Bullet - Level 3"/>
    <w:basedOn w:val="Normlny"/>
    <w:qFormat/>
    <w:rsid w:val="001126A0"/>
    <w:pPr>
      <w:numPr>
        <w:numId w:val="3"/>
      </w:numPr>
      <w:autoSpaceDE w:val="0"/>
      <w:autoSpaceDN w:val="0"/>
      <w:adjustRightInd w:val="0"/>
    </w:pPr>
    <w:rPr>
      <w:rFonts w:cs="Frutiger LT Std 45 Light"/>
      <w:color w:val="000000"/>
      <w:szCs w:val="20"/>
    </w:rPr>
  </w:style>
  <w:style w:type="paragraph" w:customStyle="1" w:styleId="CEADirectorGeneral">
    <w:name w:val="CEA Director General"/>
    <w:basedOn w:val="Normlny"/>
    <w:semiHidden/>
    <w:qFormat/>
    <w:rsid w:val="001126A0"/>
    <w:pPr>
      <w:tabs>
        <w:tab w:val="right" w:pos="360"/>
        <w:tab w:val="left" w:pos="540"/>
      </w:tabs>
      <w:autoSpaceDE w:val="0"/>
      <w:autoSpaceDN w:val="0"/>
      <w:adjustRightInd w:val="0"/>
      <w:textAlignment w:val="center"/>
    </w:pPr>
    <w:rPr>
      <w:sz w:val="22"/>
      <w:szCs w:val="22"/>
    </w:rPr>
  </w:style>
  <w:style w:type="paragraph" w:customStyle="1" w:styleId="CEADocumentType">
    <w:name w:val="CEA Document Type"/>
    <w:basedOn w:val="Normlny"/>
    <w:semiHidden/>
    <w:qFormat/>
    <w:rsid w:val="001126A0"/>
    <w:pPr>
      <w:jc w:val="right"/>
    </w:pPr>
    <w:rPr>
      <w:rFonts w:cs="Frutiger LT Std 55 Roman"/>
      <w:b/>
      <w:color w:val="0032FF"/>
      <w:sz w:val="40"/>
      <w:szCs w:val="40"/>
    </w:rPr>
  </w:style>
  <w:style w:type="paragraph" w:customStyle="1" w:styleId="CEADraft">
    <w:name w:val="CEA Draft"/>
    <w:basedOn w:val="Normlny"/>
    <w:semiHidden/>
    <w:qFormat/>
    <w:rsid w:val="001126A0"/>
    <w:pPr>
      <w:jc w:val="right"/>
    </w:pPr>
    <w:rPr>
      <w:rFonts w:cs="Arial"/>
      <w:b/>
      <w:i/>
      <w:color w:val="034EA2"/>
      <w:sz w:val="32"/>
      <w:szCs w:val="40"/>
    </w:rPr>
  </w:style>
  <w:style w:type="paragraph" w:customStyle="1" w:styleId="CEAFooterauthorinfo">
    <w:name w:val="CEA Footer (author info)"/>
    <w:basedOn w:val="Normlny"/>
    <w:semiHidden/>
    <w:qFormat/>
    <w:rsid w:val="001126A0"/>
    <w:pPr>
      <w:autoSpaceDE w:val="0"/>
      <w:autoSpaceDN w:val="0"/>
      <w:adjustRightInd w:val="0"/>
      <w:textAlignment w:val="center"/>
    </w:pPr>
    <w:rPr>
      <w:rFonts w:cs="Arial"/>
      <w:b/>
      <w:color w:val="034EA2"/>
      <w:sz w:val="16"/>
      <w:szCs w:val="16"/>
    </w:rPr>
  </w:style>
  <w:style w:type="paragraph" w:customStyle="1" w:styleId="CEAFootnote">
    <w:name w:val="CEA Footnote"/>
    <w:basedOn w:val="Normlny"/>
    <w:semiHidden/>
    <w:qFormat/>
    <w:rsid w:val="001126A0"/>
    <w:pPr>
      <w:spacing w:line="240" w:lineRule="auto"/>
    </w:pPr>
    <w:rPr>
      <w:sz w:val="16"/>
    </w:rPr>
  </w:style>
  <w:style w:type="character" w:customStyle="1" w:styleId="CEAGraphX">
    <w:name w:val="CEA Graph X"/>
    <w:uiPriority w:val="1"/>
    <w:qFormat/>
    <w:rsid w:val="001126A0"/>
    <w:rPr>
      <w:rFonts w:ascii="Verdana" w:hAnsi="Verdana"/>
      <w:smallCaps/>
      <w:sz w:val="19"/>
      <w:lang w:val="en-GB"/>
    </w:rPr>
  </w:style>
  <w:style w:type="paragraph" w:customStyle="1" w:styleId="CEALabel">
    <w:name w:val="CEA Label"/>
    <w:basedOn w:val="Normlny"/>
    <w:semiHidden/>
    <w:qFormat/>
    <w:rsid w:val="001126A0"/>
    <w:rPr>
      <w:rFonts w:cs="Arial"/>
      <w:b/>
      <w:color w:val="034EA2"/>
      <w:sz w:val="18"/>
      <w:szCs w:val="18"/>
    </w:rPr>
  </w:style>
  <w:style w:type="paragraph" w:customStyle="1" w:styleId="CEAPositionPaperTitle">
    <w:name w:val="CEA Position Paper Title"/>
    <w:basedOn w:val="Normlny"/>
    <w:semiHidden/>
    <w:qFormat/>
    <w:rsid w:val="001126A0"/>
    <w:pPr>
      <w:ind w:left="-27"/>
    </w:pPr>
    <w:rPr>
      <w:b/>
      <w:color w:val="034EA2"/>
      <w:sz w:val="32"/>
      <w:szCs w:val="32"/>
    </w:rPr>
  </w:style>
  <w:style w:type="paragraph" w:customStyle="1" w:styleId="CEAPressReleaseSubtitle">
    <w:name w:val="CEA Press Release Subtitle"/>
    <w:basedOn w:val="Normlny"/>
    <w:semiHidden/>
    <w:qFormat/>
    <w:rsid w:val="001126A0"/>
    <w:rPr>
      <w:sz w:val="22"/>
      <w:szCs w:val="22"/>
    </w:rPr>
  </w:style>
  <w:style w:type="paragraph" w:customStyle="1" w:styleId="CEAPressReleaseTitle">
    <w:name w:val="CEA Press Release Title"/>
    <w:basedOn w:val="Normlny"/>
    <w:semiHidden/>
    <w:qFormat/>
    <w:rsid w:val="001126A0"/>
    <w:pPr>
      <w:autoSpaceDE w:val="0"/>
      <w:autoSpaceDN w:val="0"/>
      <w:adjustRightInd w:val="0"/>
      <w:spacing w:line="240" w:lineRule="auto"/>
    </w:pPr>
    <w:rPr>
      <w:rFonts w:ascii="Frutiger LT Com 45 Light" w:hAnsi="Frutiger LT Com 45 Light"/>
      <w:b/>
      <w:color w:val="034EA2"/>
      <w:sz w:val="36"/>
      <w:szCs w:val="36"/>
    </w:rPr>
  </w:style>
  <w:style w:type="paragraph" w:customStyle="1" w:styleId="CEASubjectLine">
    <w:name w:val="CEA Subject Line"/>
    <w:basedOn w:val="Normlny"/>
    <w:semiHidden/>
    <w:qFormat/>
    <w:rsid w:val="001126A0"/>
    <w:rPr>
      <w:rFonts w:cs="Frutiger LT Std 55 Roman"/>
      <w:b/>
      <w:szCs w:val="20"/>
    </w:rPr>
  </w:style>
  <w:style w:type="table" w:styleId="Mriekatabuky">
    <w:name w:val="Table Grid"/>
    <w:basedOn w:val="Normlnatabuka"/>
    <w:uiPriority w:val="59"/>
    <w:rsid w:val="00C60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606E5"/>
    <w:rPr>
      <w:sz w:val="16"/>
      <w:szCs w:val="16"/>
    </w:rPr>
  </w:style>
  <w:style w:type="paragraph" w:styleId="Textkomentra">
    <w:name w:val="annotation text"/>
    <w:basedOn w:val="Normlny"/>
    <w:link w:val="TextkomentraChar"/>
    <w:uiPriority w:val="99"/>
    <w:semiHidden/>
    <w:unhideWhenUsed/>
    <w:rsid w:val="00C606E5"/>
    <w:pPr>
      <w:spacing w:line="240" w:lineRule="auto"/>
    </w:pPr>
    <w:rPr>
      <w:rFonts w:ascii="Arial" w:eastAsia="Frutiger LT Com 45 Light" w:hAnsi="Arial" w:cs="Frutiger LT Com 45 Light"/>
      <w:sz w:val="20"/>
      <w:szCs w:val="20"/>
    </w:rPr>
  </w:style>
  <w:style w:type="character" w:customStyle="1" w:styleId="TextkomentraChar">
    <w:name w:val="Text komentára Char"/>
    <w:basedOn w:val="Predvolenpsmoodseku"/>
    <w:link w:val="Textkomentra"/>
    <w:uiPriority w:val="99"/>
    <w:semiHidden/>
    <w:rsid w:val="00C606E5"/>
    <w:rPr>
      <w:rFonts w:ascii="Arial" w:eastAsia="Frutiger LT Com 45 Light" w:hAnsi="Arial" w:cs="Frutiger LT Com 45 Light"/>
      <w:sz w:val="20"/>
      <w:szCs w:val="20"/>
      <w:lang w:val="en-GB"/>
    </w:rPr>
  </w:style>
  <w:style w:type="character" w:styleId="Hypertextovprepojenie">
    <w:name w:val="Hyperlink"/>
    <w:basedOn w:val="Predvolenpsmoodseku"/>
    <w:uiPriority w:val="99"/>
    <w:semiHidden/>
    <w:unhideWhenUsed/>
    <w:rsid w:val="00C606E5"/>
    <w:rPr>
      <w:color w:val="0000FF"/>
      <w:u w:val="single"/>
    </w:rPr>
  </w:style>
  <w:style w:type="paragraph" w:styleId="Predmetkomentra">
    <w:name w:val="annotation subject"/>
    <w:basedOn w:val="Textkomentra"/>
    <w:next w:val="Textkomentra"/>
    <w:link w:val="PredmetkomentraChar"/>
    <w:uiPriority w:val="99"/>
    <w:semiHidden/>
    <w:unhideWhenUsed/>
    <w:rsid w:val="00D35BF6"/>
    <w:rPr>
      <w:rFonts w:ascii="Verdana" w:eastAsia="Times New Roman" w:hAnsi="Verdana" w:cs="Times New Roman"/>
      <w:b/>
      <w:bCs/>
    </w:rPr>
  </w:style>
  <w:style w:type="character" w:customStyle="1" w:styleId="PredmetkomentraChar">
    <w:name w:val="Predmet komentára Char"/>
    <w:basedOn w:val="TextkomentraChar"/>
    <w:link w:val="Predmetkomentra"/>
    <w:uiPriority w:val="99"/>
    <w:semiHidden/>
    <w:rsid w:val="00D35BF6"/>
    <w:rPr>
      <w:rFonts w:ascii="Verdana" w:eastAsia="Times New Roman" w:hAnsi="Verdana" w:cs="Times New Roman"/>
      <w:b/>
      <w:bCs/>
      <w:sz w:val="20"/>
      <w:szCs w:val="20"/>
      <w:lang w:val="en-GB"/>
    </w:rPr>
  </w:style>
  <w:style w:type="character" w:customStyle="1" w:styleId="HideTWBExt">
    <w:name w:val="HideTWBExt"/>
    <w:rsid w:val="004756B1"/>
    <w:rPr>
      <w:rFonts w:ascii="Arial" w:hAnsi="Arial"/>
      <w:noProof/>
      <w:vanish/>
      <w:color w:val="000080"/>
      <w:sz w:val="20"/>
    </w:rPr>
  </w:style>
  <w:style w:type="paragraph" w:styleId="Revzia">
    <w:name w:val="Revision"/>
    <w:hidden/>
    <w:uiPriority w:val="99"/>
    <w:semiHidden/>
    <w:rsid w:val="00A37939"/>
    <w:pPr>
      <w:spacing w:after="0" w:line="240" w:lineRule="auto"/>
    </w:pPr>
    <w:rPr>
      <w:rFonts w:ascii="Verdana" w:eastAsia="Times New Roman" w:hAnsi="Verdana" w:cs="Times New Roman"/>
      <w:sz w:val="17"/>
      <w:szCs w:val="24"/>
      <w:lang w:val="en-GB"/>
    </w:rPr>
  </w:style>
  <w:style w:type="character" w:styleId="PouitHypertextovPrepojenie">
    <w:name w:val="FollowedHyperlink"/>
    <w:basedOn w:val="Predvolenpsmoodseku"/>
    <w:uiPriority w:val="99"/>
    <w:semiHidden/>
    <w:unhideWhenUsed/>
    <w:rsid w:val="002C16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0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ublished Documents" ma:contentTypeID="0x0101007A2A1B97D27D6A4C90B6022E1624614C" ma:contentTypeVersion="23" ma:contentTypeDescription="Published Documents Content types for Insurance Europe" ma:contentTypeScope="" ma:versionID="4a4162a0ba2cac1c20994b0a19fbf2fb">
  <xsd:schema xmlns:xsd="http://www.w3.org/2001/XMLSchema" xmlns:xs="http://www.w3.org/2001/XMLSchema" xmlns:p="http://schemas.microsoft.com/office/2006/metadata/properties" xmlns:ns2="d352728d-c7aa-455d-bd83-40fe44122be8" targetNamespace="http://schemas.microsoft.com/office/2006/metadata/properties" ma:root="true" ma:fieldsID="a27679d9f9c8b495199064f15733cb20" ns2:_="">
    <xsd:import namespace="d352728d-c7aa-455d-bd83-40fe44122be8"/>
    <xsd:element name="properties">
      <xsd:complexType>
        <xsd:sequence>
          <xsd:element name="documentManagement">
            <xsd:complexType>
              <xsd:all>
                <xsd:element ref="ns2:AllowComments" minOccurs="0"/>
                <xsd:element ref="ns2:Validated" minOccurs="0"/>
                <xsd:element ref="ns2:ValidationComment" minOccurs="0"/>
                <xsd:element ref="ns2:Can_x0020_be_x0020_edited" minOccurs="0"/>
                <xsd:element ref="ns2:Type_x0020_of_x0020_document" minOccurs="0"/>
                <xsd:element ref="ns2:Deadline" minOccurs="0"/>
                <xsd:element ref="ns2:Type_x0020_of_x0020_memo" minOccurs="0"/>
                <xsd:element ref="ns2:Display_x0020_validated_x0020_documents_x0020_library_x0020_button" minOccurs="0"/>
                <xsd:element ref="ns2:isAnnex" minOccurs="0"/>
                <xsd:element ref="ns2:Uploads" minOccurs="0"/>
                <xsd:element ref="ns2:Allow_x0020_uploads" minOccurs="0"/>
                <xsd:element ref="ns2:Allow_x0020_comments" minOccurs="0"/>
                <xsd:element ref="ns2:Feedback_x0020_type" minOccurs="0"/>
                <xsd:element ref="ns2:Leading_x0020_document"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728d-c7aa-455d-bd83-40fe44122be8" elementFormDefault="qualified">
    <xsd:import namespace="http://schemas.microsoft.com/office/2006/documentManagement/types"/>
    <xsd:import namespace="http://schemas.microsoft.com/office/infopath/2007/PartnerControls"/>
    <xsd:element name="AllowComments" ma:index="8" nillable="true" ma:displayName="AllowComments" ma:default="1" ma:internalName="AllowComments" ma:readOnly="false">
      <xsd:simpleType>
        <xsd:restriction base="dms:Boolean"/>
      </xsd:simpleType>
    </xsd:element>
    <xsd:element name="Validated" ma:index="9" nillable="true" ma:displayName="Validated" ma:default="0" ma:internalName="Validated" ma:readOnly="false">
      <xsd:simpleType>
        <xsd:restriction base="dms:Boolean"/>
      </xsd:simpleType>
    </xsd:element>
    <xsd:element name="ValidationComment" ma:index="10" nillable="true" ma:displayName="ValidationComment" ma:internalName="ValidationComment" ma:readOnly="false">
      <xsd:simpleType>
        <xsd:restriction base="dms:Note">
          <xsd:maxLength value="255"/>
        </xsd:restriction>
      </xsd:simpleType>
    </xsd:element>
    <xsd:element name="Can_x0020_be_x0020_edited" ma:index="11" nillable="true" ma:displayName="Can be edited" ma:default="0" ma:internalName="Can_x0020_be_x0020_edited" ma:readOnly="false">
      <xsd:simpleType>
        <xsd:restriction base="dms:Boolean"/>
      </xsd:simpleType>
    </xsd:element>
    <xsd:element name="Type_x0020_of_x0020_document" ma:index="12" nillable="true" ma:displayName="Type of document" ma:format="Dropdown" ma:internalName="Type_x0020_of_x0020_document" ma:readOnly="false">
      <xsd:simpleType>
        <xsd:restriction base="dms:Choice">
          <xsd:enumeration value="Memo"/>
          <xsd:enumeration value="Blank document"/>
          <xsd:enumeration value="Agenda"/>
          <xsd:enumeration value="News Flash"/>
          <xsd:enumeration value="Participants List"/>
          <xsd:enumeration value="Press Release"/>
          <xsd:enumeration value="Fax Cover"/>
          <xsd:enumeration value="Letter"/>
          <xsd:enumeration value="Background note"/>
          <xsd:enumeration value="Meeting Conclusions"/>
          <xsd:enumeration value="Position Paper"/>
          <xsd:enumeration value="PowerPoint template"/>
        </xsd:restriction>
      </xsd:simpleType>
    </xsd:element>
    <xsd:element name="Deadline" ma:index="13" nillable="true" ma:displayName="Deadline" ma:format="DateTime" ma:internalName="Deadline" ma:readOnly="false">
      <xsd:simpleType>
        <xsd:restriction base="dms:DateTime"/>
      </xsd:simpleType>
    </xsd:element>
    <xsd:element name="Type_x0020_of_x0020_memo" ma:index="14" nillable="true" ma:displayName="Type of memo" ma:format="Dropdown" ma:internalName="Type_x0020_of_x0020_memo" ma:readOnly="false">
      <xsd:simpleType>
        <xsd:restriction base="dms:Choice">
          <xsd:enumeration value="information"/>
          <xsd:enumeration value="action"/>
        </xsd:restriction>
      </xsd:simpleType>
    </xsd:element>
    <xsd:element name="Display_x0020_validated_x0020_documents_x0020_library_x0020_button" ma:index="15" nillable="true" ma:displayName="Display validated documents library button" ma:default="0" ma:internalName="Display_x0020_validated_x0020_documents_x0020_library_x0020_button" ma:readOnly="false">
      <xsd:simpleType>
        <xsd:restriction base="dms:Boolean"/>
      </xsd:simpleType>
    </xsd:element>
    <xsd:element name="isAnnex" ma:index="16" nillable="true" ma:displayName="isAnnex" ma:internalName="isAnnex" ma:readOnly="false">
      <xsd:simpleType>
        <xsd:restriction base="dms:Text"/>
      </xsd:simpleType>
    </xsd:element>
    <xsd:element name="Uploads" ma:index="17" nillable="true" ma:displayName="Uploads" ma:internalName="Uploads" ma:readOnly="false">
      <xsd:simpleType>
        <xsd:restriction base="dms:Boolean"/>
      </xsd:simpleType>
    </xsd:element>
    <xsd:element name="Allow_x0020_uploads" ma:index="18" nillable="true" ma:displayName="Allow uploads" ma:internalName="Allow_x0020_uploads">
      <xsd:simpleType>
        <xsd:restriction base="dms:Boolean"/>
      </xsd:simpleType>
    </xsd:element>
    <xsd:element name="Allow_x0020_comments" ma:index="19" nillable="true" ma:displayName="Allow comments" ma:internalName="Allow_x0020_comments">
      <xsd:simpleType>
        <xsd:restriction base="dms:Boolean"/>
      </xsd:simpleType>
    </xsd:element>
    <xsd:element name="Feedback_x0020_type" ma:index="20" nillable="true" ma:displayName="Feedback type" ma:internalName="Feedback_x0020_type">
      <xsd:simpleType>
        <xsd:restriction base="dms:Text"/>
      </xsd:simpleType>
    </xsd:element>
    <xsd:element name="Leading_x0020_document" ma:index="21" nillable="true" ma:displayName="Leading document" ma:internalName="Leading_x0020_document">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ype_x0020_of_x0020_memo xmlns="d352728d-c7aa-455d-bd83-40fe44122be8" xsi:nil="true"/>
    <Deadline xmlns="d352728d-c7aa-455d-bd83-40fe44122be8" xsi:nil="true"/>
    <Type_x0020_of_x0020_document xmlns="d352728d-c7aa-455d-bd83-40fe44122be8" xsi:nil="true"/>
    <Uploads xmlns="d352728d-c7aa-455d-bd83-40fe44122be8" xsi:nil="true"/>
    <Leading_x0020_document xmlns="d352728d-c7aa-455d-bd83-40fe44122be8" xsi:nil="true"/>
    <Can_x0020_be_x0020_edited xmlns="d352728d-c7aa-455d-bd83-40fe44122be8">false</Can_x0020_be_x0020_edited>
    <AllowComments xmlns="d352728d-c7aa-455d-bd83-40fe44122be8">true</AllowComments>
    <Allow_x0020_uploads xmlns="d352728d-c7aa-455d-bd83-40fe44122be8" xsi:nil="true"/>
    <Display_x0020_validated_x0020_documents_x0020_library_x0020_button xmlns="d352728d-c7aa-455d-bd83-40fe44122be8">false</Display_x0020_validated_x0020_documents_x0020_library_x0020_button>
    <Validated xmlns="d352728d-c7aa-455d-bd83-40fe44122be8">false</Validated>
    <Feedback_x0020_type xmlns="d352728d-c7aa-455d-bd83-40fe44122be8" xsi:nil="true"/>
    <isAnnex xmlns="d352728d-c7aa-455d-bd83-40fe44122be8" xsi:nil="true"/>
    <ValidationComment xmlns="d352728d-c7aa-455d-bd83-40fe44122be8" xsi:nil="true"/>
    <Allow_x0020_comments xmlns="d352728d-c7aa-455d-bd83-40fe44122be8" xsi:nil="true"/>
  </documentManagement>
</p:properties>
</file>

<file path=customXml/itemProps1.xml><?xml version="1.0" encoding="utf-8"?>
<ds:datastoreItem xmlns:ds="http://schemas.openxmlformats.org/officeDocument/2006/customXml" ds:itemID="{8D47A642-302C-4F79-B822-490CBA347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728d-c7aa-455d-bd83-40fe44122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FE8496-0FDC-4718-A413-EA00469A52C6}">
  <ds:schemaRefs>
    <ds:schemaRef ds:uri="http://schemas.microsoft.com/sharepoint/v3/contenttype/forms"/>
  </ds:schemaRefs>
</ds:datastoreItem>
</file>

<file path=customXml/itemProps3.xml><?xml version="1.0" encoding="utf-8"?>
<ds:datastoreItem xmlns:ds="http://schemas.openxmlformats.org/officeDocument/2006/customXml" ds:itemID="{71D7A0EA-14CF-4487-AFCD-561CDD8E319F}">
  <ds:schemaRefs>
    <ds:schemaRef ds:uri="d352728d-c7aa-455d-bd83-40fe44122be8"/>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6845</Words>
  <Characters>39019</Characters>
  <Application>Microsoft Office Word</Application>
  <DocSecurity>4</DocSecurity>
  <Lines>325</Lines>
  <Paragraphs>91</Paragraphs>
  <ScaleCrop>false</ScaleCrop>
  <HeadingPairs>
    <vt:vector size="2" baseType="variant">
      <vt:variant>
        <vt:lpstr>Title</vt:lpstr>
      </vt:variant>
      <vt:variant>
        <vt:i4>1</vt:i4>
      </vt:variant>
    </vt:vector>
  </HeadingPairs>
  <TitlesOfParts>
    <vt:vector size="1" baseType="lpstr">
      <vt:lpstr>1.4 Detailed assessment of ECON-AM-732669_EN</vt:lpstr>
    </vt:vector>
  </TitlesOfParts>
  <Company>Insurance Europe</Company>
  <LinksUpToDate>false</LinksUpToDate>
  <CharactersWithSpaces>45773</CharactersWithSpaces>
  <SharedDoc>false</SharedDoc>
  <HLinks>
    <vt:vector size="6" baseType="variant">
      <vt:variant>
        <vt:i4>4653143</vt:i4>
      </vt:variant>
      <vt:variant>
        <vt:i4>0</vt:i4>
      </vt:variant>
      <vt:variant>
        <vt:i4>0</vt:i4>
      </vt:variant>
      <vt:variant>
        <vt:i4>5</vt:i4>
      </vt:variant>
      <vt:variant>
        <vt:lpwstr>https://insuranceeurope.sharepoint.com/:w:/s/intranet/ER-JAd00O85BpXnmTHdNURUBfiRpaROszSMH9cT6UJj1cw?e=nw7Fiw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Detailed assessment of SII EP amendments 597-804</dc:title>
  <dc:subject/>
  <dc:creator>Insurance Europe</dc:creator>
  <cp:keywords/>
  <cp:lastModifiedBy>jozef.bachnicek</cp:lastModifiedBy>
  <cp:revision>2</cp:revision>
  <dcterms:created xsi:type="dcterms:W3CDTF">2022-08-12T07:22:00Z</dcterms:created>
  <dcterms:modified xsi:type="dcterms:W3CDTF">2022-08-12T07:22:00Z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0x0101007A2A1B97D27D6A4C90B6022E1624614C</vt:lpwstr>
  </property>
</Properties>
</file>